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C171EB">
      <w:pPr>
        <w:outlineLvl w:val="1"/>
        <w:rPr>
          <w:rFonts w:ascii="宋体" w:hAnsi="宋体"/>
          <w:sz w:val="28"/>
          <w:szCs w:val="28"/>
        </w:rPr>
      </w:pPr>
      <w:bookmarkStart w:id="0" w:name="_Toc31355"/>
      <w:bookmarkStart w:id="1" w:name="_Toc29329"/>
      <w:bookmarkStart w:id="2" w:name="_Toc28095"/>
      <w:bookmarkStart w:id="3" w:name="_Toc27894"/>
      <w:bookmarkStart w:id="4" w:name="_Toc4826"/>
      <w:bookmarkStart w:id="5" w:name="_Toc19210"/>
      <w:bookmarkStart w:id="6" w:name="_Toc445215517"/>
      <w:bookmarkStart w:id="7" w:name="_Toc410207416"/>
      <w:r>
        <w:rPr>
          <w:rFonts w:hint="eastAsia" w:ascii="宋体" w:hAnsi="宋体"/>
          <w:sz w:val="28"/>
          <w:szCs w:val="28"/>
        </w:rPr>
        <w:t>附件一</w:t>
      </w:r>
      <w:bookmarkEnd w:id="0"/>
      <w:bookmarkEnd w:id="1"/>
      <w:bookmarkEnd w:id="2"/>
      <w:bookmarkEnd w:id="3"/>
      <w:bookmarkEnd w:id="4"/>
      <w:bookmarkEnd w:id="5"/>
    </w:p>
    <w:p w14:paraId="3293FC2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新宋体"/>
          <w:b/>
          <w:bCs/>
          <w:kern w:val="0"/>
          <w:sz w:val="36"/>
          <w:szCs w:val="36"/>
        </w:rPr>
      </w:pPr>
      <w:bookmarkStart w:id="8" w:name="_Toc488396745"/>
      <w:bookmarkStart w:id="9" w:name="_Toc488217407"/>
      <w:r>
        <w:rPr>
          <w:rFonts w:hint="eastAsia" w:ascii="宋体" w:hAnsi="宋体" w:eastAsia="宋体" w:cs="新宋体"/>
          <w:b/>
          <w:bCs/>
          <w:kern w:val="0"/>
          <w:sz w:val="36"/>
          <w:szCs w:val="36"/>
        </w:rPr>
        <w:t>物资招标项目概况</w:t>
      </w:r>
      <w:bookmarkEnd w:id="8"/>
      <w:bookmarkEnd w:id="9"/>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01"/>
        <w:gridCol w:w="8309"/>
        <w:gridCol w:w="2268"/>
        <w:gridCol w:w="1416"/>
      </w:tblGrid>
      <w:tr w14:paraId="0135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850" w:type="dxa"/>
            <w:tcBorders>
              <w:bottom w:val="single" w:color="auto" w:sz="4" w:space="0"/>
            </w:tcBorders>
            <w:noWrap w:val="0"/>
            <w:vAlign w:val="center"/>
          </w:tcPr>
          <w:p w14:paraId="1BF5BB4C">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序号</w:t>
            </w:r>
          </w:p>
        </w:tc>
        <w:tc>
          <w:tcPr>
            <w:tcW w:w="1501" w:type="dxa"/>
            <w:tcBorders>
              <w:bottom w:val="single" w:color="auto" w:sz="4" w:space="0"/>
            </w:tcBorders>
            <w:noWrap w:val="0"/>
            <w:vAlign w:val="center"/>
          </w:tcPr>
          <w:p w14:paraId="2EC8CFC4">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项目全称</w:t>
            </w:r>
          </w:p>
        </w:tc>
        <w:tc>
          <w:tcPr>
            <w:tcW w:w="8309" w:type="dxa"/>
            <w:tcBorders>
              <w:bottom w:val="single" w:color="auto" w:sz="4" w:space="0"/>
            </w:tcBorders>
            <w:noWrap w:val="0"/>
            <w:vAlign w:val="center"/>
          </w:tcPr>
          <w:p w14:paraId="205B22D2">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项目概况（详细）</w:t>
            </w:r>
          </w:p>
        </w:tc>
        <w:tc>
          <w:tcPr>
            <w:tcW w:w="2268" w:type="dxa"/>
            <w:tcBorders>
              <w:bottom w:val="single" w:color="auto" w:sz="4" w:space="0"/>
            </w:tcBorders>
            <w:noWrap w:val="0"/>
            <w:vAlign w:val="center"/>
          </w:tcPr>
          <w:p w14:paraId="00174E9E">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项目通讯地址、物资部长、联系方式</w:t>
            </w:r>
          </w:p>
        </w:tc>
        <w:tc>
          <w:tcPr>
            <w:tcW w:w="1416" w:type="dxa"/>
            <w:tcBorders>
              <w:bottom w:val="single" w:color="auto" w:sz="4" w:space="0"/>
            </w:tcBorders>
            <w:noWrap w:val="0"/>
            <w:vAlign w:val="center"/>
          </w:tcPr>
          <w:p w14:paraId="1B038846">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所属单位</w:t>
            </w:r>
          </w:p>
        </w:tc>
      </w:tr>
      <w:tr w14:paraId="72F3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96" w:hRule="atLeast"/>
          <w:jc w:val="center"/>
        </w:trPr>
        <w:tc>
          <w:tcPr>
            <w:tcW w:w="85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50077766">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0" w:type="dxa"/>
              <w:right w:w="15" w:type="dxa"/>
            </w:tcMar>
            <w:vAlign w:val="center"/>
          </w:tcPr>
          <w:p w14:paraId="78FD68E9">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rPr>
              <w:t>中铁二局第五工程有限公司磨憨沿边产业园核心区连接配套区基础设施项目一期项目经理部</w:t>
            </w:r>
          </w:p>
        </w:tc>
        <w:tc>
          <w:tcPr>
            <w:tcW w:w="8309"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bottom w:w="0" w:type="dxa"/>
              <w:right w:w="15" w:type="dxa"/>
            </w:tcMar>
            <w:vAlign w:val="center"/>
          </w:tcPr>
          <w:p w14:paraId="39E3B5F2">
            <w:pPr>
              <w:widowControl/>
              <w:ind w:firstLine="210" w:firstLineChars="100"/>
              <w:jc w:val="left"/>
              <w:textAlignment w:val="center"/>
              <w:rPr>
                <w:rFonts w:hint="eastAsia" w:ascii="宋体" w:hAnsi="宋体" w:eastAsia="宋体" w:cs="宋体"/>
                <w:color w:val="000000"/>
                <w:kern w:val="2"/>
                <w:sz w:val="20"/>
                <w:szCs w:val="20"/>
                <w:lang w:val="en-US" w:eastAsia="zh-CN" w:bidi="ar-SA"/>
              </w:rPr>
            </w:pPr>
            <w:r>
              <w:rPr>
                <w:rFonts w:hint="eastAsia"/>
              </w:rPr>
              <w:t>项目位于中国老挝磨憨</w:t>
            </w:r>
            <w:r>
              <w:t>-磨丁经济合作区磨憨镇南侧，</w:t>
            </w:r>
            <w:r>
              <w:rPr>
                <w:rFonts w:hint="eastAsia"/>
              </w:rPr>
              <w:t>西起现状东盟大道，东止于二期起点，全长</w:t>
            </w:r>
            <w:r>
              <w:t>1582.594m，按城市主干路标准建设，设计时速40km/h，规划红线宽度38m，按双向六车道布置，沿线共规划5个交叉口</w:t>
            </w:r>
            <w:r>
              <w:rPr>
                <w:rFonts w:hint="eastAsia"/>
              </w:rPr>
              <w:t>。</w:t>
            </w:r>
            <w:r>
              <w:t>项目主要建设内容（含涉铁工程）包括：道路工程、桥涵工程</w:t>
            </w:r>
            <w:r>
              <w:rPr>
                <w:rFonts w:hint="eastAsia"/>
              </w:rPr>
              <w:t>、</w:t>
            </w:r>
            <w:r>
              <w:t>交通工程、给水工程、排水工程、电力工程（土建部分）、通信工程（土建部分）、照明工程及其他附属工程</w:t>
            </w:r>
            <w:r>
              <w:rPr>
                <w:rFonts w:hint="eastAsia"/>
              </w:rPr>
              <w:t>。</w:t>
            </w:r>
          </w:p>
        </w:tc>
        <w:tc>
          <w:tcPr>
            <w:tcW w:w="22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14:paraId="547E8380">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rPr>
              <w:t>云南省西双版纳州勐腊县磨憨镇南嘎村中铁二局项目部王强13770606737</w:t>
            </w:r>
          </w:p>
        </w:tc>
        <w:tc>
          <w:tcPr>
            <w:tcW w:w="141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AD2B042">
            <w:pPr>
              <w:kinsoku w:val="0"/>
              <w:overflowPunct w:val="0"/>
              <w:autoSpaceDE w:val="0"/>
              <w:autoSpaceDN w:val="0"/>
              <w:adjustRightInd w:val="0"/>
              <w:snapToGrid w:val="0"/>
              <w:spacing w:line="240" w:lineRule="atLeast"/>
              <w:jc w:val="center"/>
              <w:rPr>
                <w:rFonts w:hint="eastAsia" w:ascii="仿宋_GB2312"/>
                <w:sz w:val="18"/>
                <w:szCs w:val="18"/>
              </w:rPr>
            </w:pPr>
            <w:r>
              <w:rPr>
                <w:rFonts w:hint="eastAsia" w:ascii="仿宋_GB2312"/>
                <w:sz w:val="18"/>
                <w:szCs w:val="18"/>
              </w:rPr>
              <w:t>中铁二局集团有限公司</w:t>
            </w:r>
          </w:p>
        </w:tc>
      </w:tr>
    </w:tbl>
    <w:p w14:paraId="35D2DE5A">
      <w:pPr>
        <w:outlineLvl w:val="1"/>
        <w:rPr>
          <w:rFonts w:hint="eastAsia" w:ascii="宋体" w:hAnsi="宋体"/>
          <w:sz w:val="28"/>
          <w:szCs w:val="28"/>
        </w:rPr>
      </w:pPr>
      <w:r>
        <w:rPr>
          <w:b/>
          <w:szCs w:val="28"/>
        </w:rPr>
        <w:br w:type="page"/>
      </w:r>
      <w:bookmarkStart w:id="10" w:name="_Toc3326"/>
      <w:bookmarkStart w:id="11" w:name="_Toc9747"/>
      <w:bookmarkStart w:id="12" w:name="_Toc18930"/>
      <w:bookmarkStart w:id="13" w:name="_Toc28640"/>
      <w:bookmarkStart w:id="14" w:name="_Toc24981"/>
      <w:bookmarkStart w:id="15" w:name="_Toc5991"/>
      <w:r>
        <w:rPr>
          <w:rFonts w:hint="eastAsia" w:ascii="宋体" w:hAnsi="宋体"/>
          <w:sz w:val="28"/>
          <w:szCs w:val="28"/>
        </w:rPr>
        <w:t>附件</w:t>
      </w:r>
      <w:bookmarkEnd w:id="6"/>
      <w:bookmarkEnd w:id="7"/>
      <w:r>
        <w:rPr>
          <w:rFonts w:hint="eastAsia" w:ascii="宋体" w:hAnsi="宋体"/>
          <w:sz w:val="28"/>
          <w:szCs w:val="28"/>
        </w:rPr>
        <w:t>二</w:t>
      </w:r>
      <w:bookmarkEnd w:id="10"/>
      <w:bookmarkEnd w:id="11"/>
      <w:bookmarkEnd w:id="12"/>
      <w:bookmarkEnd w:id="13"/>
      <w:bookmarkEnd w:id="14"/>
      <w:bookmarkEnd w:id="15"/>
    </w:p>
    <w:p w14:paraId="4152E4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新宋体"/>
          <w:b/>
          <w:bCs/>
          <w:kern w:val="0"/>
          <w:sz w:val="36"/>
          <w:szCs w:val="36"/>
        </w:rPr>
      </w:pPr>
      <w:r>
        <w:rPr>
          <w:rFonts w:hint="eastAsia" w:ascii="宋体" w:hAnsi="宋体" w:eastAsia="宋体" w:cs="新宋体"/>
          <w:b/>
          <w:bCs/>
          <w:kern w:val="0"/>
          <w:sz w:val="36"/>
          <w:szCs w:val="36"/>
        </w:rPr>
        <w:t>物资品种、包件划分、投标保证金</w:t>
      </w:r>
      <w:r>
        <w:rPr>
          <w:rFonts w:hint="eastAsia" w:ascii="宋体" w:hAnsi="宋体" w:cs="新宋体"/>
          <w:b/>
          <w:bCs/>
          <w:kern w:val="0"/>
          <w:sz w:val="36"/>
          <w:szCs w:val="36"/>
          <w:lang w:eastAsia="zh-CN"/>
        </w:rPr>
        <w:t>、</w:t>
      </w:r>
      <w:r>
        <w:rPr>
          <w:rFonts w:hint="eastAsia" w:ascii="宋体" w:hAnsi="宋体" w:cs="新宋体"/>
          <w:b/>
          <w:bCs/>
          <w:kern w:val="0"/>
          <w:sz w:val="36"/>
          <w:szCs w:val="36"/>
          <w:lang w:val="en-US" w:eastAsia="zh-CN"/>
        </w:rPr>
        <w:t>履约保证金、限价</w:t>
      </w:r>
      <w:r>
        <w:rPr>
          <w:rFonts w:hint="eastAsia" w:ascii="宋体" w:hAnsi="宋体" w:eastAsia="宋体" w:cs="新宋体"/>
          <w:b/>
          <w:bCs/>
          <w:kern w:val="0"/>
          <w:sz w:val="36"/>
          <w:szCs w:val="36"/>
        </w:rPr>
        <w:t>、投标人资格要求</w:t>
      </w:r>
    </w:p>
    <w:tbl>
      <w:tblPr>
        <w:tblStyle w:val="8"/>
        <w:tblW w:w="14634"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390"/>
        <w:gridCol w:w="1571"/>
        <w:gridCol w:w="1193"/>
        <w:gridCol w:w="1561"/>
        <w:gridCol w:w="2552"/>
        <w:gridCol w:w="2286"/>
        <w:gridCol w:w="1480"/>
        <w:gridCol w:w="1641"/>
      </w:tblGrid>
      <w:tr w14:paraId="5CC5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960" w:type="dxa"/>
            <w:noWrap w:val="0"/>
            <w:vAlign w:val="center"/>
          </w:tcPr>
          <w:p w14:paraId="38AF385E">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序号</w:t>
            </w:r>
          </w:p>
        </w:tc>
        <w:tc>
          <w:tcPr>
            <w:tcW w:w="1390" w:type="dxa"/>
            <w:noWrap w:val="0"/>
            <w:vAlign w:val="center"/>
          </w:tcPr>
          <w:p w14:paraId="7F820F33">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物资名称</w:t>
            </w:r>
          </w:p>
        </w:tc>
        <w:tc>
          <w:tcPr>
            <w:tcW w:w="1571" w:type="dxa"/>
            <w:noWrap w:val="0"/>
            <w:vAlign w:val="center"/>
          </w:tcPr>
          <w:p w14:paraId="0F845F10">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包件号</w:t>
            </w:r>
          </w:p>
        </w:tc>
        <w:tc>
          <w:tcPr>
            <w:tcW w:w="1193" w:type="dxa"/>
            <w:noWrap w:val="0"/>
            <w:vAlign w:val="center"/>
          </w:tcPr>
          <w:p w14:paraId="200A126A">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单位</w:t>
            </w:r>
          </w:p>
        </w:tc>
        <w:tc>
          <w:tcPr>
            <w:tcW w:w="1561" w:type="dxa"/>
            <w:noWrap w:val="0"/>
            <w:vAlign w:val="center"/>
          </w:tcPr>
          <w:p w14:paraId="0209FB9F">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包件数量</w:t>
            </w:r>
          </w:p>
        </w:tc>
        <w:tc>
          <w:tcPr>
            <w:tcW w:w="2552" w:type="dxa"/>
            <w:vMerge w:val="restart"/>
            <w:noWrap w:val="0"/>
            <w:vAlign w:val="center"/>
          </w:tcPr>
          <w:p w14:paraId="00DC4B31">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项目名称</w:t>
            </w:r>
          </w:p>
        </w:tc>
        <w:tc>
          <w:tcPr>
            <w:tcW w:w="2286" w:type="dxa"/>
            <w:noWrap w:val="0"/>
            <w:vAlign w:val="center"/>
          </w:tcPr>
          <w:p w14:paraId="4090D6AA">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投标保证金（万元）</w:t>
            </w:r>
          </w:p>
        </w:tc>
        <w:tc>
          <w:tcPr>
            <w:tcW w:w="1480" w:type="dxa"/>
            <w:noWrap w:val="0"/>
            <w:vAlign w:val="center"/>
          </w:tcPr>
          <w:p w14:paraId="3EE4FCB0">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履约保证金（万元）</w:t>
            </w:r>
          </w:p>
        </w:tc>
        <w:tc>
          <w:tcPr>
            <w:tcW w:w="1641" w:type="dxa"/>
            <w:noWrap w:val="0"/>
            <w:vAlign w:val="center"/>
          </w:tcPr>
          <w:p w14:paraId="5B67EB90">
            <w:pPr>
              <w:widowControl/>
              <w:jc w:val="center"/>
              <w:textAlignment w:val="center"/>
              <w:rPr>
                <w:rFonts w:hint="eastAsia" w:ascii="仿宋" w:hAnsi="仿宋" w:eastAsia="仿宋" w:cs="仿宋"/>
                <w:b/>
                <w:bCs/>
                <w:color w:val="000000"/>
                <w:sz w:val="20"/>
                <w:szCs w:val="20"/>
              </w:rPr>
            </w:pPr>
            <w:r>
              <w:rPr>
                <w:rFonts w:hint="eastAsia" w:ascii="仿宋" w:hAnsi="仿宋" w:eastAsia="仿宋" w:cs="仿宋"/>
                <w:b/>
                <w:bCs/>
                <w:color w:val="000000"/>
                <w:kern w:val="0"/>
                <w:sz w:val="20"/>
                <w:szCs w:val="20"/>
                <w:lang w:bidi="ar"/>
              </w:rPr>
              <w:t>不含税最高限价（元）</w:t>
            </w:r>
          </w:p>
        </w:tc>
      </w:tr>
      <w:tr w14:paraId="500D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60" w:type="dxa"/>
            <w:noWrap w:val="0"/>
            <w:vAlign w:val="center"/>
          </w:tcPr>
          <w:p w14:paraId="45E73096">
            <w:pPr>
              <w:widowControl/>
              <w:jc w:val="center"/>
              <w:textAlignment w:val="center"/>
              <w:rPr>
                <w:rFonts w:hint="eastAsia" w:ascii="仿宋" w:hAnsi="仿宋" w:eastAsia="仿宋" w:cs="仿宋"/>
                <w:b/>
                <w:bCs/>
                <w:color w:val="000000"/>
                <w:kern w:val="0"/>
                <w:sz w:val="20"/>
                <w:szCs w:val="20"/>
                <w:lang w:bidi="ar"/>
              </w:rPr>
            </w:pPr>
            <w:r>
              <w:rPr>
                <w:rFonts w:hint="eastAsia" w:ascii="仿宋" w:hAnsi="仿宋" w:eastAsia="仿宋" w:cs="仿宋"/>
                <w:b/>
                <w:bCs/>
                <w:color w:val="000000"/>
                <w:kern w:val="0"/>
                <w:sz w:val="20"/>
                <w:szCs w:val="20"/>
                <w:lang w:bidi="ar"/>
              </w:rPr>
              <w:t>1</w:t>
            </w:r>
          </w:p>
        </w:tc>
        <w:tc>
          <w:tcPr>
            <w:tcW w:w="1390" w:type="dxa"/>
            <w:noWrap/>
            <w:vAlign w:val="center"/>
          </w:tcPr>
          <w:p w14:paraId="64F562C3">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碎石</w:t>
            </w:r>
          </w:p>
        </w:tc>
        <w:tc>
          <w:tcPr>
            <w:tcW w:w="1571" w:type="dxa"/>
            <w:noWrap w:val="0"/>
            <w:vAlign w:val="center"/>
          </w:tcPr>
          <w:p w14:paraId="46E12B65">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DC-</w:t>
            </w:r>
            <w:r>
              <w:rPr>
                <w:rFonts w:hint="eastAsia" w:ascii="仿宋" w:hAnsi="仿宋" w:eastAsia="仿宋" w:cs="仿宋"/>
                <w:color w:val="000000"/>
                <w:kern w:val="0"/>
                <w:sz w:val="20"/>
                <w:szCs w:val="20"/>
                <w:lang w:val="en-US" w:eastAsia="zh-CN" w:bidi="ar"/>
              </w:rPr>
              <w:t>0</w:t>
            </w:r>
            <w:r>
              <w:rPr>
                <w:rFonts w:hint="eastAsia" w:ascii="仿宋" w:hAnsi="仿宋" w:eastAsia="仿宋" w:cs="仿宋"/>
                <w:color w:val="000000"/>
                <w:kern w:val="0"/>
                <w:sz w:val="20"/>
                <w:szCs w:val="20"/>
                <w:lang w:bidi="ar"/>
              </w:rPr>
              <w:t>1</w:t>
            </w:r>
          </w:p>
        </w:tc>
        <w:tc>
          <w:tcPr>
            <w:tcW w:w="1193" w:type="dxa"/>
            <w:noWrap w:val="0"/>
            <w:vAlign w:val="center"/>
          </w:tcPr>
          <w:p w14:paraId="1C896616">
            <w:pPr>
              <w:widowControl/>
              <w:ind w:firstLine="400" w:firstLineChars="20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m3</w:t>
            </w:r>
          </w:p>
        </w:tc>
        <w:tc>
          <w:tcPr>
            <w:tcW w:w="1561" w:type="dxa"/>
            <w:noWrap w:val="0"/>
            <w:vAlign w:val="center"/>
          </w:tcPr>
          <w:p w14:paraId="7FE1F4BF">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40479.5</w:t>
            </w:r>
          </w:p>
        </w:tc>
        <w:tc>
          <w:tcPr>
            <w:tcW w:w="2552" w:type="dxa"/>
            <w:vMerge w:val="restart"/>
            <w:noWrap w:val="0"/>
            <w:vAlign w:val="center"/>
          </w:tcPr>
          <w:p w14:paraId="674B390C">
            <w:pPr>
              <w:widowControl/>
              <w:jc w:val="center"/>
              <w:textAlignment w:val="center"/>
              <w:rPr>
                <w:rFonts w:hint="eastAsia" w:ascii="仿宋" w:hAnsi="仿宋" w:eastAsia="仿宋" w:cs="仿宋"/>
                <w:sz w:val="20"/>
                <w:szCs w:val="20"/>
              </w:rPr>
            </w:pPr>
            <w:r>
              <w:rPr>
                <w:rFonts w:hint="eastAsia" w:ascii="仿宋" w:hAnsi="仿宋" w:eastAsia="仿宋" w:cs="仿宋"/>
                <w:color w:val="000000"/>
                <w:kern w:val="0"/>
                <w:sz w:val="20"/>
                <w:szCs w:val="20"/>
                <w:lang w:bidi="ar"/>
              </w:rPr>
              <w:t>中铁二局第五工程有限公司磨憨沿边产业园核心区连接配套区基础设施项目一期项目经理部</w:t>
            </w:r>
          </w:p>
        </w:tc>
        <w:tc>
          <w:tcPr>
            <w:tcW w:w="2286" w:type="dxa"/>
            <w:noWrap w:val="0"/>
            <w:vAlign w:val="center"/>
          </w:tcPr>
          <w:p w14:paraId="27304000">
            <w:pPr>
              <w:widowControl/>
              <w:jc w:val="center"/>
              <w:textAlignment w:val="center"/>
              <w:rPr>
                <w:rFonts w:hint="eastAsia"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1480" w:type="dxa"/>
            <w:noWrap w:val="0"/>
            <w:vAlign w:val="center"/>
          </w:tcPr>
          <w:p w14:paraId="52E6DD5D">
            <w:pPr>
              <w:widowControl/>
              <w:jc w:val="center"/>
              <w:textAlignment w:val="center"/>
              <w:rPr>
                <w:rFonts w:hint="eastAsia"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1641" w:type="dxa"/>
            <w:noWrap w:val="0"/>
            <w:vAlign w:val="center"/>
          </w:tcPr>
          <w:p w14:paraId="2A8C81A9">
            <w:pPr>
              <w:jc w:val="center"/>
              <w:rPr>
                <w:rFonts w:ascii="仿宋" w:hAnsi="仿宋" w:eastAsia="仿宋" w:cs="仿宋"/>
                <w:kern w:val="0"/>
                <w:sz w:val="20"/>
                <w:szCs w:val="20"/>
              </w:rPr>
            </w:pPr>
            <w:r>
              <w:rPr>
                <w:rFonts w:hint="eastAsia" w:ascii="仿宋" w:hAnsi="仿宋" w:eastAsia="仿宋" w:cs="仿宋"/>
                <w:kern w:val="0"/>
                <w:sz w:val="20"/>
                <w:szCs w:val="20"/>
              </w:rPr>
              <w:t>5505212</w:t>
            </w:r>
          </w:p>
        </w:tc>
      </w:tr>
      <w:tr w14:paraId="5342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60" w:type="dxa"/>
            <w:noWrap w:val="0"/>
            <w:vAlign w:val="center"/>
          </w:tcPr>
          <w:p w14:paraId="0D616806">
            <w:pPr>
              <w:widowControl/>
              <w:jc w:val="center"/>
              <w:textAlignment w:val="center"/>
              <w:rPr>
                <w:rFonts w:hint="eastAsia" w:ascii="仿宋" w:hAnsi="仿宋" w:eastAsia="仿宋" w:cs="仿宋"/>
                <w:b/>
                <w:bCs/>
                <w:color w:val="000000"/>
                <w:kern w:val="0"/>
                <w:sz w:val="20"/>
                <w:szCs w:val="20"/>
                <w:lang w:bidi="ar"/>
              </w:rPr>
            </w:pPr>
            <w:r>
              <w:rPr>
                <w:rFonts w:hint="eastAsia" w:ascii="仿宋" w:hAnsi="仿宋" w:eastAsia="仿宋" w:cs="仿宋"/>
                <w:b/>
                <w:bCs/>
                <w:color w:val="000000"/>
                <w:kern w:val="0"/>
                <w:sz w:val="20"/>
                <w:szCs w:val="20"/>
                <w:lang w:bidi="ar"/>
              </w:rPr>
              <w:t>2</w:t>
            </w:r>
          </w:p>
        </w:tc>
        <w:tc>
          <w:tcPr>
            <w:tcW w:w="1390" w:type="dxa"/>
            <w:noWrap/>
            <w:vAlign w:val="center"/>
          </w:tcPr>
          <w:p w14:paraId="57A9C169">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级配碎石</w:t>
            </w:r>
          </w:p>
        </w:tc>
        <w:tc>
          <w:tcPr>
            <w:tcW w:w="1571" w:type="dxa"/>
            <w:noWrap w:val="0"/>
            <w:vAlign w:val="center"/>
          </w:tcPr>
          <w:p w14:paraId="753D3143">
            <w:pPr>
              <w:widowControl/>
              <w:jc w:val="center"/>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DC-</w:t>
            </w:r>
            <w:r>
              <w:rPr>
                <w:rFonts w:hint="eastAsia" w:ascii="仿宋" w:hAnsi="仿宋" w:eastAsia="仿宋" w:cs="仿宋"/>
                <w:color w:val="000000"/>
                <w:kern w:val="0"/>
                <w:sz w:val="20"/>
                <w:szCs w:val="20"/>
                <w:lang w:val="en-US" w:eastAsia="zh-CN" w:bidi="ar"/>
              </w:rPr>
              <w:t>0</w:t>
            </w:r>
            <w:r>
              <w:rPr>
                <w:rFonts w:hint="eastAsia" w:ascii="仿宋" w:hAnsi="仿宋" w:eastAsia="仿宋" w:cs="仿宋"/>
                <w:color w:val="000000"/>
                <w:kern w:val="0"/>
                <w:sz w:val="20"/>
                <w:szCs w:val="20"/>
                <w:lang w:bidi="ar"/>
              </w:rPr>
              <w:t>2</w:t>
            </w:r>
          </w:p>
        </w:tc>
        <w:tc>
          <w:tcPr>
            <w:tcW w:w="1193" w:type="dxa"/>
            <w:noWrap w:val="0"/>
            <w:vAlign w:val="center"/>
          </w:tcPr>
          <w:p w14:paraId="4A97A7A8">
            <w:pPr>
              <w:widowControl/>
              <w:ind w:firstLine="400" w:firstLineChars="20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m3</w:t>
            </w:r>
          </w:p>
        </w:tc>
        <w:tc>
          <w:tcPr>
            <w:tcW w:w="1561" w:type="dxa"/>
            <w:noWrap w:val="0"/>
            <w:vAlign w:val="center"/>
          </w:tcPr>
          <w:p w14:paraId="3694780A">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16022.75</w:t>
            </w:r>
          </w:p>
        </w:tc>
        <w:tc>
          <w:tcPr>
            <w:tcW w:w="2552" w:type="dxa"/>
            <w:vMerge w:val="continue"/>
            <w:noWrap w:val="0"/>
            <w:vAlign w:val="center"/>
          </w:tcPr>
          <w:p w14:paraId="4258540B">
            <w:pPr>
              <w:jc w:val="center"/>
              <w:rPr>
                <w:rFonts w:hint="eastAsia" w:ascii="仿宋" w:hAnsi="仿宋" w:eastAsia="仿宋" w:cs="仿宋"/>
                <w:color w:val="000000"/>
                <w:sz w:val="20"/>
                <w:szCs w:val="20"/>
              </w:rPr>
            </w:pPr>
          </w:p>
        </w:tc>
        <w:tc>
          <w:tcPr>
            <w:tcW w:w="2286" w:type="dxa"/>
            <w:noWrap w:val="0"/>
            <w:vAlign w:val="center"/>
          </w:tcPr>
          <w:p w14:paraId="7FADDDB4">
            <w:pPr>
              <w:widowControl/>
              <w:jc w:val="center"/>
              <w:textAlignment w:val="center"/>
              <w:rPr>
                <w:rFonts w:hint="eastAsia"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1480" w:type="dxa"/>
            <w:noWrap w:val="0"/>
            <w:vAlign w:val="center"/>
          </w:tcPr>
          <w:p w14:paraId="75C8A867">
            <w:pPr>
              <w:widowControl/>
              <w:jc w:val="center"/>
              <w:textAlignment w:val="center"/>
              <w:rPr>
                <w:rFonts w:hint="eastAsia"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1641" w:type="dxa"/>
            <w:noWrap w:val="0"/>
            <w:vAlign w:val="center"/>
          </w:tcPr>
          <w:p w14:paraId="440AF2DB">
            <w:pPr>
              <w:jc w:val="center"/>
              <w:rPr>
                <w:rFonts w:ascii="仿宋" w:hAnsi="仿宋" w:eastAsia="仿宋" w:cs="仿宋"/>
                <w:kern w:val="0"/>
                <w:sz w:val="20"/>
                <w:szCs w:val="20"/>
              </w:rPr>
            </w:pPr>
            <w:r>
              <w:rPr>
                <w:rFonts w:hint="eastAsia" w:ascii="仿宋" w:hAnsi="仿宋" w:eastAsia="仿宋" w:cs="仿宋"/>
                <w:kern w:val="0"/>
                <w:sz w:val="20"/>
                <w:szCs w:val="20"/>
              </w:rPr>
              <w:t>2259207.8</w:t>
            </w:r>
          </w:p>
        </w:tc>
      </w:tr>
      <w:tr w14:paraId="2652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60" w:type="dxa"/>
            <w:noWrap w:val="0"/>
            <w:vAlign w:val="center"/>
          </w:tcPr>
          <w:p w14:paraId="1BBA4C37">
            <w:pPr>
              <w:widowControl/>
              <w:jc w:val="center"/>
              <w:textAlignment w:val="center"/>
              <w:rPr>
                <w:rFonts w:hint="eastAsia" w:ascii="仿宋" w:hAnsi="仿宋" w:eastAsia="仿宋" w:cs="仿宋"/>
                <w:b/>
                <w:bCs/>
                <w:color w:val="000000"/>
                <w:kern w:val="0"/>
                <w:sz w:val="20"/>
                <w:szCs w:val="20"/>
                <w:lang w:bidi="ar"/>
              </w:rPr>
            </w:pPr>
            <w:r>
              <w:rPr>
                <w:rFonts w:hint="eastAsia" w:ascii="仿宋" w:hAnsi="仿宋" w:eastAsia="仿宋" w:cs="仿宋"/>
                <w:b/>
                <w:bCs/>
                <w:color w:val="000000"/>
                <w:kern w:val="0"/>
                <w:sz w:val="20"/>
                <w:szCs w:val="20"/>
                <w:lang w:bidi="ar"/>
              </w:rPr>
              <w:t>3</w:t>
            </w:r>
          </w:p>
        </w:tc>
        <w:tc>
          <w:tcPr>
            <w:tcW w:w="1390" w:type="dxa"/>
            <w:noWrap/>
            <w:vAlign w:val="center"/>
          </w:tcPr>
          <w:p w14:paraId="21164D5F">
            <w:pPr>
              <w:jc w:val="center"/>
              <w:rPr>
                <w:rFonts w:hint="eastAsia" w:ascii="仿宋" w:hAnsi="仿宋" w:eastAsia="仿宋" w:cs="仿宋"/>
                <w:color w:val="000000"/>
                <w:sz w:val="20"/>
                <w:szCs w:val="20"/>
              </w:rPr>
            </w:pPr>
            <w:r>
              <w:rPr>
                <w:rFonts w:hint="eastAsia" w:ascii="仿宋" w:hAnsi="仿宋" w:eastAsia="仿宋" w:cs="仿宋"/>
                <w:color w:val="000000"/>
                <w:sz w:val="20"/>
                <w:szCs w:val="20"/>
              </w:rPr>
              <w:t>中粗砂</w:t>
            </w:r>
          </w:p>
        </w:tc>
        <w:tc>
          <w:tcPr>
            <w:tcW w:w="1571" w:type="dxa"/>
            <w:noWrap w:val="0"/>
            <w:vAlign w:val="center"/>
          </w:tcPr>
          <w:p w14:paraId="4F6C7D3E">
            <w:pPr>
              <w:widowControl/>
              <w:jc w:val="center"/>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DC</w:t>
            </w:r>
            <w:r>
              <w:rPr>
                <w:rFonts w:hint="eastAsia" w:ascii="仿宋" w:hAnsi="仿宋" w:eastAsia="仿宋" w:cs="仿宋"/>
                <w:color w:val="000000"/>
                <w:kern w:val="0"/>
                <w:sz w:val="20"/>
                <w:szCs w:val="20"/>
                <w:lang w:val="en-US" w:eastAsia="zh-CN" w:bidi="ar"/>
              </w:rPr>
              <w:t>-0</w:t>
            </w:r>
            <w:r>
              <w:rPr>
                <w:rFonts w:hint="eastAsia" w:ascii="仿宋" w:hAnsi="仿宋" w:eastAsia="仿宋" w:cs="仿宋"/>
                <w:color w:val="000000"/>
                <w:kern w:val="0"/>
                <w:sz w:val="20"/>
                <w:szCs w:val="20"/>
                <w:lang w:bidi="ar"/>
              </w:rPr>
              <w:t>3</w:t>
            </w:r>
          </w:p>
        </w:tc>
        <w:tc>
          <w:tcPr>
            <w:tcW w:w="1193" w:type="dxa"/>
            <w:noWrap w:val="0"/>
            <w:vAlign w:val="center"/>
          </w:tcPr>
          <w:p w14:paraId="67BEC27F">
            <w:pPr>
              <w:widowControl/>
              <w:ind w:firstLine="400" w:firstLineChars="200"/>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m3</w:t>
            </w:r>
          </w:p>
        </w:tc>
        <w:tc>
          <w:tcPr>
            <w:tcW w:w="1561" w:type="dxa"/>
            <w:noWrap w:val="0"/>
            <w:vAlign w:val="center"/>
          </w:tcPr>
          <w:p w14:paraId="6E5E408D">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20865.24</w:t>
            </w:r>
          </w:p>
        </w:tc>
        <w:tc>
          <w:tcPr>
            <w:tcW w:w="2552" w:type="dxa"/>
            <w:vMerge w:val="continue"/>
            <w:noWrap w:val="0"/>
            <w:vAlign w:val="center"/>
          </w:tcPr>
          <w:p w14:paraId="636044A0">
            <w:pPr>
              <w:jc w:val="center"/>
              <w:rPr>
                <w:rFonts w:hint="eastAsia" w:ascii="仿宋" w:hAnsi="仿宋" w:eastAsia="仿宋" w:cs="仿宋"/>
                <w:color w:val="000000"/>
                <w:sz w:val="20"/>
                <w:szCs w:val="20"/>
              </w:rPr>
            </w:pPr>
          </w:p>
        </w:tc>
        <w:tc>
          <w:tcPr>
            <w:tcW w:w="2286" w:type="dxa"/>
            <w:noWrap w:val="0"/>
            <w:vAlign w:val="center"/>
          </w:tcPr>
          <w:p w14:paraId="0185ABFA">
            <w:pPr>
              <w:widowControl/>
              <w:jc w:val="center"/>
              <w:textAlignment w:val="center"/>
              <w:rPr>
                <w:rFonts w:hint="eastAsia"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1480" w:type="dxa"/>
            <w:noWrap w:val="0"/>
            <w:vAlign w:val="center"/>
          </w:tcPr>
          <w:p w14:paraId="53A841A1">
            <w:pPr>
              <w:widowControl/>
              <w:jc w:val="center"/>
              <w:textAlignment w:val="center"/>
              <w:rPr>
                <w:rFonts w:hint="eastAsia"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1641" w:type="dxa"/>
            <w:noWrap w:val="0"/>
            <w:vAlign w:val="center"/>
          </w:tcPr>
          <w:p w14:paraId="31EC4463">
            <w:pPr>
              <w:jc w:val="center"/>
              <w:rPr>
                <w:rFonts w:ascii="仿宋" w:hAnsi="仿宋" w:eastAsia="仿宋" w:cs="仿宋"/>
                <w:kern w:val="0"/>
                <w:sz w:val="20"/>
                <w:szCs w:val="20"/>
              </w:rPr>
            </w:pPr>
            <w:r>
              <w:rPr>
                <w:rFonts w:hint="eastAsia" w:ascii="仿宋" w:hAnsi="仿宋" w:eastAsia="仿宋" w:cs="仿宋"/>
                <w:kern w:val="0"/>
                <w:sz w:val="20"/>
                <w:szCs w:val="20"/>
              </w:rPr>
              <w:t>2837672.6</w:t>
            </w:r>
          </w:p>
        </w:tc>
      </w:tr>
      <w:tr w14:paraId="3215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7" w:hRule="atLeast"/>
        </w:trPr>
        <w:tc>
          <w:tcPr>
            <w:tcW w:w="14634" w:type="dxa"/>
            <w:gridSpan w:val="9"/>
            <w:noWrap w:val="0"/>
            <w:vAlign w:val="center"/>
          </w:tcPr>
          <w:p w14:paraId="23130F2B">
            <w:pPr>
              <w:widowControl/>
              <w:jc w:val="left"/>
              <w:textAlignment w:val="center"/>
              <w:rPr>
                <w:rFonts w:hint="eastAsia" w:ascii="宋体" w:hAnsi="宋体" w:cs="仿宋_GB2312"/>
                <w:b/>
                <w:bCs/>
                <w:color w:val="000000"/>
                <w:kern w:val="0"/>
                <w:sz w:val="20"/>
                <w:szCs w:val="20"/>
                <w:lang w:bidi="ar"/>
              </w:rPr>
            </w:pPr>
            <w:r>
              <w:rPr>
                <w:rFonts w:hint="eastAsia" w:ascii="宋体" w:hAnsi="宋体" w:cs="仿宋_GB2312"/>
                <w:b/>
                <w:bCs/>
                <w:color w:val="000000"/>
                <w:kern w:val="0"/>
                <w:sz w:val="20"/>
                <w:szCs w:val="20"/>
                <w:lang w:bidi="ar"/>
              </w:rPr>
              <w:t>资格条件要求</w:t>
            </w:r>
          </w:p>
          <w:p w14:paraId="622A808D">
            <w:pPr>
              <w:widowControl/>
              <w:jc w:val="left"/>
              <w:textAlignment w:val="center"/>
              <w:rPr>
                <w:rFonts w:hint="eastAsia" w:ascii="宋体" w:hAnsi="宋体" w:cs="仿宋_GB2312"/>
                <w:color w:val="000000"/>
                <w:kern w:val="0"/>
                <w:sz w:val="20"/>
                <w:szCs w:val="20"/>
                <w:lang w:bidi="ar"/>
              </w:rPr>
            </w:pPr>
            <w:r>
              <w:rPr>
                <w:rFonts w:hint="eastAsia" w:ascii="宋体" w:hAnsi="宋体" w:cs="仿宋_GB2312"/>
                <w:b/>
                <w:bCs/>
                <w:color w:val="000000"/>
                <w:kern w:val="0"/>
                <w:sz w:val="20"/>
                <w:szCs w:val="20"/>
                <w:lang w:bidi="ar"/>
              </w:rPr>
              <w:t>1、营业范围要求：</w:t>
            </w:r>
            <w:r>
              <w:rPr>
                <w:rFonts w:hint="eastAsia" w:ascii="宋体" w:hAnsi="宋体" w:cs="仿宋_GB2312"/>
                <w:color w:val="000000"/>
                <w:kern w:val="0"/>
                <w:sz w:val="20"/>
                <w:szCs w:val="20"/>
                <w:lang w:bidi="ar"/>
              </w:rPr>
              <w:t>营业范围中华人民共和国境内依法注册，具有独立法人资格、具有招标物资生产和供应经验的生产厂家或代理商，并且具有合法、有效的营业执照、税务登记证书、组织机构代码证书。</w:t>
            </w:r>
          </w:p>
          <w:p w14:paraId="1C4FFF82">
            <w:pPr>
              <w:widowControl/>
              <w:textAlignment w:val="center"/>
              <w:rPr>
                <w:rFonts w:hint="eastAsia" w:ascii="宋体" w:hAnsi="宋体" w:cs="宋体"/>
                <w:kern w:val="0"/>
                <w:sz w:val="20"/>
                <w:szCs w:val="20"/>
              </w:rPr>
            </w:pPr>
            <w:r>
              <w:rPr>
                <w:rFonts w:hint="eastAsia" w:ascii="宋体" w:hAnsi="宋体" w:cs="宋体"/>
                <w:b/>
                <w:bCs/>
                <w:color w:val="000000"/>
                <w:kern w:val="0"/>
                <w:sz w:val="20"/>
                <w:szCs w:val="20"/>
                <w:lang w:bidi="ar"/>
              </w:rPr>
              <w:t>2</w:t>
            </w:r>
            <w:r>
              <w:rPr>
                <w:rFonts w:hint="eastAsia" w:ascii="宋体" w:hAnsi="宋体" w:cs="宋体"/>
                <w:color w:val="000000"/>
                <w:kern w:val="0"/>
                <w:sz w:val="20"/>
                <w:szCs w:val="20"/>
                <w:lang w:bidi="ar"/>
              </w:rPr>
              <w:t>、</w:t>
            </w:r>
            <w:r>
              <w:rPr>
                <w:rFonts w:hint="eastAsia" w:ascii="宋体" w:hAnsi="宋体" w:cs="宋体"/>
                <w:b/>
                <w:bCs/>
                <w:color w:val="000000"/>
                <w:kern w:val="0"/>
                <w:sz w:val="20"/>
                <w:szCs w:val="20"/>
                <w:lang w:bidi="ar"/>
              </w:rPr>
              <w:t>质量保证能力要求：</w:t>
            </w:r>
            <w:r>
              <w:rPr>
                <w:rFonts w:hint="eastAsia" w:ascii="宋体" w:hAnsi="宋体" w:cs="宋体"/>
                <w:color w:val="000000"/>
                <w:kern w:val="0"/>
                <w:sz w:val="20"/>
                <w:szCs w:val="20"/>
                <w:lang w:bidi="ar"/>
              </w:rPr>
              <w:t>产品符合国家现行标准及招标文件技术规格书标准,</w:t>
            </w:r>
            <w:r>
              <w:rPr>
                <w:rFonts w:hint="eastAsia" w:ascii="宋体" w:hAnsi="宋体"/>
                <w:sz w:val="20"/>
                <w:szCs w:val="20"/>
              </w:rPr>
              <w:t xml:space="preserve"> </w:t>
            </w:r>
            <w:r>
              <w:rPr>
                <w:rFonts w:hint="eastAsia" w:ascii="宋体" w:hAnsi="宋体" w:cs="宋体"/>
                <w:color w:val="000000"/>
                <w:kern w:val="0"/>
                <w:sz w:val="20"/>
                <w:szCs w:val="20"/>
                <w:lang w:bidi="ar"/>
              </w:rPr>
              <w:t>生产工艺、生产设备必须符合技术规格加工要求。</w:t>
            </w:r>
            <w:r>
              <w:rPr>
                <w:rFonts w:hint="eastAsia" w:ascii="宋体" w:hAnsi="宋体" w:cs="宋体"/>
                <w:kern w:val="0"/>
                <w:sz w:val="20"/>
                <w:szCs w:val="20"/>
                <w:lang w:val="en-US" w:eastAsia="zh-CN"/>
              </w:rPr>
              <w:t>第三方</w:t>
            </w:r>
            <w:r>
              <w:rPr>
                <w:rFonts w:hint="eastAsia" w:ascii="宋体" w:hAnsi="宋体" w:cs="宋体"/>
                <w:kern w:val="0"/>
                <w:sz w:val="20"/>
                <w:szCs w:val="20"/>
              </w:rPr>
              <w:t>专业检测机构出具的至少一份2022年至今的投标物资质量检验报告。</w:t>
            </w:r>
          </w:p>
          <w:p w14:paraId="725CD758">
            <w:pPr>
              <w:widowControl/>
              <w:textAlignment w:val="center"/>
              <w:rPr>
                <w:rFonts w:hint="eastAsia" w:ascii="宋体" w:hAnsi="宋体" w:cs="仿宋_GB2312"/>
                <w:color w:val="000000"/>
                <w:kern w:val="0"/>
                <w:sz w:val="20"/>
                <w:szCs w:val="20"/>
                <w:lang w:bidi="ar"/>
              </w:rPr>
            </w:pPr>
            <w:r>
              <w:rPr>
                <w:rFonts w:hint="eastAsia" w:ascii="宋体" w:hAnsi="宋体" w:cs="仿宋_GB2312"/>
                <w:b/>
                <w:bCs/>
                <w:color w:val="000000"/>
                <w:kern w:val="0"/>
                <w:sz w:val="20"/>
                <w:szCs w:val="20"/>
                <w:lang w:bidi="ar"/>
              </w:rPr>
              <w:t>3、生产能力；</w:t>
            </w:r>
            <w:r>
              <w:rPr>
                <w:rFonts w:hint="eastAsia" w:ascii="宋体" w:hAnsi="宋体" w:cs="仿宋_GB2312"/>
                <w:color w:val="000000"/>
                <w:kern w:val="0"/>
                <w:sz w:val="20"/>
                <w:szCs w:val="20"/>
                <w:lang w:bidi="ar"/>
              </w:rPr>
              <w:t>满足现场需求，质量达标。</w:t>
            </w:r>
          </w:p>
          <w:p w14:paraId="27FED96C">
            <w:pPr>
              <w:widowControl/>
              <w:textAlignment w:val="center"/>
              <w:rPr>
                <w:rFonts w:hint="eastAsia" w:ascii="宋体" w:hAnsi="宋体" w:cs="仿宋_GB2312"/>
                <w:color w:val="000000"/>
                <w:kern w:val="0"/>
                <w:sz w:val="20"/>
                <w:szCs w:val="20"/>
                <w:lang w:bidi="ar"/>
              </w:rPr>
            </w:pPr>
            <w:r>
              <w:rPr>
                <w:rFonts w:hint="eastAsia" w:ascii="宋体" w:hAnsi="宋体" w:cs="仿宋_GB2312"/>
                <w:b/>
                <w:bCs/>
                <w:color w:val="000000"/>
                <w:kern w:val="0"/>
                <w:sz w:val="20"/>
                <w:szCs w:val="20"/>
                <w:lang w:bidi="ar"/>
              </w:rPr>
              <w:t>4、财务能力要求：</w:t>
            </w:r>
            <w:r>
              <w:rPr>
                <w:rFonts w:hint="eastAsia" w:ascii="宋体" w:hAnsi="宋体" w:cs="仿宋_GB2312"/>
                <w:color w:val="000000"/>
                <w:kern w:val="0"/>
                <w:sz w:val="20"/>
                <w:szCs w:val="20"/>
                <w:lang w:bidi="ar"/>
              </w:rPr>
              <w:t xml:space="preserve">具有良好的资金财务状况. </w:t>
            </w:r>
          </w:p>
          <w:p w14:paraId="4E4C5A3F">
            <w:pPr>
              <w:widowControl/>
              <w:textAlignment w:val="center"/>
              <w:rPr>
                <w:rFonts w:hint="eastAsia" w:ascii="宋体" w:hAnsi="宋体" w:cs="仿宋_GB2312"/>
                <w:kern w:val="0"/>
                <w:sz w:val="20"/>
                <w:szCs w:val="20"/>
                <w:lang w:bidi="ar"/>
              </w:rPr>
            </w:pPr>
            <w:r>
              <w:rPr>
                <w:rFonts w:hint="eastAsia" w:ascii="宋体" w:hAnsi="宋体" w:cs="仿宋_GB2312"/>
                <w:b/>
                <w:bCs/>
                <w:color w:val="000000"/>
                <w:kern w:val="0"/>
                <w:sz w:val="20"/>
                <w:szCs w:val="20"/>
                <w:lang w:bidi="ar"/>
              </w:rPr>
              <w:t>5、发票要</w:t>
            </w:r>
            <w:r>
              <w:rPr>
                <w:rFonts w:hint="eastAsia" w:ascii="宋体" w:hAnsi="宋体" w:cs="仿宋_GB2312"/>
                <w:b/>
                <w:bCs/>
                <w:kern w:val="0"/>
                <w:sz w:val="20"/>
                <w:szCs w:val="20"/>
                <w:lang w:bidi="ar"/>
              </w:rPr>
              <w:t>求：</w:t>
            </w:r>
            <w:r>
              <w:rPr>
                <w:rFonts w:hint="eastAsia" w:ascii="宋体" w:hAnsi="宋体" w:cs="仿宋_GB2312"/>
                <w:kern w:val="0"/>
                <w:sz w:val="20"/>
                <w:szCs w:val="20"/>
                <w:lang w:bidi="ar"/>
              </w:rPr>
              <w:t>须开具增值税专用发票。</w:t>
            </w:r>
          </w:p>
          <w:p w14:paraId="63345969">
            <w:pPr>
              <w:widowControl/>
              <w:textAlignment w:val="center"/>
              <w:rPr>
                <w:rFonts w:hint="eastAsia" w:ascii="宋体" w:hAnsi="宋体" w:cs="仿宋_GB2312"/>
                <w:b/>
                <w:bCs/>
                <w:kern w:val="0"/>
                <w:sz w:val="20"/>
                <w:szCs w:val="20"/>
                <w:lang w:bidi="ar"/>
              </w:rPr>
            </w:pPr>
            <w:r>
              <w:rPr>
                <w:rFonts w:hint="eastAsia" w:ascii="宋体" w:hAnsi="宋体" w:cs="仿宋_GB2312"/>
                <w:b/>
                <w:bCs/>
                <w:kern w:val="0"/>
                <w:sz w:val="20"/>
                <w:szCs w:val="20"/>
                <w:lang w:bidi="ar"/>
              </w:rPr>
              <w:t>6、履约信用要求</w:t>
            </w:r>
          </w:p>
          <w:p w14:paraId="4CE18319">
            <w:pPr>
              <w:widowControl/>
              <w:textAlignment w:val="center"/>
              <w:rPr>
                <w:rFonts w:hint="eastAsia" w:ascii="宋体" w:hAnsi="宋体" w:cs="仿宋_GB2312"/>
                <w:kern w:val="0"/>
                <w:sz w:val="20"/>
                <w:szCs w:val="20"/>
                <w:lang w:bidi="ar"/>
              </w:rPr>
            </w:pPr>
            <w:r>
              <w:rPr>
                <w:rFonts w:hint="eastAsia" w:ascii="宋体" w:hAnsi="宋体" w:cs="仿宋_GB2312"/>
                <w:kern w:val="0"/>
                <w:sz w:val="20"/>
                <w:szCs w:val="20"/>
                <w:lang w:bidi="ar"/>
              </w:rPr>
              <w:t>投标人应具有良好的社会信誉，不接受存在以下任何一种情况的公司投标：</w:t>
            </w:r>
          </w:p>
          <w:p w14:paraId="36F773B0">
            <w:pPr>
              <w:widowControl/>
              <w:textAlignment w:val="center"/>
              <w:rPr>
                <w:rFonts w:hint="eastAsia" w:ascii="宋体" w:hAnsi="宋体" w:cs="仿宋_GB2312"/>
                <w:kern w:val="0"/>
                <w:sz w:val="20"/>
                <w:szCs w:val="20"/>
                <w:lang w:bidi="ar"/>
              </w:rPr>
            </w:pPr>
            <w:r>
              <w:rPr>
                <w:rFonts w:hint="eastAsia" w:ascii="宋体" w:hAnsi="宋体" w:cs="仿宋_GB2312"/>
                <w:kern w:val="0"/>
                <w:sz w:val="20"/>
                <w:szCs w:val="20"/>
                <w:lang w:bidi="ar"/>
              </w:rPr>
              <w:t>（1）在“国家企业信用信息公示系统”（https://www.gsxt.gov.cn/index.html）被列入严重违法失信名单和经营异常名单。</w:t>
            </w:r>
          </w:p>
          <w:p w14:paraId="7CC4FA85">
            <w:pPr>
              <w:widowControl/>
              <w:textAlignment w:val="center"/>
              <w:rPr>
                <w:rFonts w:hint="eastAsia" w:ascii="宋体" w:hAnsi="宋体" w:cs="仿宋_GB2312"/>
                <w:kern w:val="0"/>
                <w:sz w:val="20"/>
                <w:szCs w:val="20"/>
                <w:lang w:bidi="ar"/>
              </w:rPr>
            </w:pPr>
            <w:r>
              <w:rPr>
                <w:rFonts w:hint="eastAsia" w:ascii="宋体" w:hAnsi="宋体" w:cs="仿宋_GB2312"/>
                <w:kern w:val="0"/>
                <w:sz w:val="20"/>
                <w:szCs w:val="20"/>
                <w:lang w:bidi="ar"/>
              </w:rPr>
              <w:t>（2）在“中国执行信息公开网”(http://zxgk.court.gov.cn）被列入失信被执行人。</w:t>
            </w:r>
          </w:p>
          <w:p w14:paraId="743BA83F">
            <w:pPr>
              <w:widowControl/>
              <w:textAlignment w:val="center"/>
              <w:rPr>
                <w:rFonts w:hint="eastAsia" w:ascii="宋体" w:hAnsi="宋体" w:cs="仿宋_GB2312"/>
                <w:kern w:val="0"/>
                <w:sz w:val="20"/>
                <w:szCs w:val="20"/>
                <w:lang w:bidi="ar"/>
              </w:rPr>
            </w:pPr>
            <w:r>
              <w:rPr>
                <w:rFonts w:hint="eastAsia" w:ascii="宋体" w:hAnsi="宋体" w:cs="仿宋_GB2312"/>
                <w:kern w:val="0"/>
                <w:sz w:val="20"/>
                <w:szCs w:val="20"/>
                <w:lang w:bidi="ar"/>
              </w:rPr>
              <w:t>（3）在纳税信用登记信息系统（https://12366.chinatax.gov.cn/）被列入纳税信用等级为 C、D 级的企业。</w:t>
            </w:r>
          </w:p>
          <w:p w14:paraId="00AF5C25">
            <w:pPr>
              <w:widowControl/>
              <w:textAlignment w:val="center"/>
              <w:rPr>
                <w:rFonts w:hint="eastAsia" w:ascii="宋体" w:hAnsi="宋体" w:cs="仿宋_GB2312"/>
                <w:kern w:val="0"/>
                <w:sz w:val="20"/>
                <w:szCs w:val="20"/>
                <w:lang w:bidi="ar"/>
              </w:rPr>
            </w:pPr>
            <w:r>
              <w:rPr>
                <w:rFonts w:hint="eastAsia" w:ascii="宋体" w:hAnsi="宋体" w:cs="仿宋_GB2312"/>
                <w:kern w:val="0"/>
                <w:sz w:val="20"/>
                <w:szCs w:val="20"/>
                <w:lang w:bidi="ar"/>
              </w:rPr>
              <w:t>（4）在信用中国(https://www.creditchina.gov.cn/?navPage=0）被列入严重失信和经营异常被执行人。</w:t>
            </w:r>
          </w:p>
          <w:p w14:paraId="7F9B5814">
            <w:pPr>
              <w:widowControl/>
              <w:textAlignment w:val="center"/>
              <w:rPr>
                <w:rFonts w:hint="eastAsia" w:ascii="宋体" w:hAnsi="宋体" w:cs="仿宋_GB2312"/>
                <w:kern w:val="0"/>
                <w:sz w:val="20"/>
                <w:szCs w:val="20"/>
                <w:lang w:bidi="ar"/>
              </w:rPr>
            </w:pPr>
            <w:r>
              <w:rPr>
                <w:rFonts w:hint="eastAsia" w:ascii="宋体" w:hAnsi="宋体" w:cs="仿宋_GB2312"/>
                <w:kern w:val="0"/>
                <w:sz w:val="20"/>
                <w:szCs w:val="20"/>
                <w:lang w:bidi="ar"/>
              </w:rPr>
              <w:t>（5）在中国中铁股份有限公司和中铁二局集团有限公司限制交易名单及处罚期内。</w:t>
            </w:r>
          </w:p>
          <w:p w14:paraId="50F92641">
            <w:pPr>
              <w:widowControl/>
              <w:textAlignment w:val="center"/>
              <w:rPr>
                <w:rFonts w:hint="eastAsia" w:ascii="宋体" w:hAnsi="宋体" w:cs="仿宋_GB2312"/>
                <w:color w:val="000000"/>
                <w:kern w:val="0"/>
                <w:sz w:val="20"/>
                <w:szCs w:val="20"/>
                <w:lang w:bidi="ar"/>
              </w:rPr>
            </w:pPr>
            <w:r>
              <w:rPr>
                <w:rFonts w:hint="eastAsia" w:ascii="宋体" w:hAnsi="宋体" w:cs="仿宋_GB2312"/>
                <w:b/>
                <w:bCs/>
                <w:color w:val="000000"/>
                <w:kern w:val="0"/>
                <w:sz w:val="20"/>
                <w:szCs w:val="20"/>
                <w:lang w:bidi="ar"/>
              </w:rPr>
              <w:t>7.供货业绩要求：</w:t>
            </w:r>
            <w:r>
              <w:rPr>
                <w:rFonts w:hint="eastAsia" w:ascii="宋体" w:hAnsi="宋体" w:cs="仿宋_GB2312"/>
                <w:color w:val="000000"/>
                <w:kern w:val="0"/>
                <w:sz w:val="20"/>
                <w:szCs w:val="20"/>
                <w:lang w:bidi="ar"/>
              </w:rPr>
              <w:t>无不良产品质量记录；最近两年内没有因骗取合同等严重违法行为而引起的诉讼和仲裁。投标人在2021至今具有1个及以上同类或相近工程项目的招标物资供货业绩（须附中标通知书或合同协议书）；无不良产品质量记录；（1年内新成立公司可不提供）</w:t>
            </w:r>
          </w:p>
          <w:p w14:paraId="4CAC52B3">
            <w:pPr>
              <w:widowControl/>
              <w:textAlignment w:val="center"/>
              <w:rPr>
                <w:rFonts w:ascii="宋体" w:hAnsi="宋体" w:cs="仿宋_GB2312"/>
                <w:color w:val="000000"/>
                <w:kern w:val="0"/>
                <w:sz w:val="20"/>
                <w:szCs w:val="20"/>
                <w:lang w:bidi="ar"/>
              </w:rPr>
            </w:pPr>
            <w:r>
              <w:rPr>
                <w:rFonts w:hint="eastAsia" w:ascii="宋体" w:hAnsi="宋体" w:cs="仿宋_GB2312"/>
                <w:b/>
                <w:bCs/>
                <w:color w:val="000000"/>
                <w:kern w:val="0"/>
                <w:sz w:val="20"/>
                <w:szCs w:val="20"/>
                <w:lang w:bidi="ar"/>
              </w:rPr>
              <w:t>8、其他要求：</w:t>
            </w:r>
            <w:r>
              <w:rPr>
                <w:rFonts w:hint="eastAsia" w:ascii="宋体" w:hAnsi="宋体" w:cs="仿宋_GB2312"/>
                <w:color w:val="000000"/>
                <w:kern w:val="0"/>
                <w:sz w:val="20"/>
                <w:szCs w:val="20"/>
                <w:lang w:bidi="ar"/>
              </w:rPr>
              <w:t>①本次招标设有最高限价，且在招标文件中已发布，投标人报价不得超过该限价，否则将被列为重大偏差，投标被否决。②不接受联合体投标，不接受个体工商户投标。</w:t>
            </w:r>
          </w:p>
          <w:p w14:paraId="6F87AE84">
            <w:pPr>
              <w:widowControl/>
              <w:textAlignment w:val="center"/>
              <w:rPr>
                <w:rFonts w:hint="eastAsia" w:ascii="宋体" w:hAnsi="宋体" w:cs="仿宋_GB2312"/>
                <w:b/>
                <w:bCs/>
                <w:color w:val="000000"/>
                <w:kern w:val="0"/>
                <w:sz w:val="20"/>
                <w:szCs w:val="20"/>
                <w:lang w:bidi="ar"/>
              </w:rPr>
            </w:pPr>
          </w:p>
        </w:tc>
      </w:tr>
    </w:tbl>
    <w:p w14:paraId="766774A9">
      <w:pPr>
        <w:rPr>
          <w:rFonts w:hint="eastAsia"/>
        </w:rPr>
      </w:pPr>
    </w:p>
    <w:p w14:paraId="48FD010A">
      <w:pPr>
        <w:rPr>
          <w:rFonts w:hint="eastAsia"/>
        </w:rPr>
      </w:pPr>
    </w:p>
    <w:p w14:paraId="0FFA9DC6">
      <w:pPr>
        <w:rPr>
          <w:rFonts w:hint="eastAsia"/>
        </w:rPr>
        <w:sectPr>
          <w:pgSz w:w="16838" w:h="11906" w:orient="landscape"/>
          <w:pgMar w:top="1474" w:right="1134" w:bottom="993" w:left="1134" w:header="680" w:footer="1191" w:gutter="0"/>
          <w:cols w:space="720" w:num="1"/>
          <w:docGrid w:linePitch="312" w:charSpace="0"/>
        </w:sectPr>
      </w:pPr>
    </w:p>
    <w:p w14:paraId="48DAA2FC">
      <w:pPr>
        <w:outlineLvl w:val="1"/>
        <w:rPr>
          <w:rFonts w:ascii="宋体" w:hAnsi="宋体"/>
          <w:sz w:val="28"/>
          <w:szCs w:val="28"/>
        </w:rPr>
      </w:pPr>
      <w:bookmarkStart w:id="16" w:name="_Toc31133"/>
      <w:bookmarkStart w:id="17" w:name="_Toc31915"/>
      <w:bookmarkStart w:id="18" w:name="_Toc24266"/>
      <w:r>
        <w:rPr>
          <w:rFonts w:hint="eastAsia" w:ascii="宋体" w:hAnsi="宋体"/>
          <w:sz w:val="28"/>
          <w:szCs w:val="28"/>
        </w:rPr>
        <w:t>附件三</w:t>
      </w:r>
      <w:bookmarkEnd w:id="16"/>
      <w:bookmarkEnd w:id="17"/>
      <w:bookmarkEnd w:id="18"/>
    </w:p>
    <w:p w14:paraId="627FED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新宋体"/>
          <w:b/>
          <w:bCs/>
          <w:kern w:val="0"/>
          <w:sz w:val="36"/>
          <w:szCs w:val="36"/>
        </w:rPr>
      </w:pPr>
      <w:r>
        <w:rPr>
          <w:rFonts w:hint="eastAsia" w:ascii="宋体" w:hAnsi="宋体" w:cs="新宋体"/>
          <w:b/>
          <w:bCs/>
          <w:kern w:val="0"/>
          <w:sz w:val="36"/>
          <w:szCs w:val="36"/>
        </w:rPr>
        <w:t>投标申请表</w:t>
      </w:r>
    </w:p>
    <w:tbl>
      <w:tblPr>
        <w:tblStyle w:val="8"/>
        <w:tblW w:w="0" w:type="auto"/>
        <w:tblInd w:w="16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82"/>
        <w:gridCol w:w="2431"/>
        <w:gridCol w:w="1747"/>
        <w:gridCol w:w="2399"/>
      </w:tblGrid>
      <w:tr w14:paraId="71A8706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tcBorders>
              <w:top w:val="single" w:color="auto" w:sz="8" w:space="0"/>
            </w:tcBorders>
            <w:noWrap w:val="0"/>
            <w:vAlign w:val="center"/>
          </w:tcPr>
          <w:p w14:paraId="6FFC96C2">
            <w:pPr>
              <w:widowControl/>
              <w:spacing w:line="440" w:lineRule="exact"/>
              <w:jc w:val="center"/>
              <w:rPr>
                <w:rFonts w:ascii="宋体" w:hAnsi="宋体" w:cs="宋体"/>
                <w:kern w:val="0"/>
                <w:sz w:val="24"/>
                <w:szCs w:val="21"/>
              </w:rPr>
            </w:pPr>
            <w:r>
              <w:rPr>
                <w:rFonts w:hint="eastAsia" w:ascii="宋体" w:hAnsi="宋体" w:cs="宋体"/>
                <w:kern w:val="0"/>
                <w:sz w:val="24"/>
                <w:szCs w:val="21"/>
              </w:rPr>
              <w:t>投标项目</w:t>
            </w:r>
          </w:p>
        </w:tc>
        <w:tc>
          <w:tcPr>
            <w:tcW w:w="6577" w:type="dxa"/>
            <w:gridSpan w:val="3"/>
            <w:tcBorders>
              <w:top w:val="single" w:color="auto" w:sz="8" w:space="0"/>
            </w:tcBorders>
            <w:noWrap w:val="0"/>
            <w:vAlign w:val="center"/>
          </w:tcPr>
          <w:p w14:paraId="53817CAE">
            <w:pPr>
              <w:widowControl/>
              <w:spacing w:line="440" w:lineRule="exact"/>
              <w:jc w:val="center"/>
              <w:rPr>
                <w:rFonts w:hint="eastAsia" w:ascii="宋体" w:hAnsi="宋体" w:cs="宋体"/>
                <w:kern w:val="0"/>
                <w:sz w:val="24"/>
                <w:szCs w:val="21"/>
              </w:rPr>
            </w:pPr>
            <w:r>
              <w:rPr>
                <w:rFonts w:hint="eastAsia" w:ascii="宋体" w:hAnsi="宋体" w:cs="宋体"/>
                <w:kern w:val="0"/>
                <w:sz w:val="24"/>
                <w:szCs w:val="21"/>
              </w:rPr>
              <w:t>可直接复制招标文件标题</w:t>
            </w:r>
          </w:p>
        </w:tc>
      </w:tr>
      <w:tr w14:paraId="175931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tcBorders>
              <w:top w:val="single" w:color="auto" w:sz="8" w:space="0"/>
            </w:tcBorders>
            <w:noWrap w:val="0"/>
            <w:vAlign w:val="center"/>
          </w:tcPr>
          <w:p w14:paraId="1E283634">
            <w:pPr>
              <w:widowControl/>
              <w:spacing w:line="440" w:lineRule="exact"/>
              <w:jc w:val="center"/>
              <w:rPr>
                <w:rFonts w:ascii="宋体" w:hAnsi="宋体" w:cs="宋体"/>
                <w:kern w:val="0"/>
                <w:sz w:val="24"/>
                <w:szCs w:val="21"/>
              </w:rPr>
            </w:pPr>
            <w:r>
              <w:rPr>
                <w:rFonts w:hint="eastAsia" w:ascii="宋体" w:hAnsi="宋体" w:cs="宋体"/>
                <w:kern w:val="0"/>
                <w:sz w:val="24"/>
                <w:szCs w:val="21"/>
              </w:rPr>
              <w:t>投标人名称</w:t>
            </w:r>
          </w:p>
        </w:tc>
        <w:tc>
          <w:tcPr>
            <w:tcW w:w="6577" w:type="dxa"/>
            <w:gridSpan w:val="3"/>
            <w:tcBorders>
              <w:top w:val="single" w:color="auto" w:sz="8" w:space="0"/>
            </w:tcBorders>
            <w:noWrap w:val="0"/>
            <w:vAlign w:val="center"/>
          </w:tcPr>
          <w:p w14:paraId="78BD247C">
            <w:pPr>
              <w:widowControl/>
              <w:spacing w:line="440" w:lineRule="exact"/>
              <w:jc w:val="center"/>
              <w:rPr>
                <w:rFonts w:ascii="宋体" w:hAnsi="宋体" w:cs="宋体"/>
                <w:kern w:val="0"/>
                <w:sz w:val="24"/>
                <w:szCs w:val="21"/>
              </w:rPr>
            </w:pPr>
          </w:p>
        </w:tc>
      </w:tr>
      <w:tr w14:paraId="2E2893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noWrap w:val="0"/>
            <w:vAlign w:val="center"/>
          </w:tcPr>
          <w:p w14:paraId="72CF0192">
            <w:pPr>
              <w:widowControl/>
              <w:spacing w:line="440" w:lineRule="exact"/>
              <w:jc w:val="center"/>
              <w:rPr>
                <w:rFonts w:ascii="宋体" w:hAnsi="宋体" w:cs="宋体"/>
                <w:kern w:val="0"/>
                <w:sz w:val="24"/>
                <w:szCs w:val="21"/>
              </w:rPr>
            </w:pPr>
            <w:r>
              <w:rPr>
                <w:rFonts w:hint="eastAsia" w:ascii="宋体" w:hAnsi="宋体" w:cs="宋体"/>
                <w:kern w:val="0"/>
                <w:sz w:val="24"/>
                <w:szCs w:val="21"/>
              </w:rPr>
              <w:t>投标人联系地址</w:t>
            </w:r>
          </w:p>
        </w:tc>
        <w:tc>
          <w:tcPr>
            <w:tcW w:w="6577" w:type="dxa"/>
            <w:gridSpan w:val="3"/>
            <w:noWrap w:val="0"/>
            <w:vAlign w:val="center"/>
          </w:tcPr>
          <w:p w14:paraId="5355D39C">
            <w:pPr>
              <w:widowControl/>
              <w:spacing w:line="440" w:lineRule="exact"/>
              <w:jc w:val="center"/>
              <w:rPr>
                <w:rFonts w:ascii="宋体" w:hAnsi="宋体" w:cs="宋体"/>
                <w:kern w:val="0"/>
                <w:sz w:val="24"/>
                <w:szCs w:val="21"/>
              </w:rPr>
            </w:pPr>
          </w:p>
        </w:tc>
      </w:tr>
      <w:tr w14:paraId="74B441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14:paraId="7F9B69DD">
            <w:pPr>
              <w:widowControl/>
              <w:spacing w:line="440" w:lineRule="exact"/>
              <w:jc w:val="center"/>
              <w:rPr>
                <w:rFonts w:ascii="宋体" w:hAnsi="宋体" w:cs="宋体"/>
                <w:kern w:val="0"/>
                <w:sz w:val="24"/>
                <w:szCs w:val="21"/>
              </w:rPr>
            </w:pPr>
            <w:r>
              <w:rPr>
                <w:rFonts w:hint="eastAsia" w:ascii="宋体" w:hAnsi="宋体" w:cs="宋体"/>
                <w:kern w:val="0"/>
                <w:sz w:val="24"/>
                <w:szCs w:val="21"/>
              </w:rPr>
              <w:t>法定代表人</w:t>
            </w:r>
          </w:p>
        </w:tc>
        <w:tc>
          <w:tcPr>
            <w:tcW w:w="2431" w:type="dxa"/>
            <w:noWrap w:val="0"/>
            <w:vAlign w:val="center"/>
          </w:tcPr>
          <w:p w14:paraId="0F1F6089">
            <w:pPr>
              <w:widowControl/>
              <w:spacing w:line="440" w:lineRule="exact"/>
              <w:jc w:val="center"/>
              <w:rPr>
                <w:rFonts w:ascii="宋体" w:hAnsi="宋体" w:cs="宋体"/>
                <w:kern w:val="0"/>
                <w:sz w:val="24"/>
                <w:szCs w:val="21"/>
              </w:rPr>
            </w:pPr>
          </w:p>
        </w:tc>
        <w:tc>
          <w:tcPr>
            <w:tcW w:w="1747" w:type="dxa"/>
            <w:noWrap w:val="0"/>
            <w:vAlign w:val="center"/>
          </w:tcPr>
          <w:p w14:paraId="588B96AC">
            <w:pPr>
              <w:widowControl/>
              <w:spacing w:line="440" w:lineRule="exact"/>
              <w:jc w:val="center"/>
              <w:rPr>
                <w:rFonts w:ascii="宋体" w:hAnsi="宋体" w:cs="宋体"/>
                <w:kern w:val="0"/>
                <w:sz w:val="24"/>
                <w:szCs w:val="21"/>
              </w:rPr>
            </w:pPr>
            <w:r>
              <w:rPr>
                <w:rFonts w:hint="eastAsia" w:ascii="宋体" w:hAnsi="宋体" w:cs="宋体"/>
                <w:kern w:val="0"/>
                <w:sz w:val="24"/>
                <w:szCs w:val="21"/>
              </w:rPr>
              <w:t>法人委托人</w:t>
            </w:r>
          </w:p>
        </w:tc>
        <w:tc>
          <w:tcPr>
            <w:tcW w:w="2399" w:type="dxa"/>
            <w:noWrap w:val="0"/>
            <w:vAlign w:val="center"/>
          </w:tcPr>
          <w:p w14:paraId="217F89DA">
            <w:pPr>
              <w:widowControl/>
              <w:spacing w:line="440" w:lineRule="exact"/>
              <w:jc w:val="center"/>
              <w:rPr>
                <w:rFonts w:ascii="宋体" w:hAnsi="宋体" w:cs="宋体"/>
                <w:kern w:val="0"/>
                <w:sz w:val="24"/>
                <w:szCs w:val="21"/>
              </w:rPr>
            </w:pPr>
          </w:p>
        </w:tc>
      </w:tr>
      <w:tr w14:paraId="4F84EE4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14:paraId="1322BF7A">
            <w:pPr>
              <w:widowControl/>
              <w:spacing w:line="440" w:lineRule="exact"/>
              <w:jc w:val="center"/>
              <w:rPr>
                <w:rFonts w:ascii="宋体" w:hAnsi="宋体" w:cs="宋体"/>
                <w:kern w:val="0"/>
                <w:sz w:val="24"/>
                <w:szCs w:val="21"/>
              </w:rPr>
            </w:pPr>
            <w:r>
              <w:rPr>
                <w:rFonts w:hint="eastAsia" w:ascii="宋体" w:hAnsi="宋体" w:cs="宋体"/>
                <w:kern w:val="0"/>
                <w:sz w:val="24"/>
                <w:szCs w:val="21"/>
              </w:rPr>
              <w:t>投标联系人</w:t>
            </w:r>
          </w:p>
        </w:tc>
        <w:tc>
          <w:tcPr>
            <w:tcW w:w="2431" w:type="dxa"/>
            <w:noWrap w:val="0"/>
            <w:vAlign w:val="center"/>
          </w:tcPr>
          <w:p w14:paraId="25DC373B">
            <w:pPr>
              <w:widowControl/>
              <w:spacing w:line="440" w:lineRule="exact"/>
              <w:jc w:val="center"/>
              <w:rPr>
                <w:rFonts w:ascii="宋体" w:hAnsi="宋体" w:cs="宋体"/>
                <w:kern w:val="0"/>
                <w:sz w:val="24"/>
                <w:szCs w:val="21"/>
              </w:rPr>
            </w:pPr>
          </w:p>
        </w:tc>
        <w:tc>
          <w:tcPr>
            <w:tcW w:w="1747" w:type="dxa"/>
            <w:noWrap w:val="0"/>
            <w:vAlign w:val="center"/>
          </w:tcPr>
          <w:p w14:paraId="3F2D1CBD">
            <w:pPr>
              <w:widowControl/>
              <w:spacing w:line="440" w:lineRule="exact"/>
              <w:jc w:val="center"/>
              <w:rPr>
                <w:rFonts w:ascii="宋体" w:hAnsi="宋体" w:cs="宋体"/>
                <w:kern w:val="0"/>
                <w:sz w:val="24"/>
                <w:szCs w:val="21"/>
              </w:rPr>
            </w:pPr>
            <w:r>
              <w:rPr>
                <w:rFonts w:hint="eastAsia" w:ascii="宋体" w:hAnsi="宋体" w:cs="宋体"/>
                <w:kern w:val="0"/>
                <w:sz w:val="24"/>
                <w:szCs w:val="21"/>
              </w:rPr>
              <w:t>联系电话</w:t>
            </w:r>
          </w:p>
        </w:tc>
        <w:tc>
          <w:tcPr>
            <w:tcW w:w="2399" w:type="dxa"/>
            <w:noWrap w:val="0"/>
            <w:vAlign w:val="center"/>
          </w:tcPr>
          <w:p w14:paraId="2AFF6CD0">
            <w:pPr>
              <w:widowControl/>
              <w:spacing w:line="440" w:lineRule="exact"/>
              <w:jc w:val="center"/>
              <w:rPr>
                <w:rFonts w:ascii="宋体" w:hAnsi="宋体" w:cs="宋体"/>
                <w:kern w:val="0"/>
                <w:sz w:val="24"/>
                <w:szCs w:val="21"/>
              </w:rPr>
            </w:pPr>
          </w:p>
        </w:tc>
      </w:tr>
      <w:tr w14:paraId="5A74C2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14:paraId="6CD703FC">
            <w:pPr>
              <w:widowControl/>
              <w:spacing w:line="440" w:lineRule="exact"/>
              <w:jc w:val="center"/>
              <w:rPr>
                <w:rFonts w:ascii="宋体" w:hAnsi="宋体" w:cs="宋体"/>
                <w:kern w:val="0"/>
                <w:sz w:val="24"/>
                <w:szCs w:val="21"/>
              </w:rPr>
            </w:pPr>
            <w:r>
              <w:rPr>
                <w:rFonts w:hint="eastAsia" w:ascii="宋体" w:hAnsi="宋体" w:cs="宋体"/>
                <w:kern w:val="0"/>
                <w:sz w:val="24"/>
                <w:szCs w:val="21"/>
              </w:rPr>
              <w:t>电子邮箱（必填）</w:t>
            </w:r>
          </w:p>
        </w:tc>
        <w:tc>
          <w:tcPr>
            <w:tcW w:w="6577" w:type="dxa"/>
            <w:gridSpan w:val="3"/>
            <w:noWrap w:val="0"/>
            <w:vAlign w:val="center"/>
          </w:tcPr>
          <w:p w14:paraId="115DD4B7">
            <w:pPr>
              <w:widowControl/>
              <w:spacing w:line="440" w:lineRule="exact"/>
              <w:jc w:val="center"/>
              <w:rPr>
                <w:rFonts w:ascii="宋体" w:hAnsi="宋体" w:cs="宋体"/>
                <w:kern w:val="0"/>
                <w:sz w:val="24"/>
                <w:szCs w:val="21"/>
              </w:rPr>
            </w:pPr>
          </w:p>
        </w:tc>
      </w:tr>
      <w:tr w14:paraId="2A7AC0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04" w:hRule="atLeast"/>
        </w:trPr>
        <w:tc>
          <w:tcPr>
            <w:tcW w:w="8859" w:type="dxa"/>
            <w:gridSpan w:val="4"/>
            <w:tcBorders>
              <w:bottom w:val="single" w:color="auto" w:sz="8" w:space="0"/>
            </w:tcBorders>
            <w:noWrap w:val="0"/>
            <w:vAlign w:val="center"/>
          </w:tcPr>
          <w:p w14:paraId="64592E76">
            <w:pPr>
              <w:widowControl/>
              <w:spacing w:line="440" w:lineRule="exact"/>
              <w:jc w:val="left"/>
              <w:rPr>
                <w:rFonts w:ascii="宋体" w:hAnsi="宋体" w:cs="宋体"/>
                <w:kern w:val="0"/>
                <w:sz w:val="24"/>
                <w:szCs w:val="21"/>
              </w:rPr>
            </w:pPr>
            <w:r>
              <w:rPr>
                <w:rFonts w:ascii="宋体" w:hAnsi="宋体" w:cs="宋体"/>
                <w:kern w:val="0"/>
                <w:sz w:val="24"/>
                <w:szCs w:val="21"/>
              </w:rPr>
              <w:t>1.</w:t>
            </w:r>
            <w:r>
              <w:rPr>
                <w:rFonts w:hint="eastAsia" w:ascii="宋体" w:hAnsi="宋体" w:cs="宋体"/>
                <w:kern w:val="0"/>
                <w:sz w:val="24"/>
                <w:szCs w:val="21"/>
              </w:rPr>
              <w:t>获取招标文件方式：电子版</w:t>
            </w:r>
            <w:r>
              <w:rPr>
                <w:rFonts w:ascii="宋体" w:hAnsi="宋体" w:cs="宋体"/>
                <w:kern w:val="0"/>
                <w:sz w:val="24"/>
                <w:szCs w:val="21"/>
              </w:rPr>
              <w:t xml:space="preserve"> </w:t>
            </w:r>
          </w:p>
          <w:p w14:paraId="558FA806">
            <w:pPr>
              <w:widowControl/>
              <w:spacing w:line="440" w:lineRule="exact"/>
              <w:jc w:val="left"/>
              <w:rPr>
                <w:rFonts w:ascii="宋体" w:hAnsi="宋体" w:cs="宋体"/>
                <w:kern w:val="0"/>
                <w:sz w:val="24"/>
                <w:szCs w:val="21"/>
              </w:rPr>
            </w:pPr>
          </w:p>
          <w:p w14:paraId="3A9AAAA3">
            <w:pPr>
              <w:pStyle w:val="13"/>
              <w:ind w:firstLine="0" w:firstLineChars="0"/>
              <w:rPr>
                <w:rFonts w:hint="eastAsia"/>
              </w:rPr>
            </w:pPr>
          </w:p>
          <w:p w14:paraId="75D9CFD9">
            <w:pPr>
              <w:pStyle w:val="13"/>
              <w:ind w:firstLine="0" w:firstLineChars="0"/>
              <w:rPr>
                <w:rFonts w:hint="eastAsia"/>
              </w:rPr>
            </w:pPr>
          </w:p>
          <w:p w14:paraId="17A3F16E">
            <w:pPr>
              <w:pStyle w:val="13"/>
              <w:ind w:firstLine="0" w:firstLineChars="0"/>
              <w:rPr>
                <w:rFonts w:hint="eastAsia"/>
              </w:rPr>
            </w:pPr>
          </w:p>
          <w:p w14:paraId="06242CC8">
            <w:pPr>
              <w:widowControl/>
              <w:spacing w:line="440" w:lineRule="exact"/>
              <w:jc w:val="left"/>
              <w:rPr>
                <w:rFonts w:ascii="宋体" w:hAnsi="宋体" w:cs="宋体"/>
                <w:kern w:val="0"/>
                <w:sz w:val="24"/>
                <w:szCs w:val="21"/>
              </w:rPr>
            </w:pPr>
            <w:r>
              <w:rPr>
                <w:rFonts w:ascii="宋体" w:hAnsi="宋体" w:cs="宋体"/>
                <w:kern w:val="0"/>
                <w:sz w:val="24"/>
                <w:szCs w:val="21"/>
              </w:rPr>
              <w:t>2.</w:t>
            </w:r>
            <w:r>
              <w:rPr>
                <w:rFonts w:hint="eastAsia" w:ascii="宋体" w:hAnsi="宋体" w:cs="宋体"/>
                <w:kern w:val="0"/>
                <w:sz w:val="24"/>
                <w:szCs w:val="21"/>
              </w:rPr>
              <w:t xml:space="preserve">申请投标招标编号：ZTEJ-2025XX </w:t>
            </w:r>
            <w:r>
              <w:rPr>
                <w:rFonts w:ascii="宋体" w:hAnsi="宋体" w:cs="宋体"/>
                <w:kern w:val="0"/>
                <w:sz w:val="24"/>
                <w:szCs w:val="21"/>
              </w:rPr>
              <w:t xml:space="preserve">           </w:t>
            </w:r>
            <w:r>
              <w:rPr>
                <w:rFonts w:hint="eastAsia" w:ascii="宋体" w:hAnsi="宋体" w:cs="宋体"/>
                <w:kern w:val="0"/>
                <w:sz w:val="24"/>
                <w:szCs w:val="21"/>
              </w:rPr>
              <w:t>包件：X</w:t>
            </w:r>
            <w:r>
              <w:rPr>
                <w:rFonts w:ascii="宋体" w:hAnsi="宋体" w:cs="宋体"/>
                <w:kern w:val="0"/>
                <w:sz w:val="24"/>
                <w:szCs w:val="21"/>
              </w:rPr>
              <w:t>X-01</w:t>
            </w:r>
          </w:p>
          <w:p w14:paraId="4463BB09">
            <w:pPr>
              <w:widowControl/>
              <w:spacing w:line="440" w:lineRule="exact"/>
              <w:jc w:val="left"/>
              <w:rPr>
                <w:rFonts w:ascii="宋体" w:hAnsi="宋体" w:cs="宋体"/>
                <w:kern w:val="0"/>
                <w:sz w:val="24"/>
                <w:szCs w:val="21"/>
              </w:rPr>
            </w:pPr>
          </w:p>
          <w:p w14:paraId="27C9C935">
            <w:pPr>
              <w:widowControl/>
              <w:spacing w:line="440" w:lineRule="exact"/>
              <w:jc w:val="left"/>
              <w:rPr>
                <w:rFonts w:ascii="宋体" w:hAnsi="宋体" w:cs="宋体"/>
                <w:kern w:val="0"/>
                <w:sz w:val="24"/>
                <w:szCs w:val="21"/>
              </w:rPr>
            </w:pPr>
          </w:p>
          <w:p w14:paraId="44E0334B">
            <w:pPr>
              <w:widowControl/>
              <w:spacing w:line="440" w:lineRule="exact"/>
              <w:jc w:val="left"/>
              <w:rPr>
                <w:rFonts w:ascii="宋体" w:hAnsi="宋体" w:cs="宋体"/>
                <w:kern w:val="0"/>
                <w:sz w:val="24"/>
                <w:szCs w:val="21"/>
              </w:rPr>
            </w:pPr>
          </w:p>
          <w:p w14:paraId="5E5AC96C">
            <w:pPr>
              <w:pStyle w:val="13"/>
              <w:ind w:firstLine="0" w:firstLineChars="0"/>
              <w:rPr>
                <w:rFonts w:hint="eastAsia"/>
              </w:rPr>
            </w:pPr>
          </w:p>
          <w:p w14:paraId="1AF9FFB2">
            <w:pPr>
              <w:widowControl/>
              <w:spacing w:line="440" w:lineRule="exact"/>
              <w:jc w:val="left"/>
              <w:rPr>
                <w:rFonts w:ascii="宋体" w:hAnsi="宋体" w:cs="宋体"/>
                <w:kern w:val="0"/>
                <w:sz w:val="24"/>
                <w:szCs w:val="21"/>
              </w:rPr>
            </w:pPr>
            <w:r>
              <w:rPr>
                <w:rFonts w:ascii="宋体" w:hAnsi="宋体" w:cs="宋体"/>
                <w:kern w:val="0"/>
                <w:sz w:val="24"/>
                <w:szCs w:val="21"/>
              </w:rPr>
              <w:t>3.</w:t>
            </w:r>
            <w:r>
              <w:rPr>
                <w:rFonts w:hint="eastAsia" w:ascii="宋体" w:hAnsi="宋体" w:cs="宋体"/>
                <w:kern w:val="0"/>
                <w:sz w:val="24"/>
                <w:szCs w:val="21"/>
              </w:rPr>
              <w:t>其它说明：</w:t>
            </w:r>
          </w:p>
          <w:p w14:paraId="52FD79C6">
            <w:pPr>
              <w:widowControl/>
              <w:spacing w:line="440" w:lineRule="exact"/>
              <w:jc w:val="left"/>
              <w:rPr>
                <w:rFonts w:ascii="宋体" w:hAnsi="宋体" w:cs="宋体"/>
                <w:kern w:val="0"/>
                <w:sz w:val="24"/>
                <w:szCs w:val="21"/>
              </w:rPr>
            </w:pPr>
          </w:p>
          <w:p w14:paraId="4D2A65B6">
            <w:pPr>
              <w:widowControl/>
              <w:spacing w:line="440" w:lineRule="exact"/>
              <w:jc w:val="left"/>
              <w:rPr>
                <w:rFonts w:ascii="宋体" w:hAnsi="宋体" w:cs="宋体"/>
                <w:kern w:val="0"/>
                <w:sz w:val="24"/>
                <w:szCs w:val="21"/>
              </w:rPr>
            </w:pPr>
          </w:p>
          <w:p w14:paraId="6D7416E8">
            <w:pPr>
              <w:widowControl/>
              <w:spacing w:line="440" w:lineRule="exact"/>
              <w:jc w:val="left"/>
              <w:rPr>
                <w:rFonts w:ascii="宋体" w:hAnsi="宋体" w:cs="宋体"/>
                <w:kern w:val="0"/>
                <w:sz w:val="24"/>
                <w:szCs w:val="21"/>
              </w:rPr>
            </w:pPr>
          </w:p>
          <w:p w14:paraId="1554B987">
            <w:pPr>
              <w:widowControl/>
              <w:spacing w:line="440" w:lineRule="exact"/>
              <w:jc w:val="left"/>
              <w:rPr>
                <w:rFonts w:ascii="宋体" w:hAnsi="宋体" w:cs="宋体"/>
                <w:kern w:val="0"/>
                <w:sz w:val="24"/>
                <w:szCs w:val="21"/>
              </w:rPr>
            </w:pPr>
          </w:p>
          <w:p w14:paraId="1AF725EA">
            <w:pPr>
              <w:widowControl/>
              <w:spacing w:line="440" w:lineRule="exact"/>
              <w:ind w:right="480" w:firstLine="5280" w:firstLineChars="2200"/>
              <w:jc w:val="left"/>
              <w:rPr>
                <w:rFonts w:ascii="宋体" w:hAnsi="宋体" w:cs="宋体"/>
                <w:kern w:val="0"/>
                <w:sz w:val="24"/>
                <w:szCs w:val="21"/>
              </w:rPr>
            </w:pPr>
            <w:r>
              <w:rPr>
                <w:rFonts w:hint="eastAsia" w:ascii="宋体" w:hAnsi="宋体" w:cs="宋体"/>
                <w:kern w:val="0"/>
                <w:sz w:val="24"/>
                <w:szCs w:val="21"/>
              </w:rPr>
              <w:t>投标人（公章）</w:t>
            </w:r>
          </w:p>
          <w:p w14:paraId="437D1122">
            <w:pPr>
              <w:widowControl/>
              <w:spacing w:line="440" w:lineRule="exact"/>
              <w:jc w:val="left"/>
              <w:rPr>
                <w:rFonts w:ascii="宋体" w:hAnsi="宋体" w:cs="宋体"/>
                <w:kern w:val="0"/>
                <w:sz w:val="24"/>
                <w:szCs w:val="21"/>
              </w:rPr>
            </w:pPr>
            <w:r>
              <w:rPr>
                <w:rFonts w:ascii="宋体" w:hAnsi="宋体" w:cs="宋体"/>
                <w:kern w:val="0"/>
                <w:sz w:val="24"/>
                <w:szCs w:val="21"/>
              </w:rPr>
              <w:t xml:space="preserve">                                            </w:t>
            </w:r>
          </w:p>
          <w:p w14:paraId="5CD3A05D">
            <w:pPr>
              <w:widowControl/>
              <w:spacing w:line="440" w:lineRule="exact"/>
              <w:ind w:firstLine="5160" w:firstLineChars="2150"/>
              <w:jc w:val="left"/>
              <w:rPr>
                <w:rFonts w:ascii="宋体" w:hAnsi="宋体" w:cs="宋体"/>
                <w:kern w:val="0"/>
                <w:sz w:val="24"/>
                <w:szCs w:val="21"/>
              </w:rPr>
            </w:pPr>
            <w:r>
              <w:rPr>
                <w:rFonts w:ascii="宋体" w:hAnsi="宋体" w:cs="宋体"/>
                <w:kern w:val="0"/>
                <w:sz w:val="24"/>
                <w:szCs w:val="21"/>
              </w:rPr>
              <w:t xml:space="preserve"> </w:t>
            </w:r>
            <w:r>
              <w:rPr>
                <w:rFonts w:hint="eastAsia" w:ascii="宋体" w:hAnsi="宋体" w:cs="宋体"/>
                <w:kern w:val="0"/>
                <w:sz w:val="24"/>
                <w:szCs w:val="21"/>
              </w:rPr>
              <w:t>年</w:t>
            </w:r>
            <w:r>
              <w:rPr>
                <w:rFonts w:ascii="宋体" w:hAnsi="宋体" w:cs="宋体"/>
                <w:kern w:val="0"/>
                <w:sz w:val="24"/>
                <w:szCs w:val="21"/>
              </w:rPr>
              <w:t xml:space="preserve">    </w:t>
            </w:r>
            <w:r>
              <w:rPr>
                <w:rFonts w:hint="eastAsia" w:ascii="宋体" w:hAnsi="宋体" w:cs="宋体"/>
                <w:kern w:val="0"/>
                <w:sz w:val="24"/>
                <w:szCs w:val="21"/>
              </w:rPr>
              <w:t>月</w:t>
            </w:r>
            <w:r>
              <w:rPr>
                <w:rFonts w:ascii="宋体" w:hAnsi="宋体" w:cs="宋体"/>
                <w:kern w:val="0"/>
                <w:sz w:val="24"/>
                <w:szCs w:val="21"/>
              </w:rPr>
              <w:t xml:space="preserve">    </w:t>
            </w:r>
            <w:r>
              <w:rPr>
                <w:rFonts w:hint="eastAsia" w:ascii="宋体" w:hAnsi="宋体" w:cs="宋体"/>
                <w:kern w:val="0"/>
                <w:sz w:val="24"/>
                <w:szCs w:val="21"/>
              </w:rPr>
              <w:t>日</w:t>
            </w:r>
          </w:p>
          <w:p w14:paraId="5BD01F88">
            <w:pPr>
              <w:widowControl/>
              <w:spacing w:line="440" w:lineRule="exact"/>
              <w:ind w:firstLine="5160" w:firstLineChars="2150"/>
              <w:jc w:val="left"/>
              <w:rPr>
                <w:rFonts w:ascii="宋体" w:hAnsi="宋体" w:cs="宋体"/>
                <w:kern w:val="0"/>
                <w:sz w:val="24"/>
                <w:szCs w:val="21"/>
              </w:rPr>
            </w:pPr>
          </w:p>
        </w:tc>
      </w:tr>
    </w:tbl>
    <w:p w14:paraId="7AA41B3D">
      <w:pPr>
        <w:spacing w:line="400" w:lineRule="exact"/>
        <w:jc w:val="center"/>
        <w:rPr>
          <w:rFonts w:ascii="宋体" w:hAnsi="宋体"/>
          <w:bCs/>
          <w:sz w:val="28"/>
          <w:szCs w:val="28"/>
        </w:rPr>
      </w:pPr>
    </w:p>
    <w:p w14:paraId="12FF5F4E">
      <w:pPr>
        <w:outlineLvl w:val="1"/>
        <w:rPr>
          <w:rFonts w:hint="eastAsia" w:ascii="宋体" w:hAnsi="宋体"/>
          <w:sz w:val="28"/>
          <w:szCs w:val="28"/>
        </w:rPr>
      </w:pPr>
      <w:bookmarkStart w:id="19" w:name="_Toc8560"/>
      <w:bookmarkStart w:id="20" w:name="_Toc1931"/>
      <w:bookmarkStart w:id="21" w:name="_Toc129374161"/>
      <w:bookmarkStart w:id="22" w:name="_Toc24014"/>
      <w:bookmarkStart w:id="23" w:name="_Toc129350252"/>
      <w:r>
        <w:rPr>
          <w:rFonts w:hint="eastAsia" w:ascii="宋体" w:hAnsi="宋体"/>
          <w:sz w:val="28"/>
          <w:szCs w:val="28"/>
        </w:rPr>
        <w:t>附件四</w:t>
      </w:r>
      <w:bookmarkEnd w:id="19"/>
      <w:bookmarkEnd w:id="20"/>
      <w:bookmarkEnd w:id="21"/>
      <w:bookmarkEnd w:id="22"/>
      <w:bookmarkEnd w:id="23"/>
    </w:p>
    <w:p w14:paraId="53E5CFD6">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pPr>
      <w:bookmarkStart w:id="24" w:name="_Toc22141"/>
      <w:r>
        <w:rPr>
          <w:rFonts w:hint="eastAsia" w:ascii="宋体" w:hAnsi="宋体" w:cs="新宋体"/>
          <w:b/>
          <w:bCs/>
          <w:kern w:val="0"/>
          <w:sz w:val="36"/>
          <w:szCs w:val="36"/>
        </w:rPr>
        <w:t>客商申请所需信息</w:t>
      </w:r>
      <w:bookmarkEnd w:id="24"/>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933"/>
        <w:gridCol w:w="5285"/>
      </w:tblGrid>
      <w:tr w14:paraId="3BA4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66" w:type="dxa"/>
            <w:tcBorders>
              <w:top w:val="single" w:color="auto" w:sz="4" w:space="0"/>
            </w:tcBorders>
            <w:noWrap/>
            <w:vAlign w:val="center"/>
          </w:tcPr>
          <w:p w14:paraId="723BFEB9">
            <w:pPr>
              <w:widowControl/>
              <w:jc w:val="center"/>
              <w:rPr>
                <w:rFonts w:ascii="宋体" w:hAnsi="宋体" w:cs="宋体"/>
                <w:color w:val="000000"/>
                <w:kern w:val="0"/>
                <w:sz w:val="24"/>
              </w:rPr>
            </w:pPr>
            <w:r>
              <w:rPr>
                <w:rFonts w:hint="eastAsia" w:ascii="宋体" w:hAnsi="宋体" w:cs="宋体"/>
                <w:color w:val="000000"/>
                <w:kern w:val="0"/>
                <w:sz w:val="24"/>
              </w:rPr>
              <w:t>序号</w:t>
            </w:r>
          </w:p>
        </w:tc>
        <w:tc>
          <w:tcPr>
            <w:tcW w:w="2933" w:type="dxa"/>
            <w:tcBorders>
              <w:top w:val="single" w:color="auto" w:sz="4" w:space="0"/>
            </w:tcBorders>
            <w:noWrap/>
            <w:vAlign w:val="center"/>
          </w:tcPr>
          <w:p w14:paraId="74B5A7BE">
            <w:pPr>
              <w:widowControl/>
              <w:jc w:val="center"/>
              <w:rPr>
                <w:rFonts w:ascii="宋体" w:hAnsi="宋体" w:cs="宋体"/>
                <w:color w:val="000000"/>
                <w:kern w:val="0"/>
                <w:sz w:val="24"/>
              </w:rPr>
            </w:pPr>
            <w:r>
              <w:rPr>
                <w:rFonts w:hint="eastAsia" w:ascii="宋体" w:hAnsi="宋体" w:cs="宋体"/>
                <w:color w:val="000000"/>
                <w:kern w:val="0"/>
                <w:sz w:val="24"/>
              </w:rPr>
              <w:t>单位名称</w:t>
            </w:r>
          </w:p>
        </w:tc>
        <w:tc>
          <w:tcPr>
            <w:tcW w:w="5285" w:type="dxa"/>
            <w:tcBorders>
              <w:top w:val="single" w:color="auto" w:sz="4" w:space="0"/>
            </w:tcBorders>
            <w:noWrap/>
            <w:vAlign w:val="center"/>
          </w:tcPr>
          <w:p w14:paraId="3B420793">
            <w:pPr>
              <w:widowControl/>
              <w:jc w:val="center"/>
              <w:rPr>
                <w:rFonts w:ascii="宋体" w:hAnsi="宋体" w:cs="宋体"/>
                <w:color w:val="000000"/>
                <w:kern w:val="0"/>
                <w:sz w:val="24"/>
              </w:rPr>
            </w:pPr>
          </w:p>
        </w:tc>
      </w:tr>
      <w:tr w14:paraId="7040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766" w:type="dxa"/>
            <w:noWrap/>
            <w:vAlign w:val="center"/>
          </w:tcPr>
          <w:p w14:paraId="430EEC89">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933" w:type="dxa"/>
            <w:noWrap/>
            <w:vAlign w:val="center"/>
          </w:tcPr>
          <w:p w14:paraId="4D76D6E1">
            <w:pPr>
              <w:widowControl/>
              <w:jc w:val="center"/>
              <w:rPr>
                <w:rFonts w:ascii="宋体" w:hAnsi="宋体" w:cs="宋体"/>
                <w:color w:val="000000"/>
                <w:kern w:val="0"/>
                <w:sz w:val="24"/>
              </w:rPr>
            </w:pPr>
            <w:r>
              <w:rPr>
                <w:rFonts w:hint="eastAsia" w:ascii="宋体" w:hAnsi="宋体" w:cs="宋体"/>
                <w:color w:val="000000"/>
                <w:kern w:val="0"/>
                <w:sz w:val="24"/>
              </w:rPr>
              <w:t>客商性质</w:t>
            </w:r>
          </w:p>
        </w:tc>
        <w:tc>
          <w:tcPr>
            <w:tcW w:w="5285" w:type="dxa"/>
            <w:noWrap/>
            <w:vAlign w:val="center"/>
          </w:tcPr>
          <w:p w14:paraId="03BB883A">
            <w:pPr>
              <w:widowControl/>
              <w:jc w:val="center"/>
              <w:rPr>
                <w:rFonts w:ascii="宋体" w:hAnsi="宋体" w:cs="宋体"/>
                <w:color w:val="000000"/>
                <w:kern w:val="0"/>
                <w:sz w:val="24"/>
              </w:rPr>
            </w:pPr>
            <w:r>
              <w:rPr>
                <w:rFonts w:hint="eastAsia" w:ascii="宋体" w:hAnsi="宋体" w:cs="宋体"/>
                <w:color w:val="000000"/>
                <w:kern w:val="0"/>
                <w:sz w:val="24"/>
              </w:rPr>
              <w:t>国企/民企/</w:t>
            </w:r>
          </w:p>
        </w:tc>
      </w:tr>
      <w:tr w14:paraId="1430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5E15279F">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933" w:type="dxa"/>
            <w:noWrap/>
            <w:vAlign w:val="center"/>
          </w:tcPr>
          <w:p w14:paraId="26284DD5">
            <w:pPr>
              <w:widowControl/>
              <w:jc w:val="center"/>
              <w:rPr>
                <w:rFonts w:ascii="宋体" w:hAnsi="宋体" w:cs="宋体"/>
                <w:color w:val="000000"/>
                <w:kern w:val="0"/>
                <w:sz w:val="24"/>
              </w:rPr>
            </w:pPr>
            <w:r>
              <w:rPr>
                <w:rFonts w:hint="eastAsia" w:ascii="宋体" w:hAnsi="宋体" w:cs="宋体"/>
                <w:color w:val="000000"/>
                <w:kern w:val="0"/>
                <w:sz w:val="24"/>
              </w:rPr>
              <w:t>统一社会信用代码</w:t>
            </w:r>
          </w:p>
        </w:tc>
        <w:tc>
          <w:tcPr>
            <w:tcW w:w="5285" w:type="dxa"/>
            <w:noWrap/>
            <w:vAlign w:val="center"/>
          </w:tcPr>
          <w:p w14:paraId="17386A83">
            <w:pPr>
              <w:widowControl/>
              <w:jc w:val="center"/>
              <w:rPr>
                <w:rFonts w:ascii="宋体" w:hAnsi="宋体" w:cs="宋体"/>
                <w:color w:val="000000"/>
                <w:kern w:val="0"/>
                <w:sz w:val="24"/>
              </w:rPr>
            </w:pPr>
          </w:p>
        </w:tc>
      </w:tr>
      <w:tr w14:paraId="76DE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1EE8AC99">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933" w:type="dxa"/>
            <w:noWrap/>
            <w:vAlign w:val="center"/>
          </w:tcPr>
          <w:p w14:paraId="14C765C9">
            <w:pPr>
              <w:widowControl/>
              <w:jc w:val="center"/>
              <w:rPr>
                <w:rFonts w:ascii="宋体" w:hAnsi="宋体" w:cs="宋体"/>
                <w:color w:val="000000"/>
                <w:kern w:val="0"/>
                <w:sz w:val="24"/>
              </w:rPr>
            </w:pPr>
            <w:r>
              <w:rPr>
                <w:rFonts w:hint="eastAsia" w:ascii="宋体" w:hAnsi="宋体" w:cs="宋体"/>
                <w:color w:val="000000"/>
                <w:kern w:val="0"/>
                <w:sz w:val="24"/>
              </w:rPr>
              <w:t>所在地</w:t>
            </w:r>
          </w:p>
        </w:tc>
        <w:tc>
          <w:tcPr>
            <w:tcW w:w="5285" w:type="dxa"/>
            <w:noWrap/>
            <w:vAlign w:val="center"/>
          </w:tcPr>
          <w:p w14:paraId="6967BB62">
            <w:pPr>
              <w:widowControl/>
              <w:jc w:val="center"/>
              <w:rPr>
                <w:rFonts w:ascii="宋体" w:hAnsi="宋体" w:cs="宋体"/>
                <w:color w:val="000000"/>
                <w:kern w:val="0"/>
                <w:sz w:val="24"/>
              </w:rPr>
            </w:pPr>
            <w:r>
              <w:rPr>
                <w:rFonts w:hint="eastAsia" w:ascii="宋体" w:hAnsi="宋体" w:eastAsia="宋体" w:cs="宋体"/>
                <w:color w:val="000000"/>
                <w:kern w:val="0"/>
                <w:sz w:val="24"/>
              </w:rPr>
              <w:t>XX省/</w:t>
            </w:r>
            <w:r>
              <w:rPr>
                <w:rFonts w:hint="eastAsia" w:ascii="宋体" w:hAnsi="宋体" w:eastAsia="宋体" w:cs="宋体"/>
                <w:color w:val="000000"/>
                <w:kern w:val="0"/>
                <w:sz w:val="24"/>
                <w:lang w:val="en-US" w:eastAsia="zh-CN"/>
              </w:rPr>
              <w:t>XX市、XX</w:t>
            </w:r>
            <w:r>
              <w:rPr>
                <w:rFonts w:hint="eastAsia" w:ascii="宋体" w:hAnsi="宋体" w:eastAsia="宋体" w:cs="宋体"/>
                <w:color w:val="000000"/>
                <w:kern w:val="0"/>
                <w:sz w:val="24"/>
              </w:rPr>
              <w:t>自治区</w:t>
            </w:r>
          </w:p>
        </w:tc>
      </w:tr>
      <w:tr w14:paraId="3980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5147AEFF">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933" w:type="dxa"/>
            <w:noWrap/>
            <w:vAlign w:val="center"/>
          </w:tcPr>
          <w:p w14:paraId="78BE026C">
            <w:pPr>
              <w:widowControl/>
              <w:jc w:val="center"/>
              <w:rPr>
                <w:rFonts w:ascii="宋体" w:hAnsi="宋体" w:cs="宋体"/>
                <w:color w:val="000000"/>
                <w:kern w:val="0"/>
                <w:sz w:val="24"/>
              </w:rPr>
            </w:pPr>
            <w:r>
              <w:rPr>
                <w:rFonts w:hint="eastAsia" w:ascii="宋体" w:hAnsi="宋体" w:cs="宋体"/>
                <w:color w:val="000000"/>
                <w:kern w:val="0"/>
                <w:sz w:val="24"/>
              </w:rPr>
              <w:t>法人姓名</w:t>
            </w:r>
          </w:p>
        </w:tc>
        <w:tc>
          <w:tcPr>
            <w:tcW w:w="5285" w:type="dxa"/>
            <w:noWrap/>
            <w:vAlign w:val="center"/>
          </w:tcPr>
          <w:p w14:paraId="6F919655">
            <w:pPr>
              <w:widowControl/>
              <w:jc w:val="center"/>
              <w:rPr>
                <w:rFonts w:ascii="宋体" w:hAnsi="宋体" w:cs="宋体"/>
                <w:color w:val="000000"/>
                <w:kern w:val="0"/>
                <w:sz w:val="24"/>
              </w:rPr>
            </w:pPr>
          </w:p>
        </w:tc>
      </w:tr>
      <w:tr w14:paraId="39F9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71BE1D33">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2933" w:type="dxa"/>
            <w:noWrap/>
            <w:vAlign w:val="center"/>
          </w:tcPr>
          <w:p w14:paraId="21B8AE4E">
            <w:pPr>
              <w:widowControl/>
              <w:jc w:val="center"/>
              <w:rPr>
                <w:rFonts w:ascii="宋体" w:hAnsi="宋体" w:cs="宋体"/>
                <w:color w:val="000000"/>
                <w:kern w:val="0"/>
                <w:sz w:val="24"/>
              </w:rPr>
            </w:pPr>
            <w:r>
              <w:rPr>
                <w:rFonts w:hint="eastAsia" w:ascii="宋体" w:hAnsi="宋体" w:cs="宋体"/>
                <w:color w:val="000000"/>
                <w:kern w:val="0"/>
                <w:sz w:val="24"/>
              </w:rPr>
              <w:t>法人身份证号</w:t>
            </w:r>
          </w:p>
        </w:tc>
        <w:tc>
          <w:tcPr>
            <w:tcW w:w="5285" w:type="dxa"/>
            <w:noWrap/>
            <w:vAlign w:val="center"/>
          </w:tcPr>
          <w:p w14:paraId="0CBD71E7">
            <w:pPr>
              <w:widowControl/>
              <w:jc w:val="center"/>
              <w:rPr>
                <w:rFonts w:ascii="宋体" w:hAnsi="宋体" w:cs="宋体"/>
                <w:color w:val="000000"/>
                <w:kern w:val="0"/>
                <w:sz w:val="24"/>
              </w:rPr>
            </w:pPr>
          </w:p>
        </w:tc>
      </w:tr>
      <w:tr w14:paraId="31FA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766" w:type="dxa"/>
            <w:noWrap/>
            <w:vAlign w:val="center"/>
          </w:tcPr>
          <w:p w14:paraId="68D3D308">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933" w:type="dxa"/>
            <w:noWrap/>
            <w:vAlign w:val="center"/>
          </w:tcPr>
          <w:p w14:paraId="56057CC3">
            <w:pPr>
              <w:widowControl/>
              <w:jc w:val="center"/>
              <w:rPr>
                <w:rFonts w:ascii="宋体" w:hAnsi="宋体" w:cs="宋体"/>
                <w:color w:val="000000"/>
                <w:kern w:val="0"/>
                <w:sz w:val="24"/>
              </w:rPr>
            </w:pPr>
            <w:r>
              <w:rPr>
                <w:rFonts w:hint="eastAsia" w:ascii="宋体" w:hAnsi="宋体" w:cs="宋体"/>
                <w:color w:val="000000"/>
                <w:kern w:val="0"/>
                <w:sz w:val="24"/>
              </w:rPr>
              <w:t>纳税人类型</w:t>
            </w:r>
          </w:p>
        </w:tc>
        <w:tc>
          <w:tcPr>
            <w:tcW w:w="5285" w:type="dxa"/>
            <w:noWrap/>
            <w:vAlign w:val="center"/>
          </w:tcPr>
          <w:p w14:paraId="54822D81">
            <w:pPr>
              <w:widowControl/>
              <w:jc w:val="center"/>
              <w:rPr>
                <w:rFonts w:ascii="宋体" w:hAnsi="宋体" w:cs="宋体"/>
                <w:color w:val="000000"/>
                <w:kern w:val="0"/>
                <w:sz w:val="24"/>
              </w:rPr>
            </w:pPr>
            <w:r>
              <w:rPr>
                <w:rFonts w:hint="eastAsia" w:ascii="宋体" w:hAnsi="宋体" w:cs="宋体"/>
                <w:color w:val="000000"/>
                <w:kern w:val="0"/>
                <w:sz w:val="24"/>
              </w:rPr>
              <w:t>增值税一般纳税人/小规模纳税人</w:t>
            </w:r>
          </w:p>
        </w:tc>
      </w:tr>
      <w:tr w14:paraId="53C0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66" w:type="dxa"/>
            <w:noWrap/>
            <w:vAlign w:val="center"/>
          </w:tcPr>
          <w:p w14:paraId="5EC8F659">
            <w:pPr>
              <w:widowControl/>
              <w:jc w:val="center"/>
              <w:rPr>
                <w:rFonts w:ascii="宋体" w:hAnsi="宋体" w:cs="宋体"/>
                <w:color w:val="000000"/>
                <w:kern w:val="0"/>
                <w:sz w:val="24"/>
              </w:rPr>
            </w:pPr>
            <w:r>
              <w:rPr>
                <w:rFonts w:hint="eastAsia" w:ascii="宋体" w:hAnsi="宋体" w:cs="宋体"/>
                <w:color w:val="000000"/>
                <w:kern w:val="0"/>
                <w:sz w:val="24"/>
              </w:rPr>
              <w:t>7</w:t>
            </w:r>
          </w:p>
        </w:tc>
        <w:tc>
          <w:tcPr>
            <w:tcW w:w="2933" w:type="dxa"/>
            <w:noWrap w:val="0"/>
            <w:vAlign w:val="center"/>
          </w:tcPr>
          <w:p w14:paraId="00CB5D0A">
            <w:pPr>
              <w:widowControl/>
              <w:jc w:val="center"/>
              <w:rPr>
                <w:rFonts w:ascii="宋体" w:hAnsi="宋体" w:cs="宋体"/>
                <w:color w:val="000000"/>
                <w:kern w:val="0"/>
                <w:sz w:val="24"/>
              </w:rPr>
            </w:pPr>
            <w:r>
              <w:rPr>
                <w:rFonts w:hint="eastAsia" w:ascii="宋体" w:hAnsi="宋体" w:cs="宋体"/>
                <w:color w:val="000000"/>
                <w:kern w:val="0"/>
                <w:sz w:val="24"/>
              </w:rPr>
              <w:t>投标人付款账号</w:t>
            </w:r>
          </w:p>
        </w:tc>
        <w:tc>
          <w:tcPr>
            <w:tcW w:w="5285" w:type="dxa"/>
            <w:noWrap w:val="0"/>
            <w:vAlign w:val="center"/>
          </w:tcPr>
          <w:p w14:paraId="4C01A32E">
            <w:pPr>
              <w:widowControl/>
              <w:jc w:val="left"/>
              <w:rPr>
                <w:rFonts w:ascii="宋体" w:hAnsi="宋体" w:cs="宋体"/>
                <w:color w:val="FF0000"/>
                <w:kern w:val="0"/>
                <w:sz w:val="24"/>
              </w:rPr>
            </w:pPr>
          </w:p>
        </w:tc>
      </w:tr>
      <w:tr w14:paraId="0E37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66" w:type="dxa"/>
            <w:noWrap/>
            <w:vAlign w:val="center"/>
          </w:tcPr>
          <w:p w14:paraId="39F30047">
            <w:pPr>
              <w:widowControl/>
              <w:jc w:val="center"/>
              <w:rPr>
                <w:rFonts w:hint="eastAsia" w:ascii="宋体" w:hAnsi="宋体" w:cs="宋体"/>
                <w:color w:val="000000"/>
                <w:kern w:val="0"/>
                <w:sz w:val="24"/>
              </w:rPr>
            </w:pPr>
            <w:r>
              <w:rPr>
                <w:rFonts w:hint="eastAsia" w:ascii="宋体" w:hAnsi="宋体" w:cs="宋体"/>
                <w:color w:val="000000"/>
                <w:kern w:val="0"/>
                <w:sz w:val="24"/>
              </w:rPr>
              <w:t>8</w:t>
            </w:r>
          </w:p>
        </w:tc>
        <w:tc>
          <w:tcPr>
            <w:tcW w:w="2933" w:type="dxa"/>
            <w:noWrap w:val="0"/>
            <w:vAlign w:val="center"/>
          </w:tcPr>
          <w:p w14:paraId="3638D5AB">
            <w:pPr>
              <w:widowControl/>
              <w:jc w:val="center"/>
              <w:rPr>
                <w:rFonts w:ascii="宋体" w:hAnsi="宋体" w:cs="宋体"/>
                <w:color w:val="000000"/>
                <w:kern w:val="0"/>
                <w:sz w:val="24"/>
              </w:rPr>
            </w:pPr>
            <w:r>
              <w:rPr>
                <w:rFonts w:hint="eastAsia" w:ascii="宋体" w:hAnsi="宋体" w:cs="宋体"/>
                <w:color w:val="000000"/>
                <w:kern w:val="0"/>
                <w:sz w:val="24"/>
              </w:rPr>
              <w:t>投标人付款开户行</w:t>
            </w:r>
            <w:r>
              <w:rPr>
                <w:rFonts w:hint="eastAsia" w:ascii="宋体" w:hAnsi="宋体" w:cs="宋体"/>
                <w:color w:val="000000"/>
                <w:kern w:val="0"/>
                <w:sz w:val="24"/>
                <w:lang w:eastAsia="zh-CN"/>
              </w:rPr>
              <w:t>、</w:t>
            </w:r>
            <w:r>
              <w:rPr>
                <w:rFonts w:hint="eastAsia" w:ascii="宋体" w:hAnsi="宋体" w:cs="宋体"/>
                <w:color w:val="000000"/>
                <w:kern w:val="0"/>
                <w:sz w:val="24"/>
              </w:rPr>
              <w:t>银行联行号</w:t>
            </w:r>
          </w:p>
        </w:tc>
        <w:tc>
          <w:tcPr>
            <w:tcW w:w="5285" w:type="dxa"/>
            <w:noWrap w:val="0"/>
            <w:vAlign w:val="center"/>
          </w:tcPr>
          <w:p w14:paraId="59F1D670">
            <w:pPr>
              <w:widowControl/>
              <w:jc w:val="left"/>
              <w:rPr>
                <w:rFonts w:ascii="宋体" w:hAnsi="宋体" w:cs="宋体"/>
                <w:color w:val="FF0000"/>
                <w:kern w:val="0"/>
                <w:sz w:val="24"/>
              </w:rPr>
            </w:pPr>
          </w:p>
        </w:tc>
      </w:tr>
    </w:tbl>
    <w:p w14:paraId="629B331C">
      <w:pPr>
        <w:spacing w:line="400" w:lineRule="exact"/>
        <w:jc w:val="center"/>
        <w:rPr>
          <w:rFonts w:ascii="宋体" w:hAnsi="宋体"/>
          <w:bCs/>
          <w:sz w:val="28"/>
          <w:szCs w:val="28"/>
        </w:rPr>
      </w:pPr>
    </w:p>
    <w:p w14:paraId="6A2388F2">
      <w:pPr>
        <w:spacing w:line="400" w:lineRule="exact"/>
        <w:jc w:val="center"/>
        <w:rPr>
          <w:rFonts w:ascii="宋体" w:hAnsi="宋体"/>
          <w:bCs/>
          <w:sz w:val="28"/>
          <w:szCs w:val="28"/>
        </w:rPr>
      </w:pPr>
    </w:p>
    <w:p w14:paraId="5EEB352D">
      <w:pPr>
        <w:spacing w:line="400" w:lineRule="exact"/>
        <w:jc w:val="center"/>
        <w:rPr>
          <w:rFonts w:ascii="宋体" w:hAnsi="宋体"/>
          <w:bCs/>
          <w:sz w:val="28"/>
          <w:szCs w:val="28"/>
        </w:rPr>
        <w:sectPr>
          <w:footerReference r:id="rId3" w:type="default"/>
          <w:footerReference r:id="rId4" w:type="even"/>
          <w:pgSz w:w="11906" w:h="16838"/>
          <w:pgMar w:top="1134" w:right="1191" w:bottom="1134" w:left="1474" w:header="340" w:footer="1361" w:gutter="0"/>
          <w:cols w:space="720" w:num="1"/>
          <w:docGrid w:type="linesAndChars" w:linePitch="312" w:charSpace="0"/>
        </w:sectPr>
      </w:pPr>
    </w:p>
    <w:p w14:paraId="674AFE53">
      <w:pPr>
        <w:outlineLvl w:val="1"/>
        <w:rPr>
          <w:rFonts w:ascii="宋体" w:hAnsi="宋体"/>
          <w:sz w:val="28"/>
          <w:szCs w:val="28"/>
        </w:rPr>
      </w:pPr>
      <w:bookmarkStart w:id="25" w:name="_Toc23392"/>
      <w:bookmarkStart w:id="26" w:name="_Toc20729"/>
      <w:bookmarkStart w:id="27" w:name="_Toc17020"/>
      <w:r>
        <w:rPr>
          <w:rFonts w:hint="eastAsia" w:ascii="宋体" w:hAnsi="宋体"/>
          <w:sz w:val="28"/>
          <w:szCs w:val="28"/>
        </w:rPr>
        <w:t>附件五</w:t>
      </w:r>
      <w:bookmarkEnd w:id="25"/>
      <w:bookmarkEnd w:id="26"/>
      <w:bookmarkEnd w:id="27"/>
    </w:p>
    <w:p w14:paraId="6946CB2F">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cs="新宋体"/>
          <w:b/>
          <w:bCs/>
          <w:kern w:val="0"/>
          <w:sz w:val="36"/>
          <w:szCs w:val="36"/>
          <w:lang w:val="en-US" w:eastAsia="zh-CN"/>
        </w:rPr>
      </w:pPr>
      <w:bookmarkStart w:id="28" w:name="_Toc8890"/>
      <w:r>
        <w:rPr>
          <w:rFonts w:hint="eastAsia" w:ascii="宋体" w:hAnsi="宋体" w:cs="新宋体"/>
          <w:b/>
          <w:bCs/>
          <w:kern w:val="0"/>
          <w:sz w:val="36"/>
          <w:szCs w:val="36"/>
        </w:rPr>
        <w:t>需求明细表</w:t>
      </w:r>
      <w:r>
        <w:rPr>
          <w:rFonts w:hint="eastAsia" w:ascii="宋体" w:hAnsi="宋体" w:cs="新宋体"/>
          <w:b/>
          <w:bCs/>
          <w:kern w:val="0"/>
          <w:sz w:val="36"/>
          <w:szCs w:val="36"/>
          <w:lang w:val="en-US" w:eastAsia="zh-CN"/>
        </w:rPr>
        <w:t>1</w:t>
      </w:r>
      <w:bookmarkEnd w:id="28"/>
    </w:p>
    <w:p w14:paraId="54683C66">
      <w:pPr>
        <w:spacing w:line="360" w:lineRule="auto"/>
        <w:jc w:val="left"/>
        <w:rPr>
          <w:rFonts w:hint="eastAsia" w:ascii="仿宋_GB2312" w:hAnsi="仿宋_GB2312" w:eastAsia="仿宋_GB2312" w:cs="仿宋_GB2312"/>
        </w:rPr>
      </w:pPr>
      <w:r>
        <w:rPr>
          <w:rFonts w:hint="eastAsia" w:ascii="仿宋_GB2312" w:hAnsi="仿宋_GB2312" w:eastAsia="仿宋_GB2312" w:cs="仿宋_GB2312"/>
          <w:b/>
          <w:szCs w:val="21"/>
        </w:rPr>
        <w:t xml:space="preserve">招标人名称：中铁二局集团有限公司                               招标编号: </w:t>
      </w:r>
      <w:r>
        <w:rPr>
          <w:rFonts w:eastAsia="仿宋_GB2312"/>
          <w:color w:val="000000"/>
          <w:kern w:val="0"/>
          <w:szCs w:val="21"/>
          <w:highlight w:val="none"/>
          <w:lang w:bidi="ar"/>
        </w:rPr>
        <w:t>ZTEJ-2025</w:t>
      </w:r>
      <w:r>
        <w:rPr>
          <w:rFonts w:hint="eastAsia" w:eastAsia="仿宋_GB2312"/>
          <w:color w:val="000000"/>
          <w:kern w:val="0"/>
          <w:szCs w:val="21"/>
          <w:highlight w:val="none"/>
          <w:lang w:val="en-US" w:eastAsia="zh-CN" w:bidi="ar"/>
        </w:rPr>
        <w:t>619</w:t>
      </w:r>
      <w:r>
        <w:rPr>
          <w:rFonts w:eastAsia="仿宋_GB2312"/>
          <w:color w:val="000000"/>
          <w:kern w:val="0"/>
          <w:szCs w:val="21"/>
          <w:highlight w:val="none"/>
          <w:lang w:bidi="ar"/>
        </w:rPr>
        <w:t xml:space="preserve"> </w:t>
      </w:r>
      <w:r>
        <w:rPr>
          <w:rFonts w:hint="eastAsia" w:ascii="仿宋_GB2312" w:hAnsi="仿宋_GB2312" w:eastAsia="仿宋_GB2312" w:cs="仿宋_GB2312"/>
          <w:b/>
          <w:szCs w:val="21"/>
        </w:rPr>
        <w:t xml:space="preserve">                                包件：DC</w:t>
      </w:r>
      <w:r>
        <w:rPr>
          <w:rFonts w:ascii="仿宋_GB2312" w:hAnsi="仿宋_GB2312" w:eastAsia="仿宋_GB2312" w:cs="仿宋_GB2312"/>
          <w:b/>
          <w:szCs w:val="21"/>
        </w:rPr>
        <w:t>-</w:t>
      </w:r>
      <w:r>
        <w:rPr>
          <w:rFonts w:hint="eastAsia" w:ascii="仿宋_GB2312" w:hAnsi="仿宋_GB2312" w:eastAsia="仿宋_GB2312" w:cs="仿宋_GB2312"/>
          <w:b/>
          <w:szCs w:val="21"/>
          <w:lang w:val="en-US" w:eastAsia="zh-CN"/>
        </w:rPr>
        <w:t>0</w:t>
      </w:r>
      <w:r>
        <w:rPr>
          <w:rFonts w:hint="eastAsia" w:ascii="仿宋_GB2312" w:hAnsi="仿宋_GB2312" w:eastAsia="仿宋_GB2312" w:cs="仿宋_GB2312"/>
          <w:b/>
          <w:szCs w:val="21"/>
        </w:rPr>
        <w:t>1</w:t>
      </w:r>
    </w:p>
    <w:tbl>
      <w:tblPr>
        <w:tblStyle w:val="8"/>
        <w:tblW w:w="14601" w:type="dxa"/>
        <w:tblInd w:w="-34" w:type="dxa"/>
        <w:tblLayout w:type="fixed"/>
        <w:tblCellMar>
          <w:top w:w="0" w:type="dxa"/>
          <w:left w:w="108" w:type="dxa"/>
          <w:bottom w:w="0" w:type="dxa"/>
          <w:right w:w="108" w:type="dxa"/>
        </w:tblCellMar>
      </w:tblPr>
      <w:tblGrid>
        <w:gridCol w:w="844"/>
        <w:gridCol w:w="2315"/>
        <w:gridCol w:w="1548"/>
        <w:gridCol w:w="1009"/>
        <w:gridCol w:w="711"/>
        <w:gridCol w:w="989"/>
        <w:gridCol w:w="1549"/>
        <w:gridCol w:w="1410"/>
        <w:gridCol w:w="1996"/>
        <w:gridCol w:w="1238"/>
        <w:gridCol w:w="992"/>
      </w:tblGrid>
      <w:tr w14:paraId="5261CEDA">
        <w:tblPrEx>
          <w:tblCellMar>
            <w:top w:w="0" w:type="dxa"/>
            <w:left w:w="108" w:type="dxa"/>
            <w:bottom w:w="0" w:type="dxa"/>
            <w:right w:w="108" w:type="dxa"/>
          </w:tblCellMar>
        </w:tblPrEx>
        <w:trPr>
          <w:trHeight w:val="1004" w:hRule="atLeast"/>
        </w:trPr>
        <w:tc>
          <w:tcPr>
            <w:tcW w:w="844" w:type="dxa"/>
            <w:tcBorders>
              <w:top w:val="single" w:color="auto" w:sz="4" w:space="0"/>
              <w:left w:val="single" w:color="auto" w:sz="4" w:space="0"/>
              <w:bottom w:val="single" w:color="auto" w:sz="4" w:space="0"/>
              <w:right w:val="single" w:color="auto" w:sz="4" w:space="0"/>
            </w:tcBorders>
            <w:noWrap w:val="0"/>
            <w:vAlign w:val="center"/>
          </w:tcPr>
          <w:p w14:paraId="54B0D8E3">
            <w:pPr>
              <w:widowControl/>
              <w:jc w:val="center"/>
              <w:textAlignment w:val="center"/>
              <w:rPr>
                <w:rFonts w:ascii="宋体" w:hAnsi="宋体" w:cs="仿宋_GB2312"/>
                <w:color w:val="000000"/>
                <w:sz w:val="20"/>
                <w:szCs w:val="20"/>
              </w:rPr>
            </w:pPr>
            <w:r>
              <w:rPr>
                <w:rFonts w:hint="eastAsia" w:ascii="宋体" w:hAnsi="宋体" w:cs="仿宋_GB2312"/>
                <w:color w:val="000000"/>
                <w:kern w:val="0"/>
                <w:sz w:val="20"/>
                <w:szCs w:val="20"/>
                <w:lang w:bidi="ar"/>
              </w:rPr>
              <w:t>序号</w:t>
            </w:r>
          </w:p>
        </w:tc>
        <w:tc>
          <w:tcPr>
            <w:tcW w:w="2315" w:type="dxa"/>
            <w:tcBorders>
              <w:top w:val="single" w:color="auto" w:sz="4" w:space="0"/>
              <w:left w:val="single" w:color="auto" w:sz="4" w:space="0"/>
              <w:bottom w:val="single" w:color="auto" w:sz="4" w:space="0"/>
              <w:right w:val="single" w:color="auto" w:sz="4" w:space="0"/>
            </w:tcBorders>
            <w:noWrap w:val="0"/>
            <w:vAlign w:val="center"/>
          </w:tcPr>
          <w:p w14:paraId="780CDC35">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工程项目</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67865120">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标的名称</w:t>
            </w:r>
          </w:p>
        </w:tc>
        <w:tc>
          <w:tcPr>
            <w:tcW w:w="1009" w:type="dxa"/>
            <w:tcBorders>
              <w:top w:val="single" w:color="auto" w:sz="4" w:space="0"/>
              <w:left w:val="single" w:color="auto" w:sz="4" w:space="0"/>
              <w:bottom w:val="single" w:color="auto" w:sz="4" w:space="0"/>
              <w:right w:val="single" w:color="auto" w:sz="4" w:space="0"/>
            </w:tcBorders>
            <w:noWrap w:val="0"/>
            <w:vAlign w:val="center"/>
          </w:tcPr>
          <w:p w14:paraId="25A97093">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规格型号</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30D252D3">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计量单位</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26D5AF25">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采购数量</w:t>
            </w:r>
          </w:p>
        </w:tc>
        <w:tc>
          <w:tcPr>
            <w:tcW w:w="1549" w:type="dxa"/>
            <w:tcBorders>
              <w:top w:val="single" w:color="auto" w:sz="4" w:space="0"/>
              <w:left w:val="single" w:color="auto" w:sz="4" w:space="0"/>
              <w:bottom w:val="single" w:color="auto" w:sz="4" w:space="0"/>
              <w:right w:val="single" w:color="auto" w:sz="4" w:space="0"/>
            </w:tcBorders>
            <w:noWrap w:val="0"/>
            <w:vAlign w:val="center"/>
          </w:tcPr>
          <w:p w14:paraId="2D9FDD03">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定货要求</w:t>
            </w:r>
          </w:p>
        </w:tc>
        <w:tc>
          <w:tcPr>
            <w:tcW w:w="1410" w:type="dxa"/>
            <w:tcBorders>
              <w:top w:val="single" w:color="auto" w:sz="4" w:space="0"/>
              <w:left w:val="single" w:color="auto" w:sz="4" w:space="0"/>
              <w:bottom w:val="single" w:color="auto" w:sz="4" w:space="0"/>
              <w:right w:val="single" w:color="auto" w:sz="4" w:space="0"/>
            </w:tcBorders>
            <w:noWrap w:val="0"/>
            <w:vAlign w:val="center"/>
          </w:tcPr>
          <w:p w14:paraId="106C7DFF">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质量标准技术要求</w:t>
            </w:r>
          </w:p>
        </w:tc>
        <w:tc>
          <w:tcPr>
            <w:tcW w:w="1996" w:type="dxa"/>
            <w:tcBorders>
              <w:top w:val="single" w:color="auto" w:sz="4" w:space="0"/>
              <w:left w:val="single" w:color="auto" w:sz="4" w:space="0"/>
              <w:bottom w:val="single" w:color="auto" w:sz="4" w:space="0"/>
              <w:right w:val="single" w:color="auto" w:sz="4" w:space="0"/>
            </w:tcBorders>
            <w:noWrap w:val="0"/>
            <w:vAlign w:val="center"/>
          </w:tcPr>
          <w:p w14:paraId="330BD5C4">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详细地址</w:t>
            </w:r>
          </w:p>
        </w:tc>
        <w:tc>
          <w:tcPr>
            <w:tcW w:w="1238" w:type="dxa"/>
            <w:tcBorders>
              <w:top w:val="single" w:color="auto" w:sz="4" w:space="0"/>
              <w:left w:val="single" w:color="auto" w:sz="4" w:space="0"/>
              <w:bottom w:val="single" w:color="auto" w:sz="4" w:space="0"/>
              <w:right w:val="single" w:color="auto" w:sz="4" w:space="0"/>
            </w:tcBorders>
            <w:noWrap w:val="0"/>
            <w:vAlign w:val="center"/>
          </w:tcPr>
          <w:p w14:paraId="7E683C6E">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交货期</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056DEF0">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备注</w:t>
            </w:r>
          </w:p>
        </w:tc>
      </w:tr>
      <w:tr w14:paraId="0506A263">
        <w:tblPrEx>
          <w:tblCellMar>
            <w:top w:w="0" w:type="dxa"/>
            <w:left w:w="108" w:type="dxa"/>
            <w:bottom w:w="0" w:type="dxa"/>
            <w:right w:w="108" w:type="dxa"/>
          </w:tblCellMar>
        </w:tblPrEx>
        <w:trPr>
          <w:trHeight w:val="420" w:hRule="atLeast"/>
        </w:trPr>
        <w:tc>
          <w:tcPr>
            <w:tcW w:w="844" w:type="dxa"/>
            <w:tcBorders>
              <w:top w:val="single" w:color="auto" w:sz="4" w:space="0"/>
              <w:left w:val="single" w:color="auto" w:sz="4" w:space="0"/>
              <w:bottom w:val="single" w:color="auto" w:sz="4" w:space="0"/>
              <w:right w:val="single" w:color="auto" w:sz="4" w:space="0"/>
            </w:tcBorders>
            <w:noWrap w:val="0"/>
            <w:vAlign w:val="center"/>
          </w:tcPr>
          <w:p w14:paraId="66B83ED4">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1</w:t>
            </w:r>
          </w:p>
        </w:tc>
        <w:tc>
          <w:tcPr>
            <w:tcW w:w="2315" w:type="dxa"/>
            <w:noWrap w:val="0"/>
            <w:vAlign w:val="center"/>
          </w:tcPr>
          <w:p w14:paraId="298929F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中铁二局第五工程有限公司磨憨沿边产业园核心区连接配套区基础设施项目一期项目经理部</w:t>
            </w:r>
          </w:p>
        </w:tc>
        <w:tc>
          <w:tcPr>
            <w:tcW w:w="1548" w:type="dxa"/>
            <w:tcBorders>
              <w:top w:val="single" w:color="auto" w:sz="4" w:space="0"/>
              <w:left w:val="single" w:color="auto" w:sz="4" w:space="0"/>
              <w:bottom w:val="nil"/>
              <w:right w:val="single" w:color="auto" w:sz="4" w:space="0"/>
            </w:tcBorders>
            <w:noWrap/>
            <w:vAlign w:val="center"/>
          </w:tcPr>
          <w:p w14:paraId="67A27772">
            <w:pPr>
              <w:widowControl/>
              <w:jc w:val="center"/>
              <w:textAlignment w:val="center"/>
              <w:rPr>
                <w:rFonts w:hint="eastAsia" w:ascii="宋体" w:hAnsi="宋体" w:cs="宋体"/>
                <w:color w:val="000000"/>
                <w:sz w:val="20"/>
                <w:szCs w:val="20"/>
              </w:rPr>
            </w:pPr>
            <w:r>
              <w:rPr>
                <w:rFonts w:hint="eastAsia" w:ascii="仿宋" w:hAnsi="仿宋" w:eastAsia="仿宋" w:cs="仿宋"/>
                <w:color w:val="000000"/>
                <w:sz w:val="20"/>
                <w:szCs w:val="20"/>
              </w:rPr>
              <w:t>碎石</w:t>
            </w:r>
          </w:p>
        </w:tc>
        <w:tc>
          <w:tcPr>
            <w:tcW w:w="1009" w:type="dxa"/>
            <w:tcBorders>
              <w:top w:val="single" w:color="auto" w:sz="4" w:space="0"/>
              <w:left w:val="nil"/>
              <w:bottom w:val="single" w:color="auto" w:sz="4" w:space="0"/>
              <w:right w:val="single" w:color="auto" w:sz="4" w:space="0"/>
            </w:tcBorders>
            <w:noWrap w:val="0"/>
            <w:vAlign w:val="center"/>
          </w:tcPr>
          <w:p w14:paraId="3F65F4E7">
            <w:pPr>
              <w:widowControl/>
              <w:jc w:val="center"/>
              <w:textAlignment w:val="center"/>
              <w:rPr>
                <w:rFonts w:ascii="宋体" w:hAnsi="宋体" w:cs="宋体"/>
                <w:color w:val="000000"/>
                <w:sz w:val="20"/>
                <w:szCs w:val="20"/>
              </w:rPr>
            </w:pPr>
            <w:r>
              <w:rPr>
                <w:rFonts w:hint="eastAsia" w:ascii="宋体" w:hAnsi="宋体" w:cs="宋体"/>
                <w:color w:val="000000"/>
                <w:sz w:val="20"/>
                <w:szCs w:val="20"/>
              </w:rPr>
              <w:t>综合</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6AC151D4">
            <w:pPr>
              <w:widowControl/>
              <w:textAlignment w:val="center"/>
              <w:rPr>
                <w:rFonts w:ascii="宋体" w:hAnsi="宋体" w:cs="宋体"/>
                <w:color w:val="000000"/>
                <w:sz w:val="20"/>
                <w:szCs w:val="20"/>
              </w:rPr>
            </w:pPr>
            <w:r>
              <w:rPr>
                <w:rFonts w:hint="eastAsia" w:ascii="宋体" w:hAnsi="宋体" w:cs="宋体"/>
                <w:color w:val="000000"/>
                <w:sz w:val="20"/>
                <w:szCs w:val="20"/>
              </w:rPr>
              <w:t>m3</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1EBA06B5">
            <w:pPr>
              <w:widowControl/>
              <w:jc w:val="center"/>
              <w:textAlignment w:val="center"/>
              <w:rPr>
                <w:rFonts w:ascii="宋体" w:hAnsi="宋体" w:cs="宋体"/>
                <w:color w:val="000000"/>
                <w:sz w:val="20"/>
                <w:szCs w:val="20"/>
              </w:rPr>
            </w:pPr>
            <w:r>
              <w:rPr>
                <w:rFonts w:hint="eastAsia" w:ascii="仿宋" w:hAnsi="仿宋" w:eastAsia="仿宋" w:cs="仿宋"/>
                <w:color w:val="000000"/>
                <w:kern w:val="0"/>
                <w:sz w:val="20"/>
                <w:szCs w:val="20"/>
                <w:lang w:bidi="ar"/>
              </w:rPr>
              <w:t>40479.5</w:t>
            </w:r>
          </w:p>
        </w:tc>
        <w:tc>
          <w:tcPr>
            <w:tcW w:w="1549" w:type="dxa"/>
            <w:tcBorders>
              <w:top w:val="single" w:color="auto" w:sz="4" w:space="0"/>
              <w:left w:val="single" w:color="auto" w:sz="4" w:space="0"/>
              <w:right w:val="single" w:color="auto" w:sz="4" w:space="0"/>
            </w:tcBorders>
            <w:noWrap w:val="0"/>
            <w:vAlign w:val="center"/>
          </w:tcPr>
          <w:p w14:paraId="129241F7">
            <w:pPr>
              <w:jc w:val="center"/>
              <w:textAlignment w:val="center"/>
              <w:rPr>
                <w:rFonts w:ascii="宋体" w:hAnsi="宋体" w:cs="仿宋_GB2312"/>
                <w:color w:val="000000"/>
                <w:sz w:val="20"/>
                <w:szCs w:val="20"/>
              </w:rPr>
            </w:pPr>
            <w:r>
              <w:rPr>
                <w:rFonts w:hint="eastAsia" w:ascii="宋体" w:hAnsi="宋体" w:cs="仿宋_GB2312"/>
                <w:color w:val="000000"/>
                <w:sz w:val="20"/>
                <w:szCs w:val="20"/>
              </w:rPr>
              <w:t>满足施工现场需要</w:t>
            </w:r>
          </w:p>
        </w:tc>
        <w:tc>
          <w:tcPr>
            <w:tcW w:w="1410" w:type="dxa"/>
            <w:tcBorders>
              <w:top w:val="single" w:color="auto" w:sz="4" w:space="0"/>
              <w:left w:val="single" w:color="auto" w:sz="4" w:space="0"/>
              <w:right w:val="single" w:color="auto" w:sz="4" w:space="0"/>
            </w:tcBorders>
            <w:noWrap w:val="0"/>
            <w:vAlign w:val="center"/>
          </w:tcPr>
          <w:p w14:paraId="4E5A0B77">
            <w:pPr>
              <w:jc w:val="center"/>
              <w:textAlignment w:val="center"/>
              <w:rPr>
                <w:rFonts w:hint="eastAsia" w:ascii="宋体" w:hAnsi="宋体" w:cs="仿宋_GB2312"/>
                <w:color w:val="000000"/>
                <w:sz w:val="20"/>
                <w:szCs w:val="20"/>
              </w:rPr>
            </w:pPr>
            <w:r>
              <w:rPr>
                <w:rFonts w:hint="eastAsia" w:ascii="宋体" w:hAnsi="宋体"/>
                <w:szCs w:val="28"/>
              </w:rPr>
              <w:t>满足JTG/T 3650-2020中的相关规定</w:t>
            </w:r>
          </w:p>
        </w:tc>
        <w:tc>
          <w:tcPr>
            <w:tcW w:w="1996" w:type="dxa"/>
            <w:tcBorders>
              <w:top w:val="single" w:color="auto" w:sz="4" w:space="0"/>
              <w:left w:val="single" w:color="auto" w:sz="4" w:space="0"/>
              <w:right w:val="single" w:color="auto" w:sz="4" w:space="0"/>
            </w:tcBorders>
            <w:noWrap w:val="0"/>
            <w:vAlign w:val="center"/>
          </w:tcPr>
          <w:p w14:paraId="4723C079">
            <w:pPr>
              <w:widowControl/>
              <w:textAlignment w:val="center"/>
              <w:rPr>
                <w:rFonts w:ascii="宋体" w:hAnsi="宋体" w:cs="仿宋_GB2312"/>
                <w:color w:val="000000"/>
                <w:sz w:val="20"/>
                <w:szCs w:val="20"/>
              </w:rPr>
            </w:pPr>
            <w:r>
              <w:rPr>
                <w:rFonts w:hint="eastAsia" w:ascii="宋体" w:hAnsi="宋体" w:cs="宋体"/>
                <w:color w:val="000000"/>
                <w:sz w:val="20"/>
                <w:szCs w:val="20"/>
              </w:rPr>
              <w:t>云南省西双版纳州勐腊县磨憨镇磨憨产业园一期项目工地</w:t>
            </w:r>
          </w:p>
        </w:tc>
        <w:tc>
          <w:tcPr>
            <w:tcW w:w="1238" w:type="dxa"/>
            <w:tcBorders>
              <w:top w:val="single" w:color="auto" w:sz="4" w:space="0"/>
              <w:left w:val="single" w:color="auto" w:sz="4" w:space="0"/>
              <w:right w:val="single" w:color="auto" w:sz="4" w:space="0"/>
            </w:tcBorders>
            <w:noWrap w:val="0"/>
            <w:vAlign w:val="center"/>
          </w:tcPr>
          <w:p w14:paraId="68E83E3C">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根据需求批次进货至工程结束</w:t>
            </w:r>
          </w:p>
        </w:tc>
        <w:tc>
          <w:tcPr>
            <w:tcW w:w="992" w:type="dxa"/>
            <w:tcBorders>
              <w:top w:val="single" w:color="auto" w:sz="4" w:space="0"/>
              <w:left w:val="single" w:color="auto" w:sz="4" w:space="0"/>
              <w:right w:val="single" w:color="auto" w:sz="4" w:space="0"/>
            </w:tcBorders>
            <w:noWrap w:val="0"/>
            <w:vAlign w:val="center"/>
          </w:tcPr>
          <w:p w14:paraId="5912386C">
            <w:pPr>
              <w:jc w:val="left"/>
              <w:rPr>
                <w:rFonts w:ascii="宋体" w:hAnsi="宋体" w:cs="仿宋_GB2312"/>
                <w:color w:val="000000"/>
                <w:sz w:val="20"/>
                <w:szCs w:val="20"/>
              </w:rPr>
            </w:pPr>
          </w:p>
        </w:tc>
      </w:tr>
      <w:tr w14:paraId="0F0DC0F1">
        <w:tblPrEx>
          <w:tblCellMar>
            <w:top w:w="0" w:type="dxa"/>
            <w:left w:w="108" w:type="dxa"/>
            <w:bottom w:w="0" w:type="dxa"/>
            <w:right w:w="108" w:type="dxa"/>
          </w:tblCellMar>
        </w:tblPrEx>
        <w:trPr>
          <w:trHeight w:val="535" w:hRule="atLeast"/>
        </w:trPr>
        <w:tc>
          <w:tcPr>
            <w:tcW w:w="8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1535F1">
            <w:pPr>
              <w:jc w:val="center"/>
              <w:rPr>
                <w:rFonts w:hint="eastAsia" w:ascii="宋体" w:hAnsi="宋体" w:cs="仿宋_GB2312"/>
                <w:color w:val="000000"/>
                <w:sz w:val="20"/>
                <w:szCs w:val="20"/>
              </w:rPr>
            </w:pPr>
          </w:p>
        </w:tc>
        <w:tc>
          <w:tcPr>
            <w:tcW w:w="23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D89556">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合计</w:t>
            </w:r>
          </w:p>
        </w:tc>
        <w:tc>
          <w:tcPr>
            <w:tcW w:w="154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D767A0">
            <w:pPr>
              <w:jc w:val="center"/>
              <w:rPr>
                <w:rFonts w:hint="eastAsia" w:ascii="宋体" w:hAnsi="宋体" w:cs="仿宋_GB2312"/>
                <w:color w:val="000000"/>
                <w:sz w:val="20"/>
                <w:szCs w:val="20"/>
              </w:rPr>
            </w:pPr>
          </w:p>
        </w:tc>
        <w:tc>
          <w:tcPr>
            <w:tcW w:w="10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572CE3">
            <w:pPr>
              <w:jc w:val="center"/>
              <w:rPr>
                <w:rFonts w:hint="eastAsia" w:ascii="宋体" w:hAnsi="宋体" w:cs="仿宋_GB2312"/>
                <w:color w:val="000000"/>
                <w:sz w:val="20"/>
                <w:szCs w:val="20"/>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2B74E">
            <w:pPr>
              <w:widowControl/>
              <w:jc w:val="center"/>
              <w:textAlignment w:val="center"/>
              <w:rPr>
                <w:rFonts w:hint="eastAsia" w:ascii="宋体" w:hAnsi="宋体" w:cs="仿宋_GB2312"/>
                <w:color w:val="000000"/>
                <w:sz w:val="20"/>
                <w:szCs w:val="20"/>
              </w:rPr>
            </w:pPr>
          </w:p>
        </w:tc>
        <w:tc>
          <w:tcPr>
            <w:tcW w:w="989" w:type="dxa"/>
            <w:tcBorders>
              <w:top w:val="nil"/>
              <w:left w:val="single" w:color="auto" w:sz="4" w:space="0"/>
              <w:bottom w:val="single" w:color="auto" w:sz="4" w:space="0"/>
              <w:right w:val="single" w:color="auto" w:sz="4" w:space="0"/>
            </w:tcBorders>
            <w:shd w:val="clear" w:color="auto" w:fill="auto"/>
            <w:noWrap w:val="0"/>
            <w:vAlign w:val="center"/>
          </w:tcPr>
          <w:p w14:paraId="102AD39A">
            <w:pPr>
              <w:widowControl/>
              <w:jc w:val="center"/>
              <w:textAlignment w:val="center"/>
              <w:rPr>
                <w:rFonts w:ascii="方正仿宋_GB2312" w:hAnsi="方正仿宋_GB2312" w:eastAsia="方正仿宋_GB2312" w:cs="方正仿宋_GB2312"/>
                <w:b/>
                <w:bCs/>
                <w:color w:val="000000"/>
                <w:sz w:val="20"/>
                <w:szCs w:val="20"/>
              </w:rPr>
            </w:pPr>
          </w:p>
        </w:tc>
        <w:tc>
          <w:tcPr>
            <w:tcW w:w="15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E15EBE">
            <w:pPr>
              <w:jc w:val="center"/>
              <w:rPr>
                <w:rFonts w:hint="eastAsia" w:ascii="宋体" w:hAnsi="宋体" w:cs="仿宋_GB2312"/>
                <w:color w:val="000000"/>
                <w:sz w:val="20"/>
                <w:szCs w:val="20"/>
              </w:rPr>
            </w:pPr>
          </w:p>
        </w:tc>
        <w:tc>
          <w:tcPr>
            <w:tcW w:w="14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789253">
            <w:pPr>
              <w:jc w:val="center"/>
              <w:rPr>
                <w:rFonts w:hint="eastAsia" w:ascii="宋体" w:hAnsi="宋体" w:cs="仿宋_GB2312"/>
                <w:color w:val="000000"/>
                <w:sz w:val="20"/>
                <w:szCs w:val="20"/>
              </w:rPr>
            </w:pPr>
          </w:p>
        </w:tc>
        <w:tc>
          <w:tcPr>
            <w:tcW w:w="19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4B4A81">
            <w:pPr>
              <w:jc w:val="center"/>
              <w:rPr>
                <w:rFonts w:hint="eastAsia" w:ascii="宋体" w:hAnsi="宋体" w:cs="仿宋_GB2312"/>
                <w:color w:val="000000"/>
                <w:sz w:val="20"/>
                <w:szCs w:val="20"/>
              </w:rPr>
            </w:pPr>
          </w:p>
        </w:tc>
        <w:tc>
          <w:tcPr>
            <w:tcW w:w="12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0EF09C">
            <w:pPr>
              <w:jc w:val="center"/>
              <w:rPr>
                <w:rFonts w:hint="eastAsia" w:ascii="宋体" w:hAnsi="宋体" w:cs="仿宋_GB2312"/>
                <w:color w:val="000000"/>
                <w:sz w:val="20"/>
                <w:szCs w:val="20"/>
              </w:rPr>
            </w:pPr>
          </w:p>
        </w:tc>
        <w:tc>
          <w:tcPr>
            <w:tcW w:w="992" w:type="dxa"/>
            <w:tcBorders>
              <w:top w:val="single" w:color="auto" w:sz="4" w:space="0"/>
              <w:left w:val="single" w:color="auto" w:sz="4" w:space="0"/>
              <w:bottom w:val="single" w:color="auto" w:sz="4" w:space="0"/>
              <w:right w:val="single" w:color="auto" w:sz="4" w:space="0"/>
            </w:tcBorders>
            <w:noWrap/>
            <w:vAlign w:val="center"/>
          </w:tcPr>
          <w:p w14:paraId="5DFE6FF4">
            <w:pPr>
              <w:rPr>
                <w:rFonts w:hint="eastAsia" w:ascii="宋体" w:hAnsi="宋体" w:cs="宋体"/>
                <w:color w:val="000000"/>
                <w:sz w:val="20"/>
                <w:szCs w:val="20"/>
              </w:rPr>
            </w:pPr>
          </w:p>
        </w:tc>
      </w:tr>
    </w:tbl>
    <w:p w14:paraId="3F2F320B">
      <w:pPr>
        <w:adjustRightInd w:val="0"/>
        <w:snapToGrid w:val="0"/>
        <w:spacing w:line="360" w:lineRule="auto"/>
        <w:rPr>
          <w:rFonts w:hint="eastAsia" w:ascii="宋体" w:hAnsi="宋体" w:cs="仿宋_GB2312"/>
          <w:sz w:val="20"/>
          <w:szCs w:val="20"/>
        </w:rPr>
      </w:pPr>
      <w:r>
        <w:rPr>
          <w:rFonts w:hint="eastAsia" w:ascii="宋体" w:hAnsi="宋体" w:cs="仿宋_GB2312"/>
          <w:sz w:val="20"/>
          <w:szCs w:val="20"/>
        </w:rPr>
        <w:t>1.交货时间及地点具体以使用单位的书面通知为准，具体规格型号、数量与电商平台不一致的，以招标文件为准。</w:t>
      </w:r>
    </w:p>
    <w:p w14:paraId="11D392E1">
      <w:pPr>
        <w:spacing w:line="360" w:lineRule="auto"/>
        <w:rPr>
          <w:rFonts w:ascii="宋体" w:hAnsi="宋体"/>
          <w:sz w:val="20"/>
          <w:szCs w:val="20"/>
        </w:rPr>
      </w:pPr>
      <w:r>
        <w:rPr>
          <w:rFonts w:hint="eastAsia" w:ascii="宋体" w:hAnsi="宋体" w:cs="仿宋_GB2312"/>
          <w:sz w:val="20"/>
          <w:szCs w:val="20"/>
        </w:rPr>
        <w:t>2．结算单价：</w:t>
      </w:r>
      <w:r>
        <w:rPr>
          <w:rFonts w:ascii="宋体" w:hAnsi="宋体"/>
          <w:sz w:val="20"/>
          <w:szCs w:val="20"/>
        </w:rPr>
        <w:t xml:space="preserve"> </w:t>
      </w:r>
      <w:r>
        <w:rPr>
          <w:rFonts w:hint="eastAsia" w:ascii="宋体" w:hAnsi="宋体"/>
          <w:sz w:val="20"/>
          <w:szCs w:val="20"/>
        </w:rPr>
        <w:t>以中标价作为合同结算单价。</w:t>
      </w:r>
    </w:p>
    <w:p w14:paraId="18386713">
      <w:pPr>
        <w:spacing w:line="360" w:lineRule="auto"/>
        <w:rPr>
          <w:rFonts w:hint="eastAsia" w:ascii="宋体" w:hAnsi="宋体" w:cs="宋体"/>
          <w:bCs/>
          <w:sz w:val="20"/>
          <w:szCs w:val="20"/>
        </w:rPr>
      </w:pPr>
      <w:r>
        <w:rPr>
          <w:rFonts w:hint="eastAsia" w:ascii="宋体" w:hAnsi="宋体" w:cs="仿宋_GB2312"/>
          <w:bCs/>
          <w:sz w:val="20"/>
          <w:szCs w:val="20"/>
        </w:rPr>
        <w:t xml:space="preserve">3.付款条件： </w:t>
      </w:r>
      <w:r>
        <w:rPr>
          <w:rFonts w:hint="eastAsia" w:ascii="宋体" w:hAnsi="宋体" w:cs="宋体"/>
          <w:bCs/>
          <w:kern w:val="0"/>
          <w:sz w:val="20"/>
          <w:szCs w:val="20"/>
        </w:rPr>
        <w:t>遵循“先开票、后付款”的原则，</w:t>
      </w:r>
      <w:r>
        <w:rPr>
          <w:rFonts w:hint="eastAsia" w:ascii="宋体" w:hAnsi="宋体" w:cs="宋体"/>
          <w:sz w:val="20"/>
          <w:szCs w:val="20"/>
        </w:rPr>
        <w:t>按照磨憨产业园一期项目物资部实际结算数量开具增值税专用发票，</w:t>
      </w:r>
      <w:r>
        <w:rPr>
          <w:rFonts w:hint="eastAsia" w:ascii="宋体" w:hAnsi="宋体" w:cs="宋体"/>
          <w:bCs/>
          <w:kern w:val="0"/>
          <w:sz w:val="20"/>
          <w:szCs w:val="20"/>
        </w:rPr>
        <w:t>甲方支付前，乙方应按双方确认的当期应付金额向甲方提供增值税专用发票，并于发票开具后5日内提交给甲方，同时乙方向甲方提供砂石料资源税完税证明复印件留存备查。甲方收到乙方发票和完税证明后，按合同约定向乙方付款。</w:t>
      </w:r>
    </w:p>
    <w:p w14:paraId="54C4758C">
      <w:pPr>
        <w:spacing w:line="380" w:lineRule="exact"/>
        <w:rPr>
          <w:rFonts w:hint="eastAsia" w:ascii="宋体" w:hAnsi="宋体" w:cs="仿宋_GB2312"/>
          <w:bCs/>
          <w:sz w:val="20"/>
          <w:szCs w:val="20"/>
        </w:rPr>
      </w:pPr>
      <w:r>
        <w:rPr>
          <w:rFonts w:hint="eastAsia" w:ascii="宋体" w:hAnsi="宋体" w:cs="仿宋_GB2312"/>
          <w:bCs/>
          <w:sz w:val="20"/>
          <w:szCs w:val="20"/>
        </w:rPr>
        <w:t>4.发票要求：一票制增值税专用发票。增值税税率实行国家最新政策。若因国家税务政策变化导致税率调整，不含增值税价格不变，具体税金以变更后的税率计算。</w:t>
      </w:r>
    </w:p>
    <w:p w14:paraId="3C9E2C21">
      <w:pPr>
        <w:spacing w:line="380" w:lineRule="exact"/>
        <w:rPr>
          <w:rFonts w:hint="eastAsia" w:ascii="宋体" w:hAnsi="宋体" w:cs="仿宋_GB2312"/>
          <w:bCs/>
          <w:sz w:val="20"/>
          <w:szCs w:val="20"/>
        </w:rPr>
      </w:pPr>
    </w:p>
    <w:p w14:paraId="115E2A8E">
      <w:pPr>
        <w:spacing w:line="380" w:lineRule="exact"/>
        <w:rPr>
          <w:rFonts w:hint="eastAsia" w:ascii="宋体" w:hAnsi="宋体" w:cs="仿宋_GB2312"/>
          <w:bCs/>
          <w:sz w:val="20"/>
          <w:szCs w:val="20"/>
        </w:rPr>
      </w:pPr>
    </w:p>
    <w:p w14:paraId="61B72A6B">
      <w:pPr>
        <w:spacing w:line="380" w:lineRule="exact"/>
        <w:rPr>
          <w:rFonts w:hint="eastAsia" w:ascii="宋体" w:hAnsi="宋体" w:cs="仿宋_GB2312"/>
          <w:bCs/>
          <w:sz w:val="20"/>
          <w:szCs w:val="20"/>
        </w:rPr>
      </w:pPr>
    </w:p>
    <w:p w14:paraId="6FD9045F">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cs="新宋体"/>
          <w:b/>
          <w:bCs/>
          <w:kern w:val="0"/>
          <w:sz w:val="36"/>
          <w:szCs w:val="36"/>
          <w:lang w:eastAsia="zh-CN"/>
        </w:rPr>
      </w:pPr>
      <w:r>
        <w:rPr>
          <w:rFonts w:hint="eastAsia" w:ascii="宋体" w:hAnsi="宋体" w:cs="新宋体"/>
          <w:b/>
          <w:bCs/>
          <w:kern w:val="0"/>
          <w:sz w:val="36"/>
          <w:szCs w:val="36"/>
        </w:rPr>
        <w:t>需求明细表</w:t>
      </w:r>
      <w:r>
        <w:rPr>
          <w:rFonts w:hint="eastAsia" w:ascii="宋体" w:hAnsi="宋体" w:cs="新宋体"/>
          <w:b/>
          <w:bCs/>
          <w:kern w:val="0"/>
          <w:sz w:val="36"/>
          <w:szCs w:val="36"/>
          <w:lang w:val="en-US" w:eastAsia="zh-CN"/>
        </w:rPr>
        <w:t>2</w:t>
      </w:r>
    </w:p>
    <w:p w14:paraId="03D4A6F4">
      <w:pPr>
        <w:spacing w:line="360" w:lineRule="auto"/>
        <w:jc w:val="left"/>
        <w:rPr>
          <w:rFonts w:hint="eastAsia" w:ascii="仿宋_GB2312" w:hAnsi="仿宋_GB2312" w:eastAsia="仿宋_GB2312" w:cs="仿宋_GB2312"/>
        </w:rPr>
      </w:pPr>
      <w:r>
        <w:rPr>
          <w:rFonts w:hint="eastAsia" w:ascii="仿宋_GB2312" w:hAnsi="仿宋_GB2312" w:eastAsia="仿宋_GB2312" w:cs="仿宋_GB2312"/>
          <w:b/>
          <w:szCs w:val="21"/>
        </w:rPr>
        <w:t xml:space="preserve">招标人名称：中铁二局集团有限公司                               招标编号: </w:t>
      </w:r>
      <w:r>
        <w:rPr>
          <w:rFonts w:eastAsia="仿宋_GB2312"/>
          <w:color w:val="000000"/>
          <w:kern w:val="0"/>
          <w:szCs w:val="21"/>
          <w:highlight w:val="none"/>
          <w:lang w:bidi="ar"/>
        </w:rPr>
        <w:t>ZTEJ-2025</w:t>
      </w:r>
      <w:r>
        <w:rPr>
          <w:rFonts w:hint="eastAsia" w:eastAsia="仿宋_GB2312"/>
          <w:color w:val="000000"/>
          <w:kern w:val="0"/>
          <w:szCs w:val="21"/>
          <w:highlight w:val="none"/>
          <w:lang w:val="en-US" w:eastAsia="zh-CN" w:bidi="ar"/>
        </w:rPr>
        <w:t>619</w:t>
      </w:r>
      <w:r>
        <w:rPr>
          <w:rFonts w:eastAsia="仿宋_GB2312"/>
          <w:color w:val="000000"/>
          <w:kern w:val="0"/>
          <w:szCs w:val="21"/>
          <w:highlight w:val="none"/>
          <w:lang w:bidi="ar"/>
        </w:rPr>
        <w:t xml:space="preserve"> </w:t>
      </w:r>
      <w:r>
        <w:rPr>
          <w:rFonts w:hint="eastAsia" w:ascii="仿宋_GB2312" w:hAnsi="仿宋_GB2312" w:eastAsia="仿宋_GB2312" w:cs="仿宋_GB2312"/>
          <w:b/>
          <w:szCs w:val="21"/>
        </w:rPr>
        <w:t xml:space="preserve">                         包件：DC</w:t>
      </w:r>
      <w:r>
        <w:rPr>
          <w:rFonts w:ascii="仿宋_GB2312" w:hAnsi="仿宋_GB2312" w:eastAsia="仿宋_GB2312" w:cs="仿宋_GB2312"/>
          <w:b/>
          <w:szCs w:val="21"/>
        </w:rPr>
        <w:t>-</w:t>
      </w:r>
      <w:r>
        <w:rPr>
          <w:rFonts w:hint="eastAsia" w:ascii="仿宋_GB2312" w:hAnsi="仿宋_GB2312" w:eastAsia="仿宋_GB2312" w:cs="仿宋_GB2312"/>
          <w:b/>
          <w:szCs w:val="21"/>
          <w:lang w:val="en-US" w:eastAsia="zh-CN"/>
        </w:rPr>
        <w:t>0</w:t>
      </w:r>
      <w:r>
        <w:rPr>
          <w:rFonts w:hint="eastAsia" w:ascii="仿宋_GB2312" w:hAnsi="仿宋_GB2312" w:eastAsia="仿宋_GB2312" w:cs="仿宋_GB2312"/>
          <w:b/>
          <w:szCs w:val="21"/>
        </w:rPr>
        <w:t>2</w:t>
      </w:r>
    </w:p>
    <w:tbl>
      <w:tblPr>
        <w:tblStyle w:val="8"/>
        <w:tblW w:w="14601" w:type="dxa"/>
        <w:tblInd w:w="-34" w:type="dxa"/>
        <w:tblLayout w:type="fixed"/>
        <w:tblCellMar>
          <w:top w:w="0" w:type="dxa"/>
          <w:left w:w="108" w:type="dxa"/>
          <w:bottom w:w="0" w:type="dxa"/>
          <w:right w:w="108" w:type="dxa"/>
        </w:tblCellMar>
      </w:tblPr>
      <w:tblGrid>
        <w:gridCol w:w="841"/>
        <w:gridCol w:w="2393"/>
        <w:gridCol w:w="1316"/>
        <w:gridCol w:w="1155"/>
        <w:gridCol w:w="710"/>
        <w:gridCol w:w="1016"/>
        <w:gridCol w:w="1545"/>
        <w:gridCol w:w="1408"/>
        <w:gridCol w:w="1990"/>
        <w:gridCol w:w="1235"/>
        <w:gridCol w:w="992"/>
      </w:tblGrid>
      <w:tr w14:paraId="2F2A39EC">
        <w:tblPrEx>
          <w:tblCellMar>
            <w:top w:w="0" w:type="dxa"/>
            <w:left w:w="108" w:type="dxa"/>
            <w:bottom w:w="0" w:type="dxa"/>
            <w:right w:w="108" w:type="dxa"/>
          </w:tblCellMar>
        </w:tblPrEx>
        <w:trPr>
          <w:trHeight w:val="1004"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46AC63FF">
            <w:pPr>
              <w:widowControl/>
              <w:jc w:val="center"/>
              <w:textAlignment w:val="center"/>
              <w:rPr>
                <w:rFonts w:ascii="宋体" w:hAnsi="宋体" w:cs="仿宋_GB2312"/>
                <w:color w:val="000000"/>
                <w:sz w:val="20"/>
                <w:szCs w:val="20"/>
              </w:rPr>
            </w:pPr>
            <w:r>
              <w:rPr>
                <w:rFonts w:hint="eastAsia" w:ascii="宋体" w:hAnsi="宋体" w:cs="仿宋_GB2312"/>
                <w:color w:val="000000"/>
                <w:kern w:val="0"/>
                <w:sz w:val="20"/>
                <w:szCs w:val="20"/>
                <w:lang w:bidi="ar"/>
              </w:rPr>
              <w:t>序号</w:t>
            </w:r>
          </w:p>
        </w:tc>
        <w:tc>
          <w:tcPr>
            <w:tcW w:w="2393" w:type="dxa"/>
            <w:tcBorders>
              <w:top w:val="single" w:color="auto" w:sz="4" w:space="0"/>
              <w:left w:val="single" w:color="auto" w:sz="4" w:space="0"/>
              <w:bottom w:val="single" w:color="auto" w:sz="4" w:space="0"/>
              <w:right w:val="single" w:color="auto" w:sz="4" w:space="0"/>
            </w:tcBorders>
            <w:noWrap w:val="0"/>
            <w:vAlign w:val="center"/>
          </w:tcPr>
          <w:p w14:paraId="46B8B154">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工程项目</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7F85410D">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标的名称</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4B77F841">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规格型号</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615A35A5">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计量单位</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1D703B64">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采购数量</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183A6CD4">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定货要求</w:t>
            </w:r>
          </w:p>
        </w:tc>
        <w:tc>
          <w:tcPr>
            <w:tcW w:w="1408" w:type="dxa"/>
            <w:tcBorders>
              <w:top w:val="single" w:color="auto" w:sz="4" w:space="0"/>
              <w:left w:val="single" w:color="auto" w:sz="4" w:space="0"/>
              <w:bottom w:val="single" w:color="auto" w:sz="4" w:space="0"/>
              <w:right w:val="single" w:color="auto" w:sz="4" w:space="0"/>
            </w:tcBorders>
            <w:noWrap w:val="0"/>
            <w:vAlign w:val="center"/>
          </w:tcPr>
          <w:p w14:paraId="35E5D61A">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质量标准技术要求</w:t>
            </w:r>
          </w:p>
        </w:tc>
        <w:tc>
          <w:tcPr>
            <w:tcW w:w="1990" w:type="dxa"/>
            <w:tcBorders>
              <w:top w:val="single" w:color="auto" w:sz="4" w:space="0"/>
              <w:left w:val="single" w:color="auto" w:sz="4" w:space="0"/>
              <w:bottom w:val="single" w:color="auto" w:sz="4" w:space="0"/>
              <w:right w:val="single" w:color="auto" w:sz="4" w:space="0"/>
            </w:tcBorders>
            <w:noWrap w:val="0"/>
            <w:vAlign w:val="center"/>
          </w:tcPr>
          <w:p w14:paraId="32E27541">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详细地址</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1F3D5788">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交货期</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01111C7">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备注</w:t>
            </w:r>
          </w:p>
        </w:tc>
      </w:tr>
      <w:tr w14:paraId="53364BC1">
        <w:tblPrEx>
          <w:tblCellMar>
            <w:top w:w="0" w:type="dxa"/>
            <w:left w:w="108" w:type="dxa"/>
            <w:bottom w:w="0" w:type="dxa"/>
            <w:right w:w="108" w:type="dxa"/>
          </w:tblCellMar>
        </w:tblPrEx>
        <w:trPr>
          <w:trHeight w:val="420"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1073BAF0">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1</w:t>
            </w:r>
          </w:p>
        </w:tc>
        <w:tc>
          <w:tcPr>
            <w:tcW w:w="2393" w:type="dxa"/>
            <w:noWrap w:val="0"/>
            <w:vAlign w:val="center"/>
          </w:tcPr>
          <w:p w14:paraId="76C247A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中铁二局第五工程有限公司磨憨沿边产业园核心区连接配套区基础设施项目一期项目经理部</w:t>
            </w:r>
          </w:p>
        </w:tc>
        <w:tc>
          <w:tcPr>
            <w:tcW w:w="1316" w:type="dxa"/>
            <w:tcBorders>
              <w:top w:val="single" w:color="auto" w:sz="4" w:space="0"/>
              <w:left w:val="single" w:color="auto" w:sz="4" w:space="0"/>
              <w:bottom w:val="nil"/>
              <w:right w:val="single" w:color="auto" w:sz="4" w:space="0"/>
            </w:tcBorders>
            <w:noWrap/>
            <w:vAlign w:val="center"/>
          </w:tcPr>
          <w:p w14:paraId="5D967620">
            <w:pPr>
              <w:widowControl/>
              <w:jc w:val="center"/>
              <w:textAlignment w:val="center"/>
              <w:rPr>
                <w:rFonts w:ascii="宋体" w:hAnsi="宋体" w:cs="宋体"/>
                <w:color w:val="000000"/>
                <w:sz w:val="20"/>
                <w:szCs w:val="20"/>
              </w:rPr>
            </w:pPr>
            <w:r>
              <w:rPr>
                <w:rFonts w:hint="eastAsia" w:ascii="仿宋" w:hAnsi="仿宋" w:eastAsia="仿宋" w:cs="仿宋"/>
                <w:color w:val="000000"/>
                <w:sz w:val="20"/>
                <w:szCs w:val="20"/>
              </w:rPr>
              <w:t>级配碎石</w:t>
            </w:r>
          </w:p>
        </w:tc>
        <w:tc>
          <w:tcPr>
            <w:tcW w:w="1155" w:type="dxa"/>
            <w:tcBorders>
              <w:top w:val="single" w:color="auto" w:sz="4" w:space="0"/>
              <w:left w:val="nil"/>
              <w:bottom w:val="single" w:color="auto" w:sz="4" w:space="0"/>
              <w:right w:val="single" w:color="auto" w:sz="4" w:space="0"/>
            </w:tcBorders>
            <w:noWrap w:val="0"/>
            <w:vAlign w:val="center"/>
          </w:tcPr>
          <w:p w14:paraId="22800D11">
            <w:pPr>
              <w:widowControl/>
              <w:jc w:val="center"/>
              <w:textAlignment w:val="center"/>
              <w:rPr>
                <w:rFonts w:ascii="宋体" w:hAnsi="宋体" w:cs="宋体"/>
                <w:color w:val="000000"/>
                <w:sz w:val="20"/>
                <w:szCs w:val="20"/>
              </w:rPr>
            </w:pPr>
            <w:r>
              <w:rPr>
                <w:rFonts w:hint="eastAsia" w:ascii="宋体" w:hAnsi="宋体" w:cs="宋体"/>
                <w:color w:val="000000"/>
                <w:sz w:val="20"/>
                <w:szCs w:val="20"/>
              </w:rPr>
              <w:t>综合</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46660D02">
            <w:pPr>
              <w:widowControl/>
              <w:textAlignment w:val="center"/>
              <w:rPr>
                <w:rFonts w:ascii="宋体" w:hAnsi="宋体" w:cs="宋体"/>
                <w:color w:val="000000"/>
                <w:sz w:val="20"/>
                <w:szCs w:val="20"/>
              </w:rPr>
            </w:pPr>
            <w:r>
              <w:rPr>
                <w:rFonts w:hint="eastAsia" w:ascii="宋体" w:hAnsi="宋体" w:cs="宋体"/>
                <w:color w:val="000000"/>
                <w:sz w:val="20"/>
                <w:szCs w:val="20"/>
              </w:rPr>
              <w:t>m3</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14DD201D">
            <w:pPr>
              <w:widowControl/>
              <w:jc w:val="center"/>
              <w:textAlignment w:val="center"/>
              <w:rPr>
                <w:rFonts w:ascii="宋体" w:hAnsi="宋体" w:cs="宋体"/>
                <w:color w:val="000000"/>
                <w:sz w:val="20"/>
                <w:szCs w:val="20"/>
              </w:rPr>
            </w:pPr>
            <w:r>
              <w:rPr>
                <w:rFonts w:hint="eastAsia" w:ascii="仿宋" w:hAnsi="仿宋" w:eastAsia="仿宋" w:cs="仿宋"/>
                <w:color w:val="000000"/>
                <w:kern w:val="0"/>
                <w:sz w:val="20"/>
                <w:szCs w:val="20"/>
                <w:lang w:bidi="ar"/>
              </w:rPr>
              <w:t>16022.75</w:t>
            </w:r>
          </w:p>
        </w:tc>
        <w:tc>
          <w:tcPr>
            <w:tcW w:w="1545" w:type="dxa"/>
            <w:tcBorders>
              <w:top w:val="single" w:color="auto" w:sz="4" w:space="0"/>
              <w:left w:val="single" w:color="auto" w:sz="4" w:space="0"/>
              <w:right w:val="single" w:color="auto" w:sz="4" w:space="0"/>
            </w:tcBorders>
            <w:noWrap w:val="0"/>
            <w:vAlign w:val="center"/>
          </w:tcPr>
          <w:p w14:paraId="186A4C59">
            <w:pPr>
              <w:jc w:val="center"/>
              <w:textAlignment w:val="center"/>
              <w:rPr>
                <w:rFonts w:ascii="宋体" w:hAnsi="宋体" w:cs="仿宋_GB2312"/>
                <w:color w:val="000000"/>
                <w:sz w:val="20"/>
                <w:szCs w:val="20"/>
              </w:rPr>
            </w:pPr>
            <w:r>
              <w:rPr>
                <w:rFonts w:hint="eastAsia" w:ascii="宋体" w:hAnsi="宋体" w:cs="仿宋_GB2312"/>
                <w:color w:val="000000"/>
                <w:sz w:val="20"/>
                <w:szCs w:val="20"/>
              </w:rPr>
              <w:t>满足施工现场需要</w:t>
            </w:r>
          </w:p>
        </w:tc>
        <w:tc>
          <w:tcPr>
            <w:tcW w:w="1408" w:type="dxa"/>
            <w:tcBorders>
              <w:top w:val="single" w:color="auto" w:sz="4" w:space="0"/>
              <w:left w:val="single" w:color="auto" w:sz="4" w:space="0"/>
              <w:right w:val="single" w:color="auto" w:sz="4" w:space="0"/>
            </w:tcBorders>
            <w:noWrap w:val="0"/>
            <w:vAlign w:val="center"/>
          </w:tcPr>
          <w:p w14:paraId="221CD87A">
            <w:pPr>
              <w:jc w:val="center"/>
              <w:textAlignment w:val="center"/>
              <w:rPr>
                <w:rFonts w:hint="eastAsia" w:ascii="宋体" w:hAnsi="宋体" w:cs="仿宋_GB2312"/>
                <w:color w:val="000000"/>
                <w:sz w:val="20"/>
                <w:szCs w:val="20"/>
              </w:rPr>
            </w:pPr>
            <w:r>
              <w:rPr>
                <w:rFonts w:hint="eastAsia" w:ascii="宋体" w:hAnsi="宋体"/>
                <w:szCs w:val="28"/>
              </w:rPr>
              <w:t>满足JTG/T 3650-2020中的相关规定</w:t>
            </w:r>
          </w:p>
        </w:tc>
        <w:tc>
          <w:tcPr>
            <w:tcW w:w="1990" w:type="dxa"/>
            <w:tcBorders>
              <w:top w:val="single" w:color="auto" w:sz="4" w:space="0"/>
              <w:left w:val="single" w:color="auto" w:sz="4" w:space="0"/>
              <w:right w:val="single" w:color="auto" w:sz="4" w:space="0"/>
            </w:tcBorders>
            <w:noWrap w:val="0"/>
            <w:vAlign w:val="center"/>
          </w:tcPr>
          <w:p w14:paraId="13676158">
            <w:pPr>
              <w:widowControl/>
              <w:textAlignment w:val="center"/>
              <w:rPr>
                <w:rFonts w:ascii="宋体" w:hAnsi="宋体" w:cs="仿宋_GB2312"/>
                <w:color w:val="000000"/>
                <w:sz w:val="20"/>
                <w:szCs w:val="20"/>
              </w:rPr>
            </w:pPr>
            <w:r>
              <w:rPr>
                <w:rFonts w:hint="eastAsia" w:ascii="宋体" w:hAnsi="宋体" w:cs="宋体"/>
                <w:color w:val="000000"/>
                <w:sz w:val="20"/>
                <w:szCs w:val="20"/>
              </w:rPr>
              <w:t>云南省西双版纳州勐腊县磨憨镇磨憨产业园一期项目工地</w:t>
            </w:r>
          </w:p>
        </w:tc>
        <w:tc>
          <w:tcPr>
            <w:tcW w:w="1235" w:type="dxa"/>
            <w:tcBorders>
              <w:top w:val="single" w:color="auto" w:sz="4" w:space="0"/>
              <w:left w:val="single" w:color="auto" w:sz="4" w:space="0"/>
              <w:right w:val="single" w:color="auto" w:sz="4" w:space="0"/>
            </w:tcBorders>
            <w:noWrap w:val="0"/>
            <w:vAlign w:val="center"/>
          </w:tcPr>
          <w:p w14:paraId="3F2E4D35">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根据需求批次进货至工程结束</w:t>
            </w:r>
          </w:p>
        </w:tc>
        <w:tc>
          <w:tcPr>
            <w:tcW w:w="992" w:type="dxa"/>
            <w:tcBorders>
              <w:top w:val="single" w:color="auto" w:sz="4" w:space="0"/>
              <w:left w:val="single" w:color="auto" w:sz="4" w:space="0"/>
              <w:right w:val="single" w:color="auto" w:sz="4" w:space="0"/>
            </w:tcBorders>
            <w:noWrap w:val="0"/>
            <w:vAlign w:val="center"/>
          </w:tcPr>
          <w:p w14:paraId="1E0D0FDC">
            <w:pPr>
              <w:jc w:val="left"/>
              <w:rPr>
                <w:rFonts w:ascii="宋体" w:hAnsi="宋体" w:cs="仿宋_GB2312"/>
                <w:color w:val="000000"/>
                <w:sz w:val="20"/>
                <w:szCs w:val="20"/>
              </w:rPr>
            </w:pPr>
          </w:p>
        </w:tc>
      </w:tr>
      <w:tr w14:paraId="21B9089B">
        <w:tblPrEx>
          <w:tblCellMar>
            <w:top w:w="0" w:type="dxa"/>
            <w:left w:w="108" w:type="dxa"/>
            <w:bottom w:w="0" w:type="dxa"/>
            <w:right w:w="108" w:type="dxa"/>
          </w:tblCellMar>
        </w:tblPrEx>
        <w:trPr>
          <w:trHeight w:val="535" w:hRule="atLeast"/>
        </w:trPr>
        <w:tc>
          <w:tcPr>
            <w:tcW w:w="8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6D0E8F">
            <w:pPr>
              <w:jc w:val="center"/>
              <w:rPr>
                <w:rFonts w:hint="eastAsia" w:ascii="宋体" w:hAnsi="宋体" w:cs="仿宋_GB2312"/>
                <w:color w:val="000000"/>
                <w:sz w:val="20"/>
                <w:szCs w:val="20"/>
              </w:rPr>
            </w:pPr>
          </w:p>
        </w:tc>
        <w:tc>
          <w:tcPr>
            <w:tcW w:w="23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6D8764">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合计</w:t>
            </w:r>
          </w:p>
        </w:tc>
        <w:tc>
          <w:tcPr>
            <w:tcW w:w="131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1F2D41">
            <w:pPr>
              <w:jc w:val="center"/>
              <w:rPr>
                <w:rFonts w:hint="eastAsia" w:ascii="宋体" w:hAnsi="宋体" w:cs="仿宋_GB2312"/>
                <w:color w:val="000000"/>
                <w:sz w:val="20"/>
                <w:szCs w:val="20"/>
              </w:rPr>
            </w:pPr>
          </w:p>
        </w:tc>
        <w:tc>
          <w:tcPr>
            <w:tcW w:w="11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819340">
            <w:pPr>
              <w:jc w:val="center"/>
              <w:rPr>
                <w:rFonts w:hint="eastAsia" w:ascii="宋体" w:hAnsi="宋体" w:cs="仿宋_GB2312"/>
                <w:color w:val="000000"/>
                <w:sz w:val="20"/>
                <w:szCs w:val="20"/>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575CB">
            <w:pPr>
              <w:widowControl/>
              <w:jc w:val="center"/>
              <w:textAlignment w:val="center"/>
              <w:rPr>
                <w:rFonts w:hint="eastAsia" w:ascii="宋体" w:hAnsi="宋体" w:cs="仿宋_GB2312"/>
                <w:color w:val="000000"/>
                <w:sz w:val="20"/>
                <w:szCs w:val="20"/>
              </w:rPr>
            </w:pPr>
          </w:p>
        </w:tc>
        <w:tc>
          <w:tcPr>
            <w:tcW w:w="1016" w:type="dxa"/>
            <w:tcBorders>
              <w:top w:val="nil"/>
              <w:left w:val="single" w:color="auto" w:sz="4" w:space="0"/>
              <w:bottom w:val="single" w:color="auto" w:sz="4" w:space="0"/>
              <w:right w:val="single" w:color="auto" w:sz="4" w:space="0"/>
            </w:tcBorders>
            <w:shd w:val="clear" w:color="auto" w:fill="auto"/>
            <w:noWrap w:val="0"/>
            <w:vAlign w:val="center"/>
          </w:tcPr>
          <w:p w14:paraId="6F6D6229">
            <w:pPr>
              <w:widowControl/>
              <w:jc w:val="center"/>
              <w:textAlignment w:val="center"/>
              <w:rPr>
                <w:rFonts w:ascii="方正仿宋_GB2312" w:hAnsi="方正仿宋_GB2312" w:eastAsia="方正仿宋_GB2312" w:cs="方正仿宋_GB2312"/>
                <w:b/>
                <w:bCs/>
                <w:color w:val="000000"/>
                <w:sz w:val="20"/>
                <w:szCs w:val="20"/>
              </w:rPr>
            </w:pPr>
          </w:p>
        </w:tc>
        <w:tc>
          <w:tcPr>
            <w:tcW w:w="15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09B00C">
            <w:pPr>
              <w:jc w:val="center"/>
              <w:rPr>
                <w:rFonts w:hint="eastAsia" w:ascii="宋体" w:hAnsi="宋体" w:cs="仿宋_GB2312"/>
                <w:color w:val="000000"/>
                <w:sz w:val="20"/>
                <w:szCs w:val="20"/>
              </w:rPr>
            </w:pPr>
          </w:p>
        </w:tc>
        <w:tc>
          <w:tcPr>
            <w:tcW w:w="140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800FCB">
            <w:pPr>
              <w:jc w:val="center"/>
              <w:rPr>
                <w:rFonts w:hint="eastAsia" w:ascii="宋体" w:hAnsi="宋体" w:cs="仿宋_GB2312"/>
                <w:color w:val="000000"/>
                <w:sz w:val="20"/>
                <w:szCs w:val="20"/>
              </w:rPr>
            </w:pPr>
          </w:p>
        </w:tc>
        <w:tc>
          <w:tcPr>
            <w:tcW w:w="1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9251D9">
            <w:pPr>
              <w:jc w:val="center"/>
              <w:rPr>
                <w:rFonts w:hint="eastAsia" w:ascii="宋体" w:hAnsi="宋体" w:cs="仿宋_GB2312"/>
                <w:color w:val="000000"/>
                <w:sz w:val="20"/>
                <w:szCs w:val="20"/>
              </w:rPr>
            </w:pPr>
          </w:p>
        </w:tc>
        <w:tc>
          <w:tcPr>
            <w:tcW w:w="12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EBD5A2">
            <w:pPr>
              <w:jc w:val="center"/>
              <w:rPr>
                <w:rFonts w:hint="eastAsia" w:ascii="宋体" w:hAnsi="宋体" w:cs="仿宋_GB2312"/>
                <w:color w:val="000000"/>
                <w:sz w:val="20"/>
                <w:szCs w:val="20"/>
              </w:rPr>
            </w:pPr>
          </w:p>
        </w:tc>
        <w:tc>
          <w:tcPr>
            <w:tcW w:w="992" w:type="dxa"/>
            <w:tcBorders>
              <w:top w:val="single" w:color="auto" w:sz="4" w:space="0"/>
              <w:left w:val="single" w:color="auto" w:sz="4" w:space="0"/>
              <w:bottom w:val="single" w:color="auto" w:sz="4" w:space="0"/>
              <w:right w:val="single" w:color="auto" w:sz="4" w:space="0"/>
            </w:tcBorders>
            <w:noWrap/>
            <w:vAlign w:val="center"/>
          </w:tcPr>
          <w:p w14:paraId="78901864">
            <w:pPr>
              <w:rPr>
                <w:rFonts w:hint="eastAsia" w:ascii="宋体" w:hAnsi="宋体" w:cs="宋体"/>
                <w:color w:val="000000"/>
                <w:sz w:val="20"/>
                <w:szCs w:val="20"/>
              </w:rPr>
            </w:pPr>
          </w:p>
        </w:tc>
      </w:tr>
    </w:tbl>
    <w:p w14:paraId="0D2BA154">
      <w:pPr>
        <w:adjustRightInd w:val="0"/>
        <w:snapToGrid w:val="0"/>
        <w:spacing w:line="360" w:lineRule="auto"/>
        <w:rPr>
          <w:rFonts w:hint="eastAsia" w:ascii="宋体" w:hAnsi="宋体" w:cs="仿宋_GB2312"/>
          <w:sz w:val="20"/>
          <w:szCs w:val="20"/>
        </w:rPr>
      </w:pPr>
      <w:r>
        <w:rPr>
          <w:rFonts w:hint="eastAsia" w:ascii="宋体" w:hAnsi="宋体" w:cs="仿宋_GB2312"/>
          <w:sz w:val="20"/>
          <w:szCs w:val="20"/>
        </w:rPr>
        <w:t>1.交货时间及地点具体以使用单位的书面通知为准，具体规格型号、数量与电商平台不一致的，以招标文件为准。</w:t>
      </w:r>
    </w:p>
    <w:p w14:paraId="492D3F87">
      <w:pPr>
        <w:spacing w:line="360" w:lineRule="auto"/>
        <w:rPr>
          <w:rFonts w:ascii="宋体" w:hAnsi="宋体"/>
          <w:sz w:val="20"/>
          <w:szCs w:val="20"/>
        </w:rPr>
      </w:pPr>
      <w:r>
        <w:rPr>
          <w:rFonts w:hint="eastAsia" w:ascii="宋体" w:hAnsi="宋体" w:cs="仿宋_GB2312"/>
          <w:sz w:val="20"/>
          <w:szCs w:val="20"/>
        </w:rPr>
        <w:t>2．结算单价：</w:t>
      </w:r>
      <w:r>
        <w:rPr>
          <w:rFonts w:ascii="宋体" w:hAnsi="宋体"/>
          <w:sz w:val="20"/>
          <w:szCs w:val="20"/>
        </w:rPr>
        <w:t xml:space="preserve"> </w:t>
      </w:r>
      <w:r>
        <w:rPr>
          <w:rFonts w:hint="eastAsia" w:ascii="宋体" w:hAnsi="宋体"/>
          <w:sz w:val="20"/>
          <w:szCs w:val="20"/>
        </w:rPr>
        <w:t>以中标价作为合同结算单价。</w:t>
      </w:r>
    </w:p>
    <w:p w14:paraId="1915BAD3">
      <w:pPr>
        <w:spacing w:line="360" w:lineRule="auto"/>
        <w:rPr>
          <w:rFonts w:hint="eastAsia" w:ascii="宋体" w:hAnsi="宋体" w:cs="宋体"/>
          <w:bCs/>
          <w:sz w:val="20"/>
          <w:szCs w:val="20"/>
        </w:rPr>
      </w:pPr>
      <w:r>
        <w:rPr>
          <w:rFonts w:hint="eastAsia" w:ascii="宋体" w:hAnsi="宋体" w:cs="仿宋_GB2312"/>
          <w:bCs/>
          <w:sz w:val="20"/>
          <w:szCs w:val="20"/>
        </w:rPr>
        <w:t xml:space="preserve">3.付款条件： </w:t>
      </w:r>
      <w:r>
        <w:rPr>
          <w:rFonts w:hint="eastAsia" w:ascii="宋体" w:hAnsi="宋体" w:cs="宋体"/>
          <w:bCs/>
          <w:kern w:val="0"/>
          <w:sz w:val="20"/>
          <w:szCs w:val="20"/>
        </w:rPr>
        <w:t>遵循“先开票、后付款”的原则，</w:t>
      </w:r>
      <w:r>
        <w:rPr>
          <w:rFonts w:hint="eastAsia" w:ascii="宋体" w:hAnsi="宋体" w:cs="宋体"/>
          <w:sz w:val="20"/>
          <w:szCs w:val="20"/>
        </w:rPr>
        <w:t>按照磨憨产业园一期项目物资部实际结算数量开具增值税专用发票，</w:t>
      </w:r>
      <w:r>
        <w:rPr>
          <w:rFonts w:hint="eastAsia" w:ascii="宋体" w:hAnsi="宋体" w:cs="宋体"/>
          <w:bCs/>
          <w:kern w:val="0"/>
          <w:sz w:val="20"/>
          <w:szCs w:val="20"/>
        </w:rPr>
        <w:t>甲方支付前，乙方应按双方确认的当期应付金额向甲方提供增值税专用发票，并于发票开具后5日内提交给甲方，同时乙方向甲方提供砂石料资源税完税证明复印件留存备查。甲方收到乙方发票和完税证明后，按合同约定向乙方付款。</w:t>
      </w:r>
    </w:p>
    <w:p w14:paraId="3852AA5A">
      <w:pPr>
        <w:spacing w:line="380" w:lineRule="exact"/>
        <w:rPr>
          <w:rFonts w:hint="eastAsia" w:ascii="宋体" w:hAnsi="宋体" w:cs="仿宋_GB2312"/>
          <w:bCs/>
          <w:sz w:val="20"/>
          <w:szCs w:val="20"/>
        </w:rPr>
      </w:pPr>
      <w:r>
        <w:rPr>
          <w:rFonts w:hint="eastAsia" w:ascii="宋体" w:hAnsi="宋体" w:cs="仿宋_GB2312"/>
          <w:bCs/>
          <w:sz w:val="20"/>
          <w:szCs w:val="20"/>
        </w:rPr>
        <w:t>4.发票要求：一票制增值税专用发票。增值税税率实行国家最新政策。若因国家税务政策变化导致税率调整，不含增值税价格不变，具体税金以变更后的税率计算。</w:t>
      </w:r>
    </w:p>
    <w:p w14:paraId="271875F2">
      <w:pPr>
        <w:spacing w:line="380" w:lineRule="exact"/>
        <w:rPr>
          <w:rFonts w:hint="eastAsia" w:ascii="宋体" w:hAnsi="宋体" w:cs="仿宋_GB2312"/>
          <w:bCs/>
          <w:sz w:val="20"/>
          <w:szCs w:val="20"/>
        </w:rPr>
      </w:pPr>
    </w:p>
    <w:p w14:paraId="40F9AFE6">
      <w:pPr>
        <w:pStyle w:val="4"/>
        <w:jc w:val="left"/>
        <w:rPr>
          <w:rFonts w:hint="eastAsia" w:ascii="宋体" w:hAnsi="宋体" w:cs="宋体"/>
          <w:sz w:val="21"/>
          <w:szCs w:val="28"/>
        </w:rPr>
      </w:pPr>
    </w:p>
    <w:p w14:paraId="32259654">
      <w:pPr>
        <w:pStyle w:val="4"/>
        <w:jc w:val="left"/>
        <w:rPr>
          <w:rFonts w:hint="eastAsia" w:ascii="宋体" w:hAnsi="宋体" w:cs="宋体"/>
          <w:sz w:val="21"/>
          <w:szCs w:val="28"/>
        </w:rPr>
      </w:pPr>
    </w:p>
    <w:p w14:paraId="24B21C4F">
      <w:pPr>
        <w:spacing w:line="360" w:lineRule="auto"/>
        <w:jc w:val="center"/>
        <w:rPr>
          <w:rFonts w:hint="eastAsia" w:ascii="仿宋_GB2312" w:hAnsi="仿宋_GB2312" w:eastAsia="仿宋_GB2312" w:cs="仿宋_GB2312"/>
          <w:b/>
          <w:sz w:val="32"/>
          <w:szCs w:val="32"/>
        </w:rPr>
      </w:pPr>
    </w:p>
    <w:p w14:paraId="02494398">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cs="新宋体"/>
          <w:b/>
          <w:bCs/>
          <w:kern w:val="0"/>
          <w:sz w:val="36"/>
          <w:szCs w:val="36"/>
          <w:lang w:eastAsia="zh-CN"/>
        </w:rPr>
      </w:pPr>
      <w:r>
        <w:rPr>
          <w:rFonts w:hint="eastAsia" w:ascii="宋体" w:hAnsi="宋体" w:cs="新宋体"/>
          <w:b/>
          <w:bCs/>
          <w:kern w:val="0"/>
          <w:sz w:val="36"/>
          <w:szCs w:val="36"/>
        </w:rPr>
        <w:t>需求明细表</w:t>
      </w:r>
      <w:r>
        <w:rPr>
          <w:rFonts w:hint="eastAsia" w:ascii="宋体" w:hAnsi="宋体" w:cs="新宋体"/>
          <w:b/>
          <w:bCs/>
          <w:kern w:val="0"/>
          <w:sz w:val="36"/>
          <w:szCs w:val="36"/>
          <w:lang w:val="en-US" w:eastAsia="zh-CN"/>
        </w:rPr>
        <w:t>3</w:t>
      </w:r>
    </w:p>
    <w:p w14:paraId="0B90DA8B">
      <w:pPr>
        <w:spacing w:line="360" w:lineRule="auto"/>
        <w:jc w:val="left"/>
        <w:rPr>
          <w:rFonts w:hint="eastAsia" w:ascii="仿宋_GB2312" w:hAnsi="仿宋_GB2312" w:eastAsia="仿宋_GB2312" w:cs="仿宋_GB2312"/>
        </w:rPr>
      </w:pPr>
      <w:r>
        <w:rPr>
          <w:rFonts w:hint="eastAsia" w:ascii="仿宋_GB2312" w:hAnsi="仿宋_GB2312" w:eastAsia="仿宋_GB2312" w:cs="仿宋_GB2312"/>
          <w:b/>
          <w:szCs w:val="21"/>
        </w:rPr>
        <w:t>招标人名称：中铁二局集团有限公司                               招标编号:</w:t>
      </w:r>
      <w:r>
        <w:rPr>
          <w:rFonts w:eastAsia="仿宋_GB2312"/>
          <w:color w:val="000000"/>
          <w:kern w:val="0"/>
          <w:szCs w:val="21"/>
          <w:highlight w:val="none"/>
          <w:lang w:bidi="ar"/>
        </w:rPr>
        <w:t>ZTEJ-2025</w:t>
      </w:r>
      <w:r>
        <w:rPr>
          <w:rFonts w:hint="eastAsia" w:eastAsia="仿宋_GB2312"/>
          <w:color w:val="000000"/>
          <w:kern w:val="0"/>
          <w:szCs w:val="21"/>
          <w:highlight w:val="none"/>
          <w:lang w:val="en-US" w:eastAsia="zh-CN" w:bidi="ar"/>
        </w:rPr>
        <w:t>619</w:t>
      </w:r>
      <w:r>
        <w:rPr>
          <w:rFonts w:eastAsia="仿宋_GB2312"/>
          <w:color w:val="000000"/>
          <w:kern w:val="0"/>
          <w:szCs w:val="21"/>
          <w:highlight w:val="none"/>
          <w:lang w:bidi="ar"/>
        </w:rPr>
        <w:t xml:space="preserve"> </w:t>
      </w:r>
      <w:r>
        <w:rPr>
          <w:rFonts w:hint="eastAsia" w:ascii="仿宋_GB2312" w:hAnsi="仿宋_GB2312" w:eastAsia="仿宋_GB2312" w:cs="仿宋_GB2312"/>
          <w:b/>
          <w:szCs w:val="21"/>
        </w:rPr>
        <w:t xml:space="preserve">                        包件：DC</w:t>
      </w:r>
      <w:r>
        <w:rPr>
          <w:rFonts w:ascii="仿宋_GB2312" w:hAnsi="仿宋_GB2312" w:eastAsia="仿宋_GB2312" w:cs="仿宋_GB2312"/>
          <w:b/>
          <w:szCs w:val="21"/>
        </w:rPr>
        <w:t>-</w:t>
      </w:r>
      <w:r>
        <w:rPr>
          <w:rFonts w:hint="eastAsia" w:ascii="仿宋_GB2312" w:hAnsi="仿宋_GB2312" w:eastAsia="仿宋_GB2312" w:cs="仿宋_GB2312"/>
          <w:b/>
          <w:szCs w:val="21"/>
          <w:lang w:val="en-US" w:eastAsia="zh-CN"/>
        </w:rPr>
        <w:t>0</w:t>
      </w:r>
      <w:r>
        <w:rPr>
          <w:rFonts w:hint="eastAsia" w:ascii="仿宋_GB2312" w:hAnsi="仿宋_GB2312" w:eastAsia="仿宋_GB2312" w:cs="仿宋_GB2312"/>
          <w:b/>
          <w:szCs w:val="21"/>
        </w:rPr>
        <w:t>3</w:t>
      </w:r>
    </w:p>
    <w:tbl>
      <w:tblPr>
        <w:tblStyle w:val="8"/>
        <w:tblW w:w="14601" w:type="dxa"/>
        <w:tblInd w:w="-34" w:type="dxa"/>
        <w:tblLayout w:type="fixed"/>
        <w:tblCellMar>
          <w:top w:w="0" w:type="dxa"/>
          <w:left w:w="108" w:type="dxa"/>
          <w:bottom w:w="0" w:type="dxa"/>
          <w:right w:w="108" w:type="dxa"/>
        </w:tblCellMar>
      </w:tblPr>
      <w:tblGrid>
        <w:gridCol w:w="841"/>
        <w:gridCol w:w="2421"/>
        <w:gridCol w:w="848"/>
        <w:gridCol w:w="1595"/>
        <w:gridCol w:w="710"/>
        <w:gridCol w:w="1016"/>
        <w:gridCol w:w="1299"/>
        <w:gridCol w:w="1445"/>
        <w:gridCol w:w="2199"/>
        <w:gridCol w:w="1235"/>
        <w:gridCol w:w="992"/>
      </w:tblGrid>
      <w:tr w14:paraId="4C56125A">
        <w:tblPrEx>
          <w:tblCellMar>
            <w:top w:w="0" w:type="dxa"/>
            <w:left w:w="108" w:type="dxa"/>
            <w:bottom w:w="0" w:type="dxa"/>
            <w:right w:w="108" w:type="dxa"/>
          </w:tblCellMar>
        </w:tblPrEx>
        <w:trPr>
          <w:trHeight w:val="1004"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79B3BC24">
            <w:pPr>
              <w:widowControl/>
              <w:jc w:val="center"/>
              <w:textAlignment w:val="center"/>
              <w:rPr>
                <w:rFonts w:ascii="宋体" w:hAnsi="宋体" w:cs="仿宋_GB2312"/>
                <w:color w:val="000000"/>
                <w:sz w:val="20"/>
                <w:szCs w:val="20"/>
              </w:rPr>
            </w:pPr>
            <w:r>
              <w:rPr>
                <w:rFonts w:hint="eastAsia" w:ascii="宋体" w:hAnsi="宋体" w:cs="仿宋_GB2312"/>
                <w:color w:val="000000"/>
                <w:kern w:val="0"/>
                <w:sz w:val="20"/>
                <w:szCs w:val="20"/>
                <w:lang w:bidi="ar"/>
              </w:rPr>
              <w:t>序号</w:t>
            </w:r>
          </w:p>
        </w:tc>
        <w:tc>
          <w:tcPr>
            <w:tcW w:w="2421" w:type="dxa"/>
            <w:tcBorders>
              <w:top w:val="single" w:color="auto" w:sz="4" w:space="0"/>
              <w:left w:val="single" w:color="auto" w:sz="4" w:space="0"/>
              <w:bottom w:val="single" w:color="auto" w:sz="4" w:space="0"/>
              <w:right w:val="single" w:color="auto" w:sz="4" w:space="0"/>
            </w:tcBorders>
            <w:noWrap w:val="0"/>
            <w:vAlign w:val="center"/>
          </w:tcPr>
          <w:p w14:paraId="48EC83F4">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工程项目</w:t>
            </w:r>
          </w:p>
        </w:tc>
        <w:tc>
          <w:tcPr>
            <w:tcW w:w="848" w:type="dxa"/>
            <w:tcBorders>
              <w:top w:val="single" w:color="auto" w:sz="4" w:space="0"/>
              <w:left w:val="single" w:color="auto" w:sz="4" w:space="0"/>
              <w:bottom w:val="single" w:color="auto" w:sz="4" w:space="0"/>
              <w:right w:val="single" w:color="auto" w:sz="4" w:space="0"/>
            </w:tcBorders>
            <w:noWrap w:val="0"/>
            <w:vAlign w:val="center"/>
          </w:tcPr>
          <w:p w14:paraId="073DF118">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标的名称</w:t>
            </w:r>
          </w:p>
        </w:tc>
        <w:tc>
          <w:tcPr>
            <w:tcW w:w="1595" w:type="dxa"/>
            <w:tcBorders>
              <w:top w:val="single" w:color="auto" w:sz="4" w:space="0"/>
              <w:left w:val="single" w:color="auto" w:sz="4" w:space="0"/>
              <w:bottom w:val="single" w:color="auto" w:sz="4" w:space="0"/>
              <w:right w:val="single" w:color="auto" w:sz="4" w:space="0"/>
            </w:tcBorders>
            <w:noWrap w:val="0"/>
            <w:vAlign w:val="center"/>
          </w:tcPr>
          <w:p w14:paraId="4C59C02C">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规格型号</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6875A2B6">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计量单位</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62E09E4A">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采购数量</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5AE0F60A">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定货要求</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3E185AC">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质量标准技术要求</w:t>
            </w: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C2BA572">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详细地址</w:t>
            </w:r>
          </w:p>
        </w:tc>
        <w:tc>
          <w:tcPr>
            <w:tcW w:w="1235" w:type="dxa"/>
            <w:tcBorders>
              <w:top w:val="single" w:color="auto" w:sz="4" w:space="0"/>
              <w:left w:val="single" w:color="auto" w:sz="4" w:space="0"/>
              <w:bottom w:val="single" w:color="auto" w:sz="4" w:space="0"/>
              <w:right w:val="single" w:color="auto" w:sz="4" w:space="0"/>
            </w:tcBorders>
            <w:noWrap w:val="0"/>
            <w:vAlign w:val="center"/>
          </w:tcPr>
          <w:p w14:paraId="38B72F6B">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交货期</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089AC79">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备注</w:t>
            </w:r>
          </w:p>
        </w:tc>
      </w:tr>
      <w:tr w14:paraId="7C98E5A6">
        <w:tblPrEx>
          <w:tblCellMar>
            <w:top w:w="0" w:type="dxa"/>
            <w:left w:w="108" w:type="dxa"/>
            <w:bottom w:w="0" w:type="dxa"/>
            <w:right w:w="108" w:type="dxa"/>
          </w:tblCellMar>
        </w:tblPrEx>
        <w:trPr>
          <w:trHeight w:val="420"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375B5D66">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1</w:t>
            </w:r>
          </w:p>
        </w:tc>
        <w:tc>
          <w:tcPr>
            <w:tcW w:w="2421" w:type="dxa"/>
            <w:noWrap w:val="0"/>
            <w:vAlign w:val="center"/>
          </w:tcPr>
          <w:p w14:paraId="226F7A9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中铁二局第五工程有限公司磨憨沿边产业园核心区连接配套区基础设施项目一期项目经理部</w:t>
            </w:r>
          </w:p>
        </w:tc>
        <w:tc>
          <w:tcPr>
            <w:tcW w:w="848" w:type="dxa"/>
            <w:tcBorders>
              <w:top w:val="single" w:color="auto" w:sz="4" w:space="0"/>
              <w:left w:val="single" w:color="auto" w:sz="4" w:space="0"/>
              <w:bottom w:val="nil"/>
              <w:right w:val="single" w:color="auto" w:sz="4" w:space="0"/>
            </w:tcBorders>
            <w:noWrap/>
            <w:vAlign w:val="center"/>
          </w:tcPr>
          <w:p w14:paraId="0DAE29BA">
            <w:pPr>
              <w:widowControl/>
              <w:jc w:val="center"/>
              <w:textAlignment w:val="center"/>
              <w:rPr>
                <w:rFonts w:ascii="宋体" w:hAnsi="宋体" w:cs="宋体"/>
                <w:color w:val="000000"/>
                <w:sz w:val="20"/>
                <w:szCs w:val="20"/>
              </w:rPr>
            </w:pPr>
            <w:r>
              <w:rPr>
                <w:rFonts w:hint="eastAsia" w:ascii="仿宋" w:hAnsi="仿宋" w:eastAsia="仿宋" w:cs="仿宋"/>
                <w:color w:val="000000"/>
                <w:sz w:val="20"/>
                <w:szCs w:val="20"/>
              </w:rPr>
              <w:t>中粗砂</w:t>
            </w:r>
          </w:p>
        </w:tc>
        <w:tc>
          <w:tcPr>
            <w:tcW w:w="1595" w:type="dxa"/>
            <w:tcBorders>
              <w:top w:val="single" w:color="auto" w:sz="4" w:space="0"/>
              <w:left w:val="nil"/>
              <w:bottom w:val="single" w:color="auto" w:sz="4" w:space="0"/>
              <w:right w:val="single" w:color="auto" w:sz="4" w:space="0"/>
            </w:tcBorders>
            <w:noWrap w:val="0"/>
            <w:vAlign w:val="center"/>
          </w:tcPr>
          <w:p w14:paraId="2C082D6C">
            <w:pPr>
              <w:widowControl/>
              <w:jc w:val="center"/>
              <w:textAlignment w:val="center"/>
              <w:rPr>
                <w:rFonts w:ascii="宋体" w:hAnsi="宋体" w:cs="宋体"/>
                <w:color w:val="000000"/>
                <w:sz w:val="20"/>
                <w:szCs w:val="20"/>
              </w:rPr>
            </w:pPr>
            <w:r>
              <w:rPr>
                <w:rFonts w:hint="eastAsia" w:ascii="宋体" w:hAnsi="宋体" w:cs="宋体"/>
                <w:color w:val="000000"/>
                <w:sz w:val="20"/>
                <w:szCs w:val="20"/>
              </w:rPr>
              <w:t>综合</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540861A4">
            <w:pPr>
              <w:widowControl/>
              <w:textAlignment w:val="center"/>
              <w:rPr>
                <w:rFonts w:ascii="宋体" w:hAnsi="宋体" w:cs="宋体"/>
                <w:color w:val="000000"/>
                <w:sz w:val="20"/>
                <w:szCs w:val="20"/>
              </w:rPr>
            </w:pPr>
            <w:r>
              <w:rPr>
                <w:rFonts w:hint="eastAsia" w:ascii="宋体" w:hAnsi="宋体" w:cs="宋体"/>
                <w:color w:val="000000"/>
                <w:sz w:val="20"/>
                <w:szCs w:val="20"/>
              </w:rPr>
              <w:t>m3</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3192D72D">
            <w:pPr>
              <w:widowControl/>
              <w:jc w:val="center"/>
              <w:textAlignment w:val="center"/>
              <w:rPr>
                <w:rFonts w:ascii="宋体" w:hAnsi="宋体" w:cs="宋体"/>
                <w:color w:val="000000"/>
                <w:sz w:val="20"/>
                <w:szCs w:val="20"/>
              </w:rPr>
            </w:pPr>
            <w:r>
              <w:rPr>
                <w:rFonts w:hint="eastAsia" w:ascii="仿宋" w:hAnsi="仿宋" w:eastAsia="仿宋" w:cs="仿宋"/>
                <w:color w:val="000000"/>
                <w:kern w:val="0"/>
                <w:sz w:val="20"/>
                <w:szCs w:val="20"/>
                <w:lang w:bidi="ar"/>
              </w:rPr>
              <w:t>20865.24</w:t>
            </w:r>
          </w:p>
        </w:tc>
        <w:tc>
          <w:tcPr>
            <w:tcW w:w="1299" w:type="dxa"/>
            <w:tcBorders>
              <w:top w:val="single" w:color="auto" w:sz="4" w:space="0"/>
              <w:left w:val="single" w:color="auto" w:sz="4" w:space="0"/>
              <w:right w:val="single" w:color="auto" w:sz="4" w:space="0"/>
            </w:tcBorders>
            <w:noWrap w:val="0"/>
            <w:vAlign w:val="center"/>
          </w:tcPr>
          <w:p w14:paraId="556A4693">
            <w:pPr>
              <w:jc w:val="center"/>
              <w:textAlignment w:val="center"/>
              <w:rPr>
                <w:rFonts w:ascii="宋体" w:hAnsi="宋体" w:cs="仿宋_GB2312"/>
                <w:color w:val="000000"/>
                <w:sz w:val="20"/>
                <w:szCs w:val="20"/>
              </w:rPr>
            </w:pPr>
            <w:r>
              <w:rPr>
                <w:rFonts w:hint="eastAsia" w:ascii="宋体" w:hAnsi="宋体" w:cs="仿宋_GB2312"/>
                <w:color w:val="000000"/>
                <w:sz w:val="20"/>
                <w:szCs w:val="20"/>
              </w:rPr>
              <w:t>满足施工现场需要</w:t>
            </w:r>
          </w:p>
        </w:tc>
        <w:tc>
          <w:tcPr>
            <w:tcW w:w="1445" w:type="dxa"/>
            <w:tcBorders>
              <w:top w:val="single" w:color="auto" w:sz="4" w:space="0"/>
              <w:left w:val="single" w:color="auto" w:sz="4" w:space="0"/>
              <w:right w:val="single" w:color="auto" w:sz="4" w:space="0"/>
            </w:tcBorders>
            <w:noWrap w:val="0"/>
            <w:vAlign w:val="center"/>
          </w:tcPr>
          <w:p w14:paraId="101366A2">
            <w:pPr>
              <w:jc w:val="center"/>
              <w:textAlignment w:val="center"/>
              <w:rPr>
                <w:rFonts w:hint="eastAsia" w:ascii="宋体" w:hAnsi="宋体" w:cs="仿宋_GB2312"/>
                <w:color w:val="000000"/>
                <w:sz w:val="20"/>
                <w:szCs w:val="20"/>
              </w:rPr>
            </w:pPr>
            <w:r>
              <w:rPr>
                <w:rFonts w:hint="eastAsia" w:ascii="宋体" w:hAnsi="宋体"/>
                <w:szCs w:val="28"/>
              </w:rPr>
              <w:t>满足JTG/T 3650-2020中的相关规定</w:t>
            </w:r>
          </w:p>
        </w:tc>
        <w:tc>
          <w:tcPr>
            <w:tcW w:w="2199" w:type="dxa"/>
            <w:tcBorders>
              <w:top w:val="single" w:color="auto" w:sz="4" w:space="0"/>
              <w:left w:val="single" w:color="auto" w:sz="4" w:space="0"/>
              <w:right w:val="single" w:color="auto" w:sz="4" w:space="0"/>
            </w:tcBorders>
            <w:noWrap w:val="0"/>
            <w:vAlign w:val="center"/>
          </w:tcPr>
          <w:p w14:paraId="0387B599">
            <w:pPr>
              <w:widowControl/>
              <w:textAlignment w:val="center"/>
              <w:rPr>
                <w:rFonts w:ascii="宋体" w:hAnsi="宋体" w:cs="仿宋_GB2312"/>
                <w:color w:val="000000"/>
                <w:sz w:val="20"/>
                <w:szCs w:val="20"/>
              </w:rPr>
            </w:pPr>
            <w:r>
              <w:rPr>
                <w:rFonts w:hint="eastAsia" w:ascii="宋体" w:hAnsi="宋体" w:cs="宋体"/>
                <w:color w:val="000000"/>
                <w:sz w:val="20"/>
                <w:szCs w:val="20"/>
              </w:rPr>
              <w:t>云南省西双版纳州勐腊县磨憨镇磨憨产业园一期项目工地</w:t>
            </w:r>
          </w:p>
        </w:tc>
        <w:tc>
          <w:tcPr>
            <w:tcW w:w="1235" w:type="dxa"/>
            <w:tcBorders>
              <w:top w:val="single" w:color="auto" w:sz="4" w:space="0"/>
              <w:left w:val="single" w:color="auto" w:sz="4" w:space="0"/>
              <w:right w:val="single" w:color="auto" w:sz="4" w:space="0"/>
            </w:tcBorders>
            <w:noWrap w:val="0"/>
            <w:vAlign w:val="center"/>
          </w:tcPr>
          <w:p w14:paraId="59EC50ED">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根据需求批次进货至工程结束</w:t>
            </w:r>
          </w:p>
        </w:tc>
        <w:tc>
          <w:tcPr>
            <w:tcW w:w="992" w:type="dxa"/>
            <w:tcBorders>
              <w:top w:val="single" w:color="auto" w:sz="4" w:space="0"/>
              <w:left w:val="single" w:color="auto" w:sz="4" w:space="0"/>
              <w:right w:val="single" w:color="auto" w:sz="4" w:space="0"/>
            </w:tcBorders>
            <w:noWrap w:val="0"/>
            <w:vAlign w:val="center"/>
          </w:tcPr>
          <w:p w14:paraId="36107723">
            <w:pPr>
              <w:jc w:val="left"/>
              <w:rPr>
                <w:rFonts w:ascii="宋体" w:hAnsi="宋体" w:cs="仿宋_GB2312"/>
                <w:color w:val="000000"/>
                <w:sz w:val="20"/>
                <w:szCs w:val="20"/>
              </w:rPr>
            </w:pPr>
          </w:p>
        </w:tc>
      </w:tr>
      <w:tr w14:paraId="51E73F44">
        <w:tblPrEx>
          <w:tblCellMar>
            <w:top w:w="0" w:type="dxa"/>
            <w:left w:w="108" w:type="dxa"/>
            <w:bottom w:w="0" w:type="dxa"/>
            <w:right w:w="108" w:type="dxa"/>
          </w:tblCellMar>
        </w:tblPrEx>
        <w:trPr>
          <w:trHeight w:val="535" w:hRule="atLeast"/>
        </w:trPr>
        <w:tc>
          <w:tcPr>
            <w:tcW w:w="8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A8D467">
            <w:pPr>
              <w:jc w:val="center"/>
              <w:rPr>
                <w:rFonts w:hint="eastAsia" w:ascii="宋体" w:hAnsi="宋体" w:cs="仿宋_GB2312"/>
                <w:color w:val="000000"/>
                <w:sz w:val="20"/>
                <w:szCs w:val="20"/>
              </w:rPr>
            </w:pPr>
          </w:p>
        </w:tc>
        <w:tc>
          <w:tcPr>
            <w:tcW w:w="24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8FDB15">
            <w:pPr>
              <w:widowControl/>
              <w:jc w:val="center"/>
              <w:textAlignment w:val="center"/>
              <w:rPr>
                <w:rFonts w:hint="eastAsia" w:ascii="宋体" w:hAnsi="宋体" w:cs="仿宋_GB2312"/>
                <w:color w:val="000000"/>
                <w:sz w:val="20"/>
                <w:szCs w:val="20"/>
              </w:rPr>
            </w:pPr>
            <w:r>
              <w:rPr>
                <w:rFonts w:hint="eastAsia" w:ascii="宋体" w:hAnsi="宋体" w:cs="仿宋_GB2312"/>
                <w:color w:val="000000"/>
                <w:kern w:val="0"/>
                <w:sz w:val="20"/>
                <w:szCs w:val="20"/>
                <w:lang w:bidi="ar"/>
              </w:rPr>
              <w:t>合计</w:t>
            </w:r>
          </w:p>
        </w:tc>
        <w:tc>
          <w:tcPr>
            <w:tcW w:w="84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CBFE2F">
            <w:pPr>
              <w:jc w:val="center"/>
              <w:rPr>
                <w:rFonts w:hint="eastAsia" w:ascii="宋体" w:hAnsi="宋体" w:cs="仿宋_GB2312"/>
                <w:color w:val="000000"/>
                <w:sz w:val="20"/>
                <w:szCs w:val="20"/>
              </w:rPr>
            </w:pPr>
          </w:p>
        </w:tc>
        <w:tc>
          <w:tcPr>
            <w:tcW w:w="15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39BF98">
            <w:pPr>
              <w:jc w:val="center"/>
              <w:rPr>
                <w:rFonts w:hint="eastAsia" w:ascii="宋体" w:hAnsi="宋体" w:cs="仿宋_GB2312"/>
                <w:color w:val="000000"/>
                <w:sz w:val="20"/>
                <w:szCs w:val="20"/>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799B9">
            <w:pPr>
              <w:widowControl/>
              <w:jc w:val="center"/>
              <w:textAlignment w:val="center"/>
              <w:rPr>
                <w:rFonts w:hint="eastAsia" w:ascii="宋体" w:hAnsi="宋体" w:cs="仿宋_GB2312"/>
                <w:color w:val="000000"/>
                <w:sz w:val="20"/>
                <w:szCs w:val="20"/>
              </w:rPr>
            </w:pPr>
          </w:p>
        </w:tc>
        <w:tc>
          <w:tcPr>
            <w:tcW w:w="1016" w:type="dxa"/>
            <w:tcBorders>
              <w:top w:val="nil"/>
              <w:left w:val="single" w:color="auto" w:sz="4" w:space="0"/>
              <w:bottom w:val="single" w:color="auto" w:sz="4" w:space="0"/>
              <w:right w:val="single" w:color="auto" w:sz="4" w:space="0"/>
            </w:tcBorders>
            <w:shd w:val="clear" w:color="auto" w:fill="auto"/>
            <w:noWrap w:val="0"/>
            <w:vAlign w:val="center"/>
          </w:tcPr>
          <w:p w14:paraId="2CD46D09">
            <w:pPr>
              <w:widowControl/>
              <w:jc w:val="center"/>
              <w:textAlignment w:val="center"/>
              <w:rPr>
                <w:rFonts w:ascii="方正仿宋_GB2312" w:hAnsi="方正仿宋_GB2312" w:eastAsia="方正仿宋_GB2312" w:cs="方正仿宋_GB2312"/>
                <w:b/>
                <w:bCs/>
                <w:color w:val="000000"/>
                <w:sz w:val="20"/>
                <w:szCs w:val="20"/>
              </w:rPr>
            </w:pPr>
          </w:p>
        </w:tc>
        <w:tc>
          <w:tcPr>
            <w:tcW w:w="129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711E82">
            <w:pPr>
              <w:jc w:val="center"/>
              <w:rPr>
                <w:rFonts w:hint="eastAsia" w:ascii="宋体" w:hAnsi="宋体" w:cs="仿宋_GB2312"/>
                <w:color w:val="000000"/>
                <w:sz w:val="20"/>
                <w:szCs w:val="20"/>
              </w:rPr>
            </w:pPr>
          </w:p>
        </w:tc>
        <w:tc>
          <w:tcPr>
            <w:tcW w:w="14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B2BED4">
            <w:pPr>
              <w:jc w:val="center"/>
              <w:rPr>
                <w:rFonts w:hint="eastAsia" w:ascii="宋体" w:hAnsi="宋体" w:cs="仿宋_GB2312"/>
                <w:color w:val="000000"/>
                <w:sz w:val="20"/>
                <w:szCs w:val="20"/>
              </w:rPr>
            </w:pPr>
          </w:p>
        </w:tc>
        <w:tc>
          <w:tcPr>
            <w:tcW w:w="219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485759">
            <w:pPr>
              <w:jc w:val="center"/>
              <w:rPr>
                <w:rFonts w:hint="eastAsia" w:ascii="宋体" w:hAnsi="宋体" w:cs="仿宋_GB2312"/>
                <w:color w:val="000000"/>
                <w:sz w:val="20"/>
                <w:szCs w:val="20"/>
              </w:rPr>
            </w:pPr>
          </w:p>
        </w:tc>
        <w:tc>
          <w:tcPr>
            <w:tcW w:w="12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9CC937">
            <w:pPr>
              <w:jc w:val="center"/>
              <w:rPr>
                <w:rFonts w:hint="eastAsia" w:ascii="宋体" w:hAnsi="宋体" w:cs="仿宋_GB2312"/>
                <w:color w:val="000000"/>
                <w:sz w:val="20"/>
                <w:szCs w:val="20"/>
              </w:rPr>
            </w:pPr>
          </w:p>
        </w:tc>
        <w:tc>
          <w:tcPr>
            <w:tcW w:w="992" w:type="dxa"/>
            <w:tcBorders>
              <w:top w:val="single" w:color="auto" w:sz="4" w:space="0"/>
              <w:left w:val="single" w:color="auto" w:sz="4" w:space="0"/>
              <w:bottom w:val="single" w:color="auto" w:sz="4" w:space="0"/>
              <w:right w:val="single" w:color="auto" w:sz="4" w:space="0"/>
            </w:tcBorders>
            <w:noWrap/>
            <w:vAlign w:val="center"/>
          </w:tcPr>
          <w:p w14:paraId="123A808D">
            <w:pPr>
              <w:rPr>
                <w:rFonts w:hint="eastAsia" w:ascii="宋体" w:hAnsi="宋体" w:cs="宋体"/>
                <w:color w:val="000000"/>
                <w:sz w:val="20"/>
                <w:szCs w:val="20"/>
              </w:rPr>
            </w:pPr>
          </w:p>
        </w:tc>
      </w:tr>
    </w:tbl>
    <w:p w14:paraId="4D97F522">
      <w:pPr>
        <w:adjustRightInd w:val="0"/>
        <w:snapToGrid w:val="0"/>
        <w:spacing w:line="360" w:lineRule="auto"/>
        <w:rPr>
          <w:rFonts w:hint="eastAsia" w:ascii="宋体" w:hAnsi="宋体" w:cs="仿宋_GB2312"/>
          <w:sz w:val="20"/>
          <w:szCs w:val="20"/>
        </w:rPr>
      </w:pPr>
      <w:r>
        <w:rPr>
          <w:rFonts w:hint="eastAsia" w:ascii="宋体" w:hAnsi="宋体" w:cs="仿宋_GB2312"/>
          <w:sz w:val="20"/>
          <w:szCs w:val="20"/>
        </w:rPr>
        <w:t>1.交货时间及地点具体以使用单位的书面通知为准，具体规格型号、数量与电商平台不一致的，以招标文件为准。</w:t>
      </w:r>
    </w:p>
    <w:p w14:paraId="2C1926DD">
      <w:pPr>
        <w:spacing w:line="360" w:lineRule="auto"/>
        <w:rPr>
          <w:rFonts w:ascii="宋体" w:hAnsi="宋体"/>
          <w:sz w:val="20"/>
          <w:szCs w:val="20"/>
        </w:rPr>
      </w:pPr>
      <w:r>
        <w:rPr>
          <w:rFonts w:hint="eastAsia" w:ascii="宋体" w:hAnsi="宋体" w:cs="仿宋_GB2312"/>
          <w:sz w:val="20"/>
          <w:szCs w:val="20"/>
        </w:rPr>
        <w:t>2．结算单价：</w:t>
      </w:r>
      <w:r>
        <w:rPr>
          <w:rFonts w:ascii="宋体" w:hAnsi="宋体"/>
          <w:sz w:val="20"/>
          <w:szCs w:val="20"/>
        </w:rPr>
        <w:t xml:space="preserve"> </w:t>
      </w:r>
      <w:r>
        <w:rPr>
          <w:rFonts w:hint="eastAsia" w:ascii="宋体" w:hAnsi="宋体"/>
          <w:sz w:val="20"/>
          <w:szCs w:val="20"/>
        </w:rPr>
        <w:t>以中标价作为合同结算单价。</w:t>
      </w:r>
    </w:p>
    <w:p w14:paraId="7AC7E02C">
      <w:pPr>
        <w:spacing w:line="360" w:lineRule="auto"/>
        <w:rPr>
          <w:rFonts w:hint="eastAsia" w:ascii="宋体" w:hAnsi="宋体" w:cs="宋体"/>
          <w:bCs/>
          <w:sz w:val="20"/>
          <w:szCs w:val="20"/>
        </w:rPr>
      </w:pPr>
      <w:r>
        <w:rPr>
          <w:rFonts w:hint="eastAsia" w:ascii="宋体" w:hAnsi="宋体" w:cs="仿宋_GB2312"/>
          <w:bCs/>
          <w:sz w:val="20"/>
          <w:szCs w:val="20"/>
        </w:rPr>
        <w:t xml:space="preserve">3.付款条件： </w:t>
      </w:r>
      <w:r>
        <w:rPr>
          <w:rFonts w:hint="eastAsia" w:ascii="宋体" w:hAnsi="宋体" w:cs="宋体"/>
          <w:bCs/>
          <w:kern w:val="0"/>
          <w:sz w:val="20"/>
          <w:szCs w:val="20"/>
        </w:rPr>
        <w:t>遵循“先开票、后付款”的原则，</w:t>
      </w:r>
      <w:r>
        <w:rPr>
          <w:rFonts w:hint="eastAsia" w:ascii="宋体" w:hAnsi="宋体" w:cs="宋体"/>
          <w:sz w:val="20"/>
          <w:szCs w:val="20"/>
        </w:rPr>
        <w:t>按照磨憨产业园一期项目物资部实际结算数量开具增值税专用发票，</w:t>
      </w:r>
      <w:r>
        <w:rPr>
          <w:rFonts w:hint="eastAsia" w:ascii="宋体" w:hAnsi="宋体" w:cs="宋体"/>
          <w:bCs/>
          <w:kern w:val="0"/>
          <w:sz w:val="20"/>
          <w:szCs w:val="20"/>
        </w:rPr>
        <w:t>甲方支付前，乙方应按双方确认的当期应付金额向甲方提供增值税专用发票，并于发票开具后5日内提交给甲方，同时乙方向甲方提供砂石料资源税完税证明复印件留存备查。甲方收到乙方发票和完税证明后，按合同约定向乙方付款。</w:t>
      </w:r>
    </w:p>
    <w:p w14:paraId="449B30B9">
      <w:pPr>
        <w:spacing w:line="380" w:lineRule="exact"/>
        <w:rPr>
          <w:rFonts w:hint="eastAsia" w:ascii="宋体" w:hAnsi="宋体" w:cs="仿宋_GB2312"/>
          <w:bCs/>
          <w:sz w:val="20"/>
          <w:szCs w:val="20"/>
        </w:rPr>
      </w:pPr>
      <w:r>
        <w:rPr>
          <w:rFonts w:hint="eastAsia" w:ascii="宋体" w:hAnsi="宋体" w:cs="仿宋_GB2312"/>
          <w:bCs/>
          <w:sz w:val="20"/>
          <w:szCs w:val="20"/>
        </w:rPr>
        <w:t>4.发票要求：一票制增值税专用发票。增值税税率实行国家最新政策。若因国家税务政策变化导致税率调整，不含增值税价格不变，具体税金以变更后的税率计算。</w:t>
      </w:r>
    </w:p>
    <w:p w14:paraId="6E5884A3">
      <w:pPr>
        <w:pStyle w:val="13"/>
        <w:ind w:firstLine="480"/>
      </w:pPr>
    </w:p>
    <w:p w14:paraId="5682016E">
      <w:pPr>
        <w:pStyle w:val="13"/>
        <w:ind w:firstLine="480"/>
      </w:pPr>
    </w:p>
    <w:p w14:paraId="1791A4B1">
      <w:pPr>
        <w:pStyle w:val="13"/>
        <w:ind w:firstLine="480"/>
      </w:pPr>
    </w:p>
    <w:p w14:paraId="223CC407">
      <w:pPr>
        <w:pStyle w:val="13"/>
        <w:ind w:firstLine="480"/>
      </w:pPr>
    </w:p>
    <w:p w14:paraId="2F18B1FE">
      <w:pPr>
        <w:pStyle w:val="13"/>
        <w:ind w:firstLine="480"/>
        <w:rPr>
          <w:rFonts w:hint="eastAsia"/>
        </w:rPr>
        <w:sectPr>
          <w:pgSz w:w="16838" w:h="11906" w:orient="landscape"/>
          <w:pgMar w:top="1474" w:right="1134" w:bottom="1191" w:left="1134" w:header="340" w:footer="1361" w:gutter="0"/>
          <w:cols w:space="720" w:num="1"/>
          <w:docGrid w:type="linesAndChars" w:linePitch="312" w:charSpace="0"/>
        </w:sectPr>
      </w:pPr>
    </w:p>
    <w:p w14:paraId="208FC575">
      <w:pPr>
        <w:outlineLvl w:val="1"/>
        <w:rPr>
          <w:rFonts w:ascii="宋体" w:hAnsi="宋体"/>
          <w:sz w:val="28"/>
          <w:szCs w:val="28"/>
        </w:rPr>
      </w:pPr>
      <w:bookmarkStart w:id="29" w:name="_Toc17483"/>
      <w:r>
        <w:rPr>
          <w:rFonts w:hint="eastAsia" w:ascii="宋体" w:hAnsi="宋体"/>
          <w:sz w:val="28"/>
          <w:szCs w:val="28"/>
        </w:rPr>
        <w:t>附件六</w:t>
      </w:r>
      <w:bookmarkEnd w:id="29"/>
    </w:p>
    <w:p w14:paraId="746E55FD">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宋体" w:hAnsi="宋体" w:eastAsia="宋体" w:cs="新宋体"/>
          <w:b/>
          <w:bCs/>
          <w:kern w:val="0"/>
          <w:sz w:val="36"/>
          <w:szCs w:val="36"/>
          <w:lang w:val="en-US" w:eastAsia="zh-CN"/>
        </w:rPr>
      </w:pPr>
      <w:bookmarkStart w:id="30" w:name="_Toc19401"/>
      <w:r>
        <w:rPr>
          <w:rFonts w:hint="eastAsia" w:ascii="宋体" w:hAnsi="宋体" w:eastAsia="宋体" w:cs="新宋体"/>
          <w:b/>
          <w:bCs/>
          <w:kern w:val="0"/>
          <w:sz w:val="36"/>
          <w:szCs w:val="36"/>
          <w:lang w:val="en-US" w:eastAsia="zh-CN"/>
        </w:rPr>
        <w:t>结算方式</w:t>
      </w:r>
      <w:bookmarkEnd w:id="30"/>
    </w:p>
    <w:p w14:paraId="32A534BE">
      <w:pPr>
        <w:bidi w:val="0"/>
        <w:rPr>
          <w:rFonts w:hint="eastAsia"/>
          <w:lang w:eastAsia="zh-CN"/>
        </w:rPr>
      </w:pPr>
      <w:bookmarkStart w:id="31" w:name="_Toc774"/>
      <w:bookmarkStart w:id="32" w:name="_Toc4860"/>
      <w:bookmarkStart w:id="33" w:name="_Toc6047"/>
      <w:bookmarkStart w:id="34" w:name="_Toc26222"/>
      <w:bookmarkStart w:id="35" w:name="_Toc7318"/>
      <w:bookmarkStart w:id="36" w:name="_Toc465236863"/>
      <w:r>
        <w:rPr>
          <w:rFonts w:hint="eastAsia"/>
          <w:lang w:val="en-US" w:eastAsia="zh-CN"/>
        </w:rPr>
        <w:t>DC-1、2、3包件</w:t>
      </w:r>
      <w:r>
        <w:rPr>
          <w:rFonts w:hint="eastAsia"/>
          <w:lang w:val="en-US"/>
        </w:rPr>
        <w:t>采用</w:t>
      </w:r>
      <w:r>
        <w:rPr>
          <w:rFonts w:hint="eastAsia"/>
          <w:lang w:val="en-US" w:eastAsia="zh-CN"/>
        </w:rPr>
        <w:t>固定</w:t>
      </w:r>
      <w:r>
        <w:rPr>
          <w:rFonts w:hint="eastAsia"/>
          <w:lang w:val="en-US"/>
        </w:rPr>
        <w:t>单价</w:t>
      </w:r>
      <w:r>
        <w:rPr>
          <w:rFonts w:hint="eastAsia"/>
        </w:rPr>
        <w:t>结算</w:t>
      </w:r>
    </w:p>
    <w:p w14:paraId="0A27FEAD">
      <w:pPr>
        <w:spacing w:line="360" w:lineRule="auto"/>
        <w:ind w:firstLine="684" w:firstLineChars="300"/>
        <w:jc w:val="left"/>
        <w:rPr>
          <w:rFonts w:hint="eastAsia" w:ascii="宋体" w:hAnsi="宋体" w:cs="宋体"/>
          <w:bCs/>
          <w:spacing w:val="-6"/>
          <w:kern w:val="0"/>
          <w:sz w:val="24"/>
        </w:rPr>
      </w:pPr>
      <w:r>
        <w:rPr>
          <w:rFonts w:hint="eastAsia" w:ascii="宋体" w:hAnsi="宋体" w:cs="宋体"/>
          <w:spacing w:val="-6"/>
          <w:sz w:val="24"/>
        </w:rPr>
        <w:t>上月21日至本月的20日为一个结算周期，当</w:t>
      </w:r>
      <w:r>
        <w:rPr>
          <w:rFonts w:hint="eastAsia" w:ascii="宋体" w:hAnsi="宋体" w:cs="宋体"/>
          <w:bCs/>
          <w:spacing w:val="-6"/>
          <w:kern w:val="0"/>
          <w:sz w:val="24"/>
        </w:rPr>
        <w:t>月的20日为当月的结算截止日期，甲乙双方根据甲方检验合格及共同签认的凭证计算当月实际收货方量，除此之外任何证明、收条、欠条、信函等文件，都不得作为结算、支付依据。</w:t>
      </w:r>
    </w:p>
    <w:p w14:paraId="7BBBB03B">
      <w:pPr>
        <w:spacing w:line="360" w:lineRule="auto"/>
        <w:ind w:firstLine="684" w:firstLineChars="300"/>
        <w:jc w:val="left"/>
        <w:rPr>
          <w:rFonts w:hint="eastAsia" w:ascii="宋体" w:hAnsi="宋体" w:cs="宋体"/>
          <w:spacing w:val="-6"/>
          <w:sz w:val="24"/>
        </w:rPr>
      </w:pPr>
      <w:r>
        <w:rPr>
          <w:rFonts w:hint="eastAsia" w:ascii="宋体" w:hAnsi="宋体" w:cs="宋体"/>
          <w:bCs/>
          <w:spacing w:val="-6"/>
          <w:kern w:val="0"/>
          <w:sz w:val="24"/>
        </w:rPr>
        <w:t>遵循“先开票、后付款”的原则，</w:t>
      </w:r>
      <w:r>
        <w:rPr>
          <w:rFonts w:hint="eastAsia" w:ascii="宋体" w:hAnsi="宋体" w:cs="宋体"/>
          <w:spacing w:val="-6"/>
          <w:sz w:val="24"/>
        </w:rPr>
        <w:t>按照磨憨产业园一期项目物资部实际结算数量开具增值税专用发票，</w:t>
      </w:r>
      <w:r>
        <w:rPr>
          <w:rFonts w:hint="eastAsia" w:ascii="宋体" w:hAnsi="宋体" w:cs="宋体"/>
          <w:bCs/>
          <w:spacing w:val="-6"/>
          <w:kern w:val="0"/>
          <w:sz w:val="24"/>
        </w:rPr>
        <w:t>甲方支付前，乙方应按双方确认的当期应付金额向甲方提供增值税专用发票，并于发票开具后5日内提交给甲方，同时乙方向甲方提供砂石料资源税完税证明复印件留存备查。甲方收到乙方发票和完税证明后，按合同约定向乙方付款。</w:t>
      </w:r>
    </w:p>
    <w:p w14:paraId="7233BFE8">
      <w:pPr>
        <w:spacing w:line="360" w:lineRule="auto"/>
        <w:ind w:firstLine="456" w:firstLineChars="200"/>
        <w:jc w:val="left"/>
        <w:rPr>
          <w:rFonts w:hint="eastAsia" w:ascii="宋体" w:hAnsi="宋体" w:cs="宋体"/>
          <w:bCs/>
          <w:color w:val="000000"/>
          <w:spacing w:val="-6"/>
          <w:kern w:val="0"/>
          <w:sz w:val="24"/>
        </w:rPr>
      </w:pPr>
      <w:r>
        <w:rPr>
          <w:rFonts w:hint="eastAsia" w:ascii="宋体" w:hAnsi="宋体" w:cs="宋体"/>
          <w:bCs/>
          <w:spacing w:val="-6"/>
          <w:kern w:val="0"/>
          <w:sz w:val="24"/>
        </w:rPr>
        <w:t>结算完成后，甲方在收到乙方开具的正式增值税发票后30日内办理完结算手续，</w:t>
      </w:r>
      <w:r>
        <w:rPr>
          <w:rFonts w:hint="eastAsia" w:ascii="宋体" w:hAnsi="宋体" w:cs="宋体"/>
          <w:bCs/>
          <w:color w:val="000000"/>
          <w:spacing w:val="-6"/>
          <w:kern w:val="0"/>
          <w:sz w:val="24"/>
        </w:rPr>
        <w:t>结算完成后，甲方在收到乙方开具的正式的增值税专用发票后 30 日内，</w:t>
      </w:r>
      <w:r>
        <w:rPr>
          <w:rFonts w:hint="eastAsia" w:ascii="宋体" w:hAnsi="宋体" w:cs="宋体"/>
          <w:spacing w:val="-6"/>
          <w:sz w:val="24"/>
        </w:rPr>
        <w:t>采购账期为“合同‘买方’在当月扣除该批物资价值5%的质量保证金后，在次月20日前支付该批物资75%的价款，在第六个月20日前支付到95%，质量保证金在2026年12月20日前无息支付”。</w:t>
      </w:r>
      <w:r>
        <w:rPr>
          <w:rFonts w:hint="eastAsia" w:ascii="宋体" w:hAnsi="宋体" w:cs="宋体"/>
          <w:bCs/>
          <w:color w:val="000000"/>
          <w:spacing w:val="-6"/>
          <w:kern w:val="0"/>
          <w:sz w:val="24"/>
        </w:rPr>
        <w:t>质量保证金支付不免除乙方对交付货物质量保证责任。</w:t>
      </w:r>
    </w:p>
    <w:p w14:paraId="054A5252">
      <w:pPr>
        <w:pStyle w:val="3"/>
        <w:rPr>
          <w:rFonts w:hint="eastAsia" w:ascii="仿宋_GB2312" w:hAnsi="宋体" w:eastAsia="仿宋_GB2312" w:cs="Times New Roman"/>
          <w:b w:val="0"/>
          <w:bCs w:val="0"/>
          <w:kern w:val="2"/>
          <w:sz w:val="24"/>
          <w:szCs w:val="24"/>
          <w:highlight w:val="none"/>
          <w:lang w:eastAsia="zh-CN" w:bidi="ar-SA"/>
        </w:rPr>
      </w:pPr>
    </w:p>
    <w:p w14:paraId="6BA9BF26">
      <w:pPr>
        <w:rPr>
          <w:rFonts w:hint="eastAsia" w:ascii="仿宋_GB2312" w:hAnsi="宋体" w:eastAsia="仿宋_GB2312" w:cs="Times New Roman"/>
          <w:b w:val="0"/>
          <w:bCs w:val="0"/>
          <w:kern w:val="2"/>
          <w:sz w:val="24"/>
          <w:szCs w:val="24"/>
          <w:highlight w:val="none"/>
          <w:lang w:eastAsia="zh-CN" w:bidi="ar-SA"/>
        </w:rPr>
      </w:pPr>
    </w:p>
    <w:p w14:paraId="7CAA3448">
      <w:pPr>
        <w:pStyle w:val="3"/>
        <w:rPr>
          <w:rFonts w:hint="eastAsia"/>
          <w:lang w:eastAsia="zh-CN"/>
        </w:rPr>
      </w:pPr>
    </w:p>
    <w:p w14:paraId="481CD3D4">
      <w:pPr>
        <w:rPr>
          <w:rFonts w:hint="eastAsia"/>
          <w:lang w:eastAsia="zh-CN"/>
        </w:rPr>
      </w:pPr>
    </w:p>
    <w:p w14:paraId="2E6AFCF5">
      <w:pPr>
        <w:rPr>
          <w:rFonts w:hint="eastAsia"/>
          <w:lang w:eastAsia="zh-CN"/>
        </w:rPr>
      </w:pPr>
    </w:p>
    <w:p w14:paraId="6A165F50">
      <w:pPr>
        <w:rPr>
          <w:rFonts w:hint="eastAsia"/>
          <w:lang w:eastAsia="zh-CN"/>
        </w:rPr>
      </w:pPr>
    </w:p>
    <w:p w14:paraId="5E74529A">
      <w:pPr>
        <w:rPr>
          <w:rFonts w:hint="eastAsia"/>
          <w:lang w:eastAsia="zh-CN"/>
        </w:rPr>
      </w:pPr>
    </w:p>
    <w:p w14:paraId="0F5A3756">
      <w:pPr>
        <w:rPr>
          <w:rFonts w:hint="eastAsia"/>
          <w:lang w:eastAsia="zh-CN"/>
        </w:rPr>
      </w:pPr>
    </w:p>
    <w:p w14:paraId="398739D1">
      <w:pPr>
        <w:rPr>
          <w:rFonts w:hint="eastAsia"/>
          <w:lang w:eastAsia="zh-CN"/>
        </w:rPr>
      </w:pPr>
    </w:p>
    <w:p w14:paraId="7A656A53">
      <w:pPr>
        <w:rPr>
          <w:rFonts w:hint="eastAsia"/>
          <w:lang w:eastAsia="zh-CN"/>
        </w:rPr>
      </w:pPr>
    </w:p>
    <w:p w14:paraId="0A4788A8">
      <w:pPr>
        <w:rPr>
          <w:rFonts w:hint="eastAsia"/>
          <w:lang w:eastAsia="zh-CN"/>
        </w:rPr>
      </w:pPr>
    </w:p>
    <w:p w14:paraId="4BEEEF5A">
      <w:pPr>
        <w:rPr>
          <w:rFonts w:hint="eastAsia"/>
          <w:lang w:eastAsia="zh-CN"/>
        </w:rPr>
      </w:pPr>
    </w:p>
    <w:p w14:paraId="585710BA">
      <w:pPr>
        <w:rPr>
          <w:rFonts w:hint="eastAsia"/>
          <w:lang w:eastAsia="zh-CN"/>
        </w:rPr>
      </w:pPr>
    </w:p>
    <w:p w14:paraId="28D59467">
      <w:pPr>
        <w:rPr>
          <w:rFonts w:hint="eastAsia"/>
          <w:lang w:eastAsia="zh-CN"/>
        </w:rPr>
      </w:pPr>
    </w:p>
    <w:p w14:paraId="538694DC">
      <w:pPr>
        <w:rPr>
          <w:rFonts w:hint="eastAsia"/>
          <w:lang w:eastAsia="zh-CN"/>
        </w:rPr>
      </w:pPr>
    </w:p>
    <w:p w14:paraId="5C8E033C">
      <w:pPr>
        <w:rPr>
          <w:rFonts w:hint="eastAsia"/>
          <w:lang w:eastAsia="zh-CN"/>
        </w:rPr>
      </w:pPr>
    </w:p>
    <w:p w14:paraId="595340DD">
      <w:pPr>
        <w:rPr>
          <w:rFonts w:hint="eastAsia"/>
          <w:lang w:eastAsia="zh-CN"/>
        </w:rPr>
      </w:pPr>
    </w:p>
    <w:p w14:paraId="64F0A651">
      <w:pPr>
        <w:rPr>
          <w:rFonts w:hint="eastAsia"/>
          <w:lang w:eastAsia="zh-CN"/>
        </w:rPr>
      </w:pPr>
    </w:p>
    <w:p w14:paraId="79C2A27C">
      <w:pPr>
        <w:rPr>
          <w:rFonts w:hint="eastAsia"/>
          <w:lang w:eastAsia="zh-CN"/>
        </w:rPr>
      </w:pPr>
    </w:p>
    <w:p w14:paraId="1691EC7B">
      <w:pPr>
        <w:rPr>
          <w:rFonts w:hint="eastAsia"/>
          <w:lang w:eastAsia="zh-CN"/>
        </w:rPr>
      </w:pPr>
    </w:p>
    <w:p w14:paraId="63595205">
      <w:pPr>
        <w:rPr>
          <w:rFonts w:hint="eastAsia"/>
          <w:lang w:eastAsia="zh-CN"/>
        </w:rPr>
      </w:pPr>
    </w:p>
    <w:p w14:paraId="3A556D20">
      <w:pPr>
        <w:rPr>
          <w:rFonts w:hint="eastAsia"/>
          <w:lang w:eastAsia="zh-CN"/>
        </w:rPr>
      </w:pPr>
    </w:p>
    <w:p w14:paraId="2FE3C33E">
      <w:pPr>
        <w:rPr>
          <w:rFonts w:hint="eastAsia"/>
          <w:lang w:eastAsia="zh-CN"/>
        </w:rPr>
      </w:pPr>
    </w:p>
    <w:p w14:paraId="2E569389">
      <w:pPr>
        <w:rPr>
          <w:rFonts w:hint="eastAsia"/>
          <w:lang w:eastAsia="zh-CN"/>
        </w:rPr>
      </w:pPr>
    </w:p>
    <w:p w14:paraId="40045F2D">
      <w:pPr>
        <w:rPr>
          <w:rFonts w:hint="eastAsia"/>
          <w:lang w:eastAsia="zh-CN"/>
        </w:rPr>
      </w:pPr>
    </w:p>
    <w:p w14:paraId="46B073BC">
      <w:pPr>
        <w:rPr>
          <w:rFonts w:hint="eastAsia"/>
          <w:lang w:eastAsia="zh-CN"/>
        </w:rPr>
      </w:pPr>
    </w:p>
    <w:p w14:paraId="7B8C1E02">
      <w:pPr>
        <w:outlineLvl w:val="1"/>
        <w:rPr>
          <w:rFonts w:ascii="宋体" w:hAnsi="宋体"/>
          <w:sz w:val="28"/>
          <w:szCs w:val="28"/>
        </w:rPr>
      </w:pPr>
      <w:bookmarkStart w:id="37" w:name="_Toc7847"/>
      <w:r>
        <w:rPr>
          <w:rFonts w:hint="eastAsia" w:ascii="宋体" w:hAnsi="宋体"/>
          <w:sz w:val="28"/>
          <w:szCs w:val="28"/>
        </w:rPr>
        <w:t>附件</w:t>
      </w:r>
      <w:bookmarkEnd w:id="31"/>
      <w:bookmarkEnd w:id="32"/>
      <w:bookmarkEnd w:id="33"/>
      <w:bookmarkEnd w:id="34"/>
      <w:bookmarkEnd w:id="35"/>
      <w:bookmarkStart w:id="38" w:name="_Toc453423265"/>
      <w:bookmarkStart w:id="39" w:name="_Toc387225471"/>
      <w:bookmarkStart w:id="40" w:name="_Toc434398107"/>
      <w:bookmarkStart w:id="41" w:name="_Toc435111035"/>
      <w:r>
        <w:rPr>
          <w:rFonts w:hint="eastAsia" w:ascii="宋体" w:hAnsi="宋体"/>
          <w:sz w:val="28"/>
          <w:szCs w:val="28"/>
        </w:rPr>
        <w:t>七</w:t>
      </w:r>
      <w:bookmarkEnd w:id="37"/>
    </w:p>
    <w:p w14:paraId="187BA7B2">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新宋体"/>
          <w:b/>
          <w:bCs/>
          <w:kern w:val="0"/>
          <w:sz w:val="36"/>
          <w:szCs w:val="36"/>
          <w:lang w:val="en-US" w:eastAsia="zh-CN"/>
        </w:rPr>
      </w:pPr>
      <w:bookmarkStart w:id="42" w:name="_Toc8246"/>
      <w:bookmarkStart w:id="43" w:name="_Toc132117171"/>
      <w:bookmarkStart w:id="44" w:name="_Toc132116571"/>
      <w:r>
        <w:rPr>
          <w:rFonts w:hint="eastAsia" w:ascii="宋体" w:hAnsi="宋体" w:eastAsia="宋体" w:cs="新宋体"/>
          <w:b/>
          <w:bCs/>
          <w:kern w:val="0"/>
          <w:sz w:val="36"/>
          <w:szCs w:val="36"/>
          <w:lang w:val="en-US" w:eastAsia="zh-CN"/>
        </w:rPr>
        <w:t>物资技术规格书</w:t>
      </w:r>
      <w:bookmarkEnd w:id="42"/>
      <w:bookmarkEnd w:id="43"/>
      <w:bookmarkEnd w:id="44"/>
    </w:p>
    <w:bookmarkEnd w:id="36"/>
    <w:bookmarkEnd w:id="38"/>
    <w:bookmarkEnd w:id="39"/>
    <w:bookmarkEnd w:id="40"/>
    <w:bookmarkEnd w:id="41"/>
    <w:p w14:paraId="5C84C12F">
      <w:pPr>
        <w:pStyle w:val="14"/>
        <w:rPr>
          <w:rFonts w:hint="eastAsia"/>
        </w:rPr>
      </w:pPr>
    </w:p>
    <w:p w14:paraId="1C3961E6">
      <w:pPr>
        <w:pStyle w:val="15"/>
        <w:ind w:firstLine="3000" w:firstLineChars="1250"/>
        <w:rPr>
          <w:rFonts w:hint="eastAsia" w:ascii="宋体" w:hAnsi="宋体"/>
          <w:b/>
          <w:sz w:val="28"/>
        </w:rPr>
      </w:pPr>
      <w:r>
        <w:rPr>
          <w:rStyle w:val="16"/>
          <w:rFonts w:hint="eastAsia"/>
        </w:rPr>
        <w:t>技术规格书</w:t>
      </w:r>
      <w:r>
        <w:rPr>
          <w:rStyle w:val="16"/>
          <w:rFonts w:hint="eastAsia" w:eastAsiaTheme="minorEastAsia"/>
        </w:rPr>
        <w:t>（DC-1 DC-2 DC-3）</w:t>
      </w:r>
    </w:p>
    <w:p w14:paraId="3C7C6C3D">
      <w:pPr>
        <w:spacing w:line="360" w:lineRule="auto"/>
        <w:ind w:firstLine="480" w:firstLineChars="200"/>
        <w:rPr>
          <w:rStyle w:val="16"/>
          <w:rFonts w:hint="eastAsia" w:eastAsiaTheme="minorEastAsia"/>
          <w:kern w:val="2"/>
          <w:lang w:val="en-US" w:eastAsia="zh-CN" w:bidi="ar-SA"/>
        </w:rPr>
      </w:pPr>
      <w:r>
        <w:rPr>
          <w:rStyle w:val="16"/>
          <w:rFonts w:hint="eastAsia" w:eastAsiaTheme="minorEastAsia"/>
          <w:kern w:val="2"/>
          <w:lang w:val="en-US" w:eastAsia="zh-CN" w:bidi="ar-SA"/>
        </w:rPr>
        <w:t>1、砂</w:t>
      </w:r>
    </w:p>
    <w:p w14:paraId="55EAABC6">
      <w:pPr>
        <w:pStyle w:val="15"/>
        <w:ind w:firstLine="480" w:firstLineChars="200"/>
        <w:rPr>
          <w:rStyle w:val="16"/>
          <w:rFonts w:hint="eastAsia" w:eastAsiaTheme="minorEastAsia"/>
          <w:kern w:val="2"/>
          <w:lang w:val="en-US" w:eastAsia="zh-CN" w:bidi="ar-SA"/>
        </w:rPr>
      </w:pPr>
      <w:r>
        <w:rPr>
          <w:rStyle w:val="16"/>
          <w:rFonts w:hint="eastAsia" w:eastAsiaTheme="minorEastAsia"/>
          <w:kern w:val="2"/>
          <w:lang w:val="en-US" w:eastAsia="zh-CN" w:bidi="ar-SA"/>
        </w:rPr>
        <w:t>机制砂必需满足JTG/T 3650-2020中的相关规定。机制砂必须级配良好、质地坚硬、颗粒洁净，不允许采用海砂。机制砂必须满足下表中Ⅱ类及以上技术指标要求。</w:t>
      </w:r>
    </w:p>
    <w:p w14:paraId="0A604A62">
      <w:pPr>
        <w:pStyle w:val="15"/>
        <w:ind w:firstLine="480" w:firstLineChars="200"/>
        <w:rPr>
          <w:rStyle w:val="16"/>
          <w:rFonts w:hint="eastAsia" w:eastAsiaTheme="minorEastAsia"/>
          <w:kern w:val="2"/>
          <w:lang w:val="en-US" w:eastAsia="zh-CN" w:bidi="ar-SA"/>
        </w:rPr>
      </w:pPr>
      <w:r>
        <w:rPr>
          <w:rStyle w:val="16"/>
          <w:rFonts w:hint="eastAsia" w:eastAsiaTheme="minorEastAsia"/>
          <w:kern w:val="2"/>
          <w:lang w:val="en-US" w:eastAsia="zh-CN" w:bidi="ar-SA"/>
        </w:rPr>
        <w:drawing>
          <wp:inline distT="0" distB="0" distL="114300" distR="114300">
            <wp:extent cx="5502275" cy="4838700"/>
            <wp:effectExtent l="0" t="0" r="952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0"/>
                    <a:stretch>
                      <a:fillRect/>
                    </a:stretch>
                  </pic:blipFill>
                  <pic:spPr>
                    <a:xfrm>
                      <a:off x="0" y="0"/>
                      <a:ext cx="5502275" cy="4838700"/>
                    </a:xfrm>
                    <a:prstGeom prst="rect">
                      <a:avLst/>
                    </a:prstGeom>
                    <a:noFill/>
                    <a:ln>
                      <a:noFill/>
                    </a:ln>
                  </pic:spPr>
                </pic:pic>
              </a:graphicData>
            </a:graphic>
          </wp:inline>
        </w:drawing>
      </w:r>
    </w:p>
    <w:p w14:paraId="3A84293D">
      <w:pPr>
        <w:jc w:val="center"/>
        <w:rPr>
          <w:rStyle w:val="16"/>
          <w:rFonts w:hint="eastAsia" w:eastAsiaTheme="minorEastAsia"/>
          <w:kern w:val="2"/>
          <w:lang w:val="en-US" w:eastAsia="zh-CN" w:bidi="ar-SA"/>
        </w:rPr>
      </w:pPr>
    </w:p>
    <w:p w14:paraId="01FB11E8">
      <w:pPr>
        <w:spacing w:line="360" w:lineRule="auto"/>
        <w:ind w:firstLine="480" w:firstLineChars="200"/>
        <w:rPr>
          <w:rStyle w:val="16"/>
          <w:rFonts w:hint="eastAsia" w:eastAsiaTheme="minorEastAsia"/>
          <w:kern w:val="2"/>
          <w:lang w:val="en-US" w:eastAsia="zh-CN" w:bidi="ar-SA"/>
        </w:rPr>
      </w:pPr>
      <w:r>
        <w:rPr>
          <w:rStyle w:val="16"/>
          <w:rFonts w:hint="eastAsia" w:eastAsiaTheme="minorEastAsia"/>
          <w:kern w:val="2"/>
          <w:lang w:val="en-US" w:eastAsia="zh-CN" w:bidi="ar-SA"/>
        </w:rPr>
        <w:t>机制砂细度模数必须在2.3～3.7之间，颗粒级配需满足下表要求。</w:t>
      </w:r>
    </w:p>
    <w:p w14:paraId="109DA10D">
      <w:pPr>
        <w:pStyle w:val="3"/>
        <w:rPr>
          <w:rStyle w:val="16"/>
          <w:rFonts w:hint="eastAsia" w:eastAsiaTheme="minorEastAsia"/>
          <w:kern w:val="2"/>
          <w:lang w:val="en-US" w:eastAsia="zh-CN" w:bidi="ar-SA"/>
        </w:rPr>
      </w:pPr>
      <w:r>
        <w:rPr>
          <w:rStyle w:val="16"/>
          <w:rFonts w:hint="eastAsia" w:eastAsiaTheme="minorEastAsia"/>
          <w:kern w:val="2"/>
          <w:lang w:val="en-US" w:eastAsia="zh-CN" w:bidi="ar-SA"/>
        </w:rPr>
        <w:t xml:space="preserve">     </w:t>
      </w:r>
      <w:bookmarkStart w:id="45" w:name="_Toc19071"/>
      <w:r>
        <w:rPr>
          <w:rStyle w:val="16"/>
          <w:rFonts w:hint="eastAsia" w:eastAsiaTheme="minorEastAsia"/>
          <w:kern w:val="2"/>
          <w:lang w:val="en-US" w:eastAsia="zh-CN" w:bidi="ar-SA"/>
        </w:rPr>
        <w:drawing>
          <wp:inline distT="0" distB="0" distL="114300" distR="114300">
            <wp:extent cx="4762500" cy="1546860"/>
            <wp:effectExtent l="0" t="0" r="0"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1"/>
                    <a:stretch>
                      <a:fillRect/>
                    </a:stretch>
                  </pic:blipFill>
                  <pic:spPr>
                    <a:xfrm>
                      <a:off x="0" y="0"/>
                      <a:ext cx="4762500" cy="1546860"/>
                    </a:xfrm>
                    <a:prstGeom prst="rect">
                      <a:avLst/>
                    </a:prstGeom>
                    <a:noFill/>
                    <a:ln>
                      <a:noFill/>
                    </a:ln>
                  </pic:spPr>
                </pic:pic>
              </a:graphicData>
            </a:graphic>
          </wp:inline>
        </w:drawing>
      </w:r>
      <w:bookmarkEnd w:id="45"/>
    </w:p>
    <w:p w14:paraId="41B9B07B">
      <w:pPr>
        <w:spacing w:line="360" w:lineRule="auto"/>
        <w:ind w:firstLine="480" w:firstLineChars="200"/>
        <w:rPr>
          <w:rStyle w:val="16"/>
          <w:rFonts w:hint="eastAsia" w:eastAsiaTheme="minorEastAsia"/>
          <w:kern w:val="2"/>
          <w:lang w:val="en-US" w:eastAsia="zh-CN" w:bidi="ar-SA"/>
        </w:rPr>
      </w:pPr>
      <w:r>
        <w:rPr>
          <w:rStyle w:val="16"/>
          <w:rFonts w:hint="eastAsia" w:eastAsiaTheme="minorEastAsia"/>
          <w:kern w:val="2"/>
          <w:lang w:val="en-US" w:eastAsia="zh-CN" w:bidi="ar-SA"/>
        </w:rPr>
        <w:t>2、碎石</w:t>
      </w:r>
    </w:p>
    <w:p w14:paraId="424BAA83">
      <w:pPr>
        <w:ind w:firstLine="720" w:firstLineChars="300"/>
        <w:rPr>
          <w:rStyle w:val="16"/>
          <w:rFonts w:hint="eastAsia" w:eastAsiaTheme="minorEastAsia"/>
          <w:kern w:val="2"/>
          <w:lang w:val="en-US" w:eastAsia="zh-CN" w:bidi="ar-SA"/>
        </w:rPr>
      </w:pPr>
      <w:r>
        <w:rPr>
          <w:rStyle w:val="16"/>
          <w:rFonts w:hint="eastAsia" w:eastAsiaTheme="minorEastAsia"/>
          <w:kern w:val="2"/>
          <w:lang w:val="en-US" w:eastAsia="zh-CN" w:bidi="ar-SA"/>
        </w:rPr>
        <w:t>碎石必需满足JTG/T 3650-2020中的相关规定。碎石必须采用质地坚硬、洁净、级配合理、粒形良好、吸水率小的碎石，碎石必须满足下表中Ⅱ类及以上技术指标要求。</w:t>
      </w:r>
    </w:p>
    <w:p w14:paraId="6DED1ADB">
      <w:pPr>
        <w:rPr>
          <w:rStyle w:val="16"/>
          <w:rFonts w:hint="eastAsia" w:eastAsiaTheme="minorEastAsia"/>
          <w:kern w:val="2"/>
          <w:lang w:val="en-US" w:eastAsia="zh-CN" w:bidi="ar-SA"/>
        </w:rPr>
      </w:pPr>
      <w:r>
        <w:rPr>
          <w:rStyle w:val="16"/>
          <w:rFonts w:hint="eastAsia" w:eastAsiaTheme="minorEastAsia"/>
          <w:kern w:val="2"/>
          <w:lang w:val="en-US" w:eastAsia="zh-CN" w:bidi="ar-SA"/>
        </w:rPr>
        <w:t xml:space="preserve">       </w:t>
      </w:r>
      <w:r>
        <w:rPr>
          <w:rStyle w:val="16"/>
          <w:rFonts w:hint="eastAsia" w:eastAsiaTheme="minorEastAsia"/>
          <w:kern w:val="2"/>
          <w:lang w:val="en-US" w:eastAsia="zh-CN" w:bidi="ar-SA"/>
        </w:rPr>
        <w:drawing>
          <wp:inline distT="0" distB="0" distL="114300" distR="114300">
            <wp:extent cx="4754880" cy="2534920"/>
            <wp:effectExtent l="0" t="0" r="7620" b="508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2"/>
                    <a:stretch>
                      <a:fillRect/>
                    </a:stretch>
                  </pic:blipFill>
                  <pic:spPr>
                    <a:xfrm>
                      <a:off x="0" y="0"/>
                      <a:ext cx="4754880" cy="2534920"/>
                    </a:xfrm>
                    <a:prstGeom prst="rect">
                      <a:avLst/>
                    </a:prstGeom>
                    <a:noFill/>
                    <a:ln>
                      <a:noFill/>
                    </a:ln>
                  </pic:spPr>
                </pic:pic>
              </a:graphicData>
            </a:graphic>
          </wp:inline>
        </w:drawing>
      </w:r>
    </w:p>
    <w:p w14:paraId="0D06F0C0">
      <w:pPr>
        <w:pStyle w:val="3"/>
        <w:rPr>
          <w:rStyle w:val="16"/>
          <w:rFonts w:hint="eastAsia" w:eastAsiaTheme="minorEastAsia"/>
          <w:kern w:val="2"/>
          <w:lang w:val="en-US" w:eastAsia="zh-CN" w:bidi="ar-SA"/>
        </w:rPr>
      </w:pPr>
      <w:r>
        <w:rPr>
          <w:rStyle w:val="16"/>
          <w:rFonts w:hint="eastAsia" w:eastAsiaTheme="minorEastAsia"/>
          <w:kern w:val="2"/>
          <w:lang w:val="en-US" w:eastAsia="zh-CN" w:bidi="ar-SA"/>
        </w:rPr>
        <w:t xml:space="preserve">     </w:t>
      </w:r>
      <w:bookmarkStart w:id="46" w:name="_Toc9842"/>
      <w:r>
        <w:rPr>
          <w:rStyle w:val="16"/>
          <w:rFonts w:hint="eastAsia" w:eastAsiaTheme="minorEastAsia"/>
          <w:kern w:val="2"/>
          <w:lang w:val="en-US" w:eastAsia="zh-CN" w:bidi="ar-SA"/>
        </w:rPr>
        <w:drawing>
          <wp:inline distT="0" distB="0" distL="114300" distR="114300">
            <wp:extent cx="4777740" cy="2505075"/>
            <wp:effectExtent l="0" t="0" r="10160"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tretch>
                      <a:fillRect/>
                    </a:stretch>
                  </pic:blipFill>
                  <pic:spPr>
                    <a:xfrm>
                      <a:off x="0" y="0"/>
                      <a:ext cx="4777740" cy="2505075"/>
                    </a:xfrm>
                    <a:prstGeom prst="rect">
                      <a:avLst/>
                    </a:prstGeom>
                    <a:noFill/>
                    <a:ln>
                      <a:noFill/>
                    </a:ln>
                  </pic:spPr>
                </pic:pic>
              </a:graphicData>
            </a:graphic>
          </wp:inline>
        </w:drawing>
      </w:r>
      <w:bookmarkEnd w:id="46"/>
    </w:p>
    <w:p w14:paraId="005316A8">
      <w:pPr>
        <w:ind w:firstLine="960" w:firstLineChars="400"/>
        <w:rPr>
          <w:rStyle w:val="16"/>
          <w:rFonts w:hint="eastAsia" w:eastAsiaTheme="minorEastAsia"/>
          <w:kern w:val="2"/>
          <w:lang w:val="en-US" w:eastAsia="zh-CN" w:bidi="ar-SA"/>
        </w:rPr>
      </w:pPr>
      <w:r>
        <w:rPr>
          <w:rStyle w:val="16"/>
          <w:rFonts w:hint="eastAsia" w:eastAsiaTheme="minorEastAsia"/>
          <w:kern w:val="2"/>
          <w:lang w:val="en-US" w:eastAsia="zh-CN" w:bidi="ar-SA"/>
        </w:rPr>
        <w:t>碎石公称粒级为10-20mm，颗粒级配需满足下表中要求。</w:t>
      </w:r>
    </w:p>
    <w:p w14:paraId="58074D30">
      <w:pPr>
        <w:pStyle w:val="3"/>
        <w:rPr>
          <w:rStyle w:val="16"/>
          <w:rFonts w:hint="eastAsia" w:eastAsiaTheme="minorEastAsia"/>
          <w:kern w:val="2"/>
          <w:lang w:val="en-US" w:eastAsia="zh-CN" w:bidi="ar-SA"/>
        </w:rPr>
      </w:pPr>
      <w:r>
        <w:rPr>
          <w:rStyle w:val="16"/>
          <w:rFonts w:hint="eastAsia" w:eastAsiaTheme="minorEastAsia"/>
          <w:kern w:val="2"/>
          <w:lang w:val="en-US" w:eastAsia="zh-CN" w:bidi="ar-SA"/>
        </w:rPr>
        <w:t xml:space="preserve">      </w:t>
      </w:r>
      <w:bookmarkStart w:id="47" w:name="_Toc2850"/>
      <w:r>
        <w:rPr>
          <w:rStyle w:val="16"/>
          <w:rFonts w:hint="eastAsia" w:eastAsiaTheme="minorEastAsia"/>
          <w:kern w:val="2"/>
          <w:lang w:val="en-US" w:eastAsia="zh-CN" w:bidi="ar-SA"/>
        </w:rPr>
        <w:drawing>
          <wp:inline distT="0" distB="0" distL="114300" distR="114300">
            <wp:extent cx="4770120" cy="3893820"/>
            <wp:effectExtent l="0" t="0" r="5080" b="508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4"/>
                    <a:stretch>
                      <a:fillRect/>
                    </a:stretch>
                  </pic:blipFill>
                  <pic:spPr>
                    <a:xfrm>
                      <a:off x="0" y="0"/>
                      <a:ext cx="4770120" cy="3893820"/>
                    </a:xfrm>
                    <a:prstGeom prst="rect">
                      <a:avLst/>
                    </a:prstGeom>
                    <a:noFill/>
                    <a:ln>
                      <a:noFill/>
                    </a:ln>
                  </pic:spPr>
                </pic:pic>
              </a:graphicData>
            </a:graphic>
          </wp:inline>
        </w:drawing>
      </w:r>
      <w:bookmarkEnd w:id="47"/>
    </w:p>
    <w:p w14:paraId="32A411B6">
      <w:pPr>
        <w:rPr>
          <w:rStyle w:val="16"/>
          <w:rFonts w:hint="eastAsia" w:eastAsiaTheme="minorEastAsia"/>
          <w:kern w:val="2"/>
          <w:lang w:val="en-US" w:eastAsia="zh-CN" w:bidi="ar-SA"/>
        </w:rPr>
      </w:pPr>
    </w:p>
    <w:p w14:paraId="4896077C">
      <w:pPr>
        <w:widowControl/>
        <w:ind w:firstLine="480" w:firstLineChars="200"/>
        <w:jc w:val="left"/>
        <w:rPr>
          <w:rStyle w:val="16"/>
          <w:rFonts w:hint="eastAsia" w:eastAsiaTheme="minorEastAsia"/>
          <w:kern w:val="2"/>
          <w:lang w:val="en-US" w:eastAsia="zh-CN" w:bidi="ar-SA"/>
        </w:rPr>
      </w:pPr>
      <w:r>
        <w:rPr>
          <w:rStyle w:val="16"/>
          <w:rFonts w:hint="eastAsia" w:eastAsiaTheme="minorEastAsia"/>
          <w:kern w:val="2"/>
          <w:lang w:val="en-US" w:eastAsia="zh-CN" w:bidi="ar-SA"/>
        </w:rPr>
        <w:t>根据公司物设通〔2025〕04 号关于加强物资过磅管控的通知，砂石料进场管理通知要求规定，路基填料优先采用收方计量，特殊情况下可选择过磅计量。该砂石料用于路基填料，优先采用收方计量方式。含水率根据路基填料要求，进场使用沙石料静置时不能见滴水，成团等现象。</w:t>
      </w:r>
    </w:p>
    <w:p w14:paraId="10AC64CE">
      <w:pPr>
        <w:pStyle w:val="14"/>
        <w:rPr>
          <w:rStyle w:val="16"/>
          <w:rFonts w:hint="eastAsia" w:eastAsiaTheme="minorEastAsia"/>
          <w:kern w:val="2"/>
          <w:lang w:val="en-US" w:eastAsia="zh-CN" w:bidi="ar-SA"/>
        </w:rPr>
      </w:pPr>
    </w:p>
    <w:p w14:paraId="02ABAFCC">
      <w:pPr>
        <w:pStyle w:val="14"/>
        <w:rPr>
          <w:rFonts w:hint="eastAsia"/>
        </w:rPr>
      </w:pPr>
    </w:p>
    <w:p w14:paraId="6F17851E">
      <w:pPr>
        <w:pStyle w:val="14"/>
        <w:rPr>
          <w:rFonts w:hint="eastAsia"/>
        </w:rPr>
      </w:pPr>
    </w:p>
    <w:p w14:paraId="1EEA7D52">
      <w:pPr>
        <w:pStyle w:val="14"/>
        <w:rPr>
          <w:rFonts w:hint="eastAsia"/>
        </w:rPr>
      </w:pPr>
    </w:p>
    <w:p w14:paraId="160DD460">
      <w:pPr>
        <w:pStyle w:val="14"/>
        <w:rPr>
          <w:rFonts w:hint="eastAsia"/>
        </w:rPr>
      </w:pPr>
    </w:p>
    <w:p w14:paraId="6655E56D">
      <w:pPr>
        <w:pStyle w:val="14"/>
        <w:rPr>
          <w:rFonts w:hint="eastAsia"/>
        </w:rPr>
      </w:pPr>
    </w:p>
    <w:p w14:paraId="4FD5055D">
      <w:pPr>
        <w:pStyle w:val="14"/>
        <w:rPr>
          <w:rFonts w:hint="eastAsia"/>
        </w:rPr>
      </w:pPr>
    </w:p>
    <w:p w14:paraId="1796EE46">
      <w:pPr>
        <w:pStyle w:val="14"/>
        <w:rPr>
          <w:rFonts w:hint="eastAsia"/>
        </w:rPr>
      </w:pPr>
    </w:p>
    <w:p w14:paraId="7605A518">
      <w:pPr>
        <w:pStyle w:val="14"/>
        <w:rPr>
          <w:rFonts w:hint="eastAsia"/>
        </w:rPr>
      </w:pPr>
    </w:p>
    <w:p w14:paraId="3E022768">
      <w:pPr>
        <w:pStyle w:val="14"/>
        <w:rPr>
          <w:rFonts w:hint="eastAsia"/>
        </w:rPr>
      </w:pPr>
    </w:p>
    <w:p w14:paraId="3B54343A">
      <w:pPr>
        <w:pStyle w:val="14"/>
        <w:rPr>
          <w:rFonts w:hint="eastAsia"/>
        </w:rPr>
      </w:pPr>
    </w:p>
    <w:p w14:paraId="2CC9D3A9">
      <w:pPr>
        <w:pStyle w:val="14"/>
        <w:rPr>
          <w:rFonts w:hint="eastAsia"/>
        </w:rPr>
      </w:pPr>
    </w:p>
    <w:p w14:paraId="4F39E9F3">
      <w:pPr>
        <w:pStyle w:val="14"/>
        <w:rPr>
          <w:rFonts w:hint="eastAsia"/>
        </w:rPr>
      </w:pPr>
    </w:p>
    <w:p w14:paraId="27739083">
      <w:pPr>
        <w:pStyle w:val="14"/>
        <w:rPr>
          <w:rFonts w:hint="eastAsia"/>
        </w:rPr>
      </w:pPr>
    </w:p>
    <w:p w14:paraId="5FB43536">
      <w:pPr>
        <w:pStyle w:val="14"/>
        <w:rPr>
          <w:rFonts w:hint="eastAsia"/>
        </w:rPr>
      </w:pPr>
    </w:p>
    <w:p w14:paraId="0D55AB65">
      <w:pPr>
        <w:pStyle w:val="14"/>
        <w:rPr>
          <w:rFonts w:hint="eastAsia"/>
        </w:rPr>
      </w:pPr>
    </w:p>
    <w:p w14:paraId="186BDCD1">
      <w:pPr>
        <w:pStyle w:val="14"/>
        <w:rPr>
          <w:rFonts w:hint="eastAsia"/>
        </w:rPr>
      </w:pPr>
    </w:p>
    <w:p w14:paraId="42399792">
      <w:pPr>
        <w:pStyle w:val="14"/>
        <w:rPr>
          <w:rFonts w:hint="eastAsia"/>
        </w:rPr>
      </w:pPr>
    </w:p>
    <w:p w14:paraId="64E87E84">
      <w:pPr>
        <w:pStyle w:val="14"/>
        <w:rPr>
          <w:rFonts w:hint="eastAsia"/>
        </w:rPr>
      </w:pPr>
    </w:p>
    <w:p w14:paraId="49726002">
      <w:pPr>
        <w:pStyle w:val="14"/>
        <w:rPr>
          <w:rFonts w:hint="eastAsia"/>
        </w:rPr>
      </w:pPr>
    </w:p>
    <w:p w14:paraId="094849A9">
      <w:pPr>
        <w:pStyle w:val="14"/>
        <w:rPr>
          <w:rFonts w:hint="eastAsia"/>
        </w:rPr>
      </w:pPr>
    </w:p>
    <w:p w14:paraId="725692F0">
      <w:pPr>
        <w:outlineLvl w:val="1"/>
        <w:rPr>
          <w:rFonts w:ascii="宋体" w:hAnsi="宋体"/>
          <w:sz w:val="28"/>
          <w:szCs w:val="28"/>
        </w:rPr>
      </w:pPr>
      <w:bookmarkStart w:id="48" w:name="_Toc6315"/>
      <w:r>
        <w:rPr>
          <w:rFonts w:hint="eastAsia" w:ascii="宋体" w:hAnsi="宋体"/>
          <w:sz w:val="28"/>
          <w:szCs w:val="28"/>
        </w:rPr>
        <w:t>附件八</w:t>
      </w:r>
      <w:bookmarkEnd w:id="48"/>
    </w:p>
    <w:p w14:paraId="7EE11C02">
      <w:pPr>
        <w:pStyle w:val="2"/>
        <w:keepNext/>
        <w:keepLines/>
        <w:pageBreakBefore w:val="0"/>
        <w:widowControl w:val="0"/>
        <w:kinsoku/>
        <w:wordWrap/>
        <w:overflowPunct/>
        <w:topLinePunct w:val="0"/>
        <w:autoSpaceDE/>
        <w:autoSpaceDN/>
        <w:bidi w:val="0"/>
        <w:adjustRightInd/>
        <w:snapToGrid/>
        <w:spacing w:before="0" w:after="0" w:line="240" w:lineRule="auto"/>
        <w:ind w:left="0" w:leftChars="0"/>
        <w:jc w:val="center"/>
        <w:textAlignment w:val="auto"/>
        <w:rPr>
          <w:rFonts w:hint="default" w:ascii="宋体" w:hAnsi="宋体" w:eastAsia="宋体" w:cs="新宋体"/>
          <w:b/>
          <w:bCs/>
          <w:kern w:val="0"/>
          <w:sz w:val="36"/>
          <w:szCs w:val="36"/>
          <w:lang w:val="en-US" w:eastAsia="zh-CN"/>
        </w:rPr>
      </w:pPr>
      <w:bookmarkStart w:id="49" w:name="_Toc3507"/>
      <w:r>
        <w:rPr>
          <w:rFonts w:hint="eastAsia" w:ascii="宋体" w:hAnsi="宋体" w:eastAsia="宋体" w:cs="新宋体"/>
          <w:b/>
          <w:bCs/>
          <w:kern w:val="0"/>
          <w:sz w:val="36"/>
          <w:szCs w:val="36"/>
          <w:lang w:val="en-US" w:eastAsia="zh-CN"/>
        </w:rPr>
        <w:t>物资合同模版</w:t>
      </w:r>
      <w:bookmarkEnd w:id="49"/>
    </w:p>
    <w:p w14:paraId="085C1FB8">
      <w:pPr>
        <w:widowControl/>
        <w:tabs>
          <w:tab w:val="left" w:pos="8364"/>
        </w:tabs>
        <w:spacing w:line="440" w:lineRule="exact"/>
        <w:ind w:left="420" w:leftChars="200" w:right="420" w:rightChars="200"/>
        <w:jc w:val="center"/>
        <w:rPr>
          <w:rFonts w:hint="eastAsia" w:ascii="宋体" w:hAnsi="宋体" w:cs="宋体"/>
          <w:spacing w:val="60"/>
          <w:kern w:val="0"/>
          <w:sz w:val="36"/>
          <w:szCs w:val="36"/>
        </w:rPr>
      </w:pPr>
      <w:bookmarkStart w:id="50" w:name="_Hlk184651441"/>
      <w:r>
        <w:rPr>
          <w:rFonts w:hint="eastAsia" w:ascii="宋体" w:hAnsi="宋体" w:cs="宋体"/>
          <w:spacing w:val="60"/>
          <w:kern w:val="0"/>
          <w:sz w:val="36"/>
          <w:szCs w:val="36"/>
        </w:rPr>
        <w:t>买卖合同</w:t>
      </w:r>
    </w:p>
    <w:p w14:paraId="666D9002">
      <w:pPr>
        <w:spacing w:line="440" w:lineRule="exact"/>
        <w:ind w:firstLine="2835" w:firstLineChars="1350"/>
        <w:rPr>
          <w:rFonts w:ascii="宋体" w:hAnsi="宋体"/>
          <w:szCs w:val="21"/>
        </w:rPr>
      </w:pPr>
      <w:r>
        <w:rPr>
          <w:rFonts w:hint="eastAsia" w:ascii="宋体" w:hAnsi="宋体"/>
          <w:szCs w:val="21"/>
        </w:rPr>
        <w:t xml:space="preserve">                                            </w:t>
      </w:r>
      <w:r>
        <w:rPr>
          <w:rFonts w:hint="eastAsia" w:ascii="宋体" w:hAnsi="宋体" w:cs="宋体"/>
          <w:kern w:val="0"/>
          <w:szCs w:val="21"/>
        </w:rPr>
        <w:t xml:space="preserve">                                                                                                                               </w:t>
      </w:r>
    </w:p>
    <w:p w14:paraId="58465F65">
      <w:pPr>
        <w:widowControl/>
        <w:tabs>
          <w:tab w:val="left" w:pos="8364"/>
        </w:tabs>
        <w:spacing w:line="390" w:lineRule="exact"/>
        <w:jc w:val="left"/>
        <w:rPr>
          <w:rFonts w:ascii="宋体" w:hAnsi="宋体" w:cs="宋体"/>
          <w:kern w:val="0"/>
          <w:sz w:val="24"/>
        </w:rPr>
      </w:pPr>
      <w:r>
        <w:rPr>
          <w:rFonts w:hint="eastAsia" w:ascii="宋体" w:hAnsi="宋体" w:cs="宋体"/>
          <w:b/>
          <w:kern w:val="0"/>
          <w:sz w:val="24"/>
        </w:rPr>
        <w:t>买方</w:t>
      </w:r>
      <w:r>
        <w:rPr>
          <w:rFonts w:hint="eastAsia" w:ascii="宋体" w:hAnsi="宋体" w:cs="宋体"/>
          <w:kern w:val="0"/>
          <w:sz w:val="24"/>
        </w:rPr>
        <w:t>：中铁二局第五工程有限公司（以下简称甲方）</w:t>
      </w:r>
    </w:p>
    <w:p w14:paraId="38E03C38">
      <w:pPr>
        <w:widowControl/>
        <w:tabs>
          <w:tab w:val="left" w:pos="8364"/>
        </w:tabs>
        <w:spacing w:line="390" w:lineRule="exact"/>
        <w:jc w:val="left"/>
        <w:rPr>
          <w:rFonts w:ascii="宋体" w:hAnsi="宋体" w:cs="宋体"/>
          <w:kern w:val="0"/>
          <w:sz w:val="24"/>
        </w:rPr>
      </w:pPr>
      <w:r>
        <w:rPr>
          <w:rFonts w:hint="eastAsia" w:ascii="宋体" w:hAnsi="宋体" w:cs="宋体"/>
          <w:b/>
          <w:kern w:val="0"/>
          <w:sz w:val="24"/>
        </w:rPr>
        <w:t>卖方</w:t>
      </w:r>
      <w:r>
        <w:rPr>
          <w:rFonts w:hint="eastAsia" w:ascii="宋体" w:hAnsi="宋体" w:cs="宋体"/>
          <w:kern w:val="0"/>
          <w:sz w:val="24"/>
        </w:rPr>
        <w:t xml:space="preserve">：   （以下简称乙方）            </w:t>
      </w:r>
    </w:p>
    <w:p w14:paraId="4F7FFC60">
      <w:pPr>
        <w:spacing w:line="390" w:lineRule="exact"/>
        <w:ind w:firstLine="480" w:firstLineChars="200"/>
        <w:rPr>
          <w:rFonts w:ascii="宋体" w:hAnsi="宋体" w:cs="宋体"/>
          <w:color w:val="FF0000"/>
          <w:kern w:val="0"/>
          <w:sz w:val="24"/>
        </w:rPr>
      </w:pPr>
      <w:r>
        <w:rPr>
          <w:rFonts w:hint="eastAsia" w:ascii="宋体" w:hAnsi="宋体" w:cs="宋体"/>
          <w:sz w:val="24"/>
        </w:rPr>
        <w:t>根据《民法典》及相关法律法规的规定，在平等、自愿、公平和诚实信用基础上，经双方协商一致，订立本合同。</w:t>
      </w:r>
      <w:r>
        <w:rPr>
          <w:rFonts w:hint="eastAsia" w:ascii="宋体" w:hAnsi="宋体" w:cs="宋体"/>
          <w:color w:val="FF0000"/>
          <w:kern w:val="0"/>
          <w:sz w:val="24"/>
        </w:rPr>
        <w:t xml:space="preserve">                                                                                                                                                                                                                                                                                                                                                                                         </w:t>
      </w:r>
    </w:p>
    <w:p w14:paraId="050CCFB0">
      <w:pPr>
        <w:keepNext/>
        <w:keepLines/>
        <w:spacing w:line="390" w:lineRule="exact"/>
        <w:ind w:firstLine="482" w:firstLineChars="200"/>
        <w:outlineLvl w:val="0"/>
        <w:rPr>
          <w:rFonts w:hint="eastAsia" w:ascii="宋体" w:hAnsi="宋体"/>
          <w:b/>
          <w:bCs/>
          <w:kern w:val="44"/>
          <w:sz w:val="24"/>
        </w:rPr>
      </w:pPr>
      <w:bookmarkStart w:id="51" w:name="_Toc21245"/>
      <w:r>
        <w:rPr>
          <w:rFonts w:hint="eastAsia" w:ascii="宋体" w:hAnsi="宋体"/>
          <w:b/>
          <w:bCs/>
          <w:kern w:val="44"/>
          <w:sz w:val="24"/>
        </w:rPr>
        <w:t>第一条 产品的名称、规格、数量、单价等</w:t>
      </w:r>
      <w:bookmarkEnd w:id="51"/>
    </w:p>
    <w:tbl>
      <w:tblPr>
        <w:tblStyle w:val="8"/>
        <w:tblpPr w:leftFromText="180" w:rightFromText="180" w:vertAnchor="text" w:horzAnchor="page" w:tblpX="1147" w:tblpY="224"/>
        <w:tblOverlap w:val="never"/>
        <w:tblW w:w="10244" w:type="dxa"/>
        <w:tblInd w:w="0" w:type="dxa"/>
        <w:tblLayout w:type="fixed"/>
        <w:tblCellMar>
          <w:top w:w="0" w:type="dxa"/>
          <w:left w:w="108" w:type="dxa"/>
          <w:bottom w:w="0" w:type="dxa"/>
          <w:right w:w="108" w:type="dxa"/>
        </w:tblCellMar>
      </w:tblPr>
      <w:tblGrid>
        <w:gridCol w:w="613"/>
        <w:gridCol w:w="1016"/>
        <w:gridCol w:w="702"/>
        <w:gridCol w:w="539"/>
        <w:gridCol w:w="1043"/>
        <w:gridCol w:w="1946"/>
        <w:gridCol w:w="1374"/>
        <w:gridCol w:w="1287"/>
        <w:gridCol w:w="1331"/>
        <w:gridCol w:w="393"/>
      </w:tblGrid>
      <w:tr w14:paraId="1C8C1565">
        <w:tblPrEx>
          <w:tblCellMar>
            <w:top w:w="0" w:type="dxa"/>
            <w:left w:w="108" w:type="dxa"/>
            <w:bottom w:w="0" w:type="dxa"/>
            <w:right w:w="108" w:type="dxa"/>
          </w:tblCellMar>
        </w:tblPrEx>
        <w:trPr>
          <w:trHeight w:val="638" w:hRule="atLeast"/>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47956702">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序号</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3ADF75AB">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物资名称</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14:paraId="79DAE839">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规格型号</w:t>
            </w:r>
          </w:p>
        </w:tc>
        <w:tc>
          <w:tcPr>
            <w:tcW w:w="539" w:type="dxa"/>
            <w:tcBorders>
              <w:top w:val="single" w:color="000000" w:sz="4" w:space="0"/>
              <w:left w:val="single" w:color="000000" w:sz="4" w:space="0"/>
              <w:bottom w:val="single" w:color="000000" w:sz="4" w:space="0"/>
              <w:right w:val="single" w:color="000000" w:sz="4" w:space="0"/>
            </w:tcBorders>
            <w:noWrap w:val="0"/>
            <w:vAlign w:val="center"/>
          </w:tcPr>
          <w:p w14:paraId="3CC9330F">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单位</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436955CF">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数量</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1CA44B9B">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不含增值税单价(元/m3）</w:t>
            </w:r>
          </w:p>
        </w:tc>
        <w:tc>
          <w:tcPr>
            <w:tcW w:w="1374" w:type="dxa"/>
            <w:tcBorders>
              <w:top w:val="single" w:color="000000" w:sz="4" w:space="0"/>
              <w:left w:val="single" w:color="000000" w:sz="4" w:space="0"/>
              <w:bottom w:val="single" w:color="000000" w:sz="4" w:space="0"/>
              <w:right w:val="single" w:color="000000" w:sz="4" w:space="0"/>
            </w:tcBorders>
            <w:noWrap w:val="0"/>
            <w:vAlign w:val="center"/>
          </w:tcPr>
          <w:p w14:paraId="749A4C94">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不含增值税金额（元）</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6BDA778E">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含增值税单价(元/m3）</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3638FA66">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含增值税金额（元）</w:t>
            </w:r>
          </w:p>
        </w:tc>
        <w:tc>
          <w:tcPr>
            <w:tcW w:w="393" w:type="dxa"/>
            <w:tcBorders>
              <w:top w:val="single" w:color="000000" w:sz="4" w:space="0"/>
              <w:left w:val="single" w:color="000000" w:sz="4" w:space="0"/>
              <w:bottom w:val="single" w:color="000000" w:sz="4" w:space="0"/>
              <w:right w:val="single" w:color="000000" w:sz="4" w:space="0"/>
            </w:tcBorders>
            <w:noWrap w:val="0"/>
            <w:vAlign w:val="center"/>
          </w:tcPr>
          <w:p w14:paraId="3039B834">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产地</w:t>
            </w:r>
          </w:p>
        </w:tc>
      </w:tr>
      <w:tr w14:paraId="75B33080">
        <w:tblPrEx>
          <w:tblCellMar>
            <w:top w:w="0" w:type="dxa"/>
            <w:left w:w="108" w:type="dxa"/>
            <w:bottom w:w="0" w:type="dxa"/>
            <w:right w:w="108" w:type="dxa"/>
          </w:tblCellMar>
        </w:tblPrEx>
        <w:trPr>
          <w:trHeight w:val="638" w:hRule="atLeast"/>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4DB132B9">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1</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7853D50B">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碎石</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14:paraId="503165E8">
            <w:pPr>
              <w:widowControl/>
              <w:jc w:val="center"/>
              <w:textAlignment w:val="center"/>
              <w:rPr>
                <w:rFonts w:ascii="宋体" w:hAnsi="宋体" w:cs="宋体"/>
                <w:color w:val="000000"/>
                <w:szCs w:val="21"/>
              </w:rPr>
            </w:pPr>
          </w:p>
        </w:tc>
        <w:tc>
          <w:tcPr>
            <w:tcW w:w="539" w:type="dxa"/>
            <w:tcBorders>
              <w:top w:val="single" w:color="000000" w:sz="4" w:space="0"/>
              <w:left w:val="single" w:color="000000" w:sz="4" w:space="0"/>
              <w:bottom w:val="single" w:color="000000" w:sz="4" w:space="0"/>
              <w:right w:val="single" w:color="000000" w:sz="4" w:space="0"/>
            </w:tcBorders>
            <w:noWrap w:val="0"/>
            <w:vAlign w:val="center"/>
          </w:tcPr>
          <w:p w14:paraId="039DE487">
            <w:pPr>
              <w:widowControl/>
              <w:jc w:val="center"/>
              <w:textAlignment w:val="center"/>
              <w:rPr>
                <w:rFonts w:ascii="宋体" w:hAnsi="宋体" w:cs="宋体"/>
                <w:color w:val="000000"/>
                <w:szCs w:val="21"/>
              </w:rPr>
            </w:pPr>
            <w:r>
              <w:rPr>
                <w:rFonts w:hint="eastAsia" w:ascii="宋体" w:hAnsi="宋体" w:cs="宋体"/>
                <w:color w:val="000000"/>
                <w:szCs w:val="21"/>
              </w:rPr>
              <w:t>m3</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2A51AEA2">
            <w:pPr>
              <w:widowControl/>
              <w:jc w:val="center"/>
              <w:textAlignment w:val="center"/>
              <w:rPr>
                <w:rFonts w:ascii="仿宋_GB2312" w:hAnsi="等线" w:eastAsia="仿宋_GB2312" w:cs="仿宋_GB2312"/>
                <w:color w:val="000000"/>
                <w:sz w:val="20"/>
                <w:szCs w:val="20"/>
              </w:rPr>
            </w:pPr>
            <w:r>
              <w:rPr>
                <w:rFonts w:ascii="仿宋_GB2312" w:hAnsi="等线" w:eastAsia="仿宋_GB2312" w:cs="仿宋_GB2312"/>
                <w:color w:val="000000"/>
                <w:kern w:val="0"/>
                <w:sz w:val="20"/>
                <w:szCs w:val="20"/>
                <w:lang w:bidi="ar"/>
              </w:rPr>
              <w:t>40479.5</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201EF5FF">
            <w:pPr>
              <w:widowControl/>
              <w:jc w:val="center"/>
              <w:textAlignment w:val="center"/>
              <w:rPr>
                <w:rFonts w:hint="eastAsia" w:ascii="宋体" w:hAnsi="宋体" w:cs="宋体"/>
                <w:color w:val="000000"/>
                <w:szCs w:val="21"/>
              </w:rPr>
            </w:pPr>
          </w:p>
        </w:tc>
        <w:tc>
          <w:tcPr>
            <w:tcW w:w="1374" w:type="dxa"/>
            <w:tcBorders>
              <w:top w:val="single" w:color="000000" w:sz="4" w:space="0"/>
              <w:left w:val="single" w:color="000000" w:sz="4" w:space="0"/>
              <w:bottom w:val="single" w:color="000000" w:sz="4" w:space="0"/>
              <w:right w:val="single" w:color="000000" w:sz="4" w:space="0"/>
            </w:tcBorders>
            <w:noWrap w:val="0"/>
            <w:vAlign w:val="center"/>
          </w:tcPr>
          <w:p w14:paraId="213A645A">
            <w:pPr>
              <w:widowControl/>
              <w:jc w:val="center"/>
              <w:textAlignment w:val="center"/>
              <w:rPr>
                <w:rFonts w:ascii="宋体" w:hAnsi="宋体" w:cs="宋体"/>
                <w:color w:val="000000"/>
                <w:szCs w:val="21"/>
              </w:rPr>
            </w:pP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7DA084C9">
            <w:pPr>
              <w:widowControl/>
              <w:jc w:val="center"/>
              <w:textAlignment w:val="center"/>
              <w:rPr>
                <w:rFonts w:ascii="宋体" w:hAnsi="宋体" w:cs="宋体"/>
                <w:color w:val="000000"/>
                <w:szCs w:val="21"/>
              </w:rPr>
            </w:pP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5218D959">
            <w:pPr>
              <w:widowControl/>
              <w:jc w:val="center"/>
              <w:textAlignment w:val="center"/>
              <w:rPr>
                <w:rFonts w:ascii="宋体" w:hAnsi="宋体" w:cs="宋体"/>
                <w:color w:val="000000"/>
                <w:szCs w:val="21"/>
              </w:rPr>
            </w:pPr>
          </w:p>
        </w:tc>
        <w:tc>
          <w:tcPr>
            <w:tcW w:w="393" w:type="dxa"/>
            <w:tcBorders>
              <w:top w:val="single" w:color="000000" w:sz="4" w:space="0"/>
              <w:left w:val="single" w:color="000000" w:sz="4" w:space="0"/>
              <w:bottom w:val="single" w:color="000000" w:sz="4" w:space="0"/>
              <w:right w:val="single" w:color="000000" w:sz="4" w:space="0"/>
            </w:tcBorders>
            <w:noWrap w:val="0"/>
            <w:vAlign w:val="bottom"/>
          </w:tcPr>
          <w:p w14:paraId="59B74F33">
            <w:pPr>
              <w:jc w:val="center"/>
              <w:rPr>
                <w:rFonts w:hint="eastAsia" w:ascii="宋体" w:hAnsi="宋体" w:cs="宋体"/>
                <w:color w:val="000000"/>
                <w:szCs w:val="21"/>
              </w:rPr>
            </w:pPr>
          </w:p>
        </w:tc>
      </w:tr>
      <w:tr w14:paraId="5F214A21">
        <w:tblPrEx>
          <w:tblCellMar>
            <w:top w:w="0" w:type="dxa"/>
            <w:left w:w="108" w:type="dxa"/>
            <w:bottom w:w="0" w:type="dxa"/>
            <w:right w:w="108" w:type="dxa"/>
          </w:tblCellMar>
        </w:tblPrEx>
        <w:trPr>
          <w:trHeight w:val="638" w:hRule="atLeast"/>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2AB854AF">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1CE5293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中粗砂</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14:paraId="29D1E806">
            <w:pPr>
              <w:widowControl/>
              <w:jc w:val="center"/>
              <w:textAlignment w:val="center"/>
              <w:rPr>
                <w:rFonts w:ascii="宋体" w:hAnsi="宋体" w:cs="宋体"/>
                <w:color w:val="000000"/>
                <w:kern w:val="0"/>
                <w:szCs w:val="21"/>
                <w:lang w:bidi="ar"/>
              </w:rPr>
            </w:pPr>
          </w:p>
        </w:tc>
        <w:tc>
          <w:tcPr>
            <w:tcW w:w="539" w:type="dxa"/>
            <w:tcBorders>
              <w:top w:val="single" w:color="000000" w:sz="4" w:space="0"/>
              <w:left w:val="single" w:color="000000" w:sz="4" w:space="0"/>
              <w:bottom w:val="single" w:color="000000" w:sz="4" w:space="0"/>
              <w:right w:val="single" w:color="000000" w:sz="4" w:space="0"/>
            </w:tcBorders>
            <w:noWrap w:val="0"/>
            <w:vAlign w:val="center"/>
          </w:tcPr>
          <w:p w14:paraId="2D195404">
            <w:pPr>
              <w:widowControl/>
              <w:jc w:val="center"/>
              <w:textAlignment w:val="center"/>
              <w:rPr>
                <w:rFonts w:ascii="宋体" w:hAnsi="宋体" w:cs="宋体"/>
                <w:color w:val="000000"/>
                <w:kern w:val="0"/>
                <w:szCs w:val="21"/>
                <w:lang w:bidi="ar"/>
              </w:rPr>
            </w:pPr>
            <w:r>
              <w:rPr>
                <w:rFonts w:hint="eastAsia" w:ascii="宋体" w:hAnsi="宋体" w:cs="宋体"/>
                <w:color w:val="000000"/>
                <w:szCs w:val="21"/>
              </w:rPr>
              <w:t>m3</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2B57283B">
            <w:pPr>
              <w:widowControl/>
              <w:jc w:val="center"/>
              <w:textAlignment w:val="center"/>
              <w:rPr>
                <w:rFonts w:ascii="仿宋_GB2312" w:hAnsi="等线" w:eastAsia="仿宋_GB2312" w:cs="仿宋_GB2312"/>
                <w:color w:val="000000"/>
                <w:sz w:val="20"/>
                <w:szCs w:val="20"/>
              </w:rPr>
            </w:pPr>
            <w:r>
              <w:rPr>
                <w:rFonts w:ascii="仿宋_GB2312" w:hAnsi="等线" w:eastAsia="仿宋_GB2312" w:cs="仿宋_GB2312"/>
                <w:color w:val="000000"/>
                <w:kern w:val="0"/>
                <w:sz w:val="20"/>
                <w:szCs w:val="20"/>
                <w:lang w:bidi="ar"/>
              </w:rPr>
              <w:t>20865.24</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714DE106">
            <w:pPr>
              <w:widowControl/>
              <w:jc w:val="center"/>
              <w:textAlignment w:val="center"/>
              <w:rPr>
                <w:rFonts w:ascii="宋体" w:hAnsi="宋体" w:cs="宋体"/>
                <w:color w:val="000000"/>
                <w:kern w:val="0"/>
                <w:szCs w:val="21"/>
                <w:lang w:bidi="ar"/>
              </w:rPr>
            </w:pPr>
          </w:p>
        </w:tc>
        <w:tc>
          <w:tcPr>
            <w:tcW w:w="1374" w:type="dxa"/>
            <w:tcBorders>
              <w:top w:val="single" w:color="000000" w:sz="4" w:space="0"/>
              <w:left w:val="single" w:color="000000" w:sz="4" w:space="0"/>
              <w:bottom w:val="single" w:color="000000" w:sz="4" w:space="0"/>
              <w:right w:val="single" w:color="000000" w:sz="4" w:space="0"/>
            </w:tcBorders>
            <w:noWrap w:val="0"/>
            <w:vAlign w:val="center"/>
          </w:tcPr>
          <w:p w14:paraId="7C17CAFE">
            <w:pPr>
              <w:widowControl/>
              <w:jc w:val="center"/>
              <w:textAlignment w:val="center"/>
              <w:rPr>
                <w:rFonts w:hint="eastAsia" w:ascii="宋体" w:hAnsi="宋体" w:cs="宋体"/>
                <w:color w:val="000000"/>
                <w:kern w:val="0"/>
                <w:szCs w:val="21"/>
                <w:lang w:bidi="ar"/>
              </w:rPr>
            </w:pP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5E0C8788">
            <w:pPr>
              <w:widowControl/>
              <w:jc w:val="center"/>
              <w:textAlignment w:val="center"/>
              <w:rPr>
                <w:rFonts w:ascii="宋体" w:hAnsi="宋体" w:cs="宋体"/>
                <w:color w:val="000000"/>
                <w:kern w:val="0"/>
                <w:szCs w:val="21"/>
                <w:lang w:bidi="ar"/>
              </w:rPr>
            </w:pP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71765EE3">
            <w:pPr>
              <w:widowControl/>
              <w:jc w:val="center"/>
              <w:textAlignment w:val="center"/>
              <w:rPr>
                <w:rFonts w:ascii="宋体" w:hAnsi="宋体" w:cs="宋体"/>
                <w:color w:val="000000"/>
                <w:kern w:val="0"/>
                <w:szCs w:val="21"/>
                <w:lang w:bidi="ar"/>
              </w:rPr>
            </w:pPr>
          </w:p>
        </w:tc>
        <w:tc>
          <w:tcPr>
            <w:tcW w:w="393" w:type="dxa"/>
            <w:tcBorders>
              <w:top w:val="single" w:color="000000" w:sz="4" w:space="0"/>
              <w:left w:val="single" w:color="000000" w:sz="4" w:space="0"/>
              <w:bottom w:val="single" w:color="000000" w:sz="4" w:space="0"/>
              <w:right w:val="single" w:color="000000" w:sz="4" w:space="0"/>
            </w:tcBorders>
            <w:noWrap w:val="0"/>
            <w:vAlign w:val="bottom"/>
          </w:tcPr>
          <w:p w14:paraId="394C116F">
            <w:pPr>
              <w:jc w:val="center"/>
              <w:rPr>
                <w:rFonts w:hint="eastAsia" w:ascii="宋体" w:hAnsi="宋体" w:cs="宋体"/>
                <w:color w:val="000000"/>
                <w:szCs w:val="21"/>
              </w:rPr>
            </w:pPr>
          </w:p>
        </w:tc>
      </w:tr>
      <w:tr w14:paraId="46C3B910">
        <w:tblPrEx>
          <w:tblCellMar>
            <w:top w:w="0" w:type="dxa"/>
            <w:left w:w="108" w:type="dxa"/>
            <w:bottom w:w="0" w:type="dxa"/>
            <w:right w:w="108" w:type="dxa"/>
          </w:tblCellMar>
        </w:tblPrEx>
        <w:trPr>
          <w:trHeight w:val="638" w:hRule="atLeast"/>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64BA49FA">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6C8D08AA">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级配碎石</w:t>
            </w:r>
          </w:p>
        </w:tc>
        <w:tc>
          <w:tcPr>
            <w:tcW w:w="702" w:type="dxa"/>
            <w:tcBorders>
              <w:top w:val="single" w:color="000000" w:sz="4" w:space="0"/>
              <w:left w:val="single" w:color="000000" w:sz="4" w:space="0"/>
              <w:bottom w:val="single" w:color="000000" w:sz="4" w:space="0"/>
              <w:right w:val="single" w:color="000000" w:sz="4" w:space="0"/>
            </w:tcBorders>
            <w:noWrap w:val="0"/>
            <w:vAlign w:val="center"/>
          </w:tcPr>
          <w:p w14:paraId="719334E1">
            <w:pPr>
              <w:widowControl/>
              <w:jc w:val="center"/>
              <w:textAlignment w:val="center"/>
              <w:rPr>
                <w:rFonts w:hint="eastAsia" w:ascii="宋体" w:hAnsi="宋体" w:cs="宋体"/>
                <w:color w:val="000000"/>
                <w:kern w:val="0"/>
                <w:sz w:val="20"/>
                <w:szCs w:val="20"/>
                <w:lang w:bidi="ar"/>
              </w:rPr>
            </w:pPr>
          </w:p>
        </w:tc>
        <w:tc>
          <w:tcPr>
            <w:tcW w:w="539" w:type="dxa"/>
            <w:tcBorders>
              <w:top w:val="single" w:color="000000" w:sz="4" w:space="0"/>
              <w:left w:val="single" w:color="000000" w:sz="4" w:space="0"/>
              <w:bottom w:val="single" w:color="000000" w:sz="4" w:space="0"/>
              <w:right w:val="single" w:color="000000" w:sz="4" w:space="0"/>
            </w:tcBorders>
            <w:noWrap w:val="0"/>
            <w:vAlign w:val="center"/>
          </w:tcPr>
          <w:p w14:paraId="0B4C8721">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szCs w:val="21"/>
              </w:rPr>
              <w:t>m3</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0C6804CF">
            <w:pPr>
              <w:widowControl/>
              <w:jc w:val="center"/>
              <w:textAlignment w:val="center"/>
              <w:rPr>
                <w:rFonts w:ascii="仿宋_GB2312" w:hAnsi="等线" w:eastAsia="仿宋_GB2312" w:cs="仿宋_GB2312"/>
                <w:color w:val="000000"/>
                <w:sz w:val="20"/>
                <w:szCs w:val="20"/>
              </w:rPr>
            </w:pPr>
            <w:r>
              <w:rPr>
                <w:rFonts w:ascii="仿宋_GB2312" w:hAnsi="等线" w:eastAsia="仿宋_GB2312" w:cs="仿宋_GB2312"/>
                <w:color w:val="000000"/>
                <w:kern w:val="0"/>
                <w:sz w:val="20"/>
                <w:szCs w:val="20"/>
                <w:lang w:bidi="ar"/>
              </w:rPr>
              <w:t>16022.75</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036B1708">
            <w:pPr>
              <w:widowControl/>
              <w:jc w:val="center"/>
              <w:textAlignment w:val="center"/>
              <w:rPr>
                <w:rFonts w:ascii="宋体" w:hAnsi="宋体" w:cs="宋体"/>
                <w:color w:val="000000"/>
                <w:kern w:val="0"/>
                <w:szCs w:val="21"/>
                <w:lang w:bidi="ar"/>
              </w:rPr>
            </w:pPr>
          </w:p>
        </w:tc>
        <w:tc>
          <w:tcPr>
            <w:tcW w:w="1374" w:type="dxa"/>
            <w:tcBorders>
              <w:top w:val="single" w:color="000000" w:sz="4" w:space="0"/>
              <w:left w:val="single" w:color="000000" w:sz="4" w:space="0"/>
              <w:bottom w:val="single" w:color="000000" w:sz="4" w:space="0"/>
              <w:right w:val="single" w:color="000000" w:sz="4" w:space="0"/>
            </w:tcBorders>
            <w:noWrap w:val="0"/>
            <w:vAlign w:val="center"/>
          </w:tcPr>
          <w:p w14:paraId="7F976BD6">
            <w:pPr>
              <w:widowControl/>
              <w:jc w:val="center"/>
              <w:textAlignment w:val="center"/>
              <w:rPr>
                <w:rFonts w:hint="eastAsia" w:ascii="宋体" w:hAnsi="宋体" w:cs="宋体"/>
                <w:color w:val="000000"/>
                <w:kern w:val="0"/>
                <w:szCs w:val="21"/>
                <w:lang w:bidi="ar"/>
              </w:rPr>
            </w:pP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58199DB8">
            <w:pPr>
              <w:widowControl/>
              <w:jc w:val="center"/>
              <w:textAlignment w:val="center"/>
              <w:rPr>
                <w:rFonts w:ascii="宋体" w:hAnsi="宋体" w:cs="宋体"/>
                <w:color w:val="000000"/>
                <w:kern w:val="0"/>
                <w:szCs w:val="21"/>
                <w:lang w:bidi="ar"/>
              </w:rPr>
            </w:pP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2B4BCB38">
            <w:pPr>
              <w:widowControl/>
              <w:jc w:val="center"/>
              <w:textAlignment w:val="center"/>
              <w:rPr>
                <w:rFonts w:ascii="宋体" w:hAnsi="宋体" w:cs="宋体"/>
                <w:color w:val="000000"/>
                <w:kern w:val="0"/>
                <w:szCs w:val="21"/>
                <w:lang w:bidi="ar"/>
              </w:rPr>
            </w:pPr>
          </w:p>
        </w:tc>
        <w:tc>
          <w:tcPr>
            <w:tcW w:w="393" w:type="dxa"/>
            <w:tcBorders>
              <w:top w:val="single" w:color="000000" w:sz="4" w:space="0"/>
              <w:left w:val="single" w:color="000000" w:sz="4" w:space="0"/>
              <w:bottom w:val="single" w:color="000000" w:sz="4" w:space="0"/>
              <w:right w:val="single" w:color="000000" w:sz="4" w:space="0"/>
            </w:tcBorders>
            <w:noWrap w:val="0"/>
            <w:vAlign w:val="bottom"/>
          </w:tcPr>
          <w:p w14:paraId="74507C21">
            <w:pPr>
              <w:jc w:val="center"/>
              <w:rPr>
                <w:rFonts w:hint="eastAsia" w:ascii="宋体" w:hAnsi="宋体" w:cs="宋体"/>
                <w:color w:val="000000"/>
                <w:szCs w:val="21"/>
              </w:rPr>
            </w:pPr>
          </w:p>
        </w:tc>
      </w:tr>
      <w:tr w14:paraId="2DE67428">
        <w:tblPrEx>
          <w:tblCellMar>
            <w:top w:w="0" w:type="dxa"/>
            <w:left w:w="108" w:type="dxa"/>
            <w:bottom w:w="0" w:type="dxa"/>
            <w:right w:w="108" w:type="dxa"/>
          </w:tblCellMar>
        </w:tblPrEx>
        <w:trPr>
          <w:trHeight w:val="324" w:hRule="atLeast"/>
        </w:trPr>
        <w:tc>
          <w:tcPr>
            <w:tcW w:w="2331" w:type="dxa"/>
            <w:gridSpan w:val="3"/>
            <w:tcBorders>
              <w:top w:val="single" w:color="000000" w:sz="4" w:space="0"/>
              <w:left w:val="single" w:color="000000" w:sz="4" w:space="0"/>
              <w:bottom w:val="single" w:color="000000" w:sz="4" w:space="0"/>
              <w:right w:val="single" w:color="000000" w:sz="4" w:space="0"/>
            </w:tcBorders>
            <w:noWrap w:val="0"/>
            <w:vAlign w:val="center"/>
          </w:tcPr>
          <w:p w14:paraId="547EF9B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合计</w:t>
            </w:r>
          </w:p>
        </w:tc>
        <w:tc>
          <w:tcPr>
            <w:tcW w:w="539" w:type="dxa"/>
            <w:tcBorders>
              <w:top w:val="single" w:color="000000" w:sz="4" w:space="0"/>
              <w:left w:val="single" w:color="000000" w:sz="4" w:space="0"/>
              <w:bottom w:val="single" w:color="000000" w:sz="4" w:space="0"/>
              <w:right w:val="single" w:color="000000" w:sz="4" w:space="0"/>
            </w:tcBorders>
            <w:noWrap w:val="0"/>
            <w:vAlign w:val="center"/>
          </w:tcPr>
          <w:p w14:paraId="4FBF08E6">
            <w:pPr>
              <w:jc w:val="center"/>
              <w:rPr>
                <w:rFonts w:hint="eastAsia" w:ascii="宋体" w:hAnsi="宋体" w:cs="宋体"/>
                <w:color w:val="000000"/>
                <w:kern w:val="0"/>
                <w:szCs w:val="21"/>
                <w:lang w:bidi="ar"/>
              </w:rPr>
            </w:pP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5F5281B3">
            <w:pPr>
              <w:widowControl/>
              <w:jc w:val="center"/>
              <w:textAlignment w:val="center"/>
              <w:rPr>
                <w:rFonts w:ascii="宋体" w:hAnsi="宋体" w:cs="宋体"/>
                <w:color w:val="000000"/>
                <w:kern w:val="0"/>
                <w:szCs w:val="21"/>
                <w:lang w:bidi="ar"/>
              </w:rPr>
            </w:pP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40FD51D8">
            <w:pPr>
              <w:jc w:val="center"/>
              <w:rPr>
                <w:rFonts w:hint="eastAsia" w:ascii="宋体" w:hAnsi="宋体" w:cs="宋体"/>
                <w:color w:val="000000"/>
                <w:kern w:val="0"/>
                <w:szCs w:val="21"/>
                <w:lang w:bidi="ar"/>
              </w:rPr>
            </w:pPr>
          </w:p>
        </w:tc>
        <w:tc>
          <w:tcPr>
            <w:tcW w:w="1374" w:type="dxa"/>
            <w:tcBorders>
              <w:top w:val="single" w:color="000000" w:sz="4" w:space="0"/>
              <w:left w:val="single" w:color="000000" w:sz="4" w:space="0"/>
              <w:bottom w:val="single" w:color="000000" w:sz="4" w:space="0"/>
              <w:right w:val="single" w:color="000000" w:sz="4" w:space="0"/>
            </w:tcBorders>
            <w:noWrap w:val="0"/>
            <w:vAlign w:val="center"/>
          </w:tcPr>
          <w:p w14:paraId="5BCCC832">
            <w:pPr>
              <w:widowControl/>
              <w:jc w:val="center"/>
              <w:textAlignment w:val="center"/>
              <w:rPr>
                <w:rFonts w:ascii="宋体" w:hAnsi="宋体" w:cs="宋体"/>
                <w:color w:val="000000"/>
                <w:kern w:val="0"/>
                <w:szCs w:val="21"/>
                <w:lang w:bidi="ar"/>
              </w:rPr>
            </w:pP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7CC47452">
            <w:pPr>
              <w:jc w:val="center"/>
              <w:rPr>
                <w:rFonts w:hint="eastAsia" w:ascii="宋体" w:hAnsi="宋体" w:cs="宋体"/>
                <w:color w:val="000000"/>
                <w:kern w:val="0"/>
                <w:szCs w:val="21"/>
                <w:lang w:bidi="ar"/>
              </w:rPr>
            </w:pP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77E6EDAE">
            <w:pPr>
              <w:widowControl/>
              <w:jc w:val="center"/>
              <w:textAlignment w:val="center"/>
              <w:rPr>
                <w:rFonts w:ascii="宋体" w:hAnsi="宋体" w:cs="宋体"/>
                <w:color w:val="000000"/>
                <w:kern w:val="0"/>
                <w:szCs w:val="21"/>
                <w:lang w:bidi="ar"/>
              </w:rPr>
            </w:pPr>
          </w:p>
        </w:tc>
        <w:tc>
          <w:tcPr>
            <w:tcW w:w="393" w:type="dxa"/>
            <w:tcBorders>
              <w:top w:val="single" w:color="000000" w:sz="4" w:space="0"/>
              <w:left w:val="single" w:color="000000" w:sz="4" w:space="0"/>
              <w:bottom w:val="single" w:color="000000" w:sz="4" w:space="0"/>
              <w:right w:val="single" w:color="000000" w:sz="4" w:space="0"/>
            </w:tcBorders>
            <w:noWrap w:val="0"/>
            <w:vAlign w:val="bottom"/>
          </w:tcPr>
          <w:p w14:paraId="41C44FD0">
            <w:pPr>
              <w:jc w:val="center"/>
              <w:rPr>
                <w:rFonts w:hint="eastAsia" w:ascii="宋体" w:hAnsi="宋体" w:cs="宋体"/>
                <w:color w:val="000000"/>
                <w:szCs w:val="21"/>
              </w:rPr>
            </w:pPr>
          </w:p>
        </w:tc>
      </w:tr>
      <w:tr w14:paraId="041CF19D">
        <w:tblPrEx>
          <w:tblCellMar>
            <w:top w:w="0" w:type="dxa"/>
            <w:left w:w="108" w:type="dxa"/>
            <w:bottom w:w="0" w:type="dxa"/>
            <w:right w:w="108" w:type="dxa"/>
          </w:tblCellMar>
        </w:tblPrEx>
        <w:trPr>
          <w:trHeight w:val="324" w:hRule="atLeast"/>
        </w:trPr>
        <w:tc>
          <w:tcPr>
            <w:tcW w:w="10244" w:type="dxa"/>
            <w:gridSpan w:val="10"/>
            <w:tcBorders>
              <w:top w:val="single" w:color="000000" w:sz="4" w:space="0"/>
              <w:left w:val="single" w:color="000000" w:sz="4" w:space="0"/>
              <w:bottom w:val="single" w:color="000000" w:sz="4" w:space="0"/>
              <w:right w:val="single" w:color="000000" w:sz="4" w:space="0"/>
            </w:tcBorders>
            <w:noWrap w:val="0"/>
            <w:vAlign w:val="center"/>
          </w:tcPr>
          <w:p w14:paraId="23136B57">
            <w:pPr>
              <w:widowControl/>
              <w:jc w:val="left"/>
              <w:textAlignment w:val="center"/>
              <w:rPr>
                <w:rFonts w:hint="eastAsia" w:ascii="宋体" w:hAnsi="宋体" w:cs="宋体"/>
                <w:color w:val="000000"/>
                <w:szCs w:val="21"/>
              </w:rPr>
            </w:pPr>
            <w:r>
              <w:rPr>
                <w:rFonts w:hint="eastAsia" w:ascii="宋体" w:hAnsi="宋体" w:cs="宋体"/>
                <w:color w:val="000000"/>
                <w:kern w:val="0"/>
                <w:sz w:val="20"/>
                <w:szCs w:val="20"/>
                <w:lang w:bidi="ar"/>
              </w:rPr>
              <w:t>增值税税率为3%，增值税额：元。</w:t>
            </w:r>
          </w:p>
        </w:tc>
      </w:tr>
      <w:tr w14:paraId="5F27C907">
        <w:tblPrEx>
          <w:tblCellMar>
            <w:top w:w="0" w:type="dxa"/>
            <w:left w:w="108" w:type="dxa"/>
            <w:bottom w:w="0" w:type="dxa"/>
            <w:right w:w="108" w:type="dxa"/>
          </w:tblCellMar>
        </w:tblPrEx>
        <w:trPr>
          <w:trHeight w:val="279" w:hRule="atLeast"/>
        </w:trPr>
        <w:tc>
          <w:tcPr>
            <w:tcW w:w="10244" w:type="dxa"/>
            <w:gridSpan w:val="10"/>
            <w:tcBorders>
              <w:top w:val="single" w:color="000000" w:sz="4" w:space="0"/>
              <w:left w:val="single" w:color="000000" w:sz="4" w:space="0"/>
              <w:bottom w:val="single" w:color="000000" w:sz="4" w:space="0"/>
              <w:right w:val="single" w:color="000000" w:sz="4" w:space="0"/>
            </w:tcBorders>
            <w:noWrap w:val="0"/>
            <w:vAlign w:val="center"/>
          </w:tcPr>
          <w:p w14:paraId="3103442E">
            <w:pPr>
              <w:widowControl/>
              <w:jc w:val="left"/>
              <w:textAlignment w:val="center"/>
              <w:rPr>
                <w:rFonts w:hint="eastAsia" w:ascii="宋体" w:hAnsi="宋体" w:cs="宋体"/>
                <w:color w:val="000000"/>
                <w:szCs w:val="21"/>
              </w:rPr>
            </w:pPr>
            <w:r>
              <w:rPr>
                <w:rFonts w:hint="eastAsia" w:ascii="宋体" w:hAnsi="宋体" w:cs="宋体"/>
                <w:color w:val="000000"/>
                <w:kern w:val="0"/>
                <w:sz w:val="20"/>
                <w:szCs w:val="20"/>
                <w:lang w:bidi="ar"/>
              </w:rPr>
              <w:t>合计人民币（大写）：（小写）：元</w:t>
            </w:r>
          </w:p>
        </w:tc>
      </w:tr>
    </w:tbl>
    <w:p w14:paraId="2D9E3C89">
      <w:pPr>
        <w:spacing w:line="390" w:lineRule="exact"/>
        <w:ind w:firstLine="600" w:firstLineChars="250"/>
        <w:rPr>
          <w:rFonts w:hint="eastAsia" w:ascii="宋体" w:hAnsi="宋体" w:cs="宋体"/>
          <w:sz w:val="24"/>
        </w:rPr>
      </w:pPr>
      <w:r>
        <w:rPr>
          <w:rFonts w:hint="eastAsia" w:ascii="宋体" w:hAnsi="宋体" w:cs="宋体"/>
          <w:sz w:val="24"/>
        </w:rPr>
        <w:t>1.1本合同暂定总价（含增值税）元（大写：）。其中，不含增值税价款为元（大写：），增值税税率为，增值税元（大写：）。</w:t>
      </w:r>
    </w:p>
    <w:p w14:paraId="1CC4B3C5">
      <w:pPr>
        <w:spacing w:line="390" w:lineRule="exact"/>
        <w:ind w:firstLine="600" w:firstLineChars="250"/>
        <w:rPr>
          <w:rFonts w:hint="eastAsia" w:ascii="宋体" w:hAnsi="宋体" w:cs="宋体"/>
          <w:sz w:val="24"/>
        </w:rPr>
      </w:pPr>
      <w:r>
        <w:rPr>
          <w:rFonts w:hint="eastAsia" w:ascii="宋体" w:hAnsi="宋体" w:cs="宋体"/>
          <w:sz w:val="24"/>
        </w:rPr>
        <w:t>若因国家税务政策变化导致增值税税率调整，不含增值税价不变，具体税金以变更后的税率计算。</w:t>
      </w:r>
    </w:p>
    <w:p w14:paraId="797FD020">
      <w:pPr>
        <w:widowControl/>
        <w:tabs>
          <w:tab w:val="left" w:pos="8364"/>
        </w:tabs>
        <w:spacing w:line="390" w:lineRule="exact"/>
        <w:ind w:firstLine="480" w:firstLineChars="200"/>
        <w:jc w:val="left"/>
        <w:rPr>
          <w:rFonts w:hint="eastAsia" w:ascii="宋体" w:hAnsi="宋体" w:cs="宋体"/>
          <w:kern w:val="0"/>
          <w:sz w:val="24"/>
        </w:rPr>
      </w:pPr>
      <w:r>
        <w:rPr>
          <w:rFonts w:hint="eastAsia" w:ascii="宋体" w:hAnsi="宋体" w:cs="宋体"/>
          <w:kern w:val="0"/>
          <w:sz w:val="24"/>
        </w:rPr>
        <w:t>1.2 上述“综合单价”已包含了产品采购、装卸（起坡用吊机、趸船、皮带机和基础设施及电耗等）、运输、各项损耗、电子计量装置、保管、保险、规费、风险管理、利润及其他一切费用，甲方不再就本合同另行支付其他任何费用。</w:t>
      </w:r>
    </w:p>
    <w:p w14:paraId="232F8D97">
      <w:pPr>
        <w:spacing w:line="390" w:lineRule="exact"/>
        <w:ind w:firstLine="480" w:firstLineChars="200"/>
        <w:rPr>
          <w:rFonts w:hint="eastAsia" w:ascii="宋体" w:hAnsi="宋体" w:cs="宋体"/>
          <w:sz w:val="24"/>
        </w:rPr>
      </w:pPr>
      <w:r>
        <w:rPr>
          <w:rFonts w:hint="eastAsia" w:ascii="宋体" w:hAnsi="宋体" w:cs="宋体"/>
          <w:kern w:val="0"/>
          <w:sz w:val="24"/>
        </w:rPr>
        <w:t>1.3</w:t>
      </w:r>
      <w:r>
        <w:rPr>
          <w:rFonts w:hint="eastAsia" w:ascii="宋体" w:hAnsi="宋体" w:cs="宋体"/>
          <w:sz w:val="24"/>
        </w:rPr>
        <w:t>此不含税单价在合同履行期间内</w:t>
      </w:r>
      <w:r>
        <w:rPr>
          <w:rFonts w:hint="eastAsia" w:ascii="宋体" w:hAnsi="宋体" w:cs="宋体"/>
          <w:b/>
          <w:bCs/>
          <w:sz w:val="24"/>
        </w:rPr>
        <w:t>不可</w:t>
      </w:r>
      <w:r>
        <w:rPr>
          <w:rFonts w:hint="eastAsia" w:ascii="宋体" w:hAnsi="宋体" w:cs="宋体"/>
          <w:sz w:val="24"/>
        </w:rPr>
        <w:t>调整。</w:t>
      </w:r>
    </w:p>
    <w:p w14:paraId="0C2A83C7">
      <w:pPr>
        <w:spacing w:line="390" w:lineRule="exact"/>
        <w:ind w:firstLine="480" w:firstLineChars="200"/>
        <w:rPr>
          <w:rFonts w:hint="eastAsia" w:ascii="宋体" w:hAnsi="宋体" w:cs="宋体"/>
          <w:sz w:val="24"/>
        </w:rPr>
      </w:pPr>
      <w:r>
        <w:rPr>
          <w:rFonts w:hint="eastAsia" w:ascii="宋体" w:hAnsi="宋体" w:cs="宋体"/>
          <w:sz w:val="24"/>
        </w:rPr>
        <w:t>1.4 以上数量为暂定量，甲方可根据实际需要进行数量增减。甲方减少数量的，不属于违约；甲方增加数量的，乙方应按合同其他条款执行。</w:t>
      </w:r>
    </w:p>
    <w:p w14:paraId="33CD77EC">
      <w:pPr>
        <w:keepNext/>
        <w:keepLines/>
        <w:spacing w:line="390" w:lineRule="exact"/>
        <w:ind w:firstLine="482" w:firstLineChars="200"/>
        <w:outlineLvl w:val="0"/>
        <w:rPr>
          <w:rFonts w:ascii="宋体" w:hAnsi="宋体"/>
          <w:b/>
          <w:bCs/>
          <w:kern w:val="44"/>
          <w:sz w:val="24"/>
        </w:rPr>
      </w:pPr>
      <w:bookmarkStart w:id="52" w:name="_Toc13164"/>
      <w:r>
        <w:rPr>
          <w:rFonts w:hint="eastAsia" w:ascii="宋体" w:hAnsi="宋体"/>
          <w:b/>
          <w:bCs/>
          <w:kern w:val="44"/>
          <w:sz w:val="24"/>
        </w:rPr>
        <w:t>第二条 供货期限</w:t>
      </w:r>
      <w:bookmarkEnd w:id="52"/>
    </w:p>
    <w:p w14:paraId="30F50FCF">
      <w:pPr>
        <w:spacing w:line="390" w:lineRule="exact"/>
        <w:ind w:firstLine="480" w:firstLineChars="200"/>
        <w:rPr>
          <w:rFonts w:hint="eastAsia" w:ascii="宋体" w:hAnsi="宋体" w:cs="宋体"/>
          <w:sz w:val="24"/>
        </w:rPr>
      </w:pPr>
      <w:r>
        <w:rPr>
          <w:rFonts w:hint="eastAsia" w:ascii="宋体" w:hAnsi="宋体" w:cs="宋体"/>
          <w:sz w:val="24"/>
        </w:rPr>
        <w:t>自2025年 月  日至工程结束；该期限为暂定期限，甲方可根据施工需要单方调整供货期限，但应提前10日通知乙方。</w:t>
      </w:r>
    </w:p>
    <w:p w14:paraId="675FD279">
      <w:pPr>
        <w:keepNext/>
        <w:keepLines/>
        <w:spacing w:line="390" w:lineRule="exact"/>
        <w:ind w:firstLine="482" w:firstLineChars="200"/>
        <w:outlineLvl w:val="0"/>
        <w:rPr>
          <w:rFonts w:hint="eastAsia" w:ascii="宋体" w:hAnsi="宋体"/>
          <w:b/>
          <w:bCs/>
          <w:kern w:val="44"/>
          <w:sz w:val="24"/>
        </w:rPr>
      </w:pPr>
      <w:bookmarkStart w:id="53" w:name="_Toc16571"/>
      <w:r>
        <w:rPr>
          <w:rFonts w:hint="eastAsia" w:ascii="宋体" w:hAnsi="宋体"/>
          <w:b/>
          <w:bCs/>
          <w:kern w:val="44"/>
          <w:sz w:val="24"/>
        </w:rPr>
        <w:t>第三条 质量与技术标准</w:t>
      </w:r>
      <w:bookmarkEnd w:id="53"/>
    </w:p>
    <w:p w14:paraId="57D5F119">
      <w:pPr>
        <w:spacing w:line="390" w:lineRule="exact"/>
        <w:ind w:firstLine="480" w:firstLineChars="200"/>
        <w:rPr>
          <w:rFonts w:ascii="宋体" w:hAnsi="宋体" w:cs="宋体"/>
          <w:sz w:val="24"/>
        </w:rPr>
      </w:pPr>
      <w:r>
        <w:rPr>
          <w:rFonts w:hint="eastAsia" w:ascii="宋体" w:hAnsi="宋体" w:cs="宋体"/>
          <w:sz w:val="24"/>
        </w:rPr>
        <w:t>质量及技术标准需满足技术规格书要求。</w:t>
      </w:r>
    </w:p>
    <w:p w14:paraId="6F30881F">
      <w:pPr>
        <w:widowControl/>
        <w:tabs>
          <w:tab w:val="left" w:pos="8364"/>
        </w:tabs>
        <w:spacing w:line="390" w:lineRule="exact"/>
        <w:ind w:firstLine="482" w:firstLineChars="200"/>
        <w:rPr>
          <w:rFonts w:ascii="宋体" w:hAnsi="宋体"/>
          <w:b/>
          <w:bCs/>
          <w:kern w:val="44"/>
          <w:sz w:val="24"/>
        </w:rPr>
      </w:pPr>
      <w:r>
        <w:rPr>
          <w:rFonts w:hint="eastAsia" w:ascii="宋体" w:hAnsi="宋体"/>
          <w:b/>
          <w:bCs/>
          <w:kern w:val="44"/>
          <w:sz w:val="24"/>
        </w:rPr>
        <w:t xml:space="preserve">第四条 </w:t>
      </w:r>
      <w:bookmarkStart w:id="54" w:name="_Hlk25135022"/>
      <w:r>
        <w:rPr>
          <w:rFonts w:hint="eastAsia" w:ascii="宋体" w:hAnsi="宋体"/>
          <w:b/>
          <w:bCs/>
          <w:kern w:val="44"/>
          <w:sz w:val="24"/>
        </w:rPr>
        <w:t>计量方法</w:t>
      </w:r>
      <w:bookmarkEnd w:id="54"/>
    </w:p>
    <w:p w14:paraId="54E4C658">
      <w:pPr>
        <w:widowControl/>
        <w:tabs>
          <w:tab w:val="left" w:pos="8364"/>
        </w:tabs>
        <w:spacing w:line="390" w:lineRule="exact"/>
        <w:ind w:firstLine="480" w:firstLineChars="200"/>
        <w:rPr>
          <w:rFonts w:hint="eastAsia" w:ascii="宋体" w:hAnsi="宋体" w:cs="宋体"/>
          <w:kern w:val="0"/>
          <w:sz w:val="24"/>
        </w:rPr>
      </w:pPr>
      <w:r>
        <w:rPr>
          <w:rFonts w:hint="eastAsia" w:ascii="宋体" w:hAnsi="宋体" w:cs="宋体"/>
          <w:kern w:val="0"/>
          <w:sz w:val="24"/>
        </w:rPr>
        <w:t>采用收方计量方式，必要时采取过磅相结合方式。</w:t>
      </w:r>
    </w:p>
    <w:p w14:paraId="2417B81D">
      <w:pPr>
        <w:keepNext/>
        <w:keepLines/>
        <w:spacing w:line="390" w:lineRule="exact"/>
        <w:ind w:firstLine="482" w:firstLineChars="200"/>
        <w:outlineLvl w:val="0"/>
        <w:rPr>
          <w:rFonts w:ascii="宋体" w:hAnsi="宋体"/>
          <w:b/>
          <w:bCs/>
          <w:kern w:val="44"/>
          <w:sz w:val="24"/>
        </w:rPr>
      </w:pPr>
      <w:bookmarkStart w:id="55" w:name="_Toc29351"/>
      <w:r>
        <w:rPr>
          <w:rFonts w:hint="eastAsia" w:ascii="宋体" w:hAnsi="宋体"/>
          <w:b/>
          <w:bCs/>
          <w:kern w:val="44"/>
          <w:sz w:val="24"/>
        </w:rPr>
        <w:t>第五条 交货时间、地点及方式</w:t>
      </w:r>
      <w:bookmarkEnd w:id="55"/>
    </w:p>
    <w:p w14:paraId="2EA4500B">
      <w:pPr>
        <w:widowControl/>
        <w:tabs>
          <w:tab w:val="left" w:pos="8364"/>
        </w:tabs>
        <w:spacing w:line="390" w:lineRule="exact"/>
        <w:ind w:firstLine="480" w:firstLineChars="200"/>
        <w:rPr>
          <w:rFonts w:hint="eastAsia" w:ascii="宋体" w:hAnsi="宋体" w:cs="宋体"/>
          <w:b/>
          <w:kern w:val="0"/>
          <w:sz w:val="24"/>
        </w:rPr>
      </w:pPr>
      <w:r>
        <w:rPr>
          <w:rFonts w:hint="eastAsia" w:ascii="宋体" w:hAnsi="宋体" w:cs="宋体"/>
          <w:kern w:val="0"/>
          <w:sz w:val="24"/>
        </w:rPr>
        <w:t>5.1 交货时间：乙方必须以甲方提供的材料计划数量组织好分期分批供应材料，每批具体交货数量和时间以甲方的通知为准。</w:t>
      </w:r>
    </w:p>
    <w:p w14:paraId="04B53109">
      <w:pPr>
        <w:spacing w:line="390" w:lineRule="exact"/>
        <w:ind w:firstLine="480" w:firstLineChars="200"/>
        <w:rPr>
          <w:rFonts w:hint="eastAsia" w:ascii="宋体" w:hAnsi="宋体" w:cs="宋体"/>
          <w:kern w:val="0"/>
          <w:sz w:val="24"/>
        </w:rPr>
      </w:pPr>
      <w:r>
        <w:rPr>
          <w:rFonts w:hint="eastAsia" w:ascii="宋体" w:hAnsi="宋体" w:cs="宋体"/>
          <w:kern w:val="0"/>
          <w:sz w:val="24"/>
        </w:rPr>
        <w:t>5.2 交货地点：云南省西双版纳傣族自治州勐腊县磨憨镇磨憨产业园一期项目工地。</w:t>
      </w:r>
    </w:p>
    <w:p w14:paraId="3B5D38EC">
      <w:pPr>
        <w:spacing w:line="390" w:lineRule="exact"/>
        <w:ind w:firstLine="480" w:firstLineChars="200"/>
        <w:rPr>
          <w:rFonts w:hint="eastAsia" w:ascii="宋体" w:hAnsi="宋体" w:cs="宋体"/>
          <w:sz w:val="24"/>
        </w:rPr>
      </w:pPr>
      <w:r>
        <w:rPr>
          <w:rFonts w:hint="eastAsia" w:ascii="宋体" w:hAnsi="宋体" w:cs="宋体"/>
          <w:kern w:val="0"/>
          <w:sz w:val="24"/>
        </w:rPr>
        <w:t>5.3 交货方式：汽车运输，卸货费用由乙方承担，乙方负责供料、运输及装卸，</w:t>
      </w:r>
      <w:r>
        <w:rPr>
          <w:rFonts w:hint="eastAsia" w:ascii="宋体" w:hAnsi="宋体" w:cs="宋体"/>
          <w:sz w:val="24"/>
        </w:rPr>
        <w:t>甲方在未验收货品前、乙方在运输过程中的一切风险及费用均由乙方负责承担。</w:t>
      </w:r>
    </w:p>
    <w:p w14:paraId="7A79731B">
      <w:pPr>
        <w:spacing w:line="390" w:lineRule="exact"/>
        <w:ind w:firstLine="480" w:firstLineChars="200"/>
        <w:rPr>
          <w:rFonts w:hint="eastAsia" w:ascii="宋体" w:hAnsi="宋体" w:cs="宋体"/>
          <w:kern w:val="0"/>
          <w:sz w:val="24"/>
        </w:rPr>
      </w:pPr>
      <w:r>
        <w:rPr>
          <w:rFonts w:hint="eastAsia" w:ascii="宋体" w:hAnsi="宋体" w:cs="宋体"/>
          <w:kern w:val="0"/>
          <w:sz w:val="24"/>
        </w:rPr>
        <w:t>5.4 包装方式：运输过程中必须采用防雨篷布对材料进行覆盖。</w:t>
      </w:r>
    </w:p>
    <w:p w14:paraId="0A76EB79">
      <w:pPr>
        <w:keepNext/>
        <w:keepLines/>
        <w:spacing w:line="390" w:lineRule="exact"/>
        <w:ind w:firstLine="482" w:firstLineChars="200"/>
        <w:outlineLvl w:val="0"/>
        <w:rPr>
          <w:rFonts w:ascii="宋体" w:hAnsi="宋体"/>
          <w:b/>
          <w:bCs/>
          <w:kern w:val="44"/>
          <w:sz w:val="24"/>
        </w:rPr>
      </w:pPr>
      <w:bookmarkStart w:id="56" w:name="_Toc24141"/>
      <w:r>
        <w:rPr>
          <w:rFonts w:hint="eastAsia" w:ascii="宋体" w:hAnsi="宋体"/>
          <w:b/>
          <w:bCs/>
          <w:kern w:val="44"/>
          <w:sz w:val="24"/>
        </w:rPr>
        <w:t>第六条 验收及提出异议</w:t>
      </w:r>
      <w:bookmarkEnd w:id="56"/>
    </w:p>
    <w:p w14:paraId="260BD350">
      <w:pPr>
        <w:widowControl/>
        <w:tabs>
          <w:tab w:val="left" w:pos="8364"/>
        </w:tabs>
        <w:spacing w:line="390" w:lineRule="exact"/>
        <w:ind w:firstLine="480" w:firstLineChars="200"/>
        <w:rPr>
          <w:rFonts w:hint="eastAsia" w:ascii="宋体" w:hAnsi="宋体" w:cs="宋体"/>
          <w:kern w:val="0"/>
          <w:sz w:val="24"/>
        </w:rPr>
      </w:pPr>
      <w:r>
        <w:rPr>
          <w:rFonts w:hint="eastAsia" w:ascii="宋体" w:hAnsi="宋体" w:cs="宋体"/>
          <w:kern w:val="0"/>
          <w:sz w:val="24"/>
        </w:rPr>
        <w:t>6.1 验收时间：收料当时进行取样；验收地点：收货现场。</w:t>
      </w:r>
    </w:p>
    <w:p w14:paraId="70EB38A6">
      <w:pPr>
        <w:widowControl/>
        <w:tabs>
          <w:tab w:val="left" w:pos="8364"/>
        </w:tabs>
        <w:spacing w:line="390" w:lineRule="exact"/>
        <w:ind w:firstLine="480" w:firstLineChars="200"/>
        <w:rPr>
          <w:rFonts w:hint="eastAsia" w:ascii="宋体" w:hAnsi="宋体" w:cs="宋体"/>
          <w:kern w:val="0"/>
          <w:sz w:val="24"/>
        </w:rPr>
      </w:pPr>
      <w:r>
        <w:rPr>
          <w:rFonts w:hint="eastAsia" w:ascii="宋体" w:hAnsi="宋体" w:cs="宋体"/>
          <w:kern w:val="0"/>
          <w:sz w:val="24"/>
        </w:rPr>
        <w:t>6.2 验收方式：部分抽样验收的方式。</w:t>
      </w:r>
    </w:p>
    <w:p w14:paraId="1D03050F">
      <w:pPr>
        <w:spacing w:line="390" w:lineRule="exact"/>
        <w:ind w:firstLine="480" w:firstLineChars="200"/>
        <w:rPr>
          <w:rFonts w:hint="eastAsia" w:ascii="宋体" w:hAnsi="宋体" w:cs="宋体"/>
          <w:sz w:val="24"/>
        </w:rPr>
      </w:pPr>
      <w:r>
        <w:rPr>
          <w:rFonts w:hint="eastAsia" w:ascii="宋体" w:hAnsi="宋体" w:cs="宋体"/>
          <w:sz w:val="24"/>
        </w:rPr>
        <w:t>6.3甲方有权到乙方砂石料料源地或取材场（厂）进行检验，乙方应无条件配合。</w:t>
      </w:r>
    </w:p>
    <w:p w14:paraId="543E51CF">
      <w:pPr>
        <w:spacing w:line="390" w:lineRule="exact"/>
        <w:ind w:firstLine="480" w:firstLineChars="200"/>
        <w:rPr>
          <w:rFonts w:hint="eastAsia" w:ascii="宋体" w:hAnsi="宋体" w:cs="宋体"/>
          <w:sz w:val="24"/>
        </w:rPr>
      </w:pPr>
      <w:r>
        <w:rPr>
          <w:rFonts w:hint="eastAsia" w:ascii="宋体" w:hAnsi="宋体" w:cs="宋体"/>
          <w:sz w:val="24"/>
        </w:rPr>
        <w:t>6.4 甲方和发包人及监理单位有权对每次送达的产品进行抽样检查，若抽检不合格，或对抽验合格后的产品交由有资质的检验部门检验后发现不能满足技术规格要求的，甲方有权要求对该批产品按照第6.5条的约定进行处理，由此产生的一切费用和给甲方造成的一切损失均由乙方承担。</w:t>
      </w:r>
    </w:p>
    <w:p w14:paraId="24AECD5A">
      <w:pPr>
        <w:spacing w:line="390" w:lineRule="exact"/>
        <w:ind w:firstLine="480" w:firstLineChars="200"/>
        <w:rPr>
          <w:rFonts w:hint="eastAsia" w:ascii="宋体" w:hAnsi="宋体" w:cs="宋体"/>
          <w:sz w:val="24"/>
        </w:rPr>
      </w:pPr>
      <w:r>
        <w:rPr>
          <w:rFonts w:hint="eastAsia" w:ascii="宋体" w:hAnsi="宋体" w:cs="宋体"/>
          <w:sz w:val="24"/>
        </w:rPr>
        <w:t>6.5 甲方如发现产品的品种、型号、规格和数量等不符合规定和合同约定的，应自收到产品后2日内向乙方提出异议和处理意见，但对产品质量的异议不受该时间的限制，随时发现可随时提出异议和处理意见。乙方在接到甲方提出的异议后，应在</w:t>
      </w:r>
      <w:r>
        <w:rPr>
          <w:rFonts w:hint="eastAsia" w:ascii="宋体" w:hAnsi="宋体" w:cs="宋体"/>
          <w:sz w:val="24"/>
          <w:u w:val="single"/>
        </w:rPr>
        <w:t>2</w:t>
      </w:r>
      <w:r>
        <w:rPr>
          <w:rFonts w:hint="eastAsia" w:ascii="宋体" w:hAnsi="宋体" w:cs="宋体"/>
          <w:sz w:val="24"/>
        </w:rPr>
        <w:t>日内按照甲方要求负责处理,否则即视为违约，且甲方有权自行处理收到的产品，造成的损失由乙方自行承担。</w:t>
      </w:r>
    </w:p>
    <w:p w14:paraId="0599F924">
      <w:pPr>
        <w:spacing w:line="390" w:lineRule="exact"/>
        <w:ind w:firstLine="480" w:firstLineChars="200"/>
        <w:rPr>
          <w:rFonts w:hint="eastAsia" w:ascii="宋体" w:hAnsi="宋体" w:cs="宋体"/>
          <w:sz w:val="24"/>
        </w:rPr>
      </w:pPr>
      <w:r>
        <w:rPr>
          <w:rFonts w:hint="eastAsia" w:ascii="宋体" w:hAnsi="宋体" w:cs="宋体"/>
          <w:sz w:val="24"/>
        </w:rPr>
        <w:t xml:space="preserve">6.6 甲方指定 负责材料的验收、签认；乙方指定 （身份证号： ）负责材料的交验、签认。甲方指定的上述人员是甲方唯一的收货代表，其在乙方送货清单上签字，作为乙方材料已到现场的证明，指定人员以外其他人员的验收、签认，对另一方不发生效力。一方指定人员发生变化时，应当及时告知对方，并自书面通知到达对方时产生效力。送货清单（或相应票据）中事先印刷的相关备注文字（双方验收人员签署的备注内容除外）内容不构成合同文件的组成部分。甲方对材料的验收，并不视为免除乙方对产品质量和技术应负的责任。 </w:t>
      </w:r>
    </w:p>
    <w:p w14:paraId="220877B7">
      <w:pPr>
        <w:keepNext/>
        <w:keepLines/>
        <w:spacing w:line="390" w:lineRule="exact"/>
        <w:ind w:firstLine="482" w:firstLineChars="200"/>
        <w:outlineLvl w:val="0"/>
        <w:rPr>
          <w:rFonts w:ascii="宋体" w:hAnsi="宋体"/>
          <w:b/>
          <w:bCs/>
          <w:kern w:val="44"/>
          <w:sz w:val="24"/>
        </w:rPr>
      </w:pPr>
      <w:bookmarkStart w:id="57" w:name="_Toc10826"/>
      <w:r>
        <w:rPr>
          <w:rFonts w:hint="eastAsia" w:ascii="宋体" w:hAnsi="宋体"/>
          <w:b/>
          <w:bCs/>
          <w:kern w:val="44"/>
          <w:sz w:val="24"/>
        </w:rPr>
        <w:t>第七条 结算与货款支付</w:t>
      </w:r>
      <w:bookmarkEnd w:id="57"/>
      <w:r>
        <w:rPr>
          <w:rFonts w:ascii="宋体" w:hAnsi="宋体"/>
          <w:b/>
          <w:bCs/>
          <w:kern w:val="44"/>
          <w:sz w:val="24"/>
        </w:rPr>
        <w:tab/>
      </w:r>
    </w:p>
    <w:p w14:paraId="5B1E1F87">
      <w:pPr>
        <w:spacing w:line="390" w:lineRule="exact"/>
        <w:ind w:firstLine="480" w:firstLineChars="200"/>
        <w:rPr>
          <w:rFonts w:hint="eastAsia" w:ascii="宋体" w:hAnsi="宋体" w:cs="宋体"/>
          <w:sz w:val="24"/>
        </w:rPr>
      </w:pPr>
      <w:r>
        <w:rPr>
          <w:rFonts w:hint="eastAsia" w:ascii="宋体" w:hAnsi="宋体" w:cs="宋体"/>
          <w:sz w:val="24"/>
        </w:rPr>
        <w:t>7.1 本合同无预付款。</w:t>
      </w:r>
    </w:p>
    <w:p w14:paraId="0EF79B8A">
      <w:pPr>
        <w:spacing w:line="390" w:lineRule="exact"/>
        <w:ind w:firstLine="480" w:firstLineChars="200"/>
        <w:rPr>
          <w:rFonts w:hint="eastAsia" w:ascii="宋体" w:hAnsi="宋体" w:cs="宋体"/>
          <w:bCs/>
          <w:kern w:val="0"/>
          <w:sz w:val="24"/>
        </w:rPr>
      </w:pPr>
      <w:r>
        <w:rPr>
          <w:rFonts w:hint="eastAsia" w:ascii="宋体" w:hAnsi="宋体" w:cs="宋体"/>
          <w:sz w:val="24"/>
        </w:rPr>
        <w:t>7.2</w:t>
      </w:r>
      <w:r>
        <w:rPr>
          <w:rFonts w:hint="eastAsia" w:ascii="宋体" w:hAnsi="宋体" w:cs="宋体"/>
          <w:bCs/>
          <w:kern w:val="0"/>
          <w:sz w:val="24"/>
        </w:rPr>
        <w:t xml:space="preserve"> </w:t>
      </w:r>
      <w:r>
        <w:rPr>
          <w:rFonts w:hint="eastAsia" w:ascii="宋体" w:hAnsi="宋体"/>
          <w:sz w:val="24"/>
        </w:rPr>
        <w:t>上月21日至本月的20日为一个结算周期，当</w:t>
      </w:r>
      <w:r>
        <w:rPr>
          <w:rFonts w:hint="eastAsia" w:ascii="宋体" w:hAnsi="宋体" w:cs="宋体"/>
          <w:bCs/>
          <w:kern w:val="0"/>
          <w:sz w:val="24"/>
        </w:rPr>
        <w:t>月的20日为当月的结算截止日期，甲乙双方根据甲方检验合格及共同签认的凭证计算当月实际收货方量，除此之外任何证明、收条、欠条、信函等文件，都不得作为结算、支付依据。</w:t>
      </w:r>
    </w:p>
    <w:p w14:paraId="679598DA">
      <w:pPr>
        <w:spacing w:line="390" w:lineRule="exact"/>
        <w:ind w:firstLine="480" w:firstLineChars="200"/>
        <w:rPr>
          <w:rFonts w:hint="eastAsia" w:ascii="宋体" w:hAnsi="宋体" w:cs="宋体"/>
          <w:bCs/>
          <w:kern w:val="0"/>
          <w:sz w:val="24"/>
        </w:rPr>
      </w:pPr>
      <w:r>
        <w:rPr>
          <w:rFonts w:hint="eastAsia" w:ascii="宋体" w:hAnsi="宋体" w:cs="宋体"/>
          <w:bCs/>
          <w:kern w:val="0"/>
          <w:sz w:val="24"/>
        </w:rPr>
        <w:t>7.3双方特别约定：遵循“先开票、后付款”的原则，</w:t>
      </w:r>
      <w:r>
        <w:rPr>
          <w:rFonts w:hint="eastAsia" w:ascii="宋体" w:hAnsi="宋体"/>
          <w:sz w:val="24"/>
        </w:rPr>
        <w:t>按照磨憨产业园一期项目实际结算数量开具增值税专用发票，</w:t>
      </w:r>
      <w:r>
        <w:rPr>
          <w:rFonts w:hint="eastAsia" w:ascii="宋体" w:hAnsi="宋体" w:cs="宋体"/>
          <w:bCs/>
          <w:kern w:val="0"/>
          <w:sz w:val="24"/>
        </w:rPr>
        <w:t>甲方支付前，乙方应按双方确认的当期应付金额向甲方提供增值税专用发票，并于发票开具后5日内提交给甲方，同时乙方向甲方提供砂石料资源税完税证明复印件留存备查。甲方收到乙方发票和完税证明后，按合同约定向乙方付款。</w:t>
      </w:r>
    </w:p>
    <w:p w14:paraId="5B1F9562">
      <w:pPr>
        <w:spacing w:line="390" w:lineRule="exact"/>
        <w:ind w:firstLine="480" w:firstLineChars="200"/>
        <w:rPr>
          <w:rFonts w:hint="eastAsia" w:ascii="宋体" w:hAnsi="宋体" w:cs="宋体"/>
          <w:bCs/>
          <w:kern w:val="0"/>
          <w:sz w:val="24"/>
        </w:rPr>
      </w:pPr>
      <w:r>
        <w:rPr>
          <w:rFonts w:hint="eastAsia" w:ascii="宋体" w:hAnsi="宋体" w:cs="宋体"/>
          <w:bCs/>
          <w:kern w:val="0"/>
          <w:sz w:val="24"/>
        </w:rPr>
        <w:t>7.4货款支付：先货后款。结算完成后，甲方在收到乙方开具的正式增值税发票后30日内办理完结算手续，</w:t>
      </w:r>
      <w:r>
        <w:rPr>
          <w:rFonts w:hint="eastAsia" w:ascii="宋体" w:hAnsi="宋体" w:cs="宋体"/>
          <w:bCs/>
          <w:color w:val="000000"/>
          <w:kern w:val="0"/>
          <w:sz w:val="24"/>
        </w:rPr>
        <w:t>结算完成后，甲方在收到乙方开具的正式的增值税专用发票后 30 日内，</w:t>
      </w:r>
      <w:r>
        <w:rPr>
          <w:rFonts w:hint="eastAsia" w:ascii="宋体" w:hAnsi="宋体" w:cs="宋体"/>
          <w:sz w:val="24"/>
        </w:rPr>
        <w:t>在当月扣除该批物资价值5%的质量保证金后，在次月20日前支付该批物资75%的价款，在第六个月20日前支付到95%，质量保证金在2026年12月20日前无息支付”</w:t>
      </w:r>
      <w:r>
        <w:rPr>
          <w:rFonts w:hint="eastAsia" w:ascii="仿宋_GB2312" w:hAnsi="仿宋_GB2312" w:eastAsia="仿宋_GB2312" w:cs="仿宋_GB2312"/>
          <w:sz w:val="32"/>
          <w:szCs w:val="32"/>
        </w:rPr>
        <w:t>。</w:t>
      </w:r>
      <w:r>
        <w:rPr>
          <w:rFonts w:hint="eastAsia" w:ascii="宋体" w:hAnsi="宋体" w:cs="宋体"/>
          <w:bCs/>
          <w:color w:val="000000"/>
          <w:kern w:val="0"/>
          <w:sz w:val="24"/>
        </w:rPr>
        <w:t>如发生纠纷，则延后至纠纷最终解决后30天内付清。质量保证金支付不免除乙方对交付货物质量保证责任。</w:t>
      </w:r>
    </w:p>
    <w:p w14:paraId="6D7633AF">
      <w:pPr>
        <w:spacing w:line="390" w:lineRule="exact"/>
        <w:ind w:firstLine="480" w:firstLineChars="200"/>
        <w:rPr>
          <w:rFonts w:hint="eastAsia" w:ascii="宋体" w:hAnsi="宋体" w:cs="宋体"/>
          <w:bCs/>
          <w:kern w:val="0"/>
          <w:sz w:val="24"/>
        </w:rPr>
      </w:pPr>
      <w:r>
        <w:rPr>
          <w:rFonts w:hint="eastAsia" w:ascii="宋体" w:hAnsi="宋体" w:cs="宋体"/>
          <w:bCs/>
          <w:kern w:val="0"/>
          <w:sz w:val="24"/>
        </w:rPr>
        <w:t>7.5货款支付方式：甲方有权采用银行转账、信用证或供应链金融（包括但不限于商业承兑汇票、银行承兑汇票、建行E信通、航信、中铁E信、中铁开投金票等）等形式付款，贴息及平台手续费由卖方承担。</w:t>
      </w:r>
    </w:p>
    <w:p w14:paraId="0200E4A5">
      <w:pPr>
        <w:spacing w:line="390" w:lineRule="exact"/>
        <w:ind w:firstLine="480" w:firstLineChars="200"/>
        <w:rPr>
          <w:rFonts w:hint="eastAsia" w:ascii="宋体" w:hAnsi="宋体" w:cs="宋体"/>
          <w:bCs/>
          <w:kern w:val="0"/>
          <w:sz w:val="24"/>
        </w:rPr>
      </w:pPr>
      <w:r>
        <w:rPr>
          <w:rFonts w:hint="eastAsia" w:ascii="宋体" w:hAnsi="宋体" w:cs="宋体"/>
          <w:bCs/>
          <w:kern w:val="0"/>
          <w:sz w:val="24"/>
        </w:rPr>
        <w:t>乙方指定联系人 （身份证号： ），联系方式 。</w:t>
      </w:r>
    </w:p>
    <w:p w14:paraId="3CC1A0AC">
      <w:pPr>
        <w:spacing w:line="390" w:lineRule="exact"/>
        <w:ind w:firstLine="480" w:firstLineChars="200"/>
        <w:rPr>
          <w:rFonts w:hint="eastAsia" w:ascii="宋体" w:hAnsi="宋体" w:cs="宋体"/>
          <w:bCs/>
          <w:kern w:val="0"/>
          <w:sz w:val="24"/>
        </w:rPr>
      </w:pPr>
      <w:r>
        <w:rPr>
          <w:rFonts w:hint="eastAsia" w:ascii="宋体" w:hAnsi="宋体" w:cs="宋体"/>
          <w:bCs/>
          <w:kern w:val="0"/>
          <w:sz w:val="24"/>
        </w:rPr>
        <w:t>7.6如甲方出现资金困难，乙方同意给予3个月的付款宽限期，</w:t>
      </w:r>
      <w:bookmarkStart w:id="58" w:name="_Hlk23929813"/>
      <w:r>
        <w:rPr>
          <w:rFonts w:hint="eastAsia" w:ascii="宋体" w:hAnsi="宋体" w:cs="宋体"/>
          <w:bCs/>
          <w:kern w:val="0"/>
          <w:sz w:val="24"/>
        </w:rPr>
        <w:t>在此宽限期间内不视为甲方违约且不计息，</w:t>
      </w:r>
      <w:bookmarkEnd w:id="58"/>
      <w:r>
        <w:rPr>
          <w:rFonts w:hint="eastAsia" w:ascii="宋体" w:hAnsi="宋体" w:cs="宋体"/>
          <w:bCs/>
          <w:kern w:val="0"/>
          <w:sz w:val="24"/>
        </w:rPr>
        <w:t>乙方不得以此为由中断本项目的货物供应。</w:t>
      </w:r>
    </w:p>
    <w:p w14:paraId="108D9AE3">
      <w:pPr>
        <w:spacing w:line="390" w:lineRule="exact"/>
        <w:ind w:firstLine="480" w:firstLineChars="200"/>
        <w:rPr>
          <w:rFonts w:hint="eastAsia" w:ascii="宋体" w:hAnsi="宋体" w:cs="宋体"/>
          <w:bCs/>
          <w:kern w:val="0"/>
          <w:sz w:val="24"/>
        </w:rPr>
      </w:pPr>
      <w:r>
        <w:rPr>
          <w:rFonts w:hint="eastAsia" w:ascii="宋体" w:hAnsi="宋体" w:cs="宋体"/>
          <w:bCs/>
          <w:kern w:val="0"/>
          <w:sz w:val="24"/>
        </w:rPr>
        <w:t>7.7本合同质保期6个月，自最后一批供货验收合格之日起计算。为在质保期内，因货物使用过程中出现任何问题影响到甲方正常使用的，乙方须在收到甲方通知后2日内进行更换，因此产生的费用由乙方承担。乙方对所供货物的质量终身负责。</w:t>
      </w:r>
    </w:p>
    <w:p w14:paraId="65D18AE9">
      <w:pPr>
        <w:spacing w:line="390" w:lineRule="exact"/>
        <w:ind w:firstLine="487" w:firstLineChars="202"/>
        <w:rPr>
          <w:rFonts w:ascii="宋体" w:hAnsi="宋体"/>
          <w:sz w:val="24"/>
        </w:rPr>
      </w:pPr>
      <w:r>
        <w:rPr>
          <w:rFonts w:hint="eastAsia" w:ascii="宋体" w:hAnsi="宋体"/>
          <w:b/>
          <w:bCs/>
          <w:kern w:val="44"/>
          <w:sz w:val="24"/>
        </w:rPr>
        <w:t>第八条 履约保证金</w:t>
      </w:r>
    </w:p>
    <w:p w14:paraId="0B2B2433">
      <w:pPr>
        <w:spacing w:line="390" w:lineRule="exact"/>
        <w:ind w:firstLine="480" w:firstLineChars="200"/>
        <w:rPr>
          <w:rFonts w:ascii="宋体" w:hAnsi="宋体" w:cs="宋体"/>
          <w:bCs/>
          <w:kern w:val="0"/>
          <w:sz w:val="24"/>
        </w:rPr>
      </w:pPr>
      <w:r>
        <w:rPr>
          <w:rFonts w:hint="eastAsia" w:ascii="宋体" w:hAnsi="宋体" w:cs="宋体"/>
          <w:bCs/>
          <w:kern w:val="0"/>
          <w:sz w:val="24"/>
        </w:rPr>
        <w:t>8</w:t>
      </w:r>
      <w:r>
        <w:rPr>
          <w:rFonts w:ascii="宋体" w:hAnsi="宋体" w:cs="宋体"/>
          <w:bCs/>
          <w:kern w:val="0"/>
          <w:sz w:val="24"/>
        </w:rPr>
        <w:t>.1</w:t>
      </w:r>
      <w:r>
        <w:rPr>
          <w:rFonts w:hint="eastAsia" w:ascii="宋体" w:hAnsi="宋体" w:cs="宋体"/>
          <w:bCs/>
          <w:kern w:val="0"/>
          <w:sz w:val="24"/>
        </w:rPr>
        <w:t>乙方</w:t>
      </w:r>
      <w:r>
        <w:rPr>
          <w:rFonts w:ascii="宋体" w:hAnsi="宋体" w:cs="宋体"/>
          <w:bCs/>
          <w:kern w:val="0"/>
          <w:sz w:val="24"/>
        </w:rPr>
        <w:t>应在</w:t>
      </w:r>
      <w:r>
        <w:rPr>
          <w:rFonts w:hint="eastAsia" w:ascii="宋体" w:hAnsi="宋体" w:cs="宋体"/>
          <w:bCs/>
          <w:kern w:val="0"/>
          <w:sz w:val="24"/>
        </w:rPr>
        <w:t>询价文件约定的时间内向甲方提交履约担保，履约担保用于补偿甲方因乙方不能履行其合同义务而蒙受的损失。</w:t>
      </w:r>
    </w:p>
    <w:p w14:paraId="12177774">
      <w:pPr>
        <w:spacing w:line="390" w:lineRule="exact"/>
        <w:ind w:firstLine="480" w:firstLineChars="200"/>
        <w:rPr>
          <w:rFonts w:ascii="宋体" w:hAnsi="宋体" w:cs="宋体"/>
          <w:bCs/>
          <w:kern w:val="0"/>
          <w:sz w:val="24"/>
        </w:rPr>
      </w:pPr>
      <w:r>
        <w:rPr>
          <w:rFonts w:hint="eastAsia" w:ascii="宋体" w:hAnsi="宋体" w:cs="宋体"/>
          <w:bCs/>
          <w:kern w:val="0"/>
          <w:sz w:val="24"/>
        </w:rPr>
        <w:t>8.</w:t>
      </w:r>
      <w:r>
        <w:rPr>
          <w:rFonts w:ascii="宋体" w:hAnsi="宋体" w:cs="宋体"/>
          <w:bCs/>
          <w:kern w:val="0"/>
          <w:sz w:val="24"/>
        </w:rPr>
        <w:t>2</w:t>
      </w:r>
      <w:r>
        <w:rPr>
          <w:rFonts w:hint="eastAsia" w:ascii="宋体" w:hAnsi="宋体" w:cs="宋体"/>
          <w:bCs/>
          <w:kern w:val="0"/>
          <w:sz w:val="24"/>
        </w:rPr>
        <w:t>履约担保的形式：投标保证金转为履约保证金。</w:t>
      </w:r>
    </w:p>
    <w:p w14:paraId="6944D124">
      <w:pPr>
        <w:spacing w:line="390" w:lineRule="exact"/>
        <w:ind w:firstLine="480" w:firstLineChars="200"/>
        <w:rPr>
          <w:rFonts w:hint="eastAsia" w:ascii="宋体" w:hAnsi="宋体" w:cs="宋体"/>
          <w:bCs/>
          <w:kern w:val="0"/>
          <w:sz w:val="24"/>
        </w:rPr>
      </w:pPr>
      <w:r>
        <w:rPr>
          <w:rFonts w:hint="eastAsia" w:ascii="宋体" w:hAnsi="宋体" w:cs="宋体"/>
          <w:bCs/>
          <w:kern w:val="0"/>
          <w:sz w:val="24"/>
        </w:rPr>
        <w:t>8.</w:t>
      </w:r>
      <w:r>
        <w:rPr>
          <w:rFonts w:ascii="宋体" w:hAnsi="宋体" w:cs="宋体"/>
          <w:bCs/>
          <w:kern w:val="0"/>
          <w:sz w:val="24"/>
        </w:rPr>
        <w:t>3</w:t>
      </w:r>
      <w:r>
        <w:rPr>
          <w:rFonts w:hint="eastAsia" w:ascii="宋体" w:hAnsi="宋体" w:cs="宋体"/>
          <w:bCs/>
          <w:kern w:val="0"/>
          <w:sz w:val="24"/>
        </w:rPr>
        <w:t>履约担保的金额：履约保证金为人民币壹万元整。</w:t>
      </w:r>
    </w:p>
    <w:p w14:paraId="70F83A28">
      <w:pPr>
        <w:spacing w:line="390" w:lineRule="exact"/>
        <w:ind w:firstLine="480" w:firstLineChars="200"/>
        <w:rPr>
          <w:rFonts w:ascii="宋体" w:hAnsi="宋体" w:cs="宋体"/>
          <w:bCs/>
          <w:kern w:val="0"/>
          <w:sz w:val="24"/>
        </w:rPr>
      </w:pPr>
      <w:r>
        <w:rPr>
          <w:rFonts w:hint="eastAsia" w:ascii="宋体" w:hAnsi="宋体" w:cs="宋体"/>
          <w:bCs/>
          <w:kern w:val="0"/>
          <w:sz w:val="24"/>
        </w:rPr>
        <w:t>8</w:t>
      </w:r>
      <w:r>
        <w:rPr>
          <w:rFonts w:ascii="宋体" w:hAnsi="宋体" w:cs="宋体"/>
          <w:bCs/>
          <w:kern w:val="0"/>
          <w:sz w:val="24"/>
        </w:rPr>
        <w:t>.4</w:t>
      </w:r>
      <w:r>
        <w:rPr>
          <w:rFonts w:hint="eastAsia" w:ascii="宋体" w:hAnsi="宋体" w:cs="宋体"/>
          <w:bCs/>
          <w:kern w:val="0"/>
          <w:sz w:val="24"/>
        </w:rPr>
        <w:t>履约保证金的有效期为合同物资最后一批交货验收后一个月。</w:t>
      </w:r>
    </w:p>
    <w:p w14:paraId="67E258D0">
      <w:pPr>
        <w:spacing w:line="390" w:lineRule="exact"/>
        <w:ind w:firstLine="480" w:firstLineChars="200"/>
        <w:rPr>
          <w:rFonts w:ascii="宋体" w:hAnsi="宋体" w:cs="宋体"/>
          <w:bCs/>
          <w:kern w:val="0"/>
          <w:sz w:val="24"/>
        </w:rPr>
      </w:pPr>
      <w:r>
        <w:rPr>
          <w:rFonts w:hint="eastAsia" w:ascii="宋体" w:hAnsi="宋体" w:cs="宋体"/>
          <w:bCs/>
          <w:kern w:val="0"/>
          <w:sz w:val="24"/>
        </w:rPr>
        <w:t>8</w:t>
      </w:r>
      <w:r>
        <w:rPr>
          <w:rFonts w:ascii="宋体" w:hAnsi="宋体" w:cs="宋体"/>
          <w:bCs/>
          <w:kern w:val="0"/>
          <w:sz w:val="24"/>
        </w:rPr>
        <w:t>.5</w:t>
      </w:r>
      <w:r>
        <w:rPr>
          <w:rFonts w:hint="eastAsia" w:ascii="宋体" w:hAnsi="宋体" w:cs="宋体"/>
          <w:bCs/>
          <w:kern w:val="0"/>
          <w:sz w:val="24"/>
        </w:rPr>
        <w:t>履约保证金在合同封闭后由乙方书面提交申请后无息退还。</w:t>
      </w:r>
    </w:p>
    <w:p w14:paraId="25CF4EC3">
      <w:pPr>
        <w:spacing w:line="390" w:lineRule="exact"/>
        <w:ind w:firstLine="480" w:firstLineChars="200"/>
        <w:rPr>
          <w:rFonts w:ascii="宋体" w:hAnsi="宋体" w:cs="宋体"/>
          <w:bCs/>
          <w:kern w:val="0"/>
          <w:sz w:val="24"/>
        </w:rPr>
      </w:pPr>
      <w:r>
        <w:rPr>
          <w:rFonts w:hint="eastAsia" w:ascii="宋体" w:hAnsi="宋体" w:cs="宋体"/>
          <w:bCs/>
          <w:kern w:val="0"/>
          <w:sz w:val="24"/>
        </w:rPr>
        <w:t>8</w:t>
      </w:r>
      <w:r>
        <w:rPr>
          <w:rFonts w:ascii="宋体" w:hAnsi="宋体" w:cs="宋体"/>
          <w:bCs/>
          <w:kern w:val="0"/>
          <w:sz w:val="24"/>
        </w:rPr>
        <w:t>.6</w:t>
      </w:r>
      <w:r>
        <w:rPr>
          <w:rFonts w:hint="eastAsia" w:ascii="宋体" w:hAnsi="宋体" w:cs="宋体"/>
          <w:bCs/>
          <w:kern w:val="0"/>
          <w:sz w:val="24"/>
        </w:rPr>
        <w:t>履约保证金因乙方原因导致物资交货时间延长，其履约保函有效期应相应延长。</w:t>
      </w:r>
    </w:p>
    <w:p w14:paraId="1696B387">
      <w:pPr>
        <w:spacing w:line="390" w:lineRule="exact"/>
        <w:ind w:firstLine="480" w:firstLineChars="200"/>
        <w:rPr>
          <w:rFonts w:ascii="宋体" w:hAnsi="宋体" w:cs="宋体"/>
          <w:bCs/>
          <w:kern w:val="0"/>
          <w:sz w:val="24"/>
        </w:rPr>
      </w:pPr>
      <w:r>
        <w:rPr>
          <w:rFonts w:hint="eastAsia" w:ascii="宋体" w:hAnsi="宋体" w:cs="宋体"/>
          <w:bCs/>
          <w:kern w:val="0"/>
          <w:sz w:val="24"/>
        </w:rPr>
        <w:t>8</w:t>
      </w:r>
      <w:r>
        <w:rPr>
          <w:rFonts w:ascii="宋体" w:hAnsi="宋体" w:cs="宋体"/>
          <w:bCs/>
          <w:kern w:val="0"/>
          <w:sz w:val="24"/>
        </w:rPr>
        <w:t>.7</w:t>
      </w:r>
      <w:r>
        <w:rPr>
          <w:rFonts w:hint="eastAsia" w:ascii="宋体" w:hAnsi="宋体" w:cs="宋体"/>
          <w:bCs/>
          <w:kern w:val="0"/>
          <w:sz w:val="24"/>
        </w:rPr>
        <w:t>发生下列之一者，则不予退还履约保证金：</w:t>
      </w:r>
    </w:p>
    <w:p w14:paraId="0BC78A39">
      <w:pPr>
        <w:spacing w:line="390" w:lineRule="exact"/>
        <w:ind w:firstLine="480" w:firstLineChars="200"/>
        <w:rPr>
          <w:rFonts w:ascii="宋体" w:hAnsi="宋体" w:cs="宋体"/>
          <w:bCs/>
          <w:kern w:val="0"/>
          <w:sz w:val="24"/>
        </w:rPr>
      </w:pPr>
      <w:r>
        <w:rPr>
          <w:rFonts w:hint="eastAsia" w:ascii="宋体" w:hAnsi="宋体" w:cs="宋体"/>
          <w:bCs/>
          <w:kern w:val="0"/>
          <w:sz w:val="24"/>
        </w:rPr>
        <w:t>8.</w:t>
      </w:r>
      <w:r>
        <w:rPr>
          <w:rFonts w:ascii="宋体" w:hAnsi="宋体" w:cs="宋体"/>
          <w:bCs/>
          <w:kern w:val="0"/>
          <w:sz w:val="24"/>
        </w:rPr>
        <w:t>7</w:t>
      </w:r>
      <w:r>
        <w:rPr>
          <w:rFonts w:hint="eastAsia" w:ascii="宋体" w:hAnsi="宋体" w:cs="宋体"/>
          <w:bCs/>
          <w:kern w:val="0"/>
          <w:sz w:val="24"/>
        </w:rPr>
        <w:t>.1乙方发生合同第十条</w:t>
      </w:r>
      <w:r>
        <w:rPr>
          <w:rFonts w:ascii="宋体" w:hAnsi="宋体" w:cs="宋体"/>
          <w:bCs/>
          <w:kern w:val="0"/>
          <w:sz w:val="24"/>
        </w:rPr>
        <w:t>所列的违约行为之一而完全终止合同；</w:t>
      </w:r>
    </w:p>
    <w:p w14:paraId="3D5BC347">
      <w:pPr>
        <w:spacing w:line="390" w:lineRule="exact"/>
        <w:ind w:firstLine="480" w:firstLineChars="200"/>
        <w:rPr>
          <w:rFonts w:ascii="宋体" w:hAnsi="宋体" w:cs="宋体"/>
          <w:bCs/>
          <w:kern w:val="0"/>
          <w:sz w:val="24"/>
        </w:rPr>
      </w:pPr>
      <w:r>
        <w:rPr>
          <w:rFonts w:hint="eastAsia" w:ascii="宋体" w:hAnsi="宋体" w:cs="宋体"/>
          <w:bCs/>
          <w:kern w:val="0"/>
          <w:sz w:val="24"/>
        </w:rPr>
        <w:t>8.</w:t>
      </w:r>
      <w:r>
        <w:rPr>
          <w:rFonts w:ascii="宋体" w:hAnsi="宋体" w:cs="宋体"/>
          <w:bCs/>
          <w:kern w:val="0"/>
          <w:sz w:val="24"/>
        </w:rPr>
        <w:t>7</w:t>
      </w:r>
      <w:r>
        <w:rPr>
          <w:rFonts w:hint="eastAsia" w:ascii="宋体" w:hAnsi="宋体" w:cs="宋体"/>
          <w:bCs/>
          <w:kern w:val="0"/>
          <w:sz w:val="24"/>
        </w:rPr>
        <w:t>.2乙方不履行实质性的响应承诺。</w:t>
      </w:r>
    </w:p>
    <w:p w14:paraId="5B62D940">
      <w:pPr>
        <w:spacing w:line="390" w:lineRule="exact"/>
        <w:ind w:firstLine="480" w:firstLineChars="200"/>
        <w:rPr>
          <w:rFonts w:ascii="宋体" w:hAnsi="宋体" w:cs="宋体"/>
          <w:bCs/>
          <w:kern w:val="0"/>
          <w:sz w:val="24"/>
        </w:rPr>
      </w:pPr>
      <w:r>
        <w:rPr>
          <w:rFonts w:hint="eastAsia" w:ascii="宋体" w:hAnsi="宋体" w:cs="宋体"/>
          <w:bCs/>
          <w:kern w:val="0"/>
          <w:sz w:val="24"/>
        </w:rPr>
        <w:t>8</w:t>
      </w:r>
      <w:r>
        <w:rPr>
          <w:rFonts w:ascii="宋体" w:hAnsi="宋体" w:cs="宋体"/>
          <w:bCs/>
          <w:kern w:val="0"/>
          <w:sz w:val="24"/>
        </w:rPr>
        <w:t>.8.履约保证金的退还或不予退还并不免除</w:t>
      </w:r>
      <w:r>
        <w:rPr>
          <w:rFonts w:hint="eastAsia" w:ascii="宋体" w:hAnsi="宋体" w:cs="宋体"/>
          <w:bCs/>
          <w:kern w:val="0"/>
          <w:sz w:val="24"/>
        </w:rPr>
        <w:t>乙方</w:t>
      </w:r>
      <w:r>
        <w:rPr>
          <w:rFonts w:ascii="宋体" w:hAnsi="宋体" w:cs="宋体"/>
          <w:bCs/>
          <w:kern w:val="0"/>
          <w:sz w:val="24"/>
        </w:rPr>
        <w:t>对已交付物资的质量保证责任。</w:t>
      </w:r>
    </w:p>
    <w:p w14:paraId="1CCEEDD3">
      <w:pPr>
        <w:keepNext/>
        <w:keepLines/>
        <w:spacing w:line="390" w:lineRule="exact"/>
        <w:ind w:firstLine="482" w:firstLineChars="200"/>
        <w:outlineLvl w:val="0"/>
        <w:rPr>
          <w:rFonts w:ascii="宋体" w:hAnsi="宋体"/>
          <w:b/>
          <w:bCs/>
          <w:kern w:val="44"/>
          <w:sz w:val="24"/>
        </w:rPr>
      </w:pPr>
      <w:bookmarkStart w:id="59" w:name="_Toc8182"/>
      <w:r>
        <w:rPr>
          <w:rFonts w:hint="eastAsia" w:ascii="宋体" w:hAnsi="宋体"/>
          <w:b/>
          <w:bCs/>
          <w:kern w:val="44"/>
          <w:sz w:val="24"/>
        </w:rPr>
        <w:t>第九条 甲方义务</w:t>
      </w:r>
      <w:bookmarkEnd w:id="59"/>
    </w:p>
    <w:p w14:paraId="3BA37A97">
      <w:pPr>
        <w:spacing w:line="390" w:lineRule="exact"/>
        <w:ind w:firstLine="480" w:firstLineChars="200"/>
        <w:rPr>
          <w:rFonts w:hint="eastAsia" w:ascii="宋体" w:hAnsi="宋体" w:cs="宋体"/>
          <w:bCs/>
          <w:sz w:val="24"/>
        </w:rPr>
      </w:pPr>
      <w:r>
        <w:rPr>
          <w:rFonts w:hint="eastAsia" w:ascii="宋体" w:hAnsi="宋体" w:cs="宋体"/>
          <w:bCs/>
          <w:sz w:val="24"/>
        </w:rPr>
        <w:t>9.1 甲方负责提供供货计划和准确的交货地点。</w:t>
      </w:r>
    </w:p>
    <w:p w14:paraId="19372317">
      <w:pPr>
        <w:spacing w:line="390" w:lineRule="exact"/>
        <w:ind w:firstLine="480" w:firstLineChars="200"/>
        <w:rPr>
          <w:rFonts w:hint="eastAsia" w:ascii="宋体" w:hAnsi="宋体" w:cs="宋体"/>
          <w:bCs/>
          <w:sz w:val="24"/>
        </w:rPr>
      </w:pPr>
      <w:r>
        <w:rPr>
          <w:rFonts w:hint="eastAsia" w:ascii="宋体" w:hAnsi="宋体" w:cs="宋体"/>
          <w:bCs/>
          <w:sz w:val="24"/>
        </w:rPr>
        <w:t>9.2 按合同约定支付合同价款。</w:t>
      </w:r>
    </w:p>
    <w:p w14:paraId="7F085348">
      <w:pPr>
        <w:spacing w:line="390" w:lineRule="exact"/>
        <w:ind w:firstLine="480" w:firstLineChars="200"/>
        <w:rPr>
          <w:rFonts w:hint="eastAsia" w:ascii="宋体" w:hAnsi="宋体" w:cs="宋体"/>
          <w:bCs/>
          <w:sz w:val="24"/>
        </w:rPr>
      </w:pPr>
      <w:r>
        <w:rPr>
          <w:rFonts w:hint="eastAsia" w:ascii="宋体" w:hAnsi="宋体" w:cs="宋体"/>
          <w:bCs/>
          <w:sz w:val="24"/>
        </w:rPr>
        <w:t>9.3 甲方不得无故拒绝接收供货计划范围内的物品。</w:t>
      </w:r>
    </w:p>
    <w:p w14:paraId="3C674546">
      <w:pPr>
        <w:spacing w:line="390" w:lineRule="exact"/>
        <w:ind w:firstLine="480" w:firstLineChars="200"/>
        <w:rPr>
          <w:rFonts w:hint="eastAsia" w:ascii="宋体" w:hAnsi="宋体" w:cs="宋体"/>
          <w:bCs/>
          <w:sz w:val="24"/>
        </w:rPr>
      </w:pPr>
      <w:r>
        <w:rPr>
          <w:rFonts w:hint="eastAsia" w:ascii="宋体" w:hAnsi="宋体" w:cs="宋体"/>
          <w:bCs/>
          <w:sz w:val="24"/>
        </w:rPr>
        <w:t>9.4 按合同约定对物品进行检验和验收。</w:t>
      </w:r>
    </w:p>
    <w:p w14:paraId="18D747E8">
      <w:pPr>
        <w:keepNext/>
        <w:keepLines/>
        <w:spacing w:line="390" w:lineRule="exact"/>
        <w:ind w:firstLine="482" w:firstLineChars="200"/>
        <w:outlineLvl w:val="0"/>
        <w:rPr>
          <w:rFonts w:ascii="宋体" w:hAnsi="宋体"/>
          <w:b/>
          <w:bCs/>
          <w:kern w:val="44"/>
          <w:sz w:val="24"/>
        </w:rPr>
      </w:pPr>
      <w:bookmarkStart w:id="60" w:name="_Toc24249"/>
      <w:r>
        <w:rPr>
          <w:rFonts w:hint="eastAsia" w:ascii="宋体" w:hAnsi="宋体"/>
          <w:b/>
          <w:bCs/>
          <w:kern w:val="44"/>
          <w:sz w:val="24"/>
        </w:rPr>
        <w:t>第十条 乙方义务</w:t>
      </w:r>
      <w:bookmarkEnd w:id="60"/>
    </w:p>
    <w:p w14:paraId="018C8BB9">
      <w:pPr>
        <w:tabs>
          <w:tab w:val="left" w:pos="360"/>
        </w:tabs>
        <w:spacing w:line="390" w:lineRule="exact"/>
        <w:ind w:firstLine="480" w:firstLineChars="200"/>
        <w:rPr>
          <w:rFonts w:hint="eastAsia" w:ascii="宋体" w:hAnsi="宋体" w:cs="宋体"/>
          <w:bCs/>
          <w:kern w:val="0"/>
          <w:sz w:val="24"/>
        </w:rPr>
      </w:pPr>
      <w:r>
        <w:rPr>
          <w:rFonts w:hint="eastAsia" w:ascii="宋体" w:hAnsi="宋体" w:cs="宋体"/>
          <w:bCs/>
          <w:kern w:val="0"/>
          <w:sz w:val="24"/>
        </w:rPr>
        <w:t>10.1 乙方应满足甲方备料要求，并保证其砂石料合法来源，否则，由此造成的损失由乙方承担。</w:t>
      </w:r>
    </w:p>
    <w:p w14:paraId="000C5707">
      <w:pPr>
        <w:tabs>
          <w:tab w:val="left" w:pos="360"/>
        </w:tabs>
        <w:spacing w:line="390" w:lineRule="exact"/>
        <w:ind w:firstLine="480" w:firstLineChars="200"/>
        <w:rPr>
          <w:rFonts w:hint="eastAsia" w:ascii="宋体" w:hAnsi="宋体" w:cs="宋体"/>
          <w:bCs/>
          <w:kern w:val="0"/>
          <w:sz w:val="24"/>
        </w:rPr>
      </w:pPr>
      <w:r>
        <w:rPr>
          <w:rFonts w:hint="eastAsia" w:ascii="宋体" w:hAnsi="宋体" w:cs="宋体"/>
          <w:bCs/>
          <w:kern w:val="0"/>
          <w:sz w:val="24"/>
        </w:rPr>
        <w:t>10.2 乙方在供应过程中（含生产、运输、装卸）所发生的各种安全事故，包括在船运、码头装卸，公路和施工便道上进行材料运输，均由乙方承担一切责任和损失。</w:t>
      </w:r>
    </w:p>
    <w:p w14:paraId="1A3F8432">
      <w:pPr>
        <w:tabs>
          <w:tab w:val="left" w:pos="360"/>
        </w:tabs>
        <w:spacing w:line="390" w:lineRule="exact"/>
        <w:ind w:firstLine="480" w:firstLineChars="200"/>
        <w:rPr>
          <w:rFonts w:hint="eastAsia" w:ascii="宋体" w:hAnsi="宋体" w:cs="宋体"/>
          <w:bCs/>
          <w:kern w:val="0"/>
          <w:sz w:val="24"/>
        </w:rPr>
      </w:pPr>
      <w:r>
        <w:rPr>
          <w:rFonts w:hint="eastAsia" w:ascii="宋体" w:hAnsi="宋体" w:cs="宋体"/>
          <w:bCs/>
          <w:kern w:val="0"/>
          <w:sz w:val="24"/>
        </w:rPr>
        <w:t>10.3 乙方必须做好开采、运输、装卸等过程中的环境保护，遵守国家和行业的有关规定，因违反规定而受到任何处罚的，乙方承担全部责任。在货物交付甲方之前,道路及周围环境、及他人人身财产造成损害的，乙方应承担赔偿责任。</w:t>
      </w:r>
    </w:p>
    <w:p w14:paraId="7A96518C">
      <w:pPr>
        <w:tabs>
          <w:tab w:val="left" w:pos="360"/>
        </w:tabs>
        <w:spacing w:line="390" w:lineRule="exact"/>
        <w:ind w:firstLine="480" w:firstLineChars="200"/>
        <w:rPr>
          <w:rFonts w:hint="eastAsia" w:ascii="宋体" w:hAnsi="宋体" w:cs="宋体"/>
          <w:bCs/>
          <w:kern w:val="0"/>
          <w:sz w:val="24"/>
        </w:rPr>
      </w:pPr>
      <w:r>
        <w:rPr>
          <w:rFonts w:hint="eastAsia" w:ascii="宋体" w:hAnsi="宋体" w:cs="宋体"/>
          <w:bCs/>
          <w:kern w:val="0"/>
          <w:sz w:val="24"/>
        </w:rPr>
        <w:t>10.4 乙方材料供应应完全服从甲方的协调与指挥，乙方负责向甲方项目上派驻代表，负责材料的协调卸货和计量监督。乙方代表的办公、交通、生活等费用由乙方自行承担。</w:t>
      </w:r>
    </w:p>
    <w:p w14:paraId="5EF8B937">
      <w:pPr>
        <w:spacing w:line="390" w:lineRule="exact"/>
        <w:ind w:firstLine="480" w:firstLineChars="200"/>
        <w:rPr>
          <w:rFonts w:hint="eastAsia" w:ascii="宋体" w:hAnsi="宋体" w:cs="宋体"/>
          <w:kern w:val="0"/>
          <w:sz w:val="24"/>
        </w:rPr>
      </w:pPr>
      <w:r>
        <w:rPr>
          <w:rFonts w:hint="eastAsia" w:ascii="宋体" w:hAnsi="宋体" w:cs="宋体"/>
          <w:bCs/>
          <w:kern w:val="0"/>
          <w:sz w:val="24"/>
        </w:rPr>
        <w:t>10</w:t>
      </w:r>
      <w:r>
        <w:rPr>
          <w:rFonts w:hint="eastAsia" w:ascii="宋体" w:hAnsi="宋体" w:cs="宋体"/>
          <w:kern w:val="0"/>
          <w:sz w:val="24"/>
        </w:rPr>
        <w:t>.5 乙方与第三方发生的任何经济往来和债务纠纷均与甲方无关，乙方保证有关物品无法律权属上的瑕疵、无知识产权争议，否则，给甲方造成的任何损失均由乙方承担。</w:t>
      </w:r>
    </w:p>
    <w:p w14:paraId="167686C5">
      <w:pPr>
        <w:spacing w:line="390" w:lineRule="exact"/>
        <w:ind w:firstLine="480" w:firstLineChars="200"/>
        <w:rPr>
          <w:rFonts w:hint="eastAsia" w:ascii="宋体" w:hAnsi="宋体" w:cs="宋体"/>
          <w:kern w:val="0"/>
          <w:sz w:val="24"/>
        </w:rPr>
      </w:pPr>
      <w:r>
        <w:rPr>
          <w:rFonts w:hint="eastAsia" w:ascii="宋体" w:hAnsi="宋体" w:cs="宋体"/>
          <w:bCs/>
          <w:kern w:val="0"/>
          <w:sz w:val="24"/>
        </w:rPr>
        <w:t>10</w:t>
      </w:r>
      <w:r>
        <w:rPr>
          <w:rFonts w:hint="eastAsia" w:ascii="宋体" w:hAnsi="宋体" w:cs="宋体"/>
          <w:kern w:val="0"/>
          <w:sz w:val="24"/>
        </w:rPr>
        <w:t>.6 乙方应协调好地方政府、堤防、航务和长江港务等各方面的关系，迅速进行码头建设，及时办理有关手续。根据江水的涨落确保驳船安全，砂石做到随到随卸，接受甲方的监督和检查，不得将砂石船压港滞港，及时调整皮带运输机和检修，使砂石的损耗达到最小。</w:t>
      </w:r>
    </w:p>
    <w:p w14:paraId="326D01B4">
      <w:pPr>
        <w:spacing w:line="390" w:lineRule="exact"/>
        <w:ind w:firstLine="480" w:firstLineChars="200"/>
        <w:rPr>
          <w:rFonts w:hint="eastAsia" w:ascii="宋体" w:hAnsi="宋体" w:cs="宋体"/>
          <w:sz w:val="24"/>
        </w:rPr>
      </w:pPr>
      <w:r>
        <w:rPr>
          <w:rFonts w:hint="eastAsia" w:ascii="宋体" w:hAnsi="宋体" w:cs="宋体"/>
          <w:sz w:val="24"/>
        </w:rPr>
        <w:t>10.7</w:t>
      </w:r>
      <w:r>
        <w:rPr>
          <w:rFonts w:hint="eastAsia" w:ascii="宋体" w:hAnsi="宋体" w:cs="宋体"/>
          <w:bCs/>
          <w:kern w:val="0"/>
          <w:sz w:val="24"/>
        </w:rPr>
        <w:t>乙方积极协助甲方在税法规定期限内办理有关的进项税额的认证申办手续。乙方开具的增值税专用发票在送达甲方后如发生丢失、灭失，乙方同意按照税法规定和甲方的要求及时向甲方提供该发票的存根联复印件，以及乙方所在地主管税务机关开具的《丢失增值税发票（专用发票/普通发票）已报税证明单》，如因乙方拒绝履行配合义务，造成甲方经济损失的，应由乙方承担。</w:t>
      </w:r>
    </w:p>
    <w:p w14:paraId="683999C3">
      <w:pPr>
        <w:spacing w:line="390" w:lineRule="exact"/>
        <w:ind w:firstLine="480" w:firstLineChars="200"/>
        <w:rPr>
          <w:rFonts w:hint="eastAsia" w:ascii="宋体" w:hAnsi="宋体" w:cs="宋体"/>
          <w:sz w:val="24"/>
        </w:rPr>
      </w:pPr>
      <w:r>
        <w:rPr>
          <w:rFonts w:hint="eastAsia" w:ascii="宋体" w:hAnsi="宋体" w:cs="宋体"/>
          <w:sz w:val="24"/>
        </w:rPr>
        <w:t>10.8 在涉及到砂石料质量问题的退货行为时,如果退货行为涉及到开具红字增值税专用发票的行为,乙方应当履行相关协助义务。</w:t>
      </w:r>
    </w:p>
    <w:p w14:paraId="37E658A2">
      <w:pPr>
        <w:spacing w:line="390" w:lineRule="exact"/>
        <w:ind w:firstLine="480" w:firstLineChars="200"/>
        <w:rPr>
          <w:rFonts w:hint="eastAsia" w:ascii="宋体" w:hAnsi="宋体" w:cs="宋体"/>
          <w:sz w:val="24"/>
        </w:rPr>
      </w:pPr>
      <w:r>
        <w:rPr>
          <w:rFonts w:hint="eastAsia" w:ascii="宋体" w:hAnsi="宋体" w:cs="宋体"/>
          <w:sz w:val="24"/>
        </w:rPr>
        <w:t>10.9在本合同发生变更涉及增值税专用发票记载项目发生变化时，如果甲方取得增值税专用发票尚未认证抵扣,乙方应于专用发票认证期限内办理红字增值税专用发票开具申请，并重新开具增值税专用发票。如果原增值税专用发票已经抵扣，乙方就合同增加的金额补开增值税专用发票，就减少的金额甲方负责办理红字增值税专用发票开具申请，乙方开具红字增值税专用发票。</w:t>
      </w:r>
    </w:p>
    <w:p w14:paraId="1ABC2881">
      <w:pPr>
        <w:keepNext/>
        <w:keepLines/>
        <w:spacing w:line="390" w:lineRule="exact"/>
        <w:ind w:firstLine="482" w:firstLineChars="200"/>
        <w:outlineLvl w:val="0"/>
        <w:rPr>
          <w:rFonts w:ascii="宋体" w:hAnsi="宋体"/>
          <w:b/>
          <w:bCs/>
          <w:kern w:val="44"/>
          <w:sz w:val="24"/>
        </w:rPr>
      </w:pPr>
      <w:bookmarkStart w:id="61" w:name="_Toc32013"/>
      <w:r>
        <w:rPr>
          <w:rFonts w:hint="eastAsia" w:ascii="宋体" w:hAnsi="宋体"/>
          <w:b/>
          <w:bCs/>
          <w:kern w:val="44"/>
          <w:sz w:val="24"/>
        </w:rPr>
        <w:t>第十一条 违约责任</w:t>
      </w:r>
      <w:bookmarkEnd w:id="61"/>
    </w:p>
    <w:p w14:paraId="3DBA63F5">
      <w:pPr>
        <w:tabs>
          <w:tab w:val="left" w:pos="360"/>
        </w:tabs>
        <w:spacing w:line="390" w:lineRule="exact"/>
        <w:ind w:firstLine="480" w:firstLineChars="200"/>
        <w:rPr>
          <w:rFonts w:hint="eastAsia" w:ascii="宋体" w:hAnsi="宋体"/>
          <w:color w:val="000000"/>
          <w:sz w:val="24"/>
        </w:rPr>
      </w:pPr>
      <w:r>
        <w:rPr>
          <w:rFonts w:hint="eastAsia" w:ascii="宋体" w:hAnsi="宋体" w:cs="宋体"/>
          <w:kern w:val="0"/>
          <w:sz w:val="24"/>
          <w:lang w:val="zh-CN"/>
        </w:rPr>
        <w:t>1</w:t>
      </w:r>
      <w:r>
        <w:rPr>
          <w:rFonts w:hint="eastAsia" w:ascii="宋体" w:hAnsi="宋体" w:cs="宋体"/>
          <w:kern w:val="0"/>
          <w:sz w:val="24"/>
        </w:rPr>
        <w:t>1</w:t>
      </w:r>
      <w:r>
        <w:rPr>
          <w:rFonts w:hint="eastAsia" w:ascii="宋体" w:hAnsi="宋体" w:cs="宋体"/>
          <w:kern w:val="0"/>
          <w:sz w:val="24"/>
          <w:lang w:val="zh-CN"/>
        </w:rPr>
        <w:t>.1</w:t>
      </w:r>
      <w:r>
        <w:rPr>
          <w:rFonts w:hint="eastAsia" w:ascii="宋体" w:hAnsi="宋体"/>
          <w:color w:val="000000"/>
          <w:sz w:val="24"/>
        </w:rPr>
        <w:t>甲方在宽限期后，仍逾期支付货款的（乙方未履行向甲方开具增值税专用发票等合同约定的义务除外），甲方对逾期付款部分从宽限期满的次日起向乙方支付资金占用费。资金占用费按中国人民银行同期活期存款利率计算，计算的基数以甲方最后一笔付款时剩余欠款金额为准，不包括前期逾期但现已支付部分的货款，资金占用费最高不得超过本合同项下双方结算价款（不含增值税）的1%。资金占用费由乙方以“价外费”的形式开具发票。除此之外，甲方不再承担其他任何违约责任。</w:t>
      </w:r>
    </w:p>
    <w:p w14:paraId="327FECC5">
      <w:pPr>
        <w:tabs>
          <w:tab w:val="left" w:pos="360"/>
        </w:tabs>
        <w:spacing w:line="390" w:lineRule="exact"/>
        <w:ind w:firstLine="480" w:firstLineChars="200"/>
        <w:rPr>
          <w:rFonts w:hint="eastAsia" w:ascii="宋体" w:hAnsi="宋体" w:cs="宋体"/>
          <w:bCs/>
          <w:kern w:val="0"/>
          <w:sz w:val="24"/>
        </w:rPr>
      </w:pPr>
      <w:r>
        <w:rPr>
          <w:rFonts w:hint="eastAsia" w:ascii="宋体" w:hAnsi="宋体" w:cs="宋体"/>
          <w:sz w:val="24"/>
        </w:rPr>
        <w:t xml:space="preserve">11.2 </w:t>
      </w:r>
      <w:r>
        <w:rPr>
          <w:rFonts w:hint="eastAsia" w:ascii="宋体" w:hAnsi="宋体" w:cs="宋体"/>
          <w:bCs/>
          <w:kern w:val="0"/>
          <w:sz w:val="24"/>
        </w:rPr>
        <w:t>乙方所交产品的品种、型号、规格和质量等不符合合同约定的，乙方应按照甲方异议时提出的要求处理，由此产生的责任和费用由乙方自行承担。如在甲方指定的期限内，乙方仍不能达到合同约定条件或甲方要求的，</w:t>
      </w:r>
      <w:bookmarkStart w:id="62" w:name="_Hlk23795128"/>
      <w:r>
        <w:rPr>
          <w:rFonts w:hint="eastAsia" w:ascii="宋体" w:hAnsi="宋体" w:cs="宋体"/>
          <w:bCs/>
          <w:kern w:val="0"/>
          <w:sz w:val="24"/>
        </w:rPr>
        <w:t>乙方按本批次所交产品金额的10%支付违约金</w:t>
      </w:r>
      <w:bookmarkEnd w:id="62"/>
      <w:r>
        <w:rPr>
          <w:rFonts w:hint="eastAsia" w:ascii="宋体" w:hAnsi="宋体" w:cs="宋体"/>
          <w:bCs/>
          <w:kern w:val="0"/>
          <w:sz w:val="24"/>
        </w:rPr>
        <w:t>；超过指定期限2日仍未处理合格的，甲方有权解除本合同，由此给甲方造成的损失由乙方承担。</w:t>
      </w:r>
    </w:p>
    <w:p w14:paraId="60016D1E">
      <w:pPr>
        <w:spacing w:line="390" w:lineRule="exact"/>
        <w:ind w:firstLine="480" w:firstLineChars="200"/>
        <w:rPr>
          <w:rFonts w:hint="eastAsia" w:ascii="宋体" w:hAnsi="宋体" w:cs="宋体"/>
          <w:sz w:val="24"/>
        </w:rPr>
      </w:pPr>
      <w:r>
        <w:rPr>
          <w:rFonts w:hint="eastAsia" w:ascii="宋体" w:hAnsi="宋体" w:cs="宋体"/>
          <w:sz w:val="24"/>
        </w:rPr>
        <w:t xml:space="preserve">11.3 乙方逾期交货的，每逾期一日，按照逾期交货金额的3%向甲方支付逾期交货的违约金，甲方视工程进度情况有权向第三方全部或部分采购物资，所增加的费用由乙方承担；如逾期超过10日，则甲方有权解除合同，乙方还应赔偿甲方因此所遭受的损失。 </w:t>
      </w:r>
    </w:p>
    <w:p w14:paraId="6BF7AFF3">
      <w:pPr>
        <w:spacing w:line="390" w:lineRule="exact"/>
        <w:ind w:firstLine="480" w:firstLineChars="200"/>
        <w:rPr>
          <w:rFonts w:hint="eastAsia" w:ascii="宋体" w:hAnsi="宋体" w:cs="宋体"/>
          <w:sz w:val="24"/>
        </w:rPr>
      </w:pPr>
      <w:r>
        <w:rPr>
          <w:rFonts w:hint="eastAsia" w:ascii="宋体" w:hAnsi="宋体" w:cs="宋体"/>
          <w:sz w:val="24"/>
        </w:rPr>
        <w:t>11.4 乙方不得将合同义务全部或部分转让给第三者,或交由第三方实际履行，否则甲方有权解除合同,</w:t>
      </w:r>
      <w:r>
        <w:rPr>
          <w:rFonts w:hint="eastAsia" w:ascii="宋体" w:hAnsi="宋体" w:cs="宋体"/>
          <w:bCs/>
          <w:kern w:val="0"/>
          <w:sz w:val="24"/>
        </w:rPr>
        <w:t>同时乙方按合同暂定价金额的10%支付违约金</w:t>
      </w:r>
      <w:r>
        <w:rPr>
          <w:rFonts w:hint="eastAsia" w:ascii="宋体" w:hAnsi="宋体" w:cs="宋体"/>
          <w:sz w:val="24"/>
        </w:rPr>
        <w:t>并承担因此给甲方造成的一切损失。</w:t>
      </w:r>
    </w:p>
    <w:p w14:paraId="7A3CA5ED">
      <w:pPr>
        <w:spacing w:line="390" w:lineRule="exact"/>
        <w:ind w:firstLine="480" w:firstLineChars="200"/>
        <w:rPr>
          <w:rFonts w:hint="eastAsia" w:ascii="宋体" w:hAnsi="宋体" w:cs="宋体"/>
          <w:sz w:val="24"/>
        </w:rPr>
      </w:pPr>
      <w:r>
        <w:rPr>
          <w:rFonts w:hint="eastAsia" w:ascii="宋体" w:hAnsi="宋体" w:cs="宋体"/>
          <w:sz w:val="24"/>
        </w:rPr>
        <w:t>11.5 乙方不得擅自停止供货，否则甲方有权重新选择其它供应商签订供货合同，</w:t>
      </w:r>
      <w:r>
        <w:rPr>
          <w:rFonts w:hint="eastAsia" w:ascii="宋体" w:hAnsi="宋体" w:cs="宋体"/>
          <w:bCs/>
          <w:kern w:val="0"/>
          <w:sz w:val="24"/>
        </w:rPr>
        <w:t>同时乙方按合同暂定价金额的10%支付违约金，</w:t>
      </w:r>
      <w:r>
        <w:rPr>
          <w:rFonts w:hint="eastAsia" w:ascii="宋体" w:hAnsi="宋体" w:cs="宋体"/>
          <w:sz w:val="24"/>
        </w:rPr>
        <w:t>并由乙方承担断货给甲方造成的一切损失。</w:t>
      </w:r>
    </w:p>
    <w:p w14:paraId="1835B553">
      <w:pPr>
        <w:spacing w:line="390" w:lineRule="exact"/>
        <w:ind w:firstLine="480" w:firstLineChars="200"/>
        <w:rPr>
          <w:rFonts w:hint="eastAsia" w:ascii="宋体" w:hAnsi="宋体" w:cs="宋体"/>
          <w:sz w:val="24"/>
        </w:rPr>
      </w:pPr>
      <w:r>
        <w:rPr>
          <w:rFonts w:hint="eastAsia" w:ascii="宋体" w:hAnsi="宋体" w:cs="宋体"/>
          <w:sz w:val="24"/>
        </w:rPr>
        <w:t>11.6 由于乙方的原因，致使甲方单方解除合同的，乙方在接到甲方书面解除合同通知后，必须在48小时内撤走自己所有的机械设备及材料，否则视为乙方放弃所有权，甲方有权自行处理。</w:t>
      </w:r>
    </w:p>
    <w:p w14:paraId="776F9745">
      <w:pPr>
        <w:spacing w:line="390" w:lineRule="exact"/>
        <w:ind w:firstLine="480" w:firstLineChars="200"/>
        <w:rPr>
          <w:rFonts w:hint="eastAsia" w:ascii="宋体" w:hAnsi="宋体" w:cs="宋体"/>
          <w:sz w:val="24"/>
        </w:rPr>
      </w:pPr>
      <w:r>
        <w:rPr>
          <w:rFonts w:hint="eastAsia" w:ascii="宋体" w:hAnsi="宋体" w:cs="宋体"/>
          <w:sz w:val="24"/>
        </w:rPr>
        <w:t>11.7乙方应提供真实、有效、合格的增值税专用发票，如乙方提供虚假或虚开的增值税专用发票，甲方有权拒收或退回，乙方应负责无偿更换，并自行承担相应法律责任。由此造成甲方无法及时认证、抵扣税款等情形的，乙方需向甲方承担赔偿责任包括但不限于税款、滞纳金、罚款及相关损失等。</w:t>
      </w:r>
    </w:p>
    <w:p w14:paraId="68AFB5EE">
      <w:pPr>
        <w:spacing w:line="390" w:lineRule="exact"/>
        <w:ind w:firstLine="480" w:firstLineChars="200"/>
        <w:rPr>
          <w:rFonts w:hint="eastAsia" w:ascii="宋体" w:hAnsi="宋体" w:cs="宋体"/>
          <w:sz w:val="24"/>
        </w:rPr>
      </w:pPr>
      <w:r>
        <w:rPr>
          <w:rFonts w:hint="eastAsia" w:ascii="宋体" w:hAnsi="宋体" w:cs="宋体"/>
          <w:sz w:val="24"/>
        </w:rPr>
        <w:t>11.8乙方应按合同约定及时向甲方提供增值税专用发票，逾期提供的，每逾期一天，乙方应向甲方支付违约金5000元。因乙方开具的增值税专用发票不及时，造成甲方无法及时认证、抵扣税款等情形的，乙方需向甲方承担赔偿责任包括但不限于税款、滞纳金、罚款及相关损失等。</w:t>
      </w:r>
    </w:p>
    <w:p w14:paraId="108E987A">
      <w:pPr>
        <w:spacing w:line="390" w:lineRule="exact"/>
        <w:ind w:firstLine="480" w:firstLineChars="200"/>
        <w:rPr>
          <w:rFonts w:hint="eastAsia" w:ascii="宋体" w:hAnsi="宋体" w:cs="宋体"/>
          <w:sz w:val="24"/>
        </w:rPr>
      </w:pPr>
      <w:r>
        <w:rPr>
          <w:rFonts w:hint="eastAsia" w:ascii="宋体" w:hAnsi="宋体" w:cs="宋体"/>
          <w:sz w:val="24"/>
        </w:rPr>
        <w:t>11.9乙方未能提供增值税专用发票的，甲方有权暂停支付相应款项，且乙方需向甲方承担赔偿责任包括但不限于税款、滞纳金、罚款及相关损失等。</w:t>
      </w:r>
    </w:p>
    <w:p w14:paraId="70AD9B5F">
      <w:pPr>
        <w:spacing w:line="390" w:lineRule="exact"/>
        <w:ind w:firstLine="480" w:firstLineChars="200"/>
        <w:rPr>
          <w:rFonts w:hint="eastAsia" w:ascii="宋体" w:hAnsi="宋体" w:cs="宋体"/>
          <w:sz w:val="24"/>
        </w:rPr>
      </w:pPr>
      <w:r>
        <w:rPr>
          <w:rFonts w:hint="eastAsia" w:ascii="宋体" w:hAnsi="宋体" w:cs="宋体"/>
          <w:sz w:val="24"/>
        </w:rPr>
        <w:t>11.10乙方有义务配合甲方接受税务机关、审计部门的检查工作，如果乙方拒不配合，由乙方支付20000元的违约金，并承担对甲方造成的损失。</w:t>
      </w:r>
    </w:p>
    <w:p w14:paraId="27705BC5">
      <w:pPr>
        <w:keepNext/>
        <w:keepLines/>
        <w:spacing w:line="390" w:lineRule="exact"/>
        <w:ind w:firstLine="482" w:firstLineChars="200"/>
        <w:outlineLvl w:val="0"/>
        <w:rPr>
          <w:rFonts w:ascii="宋体" w:hAnsi="宋体"/>
          <w:b/>
          <w:bCs/>
          <w:kern w:val="44"/>
          <w:sz w:val="24"/>
        </w:rPr>
      </w:pPr>
      <w:bookmarkStart w:id="63" w:name="_Toc9317"/>
      <w:r>
        <w:rPr>
          <w:rFonts w:hint="eastAsia" w:ascii="宋体" w:hAnsi="宋体"/>
          <w:b/>
          <w:bCs/>
          <w:kern w:val="44"/>
          <w:sz w:val="24"/>
        </w:rPr>
        <w:t>第十二条 争议解决</w:t>
      </w:r>
      <w:bookmarkEnd w:id="63"/>
    </w:p>
    <w:p w14:paraId="2FED3F3E">
      <w:pPr>
        <w:tabs>
          <w:tab w:val="left" w:pos="360"/>
        </w:tabs>
        <w:spacing w:line="390" w:lineRule="exact"/>
        <w:ind w:firstLine="482" w:firstLineChars="200"/>
        <w:rPr>
          <w:rFonts w:hint="eastAsia" w:ascii="宋体" w:hAnsi="宋体" w:cs="宋体"/>
          <w:sz w:val="24"/>
          <w:lang w:val="zh-CN"/>
        </w:rPr>
      </w:pPr>
      <w:r>
        <w:rPr>
          <w:rFonts w:hint="eastAsia" w:ascii="宋体" w:hAnsi="宋体"/>
          <w:b/>
          <w:bCs/>
          <w:kern w:val="44"/>
          <w:sz w:val="24"/>
        </w:rPr>
        <w:t>第十三条 其他事项</w:t>
      </w:r>
      <w:r>
        <w:rPr>
          <w:rFonts w:hint="eastAsia" w:ascii="宋体" w:hAnsi="宋体" w:cs="宋体"/>
          <w:sz w:val="24"/>
          <w:lang w:val="zh-CN"/>
        </w:rPr>
        <w:t>甲乙双方在履行合同时发生争议的，应协商解决。协商不成的，提交甲方公司所在地人民法院进行诉讼。</w:t>
      </w:r>
    </w:p>
    <w:p w14:paraId="377B3D57">
      <w:pPr>
        <w:keepNext/>
        <w:keepLines/>
        <w:spacing w:line="390" w:lineRule="exact"/>
        <w:ind w:firstLine="482" w:firstLineChars="200"/>
        <w:outlineLvl w:val="0"/>
        <w:rPr>
          <w:rFonts w:ascii="宋体" w:hAnsi="宋体"/>
          <w:b/>
          <w:bCs/>
          <w:kern w:val="44"/>
          <w:sz w:val="24"/>
        </w:rPr>
      </w:pPr>
    </w:p>
    <w:p w14:paraId="2ADA60B8">
      <w:pPr>
        <w:tabs>
          <w:tab w:val="left" w:pos="360"/>
        </w:tabs>
        <w:spacing w:line="390" w:lineRule="exact"/>
        <w:ind w:firstLine="480" w:firstLineChars="200"/>
        <w:rPr>
          <w:rFonts w:hint="eastAsia" w:ascii="宋体" w:hAnsi="宋体" w:cs="宋体"/>
          <w:sz w:val="24"/>
        </w:rPr>
      </w:pPr>
      <w:r>
        <w:rPr>
          <w:rFonts w:hint="eastAsia" w:ascii="宋体" w:hAnsi="宋体" w:cs="宋体"/>
          <w:kern w:val="0"/>
          <w:sz w:val="24"/>
        </w:rPr>
        <w:t xml:space="preserve">13.1 </w:t>
      </w:r>
      <w:r>
        <w:rPr>
          <w:rFonts w:hint="eastAsia" w:ascii="宋体" w:hAnsi="宋体" w:cs="宋体"/>
          <w:sz w:val="24"/>
        </w:rPr>
        <w:t>本合同中所涉及的债权，乙方不得转让，也不得用于任何形式的担保。若乙方擅自转让或用于担保的，则该行为无效，乙方应赔偿甲方因此受到的全部损失。</w:t>
      </w:r>
    </w:p>
    <w:p w14:paraId="6DB50A9D">
      <w:pPr>
        <w:widowControl/>
        <w:tabs>
          <w:tab w:val="left" w:pos="8364"/>
        </w:tabs>
        <w:spacing w:line="390" w:lineRule="exact"/>
        <w:ind w:firstLine="480" w:firstLineChars="200"/>
        <w:rPr>
          <w:rFonts w:hint="eastAsia" w:ascii="宋体" w:hAnsi="宋体" w:cs="宋体"/>
          <w:kern w:val="0"/>
          <w:sz w:val="24"/>
        </w:rPr>
      </w:pPr>
      <w:r>
        <w:rPr>
          <w:rFonts w:hint="eastAsia" w:ascii="宋体" w:hAnsi="宋体" w:cs="宋体"/>
          <w:kern w:val="0"/>
          <w:sz w:val="24"/>
        </w:rPr>
        <w:t>13.2在本合同履行过程中，如任何一方发生税务登记、公司名称等重大信息的变更事项，应在重大信息变更后的7日内书面通知对方及相关机构变更情况，并提供相关信息资料。</w:t>
      </w:r>
    </w:p>
    <w:p w14:paraId="4D57A43C">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13.3双方确定所预留的以下地址为往来函件、法院（仲裁、公证等机构）法律文书的送达地址，任一方变更送达地址必须在变更之日起 7日内书面通知对方，否则不发生送达地址变更的法律效力，对方按原地址送达仍然为有效送达。</w:t>
      </w:r>
    </w:p>
    <w:p w14:paraId="335B8F34">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甲方送达地址：云南省西双版纳傣族自治州勐腊县磨憨镇南嘎村中铁二局磨憨片区项目经理部</w:t>
      </w:r>
    </w:p>
    <w:p w14:paraId="2CC45612">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联系人：王强</w:t>
      </w:r>
    </w:p>
    <w:p w14:paraId="7B373F0D">
      <w:pPr>
        <w:tabs>
          <w:tab w:val="left" w:pos="360"/>
        </w:tabs>
        <w:spacing w:line="390" w:lineRule="exact"/>
        <w:ind w:firstLine="424" w:firstLineChars="177"/>
        <w:rPr>
          <w:rFonts w:ascii="宋体" w:hAnsi="宋体" w:cs="宋体"/>
          <w:kern w:val="0"/>
          <w:sz w:val="24"/>
        </w:rPr>
      </w:pPr>
      <w:r>
        <w:rPr>
          <w:rFonts w:hint="eastAsia" w:ascii="宋体" w:hAnsi="宋体" w:cs="宋体"/>
          <w:kern w:val="0"/>
          <w:sz w:val="24"/>
        </w:rPr>
        <w:t>联系电话：13770606737</w:t>
      </w:r>
    </w:p>
    <w:p w14:paraId="63096DD5">
      <w:pPr>
        <w:tabs>
          <w:tab w:val="left" w:pos="360"/>
        </w:tabs>
        <w:spacing w:line="390" w:lineRule="exact"/>
        <w:ind w:firstLine="424" w:firstLineChars="177"/>
        <w:rPr>
          <w:rFonts w:ascii="宋体" w:hAnsi="宋体" w:cs="宋体"/>
          <w:kern w:val="0"/>
          <w:sz w:val="24"/>
        </w:rPr>
      </w:pPr>
      <w:r>
        <w:rPr>
          <w:rFonts w:hint="eastAsia" w:ascii="宋体" w:hAnsi="宋体" w:cs="宋体"/>
          <w:kern w:val="0"/>
          <w:sz w:val="24"/>
        </w:rPr>
        <w:t>电子邮箱：768961772@qq.com</w:t>
      </w:r>
    </w:p>
    <w:p w14:paraId="503ACA78">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乙方送达地址：</w:t>
      </w:r>
    </w:p>
    <w:p w14:paraId="508A8247">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联系人：                    </w:t>
      </w:r>
    </w:p>
    <w:p w14:paraId="6054376E">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联系电话：                  </w:t>
      </w:r>
    </w:p>
    <w:p w14:paraId="75B875D0">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 xml:space="preserve">电子邮箱：                 </w:t>
      </w:r>
    </w:p>
    <w:p w14:paraId="39C58D82">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13.4乙方承诺：乙方及工作人员不向甲方工作人员赠送礼金、礼品、有价证券、购物卡及其它有价物品等，不邀请甲方工作人员吃喝游玩及其他娱乐性消费；不向甲方工作人员提供任何工作以外的便利和好处；在合同履行过程中不弄虚作假骗取工程款。若乙方违背上述承诺且经甲方法人单位或其上级纪检监察机关查实认定，或国家司法机关立案查处，视为乙方违约，乙方承担暂定合同总价的10%的违约金，违约金及乙方因违背承诺行为所取得的不当利益一并在结算中扣除。</w:t>
      </w:r>
    </w:p>
    <w:p w14:paraId="5D34DDC4">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13.5甲方工作人员向乙方索贿的，乙方及其工作人员应向甲方法人单位或其上级纪检监察部门、国家司法机关检举。</w:t>
      </w:r>
    </w:p>
    <w:p w14:paraId="65657089">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13.6合同如有未尽事宜，经双方共同协商后签订补充协议。</w:t>
      </w:r>
    </w:p>
    <w:p w14:paraId="1384E663">
      <w:pPr>
        <w:tabs>
          <w:tab w:val="left" w:pos="360"/>
        </w:tabs>
        <w:spacing w:line="390" w:lineRule="exact"/>
        <w:ind w:firstLine="424" w:firstLineChars="177"/>
        <w:rPr>
          <w:rFonts w:hint="eastAsia" w:ascii="宋体" w:hAnsi="宋体" w:cs="宋体"/>
          <w:kern w:val="0"/>
          <w:sz w:val="24"/>
        </w:rPr>
      </w:pPr>
      <w:r>
        <w:rPr>
          <w:rFonts w:hint="eastAsia" w:ascii="宋体" w:hAnsi="宋体" w:cs="宋体"/>
          <w:kern w:val="0"/>
          <w:sz w:val="24"/>
        </w:rPr>
        <w:t>13.7本合同自双方签字并盖章之日起生效。本合同一式伍份，甲方执肆份，乙方执壹份。</w:t>
      </w:r>
    </w:p>
    <w:p w14:paraId="4E04FEE7">
      <w:pPr>
        <w:spacing w:line="390" w:lineRule="exact"/>
        <w:ind w:firstLine="480" w:firstLineChars="200"/>
        <w:rPr>
          <w:rFonts w:ascii="宋体" w:hAnsi="宋体"/>
          <w:sz w:val="24"/>
        </w:rPr>
      </w:pPr>
      <w:r>
        <w:rPr>
          <w:rFonts w:hint="eastAsia" w:ascii="宋体" w:hAnsi="宋体"/>
          <w:sz w:val="24"/>
        </w:rPr>
        <w:t>附件1：技术规格书</w:t>
      </w:r>
    </w:p>
    <w:p w14:paraId="0B94CC4D">
      <w:pPr>
        <w:spacing w:line="390" w:lineRule="exact"/>
        <w:ind w:firstLine="480" w:firstLineChars="200"/>
        <w:rPr>
          <w:rFonts w:hint="eastAsia" w:ascii="宋体" w:hAnsi="宋体" w:cs="宋体"/>
          <w:kern w:val="0"/>
          <w:sz w:val="24"/>
        </w:rPr>
      </w:pPr>
      <w:r>
        <w:rPr>
          <w:rFonts w:hint="eastAsia" w:ascii="宋体" w:hAnsi="宋体"/>
          <w:sz w:val="24"/>
        </w:rPr>
        <w:t>附件2：</w:t>
      </w:r>
      <w:r>
        <w:rPr>
          <w:rFonts w:hint="eastAsia" w:ascii="宋体" w:hAnsi="宋体" w:cs="宋体"/>
          <w:kern w:val="0"/>
          <w:sz w:val="24"/>
        </w:rPr>
        <w:t>中标通知书</w:t>
      </w:r>
    </w:p>
    <w:p w14:paraId="66EB5FD9">
      <w:pPr>
        <w:spacing w:line="390" w:lineRule="exact"/>
        <w:ind w:firstLine="480" w:firstLineChars="200"/>
        <w:rPr>
          <w:rFonts w:hint="eastAsia" w:ascii="宋体" w:hAnsi="宋体" w:cs="宋体"/>
          <w:kern w:val="0"/>
          <w:sz w:val="24"/>
        </w:rPr>
      </w:pPr>
      <w:r>
        <w:rPr>
          <w:rFonts w:hint="eastAsia" w:ascii="宋体" w:hAnsi="宋体"/>
          <w:sz w:val="24"/>
        </w:rPr>
        <w:t>附件3：</w:t>
      </w:r>
      <w:r>
        <w:rPr>
          <w:rFonts w:hint="eastAsia" w:ascii="宋体" w:hAnsi="宋体" w:cs="宋体"/>
          <w:kern w:val="0"/>
          <w:sz w:val="24"/>
        </w:rPr>
        <w:t>廉政协议书</w:t>
      </w:r>
    </w:p>
    <w:p w14:paraId="2B8453C7">
      <w:pPr>
        <w:spacing w:line="390" w:lineRule="exact"/>
        <w:ind w:firstLine="480" w:firstLineChars="200"/>
        <w:rPr>
          <w:rFonts w:ascii="宋体" w:hAnsi="宋体"/>
          <w:sz w:val="24"/>
        </w:rPr>
      </w:pPr>
      <w:r>
        <w:rPr>
          <w:rFonts w:hint="eastAsia" w:ascii="宋体" w:hAnsi="宋体"/>
          <w:sz w:val="24"/>
        </w:rPr>
        <w:t>附件4：诚信合作承诺书</w:t>
      </w:r>
    </w:p>
    <w:p w14:paraId="5B0C17C3">
      <w:pPr>
        <w:spacing w:line="390" w:lineRule="exact"/>
        <w:ind w:firstLine="475" w:firstLineChars="198"/>
        <w:rPr>
          <w:rFonts w:hint="eastAsia" w:ascii="宋体" w:hAnsi="宋体" w:cs="宋体"/>
          <w:sz w:val="24"/>
        </w:rPr>
      </w:pPr>
      <w:r>
        <w:rPr>
          <w:rFonts w:hint="eastAsia" w:ascii="宋体" w:hAnsi="宋体" w:cs="宋体"/>
          <w:sz w:val="24"/>
        </w:rPr>
        <w:t>（以下无合同正文）</w:t>
      </w:r>
    </w:p>
    <w:tbl>
      <w:tblPr>
        <w:tblStyle w:val="8"/>
        <w:tblW w:w="8814" w:type="dxa"/>
        <w:tblInd w:w="0" w:type="dxa"/>
        <w:tblLayout w:type="fixed"/>
        <w:tblCellMar>
          <w:top w:w="0" w:type="dxa"/>
          <w:left w:w="108" w:type="dxa"/>
          <w:bottom w:w="0" w:type="dxa"/>
          <w:right w:w="108" w:type="dxa"/>
        </w:tblCellMar>
      </w:tblPr>
      <w:tblGrid>
        <w:gridCol w:w="4407"/>
        <w:gridCol w:w="4407"/>
      </w:tblGrid>
      <w:tr w14:paraId="413AE470">
        <w:tblPrEx>
          <w:tblCellMar>
            <w:top w:w="0" w:type="dxa"/>
            <w:left w:w="108" w:type="dxa"/>
            <w:bottom w:w="0" w:type="dxa"/>
            <w:right w:w="108" w:type="dxa"/>
          </w:tblCellMar>
        </w:tblPrEx>
        <w:trPr>
          <w:trHeight w:val="572" w:hRule="atLeast"/>
        </w:trPr>
        <w:tc>
          <w:tcPr>
            <w:tcW w:w="4407" w:type="dxa"/>
            <w:noWrap w:val="0"/>
            <w:vAlign w:val="top"/>
          </w:tcPr>
          <w:p w14:paraId="6142F03E">
            <w:pPr>
              <w:spacing w:line="390" w:lineRule="exact"/>
              <w:rPr>
                <w:rFonts w:hint="eastAsia" w:ascii="宋体" w:hAnsi="宋体" w:cs="宋体"/>
                <w:sz w:val="24"/>
              </w:rPr>
            </w:pPr>
            <w:r>
              <w:rPr>
                <w:rFonts w:hint="eastAsia" w:ascii="宋体" w:hAnsi="宋体"/>
                <w:sz w:val="24"/>
              </w:rPr>
              <w:t>买方：（盖章）</w:t>
            </w:r>
          </w:p>
        </w:tc>
        <w:tc>
          <w:tcPr>
            <w:tcW w:w="4407" w:type="dxa"/>
            <w:noWrap w:val="0"/>
            <w:vAlign w:val="top"/>
          </w:tcPr>
          <w:p w14:paraId="50880C67">
            <w:pPr>
              <w:spacing w:line="390" w:lineRule="exact"/>
              <w:rPr>
                <w:rFonts w:hint="eastAsia" w:ascii="宋体" w:hAnsi="宋体" w:cs="宋体"/>
                <w:sz w:val="24"/>
              </w:rPr>
            </w:pPr>
            <w:r>
              <w:rPr>
                <w:rFonts w:hint="eastAsia" w:ascii="宋体" w:hAnsi="宋体" w:cs="宋体"/>
                <w:sz w:val="24"/>
              </w:rPr>
              <w:t>卖方：（盖章）</w:t>
            </w:r>
          </w:p>
        </w:tc>
      </w:tr>
      <w:tr w14:paraId="776E6E16">
        <w:tblPrEx>
          <w:tblCellMar>
            <w:top w:w="0" w:type="dxa"/>
            <w:left w:w="108" w:type="dxa"/>
            <w:bottom w:w="0" w:type="dxa"/>
            <w:right w:w="108" w:type="dxa"/>
          </w:tblCellMar>
        </w:tblPrEx>
        <w:trPr>
          <w:trHeight w:val="639" w:hRule="atLeast"/>
        </w:trPr>
        <w:tc>
          <w:tcPr>
            <w:tcW w:w="4407" w:type="dxa"/>
            <w:noWrap w:val="0"/>
            <w:vAlign w:val="top"/>
          </w:tcPr>
          <w:p w14:paraId="2AB31694">
            <w:pPr>
              <w:spacing w:line="390" w:lineRule="exact"/>
              <w:rPr>
                <w:rFonts w:ascii="宋体" w:hAnsi="宋体" w:cs="宋体"/>
                <w:sz w:val="24"/>
              </w:rPr>
            </w:pPr>
            <w:r>
              <w:rPr>
                <w:rFonts w:hint="eastAsia" w:ascii="宋体" w:hAnsi="宋体"/>
                <w:sz w:val="24"/>
              </w:rPr>
              <w:t>住所地址：成都市青羊区青羊工业集中发展区F区5栋</w:t>
            </w:r>
          </w:p>
        </w:tc>
        <w:tc>
          <w:tcPr>
            <w:tcW w:w="4407" w:type="dxa"/>
            <w:noWrap w:val="0"/>
            <w:vAlign w:val="top"/>
          </w:tcPr>
          <w:p w14:paraId="6C6C3186">
            <w:pPr>
              <w:tabs>
                <w:tab w:val="left" w:pos="360"/>
              </w:tabs>
              <w:spacing w:line="390" w:lineRule="exact"/>
              <w:rPr>
                <w:rFonts w:ascii="宋体" w:hAnsi="宋体" w:cs="宋体"/>
                <w:sz w:val="24"/>
              </w:rPr>
            </w:pPr>
            <w:r>
              <w:rPr>
                <w:rFonts w:hint="eastAsia" w:ascii="宋体" w:hAnsi="宋体" w:cs="宋体"/>
                <w:sz w:val="24"/>
              </w:rPr>
              <w:t>住所地址：</w:t>
            </w:r>
          </w:p>
        </w:tc>
      </w:tr>
      <w:tr w14:paraId="5961D607">
        <w:tblPrEx>
          <w:tblCellMar>
            <w:top w:w="0" w:type="dxa"/>
            <w:left w:w="108" w:type="dxa"/>
            <w:bottom w:w="0" w:type="dxa"/>
            <w:right w:w="108" w:type="dxa"/>
          </w:tblCellMar>
        </w:tblPrEx>
        <w:trPr>
          <w:trHeight w:val="543" w:hRule="atLeast"/>
        </w:trPr>
        <w:tc>
          <w:tcPr>
            <w:tcW w:w="4407" w:type="dxa"/>
            <w:noWrap w:val="0"/>
            <w:vAlign w:val="top"/>
          </w:tcPr>
          <w:p w14:paraId="53B88B27">
            <w:pPr>
              <w:spacing w:line="390" w:lineRule="exact"/>
              <w:rPr>
                <w:rFonts w:hint="eastAsia" w:ascii="宋体" w:hAnsi="宋体" w:cs="宋体"/>
                <w:sz w:val="24"/>
              </w:rPr>
            </w:pPr>
            <w:r>
              <w:rPr>
                <w:rFonts w:hint="eastAsia" w:ascii="宋体" w:hAnsi="宋体"/>
                <w:sz w:val="24"/>
              </w:rPr>
              <w:t>法定代表人：</w:t>
            </w:r>
          </w:p>
        </w:tc>
        <w:tc>
          <w:tcPr>
            <w:tcW w:w="4407" w:type="dxa"/>
            <w:noWrap w:val="0"/>
            <w:vAlign w:val="top"/>
          </w:tcPr>
          <w:p w14:paraId="21828BF2">
            <w:pPr>
              <w:spacing w:line="390" w:lineRule="exact"/>
              <w:rPr>
                <w:rFonts w:ascii="宋体" w:hAnsi="宋体" w:cs="宋体"/>
                <w:sz w:val="24"/>
              </w:rPr>
            </w:pPr>
            <w:r>
              <w:rPr>
                <w:rFonts w:hint="eastAsia" w:ascii="宋体" w:hAnsi="宋体" w:cs="宋体"/>
                <w:sz w:val="24"/>
              </w:rPr>
              <w:t>法定代表人：</w:t>
            </w:r>
          </w:p>
        </w:tc>
      </w:tr>
      <w:tr w14:paraId="208D0A84">
        <w:tblPrEx>
          <w:tblCellMar>
            <w:top w:w="0" w:type="dxa"/>
            <w:left w:w="108" w:type="dxa"/>
            <w:bottom w:w="0" w:type="dxa"/>
            <w:right w:w="108" w:type="dxa"/>
          </w:tblCellMar>
        </w:tblPrEx>
        <w:trPr>
          <w:trHeight w:val="483" w:hRule="atLeast"/>
        </w:trPr>
        <w:tc>
          <w:tcPr>
            <w:tcW w:w="4407" w:type="dxa"/>
            <w:noWrap w:val="0"/>
            <w:vAlign w:val="top"/>
          </w:tcPr>
          <w:p w14:paraId="53EE08B5">
            <w:pPr>
              <w:spacing w:line="390" w:lineRule="exact"/>
              <w:rPr>
                <w:rFonts w:hint="eastAsia" w:ascii="宋体" w:hAnsi="宋体" w:cs="宋体"/>
                <w:sz w:val="24"/>
              </w:rPr>
            </w:pPr>
            <w:r>
              <w:rPr>
                <w:rFonts w:hint="eastAsia" w:ascii="宋体" w:hAnsi="宋体"/>
                <w:sz w:val="24"/>
              </w:rPr>
              <w:t>委托代理人：</w:t>
            </w:r>
          </w:p>
        </w:tc>
        <w:tc>
          <w:tcPr>
            <w:tcW w:w="4407" w:type="dxa"/>
            <w:noWrap w:val="0"/>
            <w:vAlign w:val="top"/>
          </w:tcPr>
          <w:p w14:paraId="12EA34CF">
            <w:pPr>
              <w:spacing w:line="390" w:lineRule="exact"/>
              <w:rPr>
                <w:rFonts w:hint="eastAsia" w:ascii="宋体" w:hAnsi="宋体" w:cs="宋体"/>
                <w:sz w:val="24"/>
              </w:rPr>
            </w:pPr>
            <w:r>
              <w:rPr>
                <w:rFonts w:hint="eastAsia" w:ascii="宋体" w:hAnsi="宋体" w:cs="宋体"/>
                <w:sz w:val="24"/>
              </w:rPr>
              <w:t>委托代理人：</w:t>
            </w:r>
          </w:p>
        </w:tc>
      </w:tr>
      <w:tr w14:paraId="7F518316">
        <w:tblPrEx>
          <w:tblCellMar>
            <w:top w:w="0" w:type="dxa"/>
            <w:left w:w="108" w:type="dxa"/>
            <w:bottom w:w="0" w:type="dxa"/>
            <w:right w:w="108" w:type="dxa"/>
          </w:tblCellMar>
        </w:tblPrEx>
        <w:trPr>
          <w:trHeight w:val="519" w:hRule="atLeast"/>
        </w:trPr>
        <w:tc>
          <w:tcPr>
            <w:tcW w:w="4407" w:type="dxa"/>
            <w:noWrap w:val="0"/>
            <w:vAlign w:val="top"/>
          </w:tcPr>
          <w:p w14:paraId="58FEA55E">
            <w:pPr>
              <w:spacing w:line="390" w:lineRule="exact"/>
              <w:rPr>
                <w:rFonts w:ascii="宋体" w:hAnsi="宋体" w:cs="宋体"/>
                <w:sz w:val="24"/>
              </w:rPr>
            </w:pPr>
            <w:r>
              <w:rPr>
                <w:rFonts w:hint="eastAsia" w:ascii="宋体" w:hAnsi="宋体"/>
                <w:sz w:val="24"/>
              </w:rPr>
              <w:t>电话：028-61679127</w:t>
            </w:r>
          </w:p>
        </w:tc>
        <w:tc>
          <w:tcPr>
            <w:tcW w:w="4407" w:type="dxa"/>
            <w:noWrap w:val="0"/>
            <w:vAlign w:val="top"/>
          </w:tcPr>
          <w:p w14:paraId="3793E99D">
            <w:pPr>
              <w:spacing w:line="390" w:lineRule="exact"/>
              <w:rPr>
                <w:rFonts w:hint="eastAsia" w:ascii="宋体" w:hAnsi="宋体" w:cs="宋体"/>
                <w:sz w:val="24"/>
              </w:rPr>
            </w:pPr>
            <w:r>
              <w:rPr>
                <w:rFonts w:hint="eastAsia" w:ascii="宋体" w:hAnsi="宋体" w:cs="宋体"/>
                <w:sz w:val="24"/>
              </w:rPr>
              <w:t>电话：</w:t>
            </w:r>
          </w:p>
        </w:tc>
      </w:tr>
      <w:tr w14:paraId="0E8A91CD">
        <w:tblPrEx>
          <w:tblCellMar>
            <w:top w:w="0" w:type="dxa"/>
            <w:left w:w="108" w:type="dxa"/>
            <w:bottom w:w="0" w:type="dxa"/>
            <w:right w:w="108" w:type="dxa"/>
          </w:tblCellMar>
        </w:tblPrEx>
        <w:trPr>
          <w:trHeight w:val="639" w:hRule="atLeast"/>
        </w:trPr>
        <w:tc>
          <w:tcPr>
            <w:tcW w:w="4407" w:type="dxa"/>
            <w:noWrap w:val="0"/>
            <w:vAlign w:val="top"/>
          </w:tcPr>
          <w:p w14:paraId="6A5B3BB1">
            <w:pPr>
              <w:spacing w:line="390" w:lineRule="exact"/>
              <w:rPr>
                <w:rFonts w:hint="eastAsia" w:ascii="宋体" w:hAnsi="宋体" w:cs="宋体"/>
                <w:sz w:val="24"/>
              </w:rPr>
            </w:pPr>
            <w:r>
              <w:rPr>
                <w:rFonts w:hint="eastAsia" w:ascii="宋体" w:hAnsi="宋体" w:cs="宋体"/>
                <w:sz w:val="24"/>
              </w:rPr>
              <w:t>纳税人识别号：915101057334276187</w:t>
            </w:r>
          </w:p>
          <w:p w14:paraId="2851B2C6">
            <w:pPr>
              <w:spacing w:line="390" w:lineRule="exact"/>
              <w:rPr>
                <w:rFonts w:ascii="宋体" w:hAnsi="宋体" w:cs="宋体"/>
                <w:sz w:val="24"/>
              </w:rPr>
            </w:pPr>
            <w:r>
              <w:rPr>
                <w:rFonts w:hint="eastAsia" w:ascii="宋体" w:hAnsi="宋体" w:cs="宋体"/>
                <w:sz w:val="24"/>
              </w:rPr>
              <w:t>签订日期：</w:t>
            </w:r>
          </w:p>
        </w:tc>
        <w:tc>
          <w:tcPr>
            <w:tcW w:w="4407" w:type="dxa"/>
            <w:noWrap w:val="0"/>
            <w:vAlign w:val="top"/>
          </w:tcPr>
          <w:p w14:paraId="5B95576C">
            <w:pPr>
              <w:spacing w:line="390" w:lineRule="exact"/>
              <w:rPr>
                <w:rFonts w:hint="eastAsia" w:ascii="宋体" w:hAnsi="宋体" w:cs="宋体"/>
                <w:sz w:val="24"/>
              </w:rPr>
            </w:pPr>
            <w:r>
              <w:rPr>
                <w:rFonts w:hint="eastAsia" w:ascii="宋体" w:hAnsi="宋体" w:cs="宋体"/>
                <w:sz w:val="24"/>
              </w:rPr>
              <w:t>纳税人识别号：</w:t>
            </w:r>
          </w:p>
          <w:p w14:paraId="442D2EA4">
            <w:pPr>
              <w:spacing w:line="390" w:lineRule="exact"/>
              <w:rPr>
                <w:rFonts w:ascii="宋体" w:hAnsi="宋体" w:cs="宋体"/>
                <w:sz w:val="24"/>
              </w:rPr>
            </w:pPr>
            <w:r>
              <w:rPr>
                <w:rFonts w:hint="eastAsia" w:ascii="宋体" w:hAnsi="宋体" w:cs="宋体"/>
                <w:sz w:val="24"/>
              </w:rPr>
              <w:t>签订日期：</w:t>
            </w:r>
          </w:p>
        </w:tc>
      </w:tr>
    </w:tbl>
    <w:p w14:paraId="4732DD09"/>
    <w:p w14:paraId="3F732817">
      <w:pPr>
        <w:spacing w:line="360" w:lineRule="auto"/>
        <w:ind w:firstLine="2640" w:firstLineChars="600"/>
        <w:rPr>
          <w:rFonts w:ascii="宋体" w:hAnsi="宋体"/>
          <w:b/>
          <w:sz w:val="44"/>
          <w:szCs w:val="44"/>
        </w:rPr>
      </w:pPr>
      <w:r>
        <w:rPr>
          <w:rFonts w:hint="eastAsia" w:ascii="方正小标宋简体" w:hAnsi="方正小标宋简体" w:eastAsia="方正小标宋简体" w:cs="方正小标宋简体"/>
          <w:bCs/>
          <w:sz w:val="44"/>
          <w:szCs w:val="44"/>
        </w:rPr>
        <w:t>诚信合作承诺书</w:t>
      </w:r>
    </w:p>
    <w:p w14:paraId="6B7E8F53">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一、本企业自愿承担因合同乙方原因形成的质量缺陷处置费用。</w:t>
      </w:r>
    </w:p>
    <w:p w14:paraId="6086F468">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二、若本企业存在通过非正常手段获取非法利益的行为，造成甲方向本单位超合同结算或应扣未扣等问题，本企业承诺据实退还超付资金。</w:t>
      </w:r>
    </w:p>
    <w:p w14:paraId="67719AD8">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三、因中铁二局集团公司或其下属子公司组建的项目部，双方在履行合同存在争议时，本企业承诺通过甲方设置的举报平台进行投诉，或与甲方公司领导商谈的方式来追偿债权。</w:t>
      </w:r>
    </w:p>
    <w:p w14:paraId="7B335B56">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四、诚信合作承诺书作为甲乙双方合同的重要组成部分，与合同具有同等效力，自乙方签字盖章之日起生效，至双方责任和义务履行完毕止。</w:t>
      </w:r>
    </w:p>
    <w:p w14:paraId="3FF623B3">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五、本诚信合作承诺书份数与合同份数相同。</w:t>
      </w:r>
    </w:p>
    <w:p w14:paraId="4674E886">
      <w:pPr>
        <w:spacing w:line="360" w:lineRule="auto"/>
        <w:rPr>
          <w:rFonts w:ascii="仿宋_GB2312" w:hAnsi="仿宋_GB2312" w:eastAsia="仿宋_GB2312" w:cs="仿宋_GB2312"/>
          <w:sz w:val="32"/>
          <w:szCs w:val="32"/>
        </w:rPr>
      </w:pPr>
    </w:p>
    <w:p w14:paraId="3A40B0D0">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乙方（承诺单位）：</w:t>
      </w:r>
    </w:p>
    <w:p w14:paraId="113FD891">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乙方法定代表人或被授权代理人：           </w:t>
      </w:r>
    </w:p>
    <w:p w14:paraId="5134CFBD">
      <w:pPr>
        <w:spacing w:line="360" w:lineRule="auto"/>
        <w:rPr>
          <w:rFonts w:ascii="宋体" w:hAnsi="宋体"/>
          <w:sz w:val="28"/>
          <w:szCs w:val="28"/>
        </w:rPr>
      </w:pPr>
      <w:r>
        <w:rPr>
          <w:rFonts w:hint="eastAsia" w:ascii="仿宋_GB2312" w:hAnsi="仿宋_GB2312" w:eastAsia="仿宋_GB2312" w:cs="仿宋_GB2312"/>
          <w:sz w:val="32"/>
          <w:szCs w:val="32"/>
        </w:rPr>
        <w:t>日期:</w:t>
      </w:r>
    </w:p>
    <w:p w14:paraId="52E6639D">
      <w:pPr>
        <w:spacing w:line="360" w:lineRule="auto"/>
        <w:jc w:val="center"/>
        <w:rPr>
          <w:rFonts w:ascii="宋体" w:hAnsi="宋体"/>
          <w:b/>
          <w:sz w:val="36"/>
          <w:szCs w:val="36"/>
        </w:rPr>
      </w:pPr>
    </w:p>
    <w:p w14:paraId="5C3A3E85">
      <w:pPr>
        <w:spacing w:line="360" w:lineRule="auto"/>
        <w:jc w:val="center"/>
        <w:rPr>
          <w:rFonts w:ascii="宋体" w:hAnsi="宋体"/>
          <w:b/>
          <w:sz w:val="36"/>
          <w:szCs w:val="36"/>
        </w:rPr>
      </w:pPr>
    </w:p>
    <w:p w14:paraId="185B96FB">
      <w:pPr>
        <w:spacing w:line="360" w:lineRule="auto"/>
        <w:ind w:firstLine="3614" w:firstLineChars="1000"/>
        <w:rPr>
          <w:rFonts w:hint="eastAsia" w:ascii="宋体" w:hAnsi="宋体"/>
          <w:b/>
          <w:sz w:val="36"/>
          <w:szCs w:val="36"/>
        </w:rPr>
      </w:pPr>
    </w:p>
    <w:p w14:paraId="3519F06E">
      <w:pPr>
        <w:spacing w:line="360" w:lineRule="auto"/>
        <w:ind w:firstLine="3614" w:firstLineChars="1000"/>
        <w:rPr>
          <w:rFonts w:hint="eastAsia" w:ascii="宋体" w:hAnsi="宋体"/>
          <w:b/>
          <w:sz w:val="36"/>
          <w:szCs w:val="36"/>
        </w:rPr>
      </w:pPr>
    </w:p>
    <w:p w14:paraId="1235AB6A">
      <w:pPr>
        <w:spacing w:line="360" w:lineRule="auto"/>
        <w:ind w:firstLine="3614" w:firstLineChars="1000"/>
        <w:rPr>
          <w:rFonts w:hint="eastAsia" w:ascii="宋体" w:hAnsi="宋体"/>
          <w:b/>
          <w:sz w:val="36"/>
          <w:szCs w:val="36"/>
        </w:rPr>
      </w:pPr>
    </w:p>
    <w:p w14:paraId="21E02BE3">
      <w:pPr>
        <w:spacing w:line="360" w:lineRule="auto"/>
        <w:ind w:firstLine="3614" w:firstLineChars="1000"/>
        <w:rPr>
          <w:rFonts w:ascii="宋体" w:hAnsi="宋体"/>
          <w:b/>
          <w:sz w:val="36"/>
          <w:szCs w:val="36"/>
        </w:rPr>
      </w:pPr>
      <w:r>
        <w:rPr>
          <w:rFonts w:hint="eastAsia" w:ascii="宋体" w:hAnsi="宋体"/>
          <w:b/>
          <w:sz w:val="36"/>
          <w:szCs w:val="36"/>
        </w:rPr>
        <w:t>廉政协议书</w:t>
      </w:r>
    </w:p>
    <w:p w14:paraId="28EC7589">
      <w:pPr>
        <w:adjustRightInd w:val="0"/>
        <w:snapToGrid w:val="0"/>
        <w:spacing w:line="360" w:lineRule="auto"/>
        <w:jc w:val="center"/>
        <w:rPr>
          <w:rFonts w:ascii="宋体" w:hAnsi="宋体"/>
          <w:b/>
          <w:sz w:val="28"/>
          <w:szCs w:val="28"/>
        </w:rPr>
      </w:pPr>
    </w:p>
    <w:p w14:paraId="76A11D8C">
      <w:pPr>
        <w:tabs>
          <w:tab w:val="left" w:pos="390"/>
        </w:tabs>
        <w:spacing w:line="360" w:lineRule="auto"/>
        <w:rPr>
          <w:rFonts w:ascii="宋体" w:hAnsi="宋体"/>
          <w:sz w:val="28"/>
          <w:szCs w:val="28"/>
        </w:rPr>
      </w:pPr>
      <w:r>
        <w:rPr>
          <w:rFonts w:hint="eastAsia" w:ascii="宋体" w:hAnsi="宋体"/>
          <w:sz w:val="28"/>
          <w:szCs w:val="28"/>
        </w:rPr>
        <w:t>甲方：</w:t>
      </w:r>
    </w:p>
    <w:p w14:paraId="1B7B492E">
      <w:pPr>
        <w:tabs>
          <w:tab w:val="left" w:pos="390"/>
        </w:tabs>
        <w:spacing w:line="360" w:lineRule="auto"/>
        <w:rPr>
          <w:sz w:val="28"/>
          <w:szCs w:val="28"/>
        </w:rPr>
      </w:pPr>
      <w:r>
        <w:rPr>
          <w:rFonts w:hint="eastAsia" w:ascii="宋体" w:hAnsi="宋体"/>
          <w:sz w:val="28"/>
          <w:szCs w:val="28"/>
        </w:rPr>
        <w:t>乙方：</w:t>
      </w:r>
    </w:p>
    <w:p w14:paraId="52480CC4">
      <w:pPr>
        <w:spacing w:line="360" w:lineRule="auto"/>
        <w:ind w:firstLine="560" w:firstLineChars="200"/>
        <w:rPr>
          <w:rFonts w:ascii="宋体" w:hAnsi="宋体"/>
          <w:sz w:val="28"/>
          <w:szCs w:val="28"/>
        </w:rPr>
      </w:pPr>
      <w:r>
        <w:rPr>
          <w:rFonts w:hint="eastAsia" w:ascii="宋体" w:hAnsi="宋体"/>
          <w:sz w:val="28"/>
          <w:szCs w:val="28"/>
        </w:rPr>
        <w:t>为了加强党风廉政建设，加大从源头上治理和预防腐败的力度，防止在物资采购中腐败现象的发生，经甲乙双方共同协商，签订本廉政协议书，并作为物资采购合同的组成部分。</w:t>
      </w:r>
    </w:p>
    <w:p w14:paraId="2B37F93D">
      <w:pPr>
        <w:spacing w:line="360" w:lineRule="auto"/>
        <w:ind w:firstLine="560" w:firstLineChars="200"/>
        <w:rPr>
          <w:rFonts w:ascii="宋体" w:hAnsi="宋体"/>
          <w:sz w:val="28"/>
          <w:szCs w:val="28"/>
        </w:rPr>
      </w:pPr>
      <w:r>
        <w:rPr>
          <w:rFonts w:hint="eastAsia" w:ascii="宋体" w:hAnsi="宋体"/>
          <w:sz w:val="28"/>
          <w:szCs w:val="28"/>
        </w:rPr>
        <w:t>一、甲乙双方共同的权利和义务</w:t>
      </w:r>
    </w:p>
    <w:p w14:paraId="7CCFDC1B">
      <w:pPr>
        <w:spacing w:line="360" w:lineRule="auto"/>
        <w:ind w:firstLine="560" w:firstLineChars="200"/>
        <w:rPr>
          <w:rFonts w:ascii="宋体" w:hAnsi="宋体"/>
          <w:sz w:val="28"/>
          <w:szCs w:val="28"/>
        </w:rPr>
      </w:pPr>
      <w:r>
        <w:rPr>
          <w:rFonts w:hint="eastAsia" w:ascii="宋体" w:hAnsi="宋体"/>
          <w:sz w:val="28"/>
          <w:szCs w:val="28"/>
        </w:rPr>
        <w:t>1、严格遵守并执行党和国家有关法律法规及上级主管单位或部门有关党风廉政建设的规定。</w:t>
      </w:r>
    </w:p>
    <w:p w14:paraId="39066420">
      <w:pPr>
        <w:spacing w:line="360" w:lineRule="auto"/>
        <w:ind w:firstLine="560" w:firstLineChars="200"/>
        <w:rPr>
          <w:rFonts w:ascii="宋体" w:hAnsi="宋体"/>
          <w:sz w:val="28"/>
          <w:szCs w:val="28"/>
        </w:rPr>
      </w:pPr>
      <w:r>
        <w:rPr>
          <w:rFonts w:hint="eastAsia" w:ascii="宋体" w:hAnsi="宋体"/>
          <w:sz w:val="28"/>
          <w:szCs w:val="28"/>
        </w:rPr>
        <w:t>2、双方业务往来中坚持公开、公正、诚信的原则，不得损害国家和集体利益，不得违反工程建设管理规章制度。</w:t>
      </w:r>
    </w:p>
    <w:p w14:paraId="53487F46">
      <w:pPr>
        <w:spacing w:line="360" w:lineRule="auto"/>
        <w:ind w:firstLine="560" w:firstLineChars="200"/>
        <w:rPr>
          <w:rFonts w:ascii="宋体" w:hAnsi="宋体"/>
          <w:sz w:val="28"/>
          <w:szCs w:val="28"/>
        </w:rPr>
      </w:pPr>
      <w:r>
        <w:rPr>
          <w:rFonts w:hint="eastAsia" w:ascii="宋体" w:hAnsi="宋体"/>
          <w:sz w:val="28"/>
          <w:szCs w:val="28"/>
        </w:rPr>
        <w:t>3、建立健全廉政制度，开展廉政教育，加强监督管理，认真查处违法违纪行为。</w:t>
      </w:r>
    </w:p>
    <w:p w14:paraId="2AEF93BF">
      <w:pPr>
        <w:spacing w:line="360" w:lineRule="auto"/>
        <w:ind w:firstLine="560" w:firstLineChars="200"/>
        <w:rPr>
          <w:rFonts w:ascii="宋体" w:hAnsi="宋体"/>
          <w:sz w:val="28"/>
          <w:szCs w:val="28"/>
        </w:rPr>
      </w:pPr>
      <w:r>
        <w:rPr>
          <w:rFonts w:hint="eastAsia" w:ascii="宋体" w:hAnsi="宋体"/>
          <w:sz w:val="28"/>
          <w:szCs w:val="28"/>
        </w:rPr>
        <w:t>4、发现对方在业务活动中有违反廉政规定的行为，有及时提醒并要求对方纠正的权利和义务。</w:t>
      </w:r>
    </w:p>
    <w:p w14:paraId="68DF7A98">
      <w:pPr>
        <w:spacing w:line="360" w:lineRule="auto"/>
        <w:ind w:firstLine="560" w:firstLineChars="200"/>
        <w:rPr>
          <w:rFonts w:ascii="宋体" w:hAnsi="宋体"/>
          <w:sz w:val="28"/>
          <w:szCs w:val="28"/>
        </w:rPr>
      </w:pPr>
      <w:r>
        <w:rPr>
          <w:rFonts w:hint="eastAsia" w:ascii="宋体" w:hAnsi="宋体"/>
          <w:sz w:val="28"/>
          <w:szCs w:val="28"/>
        </w:rPr>
        <w:t>5、发现对方严重违反本合同条款，有义务向上级有关部门举报，建议给予处理，并有要求告知处理结果的权利。</w:t>
      </w:r>
    </w:p>
    <w:p w14:paraId="781DD0B9">
      <w:pPr>
        <w:spacing w:line="360" w:lineRule="auto"/>
        <w:ind w:firstLine="560" w:firstLineChars="200"/>
        <w:rPr>
          <w:rFonts w:ascii="宋体" w:hAnsi="宋体"/>
          <w:sz w:val="28"/>
          <w:szCs w:val="28"/>
        </w:rPr>
      </w:pPr>
      <w:r>
        <w:rPr>
          <w:rFonts w:hint="eastAsia" w:ascii="宋体" w:hAnsi="宋体"/>
          <w:sz w:val="28"/>
          <w:szCs w:val="28"/>
        </w:rPr>
        <w:t>二、甲方的义务</w:t>
      </w:r>
    </w:p>
    <w:p w14:paraId="0EA1DAEB">
      <w:pPr>
        <w:spacing w:line="360" w:lineRule="auto"/>
        <w:ind w:firstLine="560" w:firstLineChars="200"/>
        <w:rPr>
          <w:rFonts w:ascii="宋体" w:hAnsi="宋体"/>
          <w:sz w:val="28"/>
          <w:szCs w:val="28"/>
        </w:rPr>
      </w:pPr>
      <w:r>
        <w:rPr>
          <w:rFonts w:hint="eastAsia" w:ascii="宋体" w:hAnsi="宋体"/>
          <w:sz w:val="28"/>
          <w:szCs w:val="28"/>
        </w:rPr>
        <w:t>1、甲方及其工作人员不得索要和接受乙方的礼金、介绍费、回扣、有价证券和贵重物品；不得在乙方报销任何应由甲方或个人支付的费用等。</w:t>
      </w:r>
    </w:p>
    <w:p w14:paraId="239D5D15">
      <w:pPr>
        <w:spacing w:line="360" w:lineRule="auto"/>
        <w:ind w:firstLine="560" w:firstLineChars="200"/>
        <w:rPr>
          <w:rFonts w:ascii="宋体" w:hAnsi="宋体"/>
          <w:sz w:val="28"/>
          <w:szCs w:val="28"/>
        </w:rPr>
      </w:pPr>
      <w:r>
        <w:rPr>
          <w:rFonts w:hint="eastAsia" w:ascii="宋体" w:hAnsi="宋体"/>
          <w:sz w:val="28"/>
          <w:szCs w:val="28"/>
        </w:rPr>
        <w:t>2、甲方工作人员不得参加乙方安排的高消费娱乐活动，不得接受乙方提供的通讯工具、交通工具和高档办公用品。</w:t>
      </w:r>
    </w:p>
    <w:p w14:paraId="45617B67">
      <w:pPr>
        <w:spacing w:line="360" w:lineRule="auto"/>
        <w:ind w:firstLine="560" w:firstLineChars="200"/>
        <w:rPr>
          <w:rFonts w:ascii="宋体" w:hAnsi="宋体"/>
          <w:sz w:val="28"/>
          <w:szCs w:val="28"/>
        </w:rPr>
      </w:pPr>
      <w:r>
        <w:rPr>
          <w:rFonts w:hint="eastAsia" w:ascii="宋体" w:hAnsi="宋体"/>
          <w:sz w:val="28"/>
          <w:szCs w:val="28"/>
        </w:rPr>
        <w:t>3、甲方及其工作人员不得要求或接受乙方为其住房装修、婚丧嫁娶活动、配偶子女的工作安排、旅游等提供方便。</w:t>
      </w:r>
    </w:p>
    <w:p w14:paraId="7E4A7D7B">
      <w:pPr>
        <w:spacing w:line="360" w:lineRule="auto"/>
        <w:ind w:firstLine="560" w:firstLineChars="200"/>
        <w:rPr>
          <w:rFonts w:ascii="宋体" w:hAnsi="宋体"/>
          <w:sz w:val="28"/>
          <w:szCs w:val="28"/>
        </w:rPr>
      </w:pPr>
      <w:r>
        <w:rPr>
          <w:rFonts w:hint="eastAsia" w:ascii="宋体" w:hAnsi="宋体"/>
          <w:sz w:val="28"/>
          <w:szCs w:val="28"/>
        </w:rPr>
        <w:t>4、甲方工作人员的配偶、子女不得参与甲方招标有关的投标活动。</w:t>
      </w:r>
    </w:p>
    <w:p w14:paraId="1BF09228">
      <w:pPr>
        <w:spacing w:line="360" w:lineRule="auto"/>
        <w:ind w:firstLine="560" w:firstLineChars="200"/>
        <w:rPr>
          <w:rFonts w:ascii="宋体" w:hAnsi="宋体"/>
          <w:sz w:val="28"/>
          <w:szCs w:val="28"/>
        </w:rPr>
      </w:pPr>
      <w:r>
        <w:rPr>
          <w:rFonts w:hint="eastAsia" w:ascii="宋体" w:hAnsi="宋体"/>
          <w:sz w:val="28"/>
          <w:szCs w:val="28"/>
        </w:rPr>
        <w:t>三、乙方的义务</w:t>
      </w:r>
    </w:p>
    <w:p w14:paraId="7FD5EA20">
      <w:pPr>
        <w:spacing w:line="360" w:lineRule="auto"/>
        <w:ind w:firstLine="560" w:firstLineChars="200"/>
        <w:rPr>
          <w:rFonts w:ascii="宋体" w:hAnsi="宋体"/>
          <w:sz w:val="28"/>
          <w:szCs w:val="28"/>
        </w:rPr>
      </w:pPr>
      <w:r>
        <w:rPr>
          <w:rFonts w:hint="eastAsia" w:ascii="宋体" w:hAnsi="宋体"/>
          <w:sz w:val="28"/>
          <w:szCs w:val="28"/>
        </w:rPr>
        <w:t>1、乙方不得以任何理由向甲方及其工作人员行贿或赠送礼金、有价证券和贵重物品，不得以任何名义为甲方及其工作人员报销应由甲方单位或个人支付的任何费用。</w:t>
      </w:r>
    </w:p>
    <w:p w14:paraId="20E6D09E">
      <w:pPr>
        <w:spacing w:line="360" w:lineRule="auto"/>
        <w:ind w:firstLine="560" w:firstLineChars="200"/>
        <w:rPr>
          <w:rFonts w:ascii="宋体" w:hAnsi="宋体"/>
          <w:sz w:val="28"/>
          <w:szCs w:val="28"/>
        </w:rPr>
      </w:pPr>
      <w:r>
        <w:rPr>
          <w:rFonts w:hint="eastAsia" w:ascii="宋体" w:hAnsi="宋体"/>
          <w:sz w:val="28"/>
          <w:szCs w:val="28"/>
        </w:rPr>
        <w:t>2、乙方不得以任何理由安排甲方工作人员参加高消费娱乐活动，不得为甲方工作人员提供通讯工具、交通工具和高档办公用品。</w:t>
      </w:r>
    </w:p>
    <w:p w14:paraId="5C9D9B41">
      <w:pPr>
        <w:spacing w:line="360" w:lineRule="auto"/>
        <w:ind w:firstLine="560" w:firstLineChars="200"/>
        <w:rPr>
          <w:rFonts w:ascii="宋体" w:hAnsi="宋体"/>
          <w:sz w:val="28"/>
          <w:szCs w:val="28"/>
        </w:rPr>
      </w:pPr>
      <w:r>
        <w:rPr>
          <w:rFonts w:hint="eastAsia" w:ascii="宋体" w:hAnsi="宋体"/>
          <w:sz w:val="28"/>
          <w:szCs w:val="28"/>
        </w:rPr>
        <w:t>3、乙方不得为甲方工作人员装修住房、婚丧嫁娶活动、配偶子女工作安排、旅游提供方便。</w:t>
      </w:r>
    </w:p>
    <w:p w14:paraId="756C1CF9">
      <w:pPr>
        <w:spacing w:line="360" w:lineRule="auto"/>
        <w:ind w:firstLine="560" w:firstLineChars="200"/>
        <w:rPr>
          <w:rFonts w:ascii="宋体" w:hAnsi="宋体"/>
          <w:sz w:val="28"/>
          <w:szCs w:val="28"/>
        </w:rPr>
      </w:pPr>
      <w:r>
        <w:rPr>
          <w:rFonts w:hint="eastAsia" w:ascii="宋体" w:hAnsi="宋体"/>
          <w:sz w:val="28"/>
          <w:szCs w:val="28"/>
        </w:rPr>
        <w:t>4、乙方不得为甲方工作人员的配偶、子女参与甲方招标有关的投标活动提供条件。</w:t>
      </w:r>
    </w:p>
    <w:p w14:paraId="099663EF">
      <w:pPr>
        <w:spacing w:line="360" w:lineRule="auto"/>
        <w:ind w:firstLine="560" w:firstLineChars="200"/>
        <w:rPr>
          <w:rFonts w:ascii="宋体" w:hAnsi="宋体"/>
          <w:sz w:val="28"/>
          <w:szCs w:val="28"/>
        </w:rPr>
      </w:pPr>
      <w:r>
        <w:rPr>
          <w:rFonts w:hint="eastAsia" w:ascii="宋体" w:hAnsi="宋体"/>
          <w:sz w:val="28"/>
          <w:szCs w:val="28"/>
        </w:rPr>
        <w:t>5、乙方不得采取黄、赌等各种手段拉拢、腐蚀甲方工作人员为其工程（劳务）检查，验收及结算提供方便。</w:t>
      </w:r>
    </w:p>
    <w:p w14:paraId="18C8AC4A">
      <w:pPr>
        <w:spacing w:line="360" w:lineRule="auto"/>
        <w:ind w:firstLine="560" w:firstLineChars="200"/>
        <w:rPr>
          <w:rFonts w:ascii="宋体" w:hAnsi="宋体"/>
          <w:sz w:val="28"/>
          <w:szCs w:val="28"/>
        </w:rPr>
      </w:pPr>
      <w:r>
        <w:rPr>
          <w:rFonts w:hint="eastAsia" w:ascii="宋体" w:hAnsi="宋体"/>
          <w:sz w:val="28"/>
          <w:szCs w:val="28"/>
        </w:rPr>
        <w:t>四、违约责任</w:t>
      </w:r>
    </w:p>
    <w:p w14:paraId="441B4580">
      <w:pPr>
        <w:spacing w:line="360" w:lineRule="auto"/>
        <w:ind w:firstLine="560" w:firstLineChars="200"/>
        <w:rPr>
          <w:rFonts w:ascii="宋体" w:hAnsi="宋体"/>
          <w:sz w:val="28"/>
          <w:szCs w:val="28"/>
        </w:rPr>
      </w:pPr>
      <w:r>
        <w:rPr>
          <w:rFonts w:hint="eastAsia" w:ascii="宋体" w:hAnsi="宋体"/>
          <w:sz w:val="28"/>
          <w:szCs w:val="28"/>
        </w:rPr>
        <w:t>1、甲方及其工作人员违反本合同第一、二条的，按管理权限，由主管单位或部门给予党纪、政纪或组织处理，涉嫌犯罪的，移送司法机关处理。</w:t>
      </w:r>
    </w:p>
    <w:p w14:paraId="24B0B22A">
      <w:pPr>
        <w:spacing w:line="360" w:lineRule="auto"/>
        <w:ind w:firstLine="560" w:firstLineChars="200"/>
        <w:rPr>
          <w:rFonts w:ascii="宋体" w:hAnsi="宋体"/>
          <w:sz w:val="28"/>
          <w:szCs w:val="28"/>
        </w:rPr>
      </w:pPr>
      <w:r>
        <w:rPr>
          <w:rFonts w:hint="eastAsia" w:ascii="宋体" w:hAnsi="宋体"/>
          <w:sz w:val="28"/>
          <w:szCs w:val="28"/>
        </w:rPr>
        <w:t>2、乙方及其工作人员违反本合同第一、三条的，甲方将视情节轻重对乙方处以罚款；对情节恶劣、造成严重后果的；涉嫌犯罪的，将提请有关部门移送司法机关处理。</w:t>
      </w:r>
    </w:p>
    <w:p w14:paraId="4EEDC8EC">
      <w:pPr>
        <w:spacing w:line="360" w:lineRule="auto"/>
        <w:ind w:firstLine="560" w:firstLineChars="200"/>
        <w:rPr>
          <w:rFonts w:ascii="宋体" w:hAnsi="宋体"/>
          <w:sz w:val="28"/>
          <w:szCs w:val="28"/>
        </w:rPr>
      </w:pPr>
      <w:r>
        <w:rPr>
          <w:rFonts w:hint="eastAsia" w:ascii="宋体" w:hAnsi="宋体"/>
          <w:sz w:val="28"/>
          <w:szCs w:val="28"/>
        </w:rPr>
        <w:t>五、双方约定：本合同由双方或双方上级单位的纪检监察机关负责监督执行。</w:t>
      </w:r>
    </w:p>
    <w:p w14:paraId="12FD973A">
      <w:pPr>
        <w:spacing w:line="360" w:lineRule="auto"/>
        <w:ind w:firstLine="560" w:firstLineChars="200"/>
        <w:rPr>
          <w:rFonts w:ascii="宋体" w:hAnsi="宋体"/>
          <w:sz w:val="28"/>
          <w:szCs w:val="28"/>
        </w:rPr>
      </w:pPr>
      <w:r>
        <w:rPr>
          <w:rFonts w:hint="eastAsia" w:ascii="宋体" w:hAnsi="宋体"/>
          <w:sz w:val="28"/>
          <w:szCs w:val="28"/>
        </w:rPr>
        <w:t>六、其它</w:t>
      </w:r>
    </w:p>
    <w:p w14:paraId="481D4682">
      <w:pPr>
        <w:spacing w:line="360" w:lineRule="auto"/>
        <w:ind w:firstLine="560" w:firstLineChars="200"/>
        <w:rPr>
          <w:rFonts w:ascii="宋体" w:hAnsi="宋体"/>
          <w:sz w:val="28"/>
          <w:szCs w:val="28"/>
        </w:rPr>
      </w:pPr>
      <w:r>
        <w:rPr>
          <w:rFonts w:hint="eastAsia" w:ascii="宋体" w:hAnsi="宋体"/>
          <w:sz w:val="28"/>
          <w:szCs w:val="28"/>
        </w:rPr>
        <w:t>1、本协议自甲乙双方签字盖章之日起生效，至双方责任和义务履行完毕止。</w:t>
      </w:r>
    </w:p>
    <w:p w14:paraId="541C0D5A">
      <w:pPr>
        <w:spacing w:line="360" w:lineRule="auto"/>
        <w:ind w:firstLine="560" w:firstLineChars="200"/>
        <w:rPr>
          <w:rFonts w:ascii="宋体" w:hAnsi="宋体"/>
          <w:sz w:val="28"/>
          <w:szCs w:val="28"/>
        </w:rPr>
      </w:pPr>
      <w:r>
        <w:rPr>
          <w:rFonts w:hint="eastAsia" w:ascii="宋体" w:hAnsi="宋体"/>
          <w:sz w:val="28"/>
          <w:szCs w:val="28"/>
        </w:rPr>
        <w:t>2、本协议份数与物资采购合同份数相同。</w:t>
      </w:r>
    </w:p>
    <w:p w14:paraId="6BAC974B">
      <w:pPr>
        <w:spacing w:line="360" w:lineRule="auto"/>
        <w:ind w:firstLine="560" w:firstLineChars="200"/>
        <w:rPr>
          <w:rFonts w:ascii="宋体" w:hAnsi="宋体"/>
          <w:sz w:val="28"/>
          <w:szCs w:val="28"/>
        </w:rPr>
      </w:pPr>
    </w:p>
    <w:p w14:paraId="239418A6">
      <w:pPr>
        <w:spacing w:line="360" w:lineRule="auto"/>
        <w:ind w:left="5320" w:hanging="5320" w:hangingChars="1900"/>
        <w:rPr>
          <w:rFonts w:ascii="宋体" w:hAnsi="宋体"/>
          <w:szCs w:val="21"/>
          <w:u w:val="single"/>
        </w:rPr>
      </w:pPr>
      <w:r>
        <w:rPr>
          <w:rFonts w:hint="eastAsia" w:ascii="宋体" w:hAnsi="宋体"/>
          <w:sz w:val="28"/>
          <w:szCs w:val="28"/>
        </w:rPr>
        <w:t>甲方：                       乙方：</w:t>
      </w:r>
    </w:p>
    <w:p w14:paraId="3B23C98F">
      <w:pPr>
        <w:spacing w:line="360" w:lineRule="auto"/>
        <w:ind w:left="5320" w:hanging="5320" w:hangingChars="1900"/>
        <w:rPr>
          <w:rFonts w:ascii="宋体" w:hAnsi="宋体"/>
          <w:sz w:val="28"/>
          <w:szCs w:val="28"/>
        </w:rPr>
      </w:pPr>
      <w:r>
        <w:rPr>
          <w:rFonts w:hint="eastAsia" w:ascii="宋体" w:hAnsi="宋体"/>
          <w:sz w:val="28"/>
          <w:szCs w:val="28"/>
        </w:rPr>
        <w:t>甲方法定代表人：    乙方法定代表人：</w:t>
      </w:r>
    </w:p>
    <w:p w14:paraId="669BF9C2">
      <w:pPr>
        <w:spacing w:line="360" w:lineRule="auto"/>
        <w:rPr>
          <w:rFonts w:ascii="宋体" w:hAnsi="宋体"/>
          <w:sz w:val="28"/>
          <w:szCs w:val="28"/>
          <w:u w:val="single"/>
        </w:rPr>
      </w:pPr>
      <w:r>
        <w:rPr>
          <w:rFonts w:hint="eastAsia" w:ascii="宋体" w:hAnsi="宋体"/>
          <w:sz w:val="28"/>
          <w:szCs w:val="28"/>
        </w:rPr>
        <w:t>或被授权代理人：    或被授权代理人：</w:t>
      </w:r>
    </w:p>
    <w:p w14:paraId="7CCD56D5">
      <w:pPr>
        <w:spacing w:line="360" w:lineRule="auto"/>
        <w:rPr>
          <w:rFonts w:ascii="宋体" w:hAnsi="宋体"/>
          <w:sz w:val="28"/>
          <w:szCs w:val="28"/>
          <w:u w:val="single"/>
        </w:rPr>
      </w:pPr>
      <w:r>
        <w:rPr>
          <w:rFonts w:hint="eastAsia" w:ascii="宋体" w:hAnsi="宋体"/>
          <w:sz w:val="28"/>
          <w:szCs w:val="28"/>
        </w:rPr>
        <w:t xml:space="preserve">联系电话：    联系电话：  </w:t>
      </w:r>
      <w:r>
        <w:rPr>
          <w:rFonts w:hint="eastAsia" w:ascii="宋体" w:hAnsi="宋体"/>
          <w:sz w:val="28"/>
          <w:szCs w:val="28"/>
          <w:u w:val="single"/>
        </w:rPr>
        <w:t xml:space="preserve">              </w:t>
      </w:r>
    </w:p>
    <w:p w14:paraId="4DAC0FCE">
      <w:pPr>
        <w:spacing w:line="360" w:lineRule="auto"/>
        <w:rPr>
          <w:rFonts w:eastAsia="仿宋_GB2312"/>
        </w:rPr>
        <w:sectPr>
          <w:headerReference r:id="rId5" w:type="default"/>
          <w:footerReference r:id="rId6" w:type="default"/>
          <w:pgSz w:w="11906" w:h="16838"/>
          <w:pgMar w:top="1134" w:right="1191" w:bottom="1134" w:left="1474" w:header="340" w:footer="907" w:gutter="0"/>
          <w:cols w:space="720" w:num="1"/>
          <w:docGrid w:linePitch="312" w:charSpace="0"/>
        </w:sectPr>
      </w:pPr>
      <w:r>
        <w:rPr>
          <w:rFonts w:hint="eastAsia" w:ascii="宋体" w:hAnsi="宋体"/>
          <w:sz w:val="28"/>
          <w:szCs w:val="28"/>
        </w:rPr>
        <w:t xml:space="preserve">日期:     </w:t>
      </w:r>
    </w:p>
    <w:p w14:paraId="07E8013C">
      <w:pPr>
        <w:spacing w:line="400" w:lineRule="exact"/>
        <w:jc w:val="center"/>
        <w:rPr>
          <w:bCs/>
          <w:sz w:val="44"/>
          <w:szCs w:val="48"/>
          <w:u w:val="single"/>
        </w:rPr>
      </w:pPr>
    </w:p>
    <w:p w14:paraId="704D91F0">
      <w:pPr>
        <w:pageBreakBefore w:val="0"/>
        <w:widowControl w:val="0"/>
        <w:kinsoku w:val="0"/>
        <w:wordWrap/>
        <w:overflowPunct w:val="0"/>
        <w:topLinePunct w:val="0"/>
        <w:autoSpaceDE w:val="0"/>
        <w:autoSpaceDN w:val="0"/>
        <w:bidi w:val="0"/>
        <w:adjustRightInd w:val="0"/>
        <w:snapToGrid w:val="0"/>
        <w:spacing w:line="240" w:lineRule="atLeast"/>
        <w:ind w:left="885" w:leftChars="0" w:hanging="885" w:hangingChars="315"/>
        <w:jc w:val="center"/>
        <w:textAlignment w:val="auto"/>
        <w:rPr>
          <w:rFonts w:hint="eastAsia" w:ascii="宋体" w:hAnsi="宋体" w:cs="宋体"/>
          <w:b/>
          <w:kern w:val="0"/>
          <w:sz w:val="28"/>
          <w:szCs w:val="28"/>
        </w:rPr>
      </w:pPr>
      <w:r>
        <w:rPr>
          <w:rFonts w:hint="eastAsia" w:ascii="宋体" w:hAnsi="宋体" w:cs="宋体"/>
          <w:b/>
          <w:kern w:val="0"/>
          <w:sz w:val="28"/>
          <w:szCs w:val="28"/>
        </w:rPr>
        <w:t>供应商维权告知书</w:t>
      </w:r>
    </w:p>
    <w:p w14:paraId="0012C1F4">
      <w:pPr>
        <w:spacing w:line="440" w:lineRule="exact"/>
        <w:ind w:firstLine="482" w:firstLineChars="200"/>
        <w:jc w:val="left"/>
        <w:rPr>
          <w:rFonts w:hint="eastAsia" w:ascii="宋体" w:hAnsi="宋体"/>
          <w:b/>
          <w:sz w:val="24"/>
        </w:rPr>
      </w:pPr>
      <w:r>
        <w:rPr>
          <w:rFonts w:hint="eastAsia" w:ascii="宋体" w:hAnsi="宋体"/>
          <w:b/>
          <w:sz w:val="24"/>
        </w:rPr>
        <w:t>各供应商朋友：</w:t>
      </w:r>
    </w:p>
    <w:p w14:paraId="620194C6">
      <w:pPr>
        <w:spacing w:line="440" w:lineRule="exact"/>
        <w:ind w:firstLine="420" w:firstLineChars="200"/>
        <w:jc w:val="left"/>
        <w:rPr>
          <w:rFonts w:hint="eastAsia" w:ascii="宋体" w:hAnsi="宋体"/>
          <w:szCs w:val="21"/>
        </w:rPr>
      </w:pPr>
      <w:r>
        <w:rPr>
          <w:rFonts w:hint="eastAsia" w:ascii="宋体" w:hAnsi="宋体"/>
          <w:szCs w:val="21"/>
        </w:rPr>
        <w:t>首先，感谢各位供应商朋友一直以来对本公司的鼎力支持。纵观整个行业环境，我们既有大好的发展机遇，也面临着严峻的挑战，当前阶段因项目业主方资金未能及时到位，一定程度上给项目增大了债务压力。但困难是暂时的，我们将想方设法履行责任和义务，为维护公平、友好、长期的合作关系，特告知如下。</w:t>
      </w:r>
    </w:p>
    <w:p w14:paraId="70BDF928">
      <w:pPr>
        <w:spacing w:line="440" w:lineRule="exact"/>
        <w:ind w:firstLine="482" w:firstLineChars="200"/>
        <w:jc w:val="left"/>
        <w:rPr>
          <w:rFonts w:hint="eastAsia" w:ascii="宋体" w:hAnsi="宋体"/>
          <w:b/>
          <w:sz w:val="24"/>
        </w:rPr>
      </w:pPr>
      <w:r>
        <w:rPr>
          <w:rFonts w:hint="eastAsia" w:ascii="宋体" w:hAnsi="宋体"/>
          <w:b/>
          <w:sz w:val="24"/>
        </w:rPr>
        <w:t>一、畅通内部沟通渠道</w:t>
      </w:r>
    </w:p>
    <w:p w14:paraId="784675CF">
      <w:pPr>
        <w:spacing w:line="440" w:lineRule="exact"/>
        <w:ind w:firstLine="420" w:firstLineChars="200"/>
        <w:jc w:val="left"/>
        <w:rPr>
          <w:rFonts w:hint="eastAsia" w:ascii="宋体" w:hAnsi="宋体"/>
          <w:szCs w:val="21"/>
        </w:rPr>
      </w:pPr>
      <w:r>
        <w:rPr>
          <w:rFonts w:hint="eastAsia" w:ascii="宋体" w:hAnsi="宋体"/>
          <w:szCs w:val="21"/>
        </w:rPr>
        <w:t>若过程中确实存在争议，请遵循以下顺次协商解决：</w:t>
      </w:r>
    </w:p>
    <w:p w14:paraId="78CDF7FF">
      <w:pPr>
        <w:spacing w:line="440" w:lineRule="exact"/>
        <w:ind w:firstLine="422" w:firstLineChars="200"/>
        <w:jc w:val="left"/>
        <w:rPr>
          <w:rFonts w:hint="eastAsia" w:ascii="宋体" w:hAnsi="宋体"/>
          <w:szCs w:val="21"/>
        </w:rPr>
      </w:pPr>
      <w:r>
        <w:rPr>
          <w:rFonts w:hint="eastAsia" w:ascii="宋体" w:hAnsi="宋体"/>
          <w:b/>
          <w:bCs/>
          <w:szCs w:val="21"/>
        </w:rPr>
        <w:t>顺序1：</w:t>
      </w:r>
      <w:r>
        <w:rPr>
          <w:rFonts w:hint="eastAsia" w:ascii="宋体" w:hAnsi="宋体"/>
          <w:szCs w:val="21"/>
        </w:rPr>
        <w:t>首先与项目经理部协商解决，项目经理部联系方式：详见附件一</w:t>
      </w:r>
    </w:p>
    <w:p w14:paraId="553C7A56">
      <w:pPr>
        <w:spacing w:line="440" w:lineRule="exact"/>
        <w:ind w:firstLine="422" w:firstLineChars="200"/>
        <w:jc w:val="left"/>
        <w:rPr>
          <w:rFonts w:hint="eastAsia" w:ascii="宋体" w:hAnsi="宋体"/>
          <w:szCs w:val="21"/>
        </w:rPr>
      </w:pPr>
      <w:r>
        <w:rPr>
          <w:rFonts w:hint="eastAsia" w:ascii="宋体" w:hAnsi="宋体"/>
          <w:b/>
          <w:bCs/>
          <w:szCs w:val="21"/>
        </w:rPr>
        <w:t>顺序2：</w:t>
      </w:r>
      <w:r>
        <w:rPr>
          <w:rFonts w:hint="eastAsia" w:ascii="宋体" w:hAnsi="宋体"/>
          <w:szCs w:val="21"/>
        </w:rPr>
        <w:t xml:space="preserve">若按顺序1协商不成的请继续联系上级职能部门调解;详见附件一 </w:t>
      </w:r>
    </w:p>
    <w:p w14:paraId="4160CE49">
      <w:pPr>
        <w:spacing w:line="440" w:lineRule="exact"/>
        <w:ind w:firstLine="420" w:firstLineChars="200"/>
        <w:jc w:val="left"/>
        <w:rPr>
          <w:rFonts w:hint="eastAsia" w:ascii="宋体" w:hAnsi="宋体"/>
          <w:szCs w:val="21"/>
        </w:rPr>
      </w:pPr>
      <w:r>
        <w:drawing>
          <wp:anchor distT="0" distB="0" distL="114300" distR="114300" simplePos="0" relativeHeight="251659264" behindDoc="1" locked="0" layoutInCell="1" allowOverlap="1">
            <wp:simplePos x="0" y="0"/>
            <wp:positionH relativeFrom="column">
              <wp:align>center</wp:align>
            </wp:positionH>
            <wp:positionV relativeFrom="paragraph">
              <wp:posOffset>33655</wp:posOffset>
            </wp:positionV>
            <wp:extent cx="1733550" cy="1666875"/>
            <wp:effectExtent l="0" t="0" r="6350" b="9525"/>
            <wp:wrapNone/>
            <wp:docPr id="5"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QR 代码&#10;&#10;描述已自动生成"/>
                    <pic:cNvPicPr>
                      <a:picLocks noChangeAspect="1"/>
                    </pic:cNvPicPr>
                  </pic:nvPicPr>
                  <pic:blipFill>
                    <a:blip r:embed="rId15"/>
                    <a:stretch>
                      <a:fillRect/>
                    </a:stretch>
                  </pic:blipFill>
                  <pic:spPr>
                    <a:xfrm>
                      <a:off x="0" y="0"/>
                      <a:ext cx="1733550" cy="1666875"/>
                    </a:xfrm>
                    <a:prstGeom prst="rect">
                      <a:avLst/>
                    </a:prstGeom>
                    <a:noFill/>
                    <a:ln>
                      <a:noFill/>
                    </a:ln>
                  </pic:spPr>
                </pic:pic>
              </a:graphicData>
            </a:graphic>
          </wp:anchor>
        </w:drawing>
      </w:r>
    </w:p>
    <w:p w14:paraId="7A43296F">
      <w:pPr>
        <w:spacing w:line="440" w:lineRule="exact"/>
        <w:ind w:firstLine="420" w:firstLineChars="200"/>
        <w:jc w:val="left"/>
        <w:rPr>
          <w:rFonts w:hint="eastAsia" w:ascii="宋体" w:hAnsi="宋体"/>
          <w:szCs w:val="21"/>
        </w:rPr>
      </w:pPr>
    </w:p>
    <w:p w14:paraId="4A419A1D">
      <w:pPr>
        <w:spacing w:line="440" w:lineRule="exact"/>
        <w:ind w:firstLine="420" w:firstLineChars="200"/>
        <w:jc w:val="left"/>
        <w:rPr>
          <w:rFonts w:hint="eastAsia" w:ascii="宋体" w:hAnsi="宋体"/>
          <w:szCs w:val="21"/>
        </w:rPr>
      </w:pPr>
    </w:p>
    <w:p w14:paraId="61B9D6B5">
      <w:pPr>
        <w:spacing w:line="440" w:lineRule="exact"/>
        <w:ind w:firstLine="420" w:firstLineChars="200"/>
        <w:jc w:val="left"/>
        <w:rPr>
          <w:rFonts w:hint="eastAsia" w:ascii="宋体" w:hAnsi="宋体"/>
          <w:szCs w:val="21"/>
        </w:rPr>
      </w:pPr>
    </w:p>
    <w:p w14:paraId="3ADDCB7C">
      <w:pPr>
        <w:spacing w:line="440" w:lineRule="exact"/>
        <w:ind w:firstLine="420" w:firstLineChars="200"/>
        <w:jc w:val="left"/>
        <w:rPr>
          <w:rFonts w:hint="eastAsia" w:ascii="宋体" w:hAnsi="宋体"/>
          <w:szCs w:val="21"/>
        </w:rPr>
      </w:pPr>
    </w:p>
    <w:p w14:paraId="1217F562">
      <w:pPr>
        <w:spacing w:line="440" w:lineRule="exact"/>
        <w:ind w:firstLine="420" w:firstLineChars="200"/>
        <w:jc w:val="left"/>
        <w:rPr>
          <w:rFonts w:hint="eastAsia" w:ascii="宋体" w:hAnsi="宋体"/>
          <w:szCs w:val="21"/>
        </w:rPr>
      </w:pPr>
    </w:p>
    <w:p w14:paraId="56D87670">
      <w:pPr>
        <w:spacing w:line="440" w:lineRule="exact"/>
        <w:ind w:firstLine="420" w:firstLineChars="200"/>
        <w:jc w:val="left"/>
        <w:rPr>
          <w:rFonts w:hint="eastAsia" w:ascii="宋体" w:hAnsi="宋体"/>
          <w:szCs w:val="21"/>
        </w:rPr>
      </w:pPr>
    </w:p>
    <w:p w14:paraId="10EB1401">
      <w:pPr>
        <w:spacing w:line="440" w:lineRule="exact"/>
        <w:ind w:firstLine="422" w:firstLineChars="200"/>
        <w:jc w:val="left"/>
        <w:rPr>
          <w:rFonts w:hint="eastAsia" w:ascii="宋体" w:hAnsi="宋体"/>
          <w:szCs w:val="21"/>
        </w:rPr>
      </w:pPr>
      <w:r>
        <w:rPr>
          <w:rFonts w:hint="eastAsia" w:ascii="宋体" w:hAnsi="宋体"/>
          <w:b/>
          <w:bCs/>
          <w:szCs w:val="21"/>
        </w:rPr>
        <w:t>顺序3：</w:t>
      </w:r>
      <w:r>
        <w:fldChar w:fldCharType="begin"/>
      </w:r>
      <w:r>
        <w:instrText xml:space="preserve"> HYPERLINK "mailto:如上述2个途径仍未有效解决问题，各供应商可继续通过邮箱ztejwqxx@163.com，或者扫描" </w:instrText>
      </w:r>
      <w:r>
        <w:fldChar w:fldCharType="separate"/>
      </w:r>
      <w:r>
        <w:rPr>
          <w:rStyle w:val="11"/>
          <w:rFonts w:hint="eastAsia" w:ascii="宋体" w:hAnsi="宋体"/>
          <w:szCs w:val="21"/>
        </w:rPr>
        <w:t>如上述2个途径仍未有效解决问题，各供应商可继续通过邮箱ztejwqxx@163.com，或者扫描“二维码二”进一步反映问题。若乙方在反应货款支付问题时，未通过上述途径、未遵循上述顺序，采取其他方式手段的，视为乙方严重违约，甲方将按规定对乙方在中铁二局范围内进行限制交易处理。</w:t>
      </w:r>
      <w:r>
        <w:rPr>
          <w:rStyle w:val="11"/>
          <w:rFonts w:hint="eastAsia" w:ascii="宋体" w:hAnsi="宋体"/>
          <w:szCs w:val="21"/>
        </w:rPr>
        <w:fldChar w:fldCharType="end"/>
      </w:r>
    </w:p>
    <w:p w14:paraId="5D0E1EB1">
      <w:pPr>
        <w:spacing w:line="440" w:lineRule="exact"/>
        <w:jc w:val="left"/>
        <w:rPr>
          <w:rFonts w:hint="eastAsia" w:ascii="宋体" w:hAnsi="宋体"/>
          <w:szCs w:val="21"/>
        </w:rPr>
      </w:pPr>
    </w:p>
    <w:p w14:paraId="7EAB92A1">
      <w:pPr>
        <w:spacing w:line="440" w:lineRule="exact"/>
        <w:jc w:val="left"/>
        <w:rPr>
          <w:rFonts w:hint="eastAsia" w:ascii="宋体" w:hAnsi="宋体"/>
          <w:szCs w:val="21"/>
        </w:rPr>
      </w:pPr>
    </w:p>
    <w:p w14:paraId="2142F919">
      <w:pPr>
        <w:spacing w:line="440" w:lineRule="exact"/>
        <w:jc w:val="left"/>
        <w:rPr>
          <w:rFonts w:hint="eastAsia" w:ascii="宋体" w:hAnsi="宋体"/>
          <w:szCs w:val="21"/>
        </w:rPr>
      </w:pPr>
    </w:p>
    <w:p w14:paraId="74F0195B">
      <w:pPr>
        <w:spacing w:line="440" w:lineRule="exact"/>
        <w:jc w:val="left"/>
        <w:rPr>
          <w:rFonts w:hint="eastAsia" w:ascii="宋体" w:hAnsi="宋体"/>
          <w:szCs w:val="21"/>
        </w:rPr>
      </w:pPr>
    </w:p>
    <w:p w14:paraId="4D56E29A">
      <w:pPr>
        <w:spacing w:line="440" w:lineRule="exact"/>
        <w:jc w:val="left"/>
        <w:rPr>
          <w:rFonts w:hint="eastAsia" w:ascii="宋体" w:hAnsi="宋体"/>
          <w:szCs w:val="21"/>
        </w:rPr>
      </w:pPr>
    </w:p>
    <w:p w14:paraId="52410DE6">
      <w:pPr>
        <w:spacing w:line="440" w:lineRule="exact"/>
        <w:jc w:val="left"/>
        <w:rPr>
          <w:rFonts w:hint="eastAsia" w:ascii="宋体" w:hAnsi="宋体"/>
          <w:szCs w:val="21"/>
        </w:rPr>
      </w:pPr>
      <w:r>
        <w:rPr>
          <w:rFonts w:hint="eastAsia" w:ascii="宋体" w:hAnsi="宋体"/>
          <w:szCs w:val="21"/>
        </w:rPr>
        <w:drawing>
          <wp:anchor distT="0" distB="0" distL="114300" distR="114300" simplePos="0" relativeHeight="251661312" behindDoc="1" locked="0" layoutInCell="1" allowOverlap="1">
            <wp:simplePos x="0" y="0"/>
            <wp:positionH relativeFrom="column">
              <wp:align>center</wp:align>
            </wp:positionH>
            <wp:positionV relativeFrom="paragraph">
              <wp:posOffset>-1379220</wp:posOffset>
            </wp:positionV>
            <wp:extent cx="1466850" cy="1600200"/>
            <wp:effectExtent l="0" t="0" r="6350" b="0"/>
            <wp:wrapTight wrapText="bothSides">
              <wp:wrapPolygon>
                <wp:start x="0" y="0"/>
                <wp:lineTo x="0" y="21429"/>
                <wp:lineTo x="21506" y="21429"/>
                <wp:lineTo x="21506"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1466850" cy="1600200"/>
                    </a:xfrm>
                    <a:prstGeom prst="rect">
                      <a:avLst/>
                    </a:prstGeom>
                    <a:noFill/>
                    <a:ln>
                      <a:noFill/>
                    </a:ln>
                  </pic:spPr>
                </pic:pic>
              </a:graphicData>
            </a:graphic>
          </wp:anchor>
        </w:drawing>
      </w:r>
    </w:p>
    <w:p w14:paraId="6E510455">
      <w:pPr>
        <w:spacing w:line="440" w:lineRule="exact"/>
        <w:ind w:firstLine="482" w:firstLineChars="200"/>
        <w:jc w:val="left"/>
        <w:rPr>
          <w:rFonts w:hint="eastAsia" w:ascii="宋体" w:hAnsi="宋体"/>
          <w:b/>
          <w:sz w:val="24"/>
        </w:rPr>
      </w:pPr>
      <w:r>
        <w:rPr>
          <w:rFonts w:hint="eastAsia" w:ascii="宋体" w:hAnsi="宋体"/>
          <w:b/>
          <w:sz w:val="24"/>
        </w:rPr>
        <w:t>二、避免平台误投风险</w:t>
      </w:r>
    </w:p>
    <w:p w14:paraId="1BBC7268">
      <w:pPr>
        <w:spacing w:line="440" w:lineRule="exact"/>
        <w:ind w:firstLine="420" w:firstLineChars="200"/>
        <w:jc w:val="left"/>
        <w:rPr>
          <w:rFonts w:hint="eastAsia" w:ascii="宋体" w:hAnsi="宋体"/>
          <w:szCs w:val="21"/>
        </w:rPr>
      </w:pPr>
      <w:r>
        <w:rPr>
          <w:rFonts w:hint="eastAsia" w:ascii="宋体" w:hAnsi="宋体"/>
          <w:szCs w:val="21"/>
        </w:rPr>
        <w:t>1.若各供应商在支付问题时，未通过上述</w:t>
      </w:r>
      <w:r>
        <w:rPr>
          <w:rFonts w:hint="eastAsia" w:ascii="宋体" w:hAnsi="宋体"/>
          <w:b/>
          <w:szCs w:val="21"/>
        </w:rPr>
        <w:t>途径</w:t>
      </w:r>
      <w:r>
        <w:rPr>
          <w:rFonts w:hint="eastAsia" w:ascii="宋体" w:hAnsi="宋体"/>
          <w:szCs w:val="21"/>
        </w:rPr>
        <w:t>、未遵循上述问题反应</w:t>
      </w:r>
      <w:r>
        <w:rPr>
          <w:rFonts w:ascii="宋体" w:hAnsi="宋体"/>
          <w:b/>
          <w:szCs w:val="21"/>
        </w:rPr>
        <w:t>顺序</w:t>
      </w:r>
      <w:r>
        <w:rPr>
          <w:rFonts w:ascii="宋体" w:hAnsi="宋体"/>
          <w:szCs w:val="21"/>
        </w:rPr>
        <w:t>，</w:t>
      </w:r>
      <w:r>
        <w:rPr>
          <w:rFonts w:hint="eastAsia" w:ascii="宋体" w:hAnsi="宋体"/>
          <w:szCs w:val="21"/>
        </w:rPr>
        <w:t>采取其他方式手段投诉，</w:t>
      </w:r>
      <w:r>
        <w:rPr>
          <w:rFonts w:ascii="宋体" w:hAnsi="宋体"/>
          <w:szCs w:val="21"/>
        </w:rPr>
        <w:t>视为</w:t>
      </w:r>
      <w:r>
        <w:rPr>
          <w:rFonts w:hint="eastAsia" w:ascii="宋体" w:hAnsi="宋体"/>
          <w:szCs w:val="21"/>
        </w:rPr>
        <w:t>供应商严重违约，该行为将被采购人认定为特大不良行为，采购人将按规定在中铁二局范围内对违约供应商及同一法人公司进行限制交易处理。</w:t>
      </w:r>
    </w:p>
    <w:p w14:paraId="2422735B">
      <w:pPr>
        <w:spacing w:line="440" w:lineRule="exact"/>
        <w:ind w:firstLine="420" w:firstLineChars="200"/>
        <w:jc w:val="left"/>
        <w:rPr>
          <w:rFonts w:hint="eastAsia" w:ascii="宋体" w:hAnsi="宋体"/>
          <w:szCs w:val="21"/>
        </w:rPr>
      </w:pPr>
      <w:r>
        <w:rPr>
          <w:rFonts w:hint="eastAsia" w:ascii="宋体" w:hAnsi="宋体"/>
          <w:szCs w:val="21"/>
        </w:rPr>
        <w:t>2.若各供应商恶意或者不实投诉，造成甲方信用、声誉、经济、经营、业绩等实质性损失或者恶劣影响的，采购人将按规定在中铁二局范围内对相关供应商及同一法人公司进行永久限制交易处理。</w:t>
      </w:r>
    </w:p>
    <w:p w14:paraId="6EA36DAF">
      <w:pPr>
        <w:spacing w:line="440" w:lineRule="exact"/>
        <w:ind w:firstLine="482" w:firstLineChars="200"/>
        <w:jc w:val="left"/>
        <w:rPr>
          <w:rFonts w:hint="eastAsia" w:ascii="宋体" w:hAnsi="宋体"/>
          <w:b/>
          <w:sz w:val="24"/>
        </w:rPr>
      </w:pPr>
      <w:r>
        <w:rPr>
          <w:rFonts w:hint="eastAsia" w:ascii="宋体" w:hAnsi="宋体"/>
          <w:b/>
          <w:sz w:val="24"/>
        </w:rPr>
        <w:t>三、同舟共济砥砺前行</w:t>
      </w:r>
    </w:p>
    <w:p w14:paraId="7D023F9E">
      <w:pPr>
        <w:spacing w:line="440" w:lineRule="exact"/>
        <w:ind w:firstLine="420" w:firstLineChars="200"/>
        <w:jc w:val="left"/>
        <w:rPr>
          <w:rFonts w:hint="eastAsia" w:ascii="宋体" w:hAnsi="宋体"/>
          <w:szCs w:val="21"/>
        </w:rPr>
      </w:pPr>
      <w:r>
        <w:rPr>
          <w:rFonts w:hint="eastAsia" w:ascii="宋体" w:hAnsi="宋体"/>
          <w:szCs w:val="21"/>
        </w:rPr>
        <w:t>建筑行业持续低迷，让我们比任何时候都更加深刻的体会到命运共同体的意义，大道不孤，天下一家，上下同欲者胜，风雨同舟者兴。我们衷心希望能和各位供应商朋友携手共济，共克时艰，一起向阳生长、静待花开。在此，向所有与我们并肩作战的各位供应商朋友表示最诚挚的感谢和最深切的敬意。愿我们的合作之舟乘风破浪，直抵成功的彼岸！</w:t>
      </w:r>
    </w:p>
    <w:p w14:paraId="6E3CC09C">
      <w:pPr>
        <w:spacing w:line="440" w:lineRule="exact"/>
        <w:ind w:firstLine="420" w:firstLineChars="200"/>
        <w:jc w:val="left"/>
        <w:rPr>
          <w:rFonts w:hint="eastAsia" w:ascii="宋体" w:hAnsi="宋体"/>
          <w:szCs w:val="21"/>
        </w:rPr>
      </w:pPr>
      <w:r>
        <w:rPr>
          <w:rFonts w:hint="eastAsia" w:ascii="宋体" w:hAnsi="宋体"/>
          <w:szCs w:val="21"/>
        </w:rPr>
        <w:t>顺祝商祺！</w:t>
      </w:r>
    </w:p>
    <w:bookmarkEnd w:id="50"/>
    <w:p w14:paraId="32026654">
      <w:pPr>
        <w:jc w:val="center"/>
        <w:rPr>
          <w:rFonts w:hint="eastAsia" w:ascii="宋体" w:hAnsi="宋体"/>
          <w:b/>
          <w:sz w:val="28"/>
          <w:szCs w:val="28"/>
        </w:rPr>
      </w:pPr>
      <w:r>
        <w:rPr>
          <w:rFonts w:hint="eastAsia" w:ascii="宋体" w:hAnsi="宋体"/>
          <w:b/>
          <w:sz w:val="28"/>
          <w:szCs w:val="28"/>
        </w:rPr>
        <w:t>维权承诺书</w:t>
      </w:r>
    </w:p>
    <w:p w14:paraId="0CA34E97">
      <w:pPr>
        <w:wordWrap w:val="0"/>
        <w:spacing w:line="480" w:lineRule="auto"/>
        <w:rPr>
          <w:rFonts w:hint="eastAsia" w:ascii="宋体" w:hAnsi="宋体"/>
          <w:kern w:val="0"/>
          <w:szCs w:val="21"/>
        </w:rPr>
      </w:pPr>
      <w:r>
        <w:rPr>
          <w:rFonts w:hint="eastAsia" w:ascii="宋体" w:hAnsi="宋体"/>
          <w:kern w:val="0"/>
          <w:szCs w:val="21"/>
        </w:rPr>
        <w:t xml:space="preserve">致（买方/甲方）： </w:t>
      </w:r>
    </w:p>
    <w:p w14:paraId="2951009D">
      <w:pPr>
        <w:wordWrap w:val="0"/>
        <w:spacing w:line="480" w:lineRule="auto"/>
        <w:ind w:firstLine="420" w:firstLineChars="200"/>
        <w:rPr>
          <w:rFonts w:hint="eastAsia" w:ascii="宋体" w:hAnsi="宋体"/>
          <w:kern w:val="0"/>
          <w:szCs w:val="21"/>
        </w:rPr>
      </w:pPr>
      <w:r>
        <w:rPr>
          <w:rFonts w:hint="eastAsia" w:ascii="宋体" w:hAnsi="宋体"/>
          <w:kern w:val="0"/>
          <w:szCs w:val="21"/>
        </w:rPr>
        <w:t>关于（项目名称</w:t>
      </w:r>
      <w:r>
        <w:rPr>
          <w:rFonts w:hint="eastAsia" w:ascii="宋体" w:hAnsi="宋体"/>
          <w:kern w:val="0"/>
          <w:szCs w:val="21"/>
          <w:u w:val="single"/>
        </w:rPr>
        <w:t xml:space="preserve">            </w:t>
      </w:r>
      <w:r>
        <w:rPr>
          <w:rFonts w:hint="eastAsia" w:ascii="宋体" w:hAnsi="宋体"/>
          <w:kern w:val="0"/>
          <w:szCs w:val="21"/>
        </w:rPr>
        <w:t>）招标文件（招标编号为：</w:t>
      </w:r>
      <w:r>
        <w:rPr>
          <w:rFonts w:hint="eastAsia" w:ascii="宋体" w:hAnsi="宋体"/>
          <w:kern w:val="0"/>
          <w:szCs w:val="21"/>
          <w:u w:val="single"/>
        </w:rPr>
        <w:t xml:space="preserve">         </w:t>
      </w:r>
      <w:r>
        <w:rPr>
          <w:rFonts w:hint="eastAsia" w:ascii="宋体" w:hAnsi="宋体"/>
          <w:kern w:val="0"/>
          <w:szCs w:val="21"/>
        </w:rPr>
        <w:t xml:space="preserve">），乙方作为投标人已熟知，并参加    物资     包件的投标，现乙方作为中标供应商与甲方签订合同，同时承诺如下： </w:t>
      </w:r>
    </w:p>
    <w:p w14:paraId="62EACBDA">
      <w:pPr>
        <w:wordWrap w:val="0"/>
        <w:spacing w:line="480" w:lineRule="auto"/>
        <w:ind w:firstLine="420" w:firstLineChars="200"/>
        <w:rPr>
          <w:rFonts w:hint="eastAsia" w:ascii="宋体" w:hAnsi="宋体"/>
          <w:kern w:val="0"/>
          <w:szCs w:val="21"/>
        </w:rPr>
      </w:pPr>
      <w:r>
        <w:rPr>
          <w:rFonts w:hint="eastAsia" w:ascii="宋体" w:hAnsi="宋体"/>
          <w:kern w:val="0"/>
          <w:szCs w:val="21"/>
        </w:rPr>
        <w:t>若在合同执行过程中出现物资设备款项支付、合作纠纷等相关问题，乙方遵循以下顺序逐级协商解决：</w:t>
      </w:r>
    </w:p>
    <w:p w14:paraId="4E537417">
      <w:pPr>
        <w:spacing w:line="440" w:lineRule="exact"/>
        <w:ind w:firstLine="422" w:firstLineChars="200"/>
        <w:jc w:val="left"/>
        <w:rPr>
          <w:rFonts w:hint="eastAsia" w:ascii="宋体" w:hAnsi="宋体"/>
          <w:color w:val="FF0000"/>
          <w:szCs w:val="21"/>
        </w:rPr>
      </w:pPr>
      <w:r>
        <w:rPr>
          <w:rFonts w:hint="eastAsia" w:ascii="宋体" w:hAnsi="宋体"/>
          <w:b/>
          <w:bCs/>
          <w:szCs w:val="21"/>
        </w:rPr>
        <w:t>顺序1：</w:t>
      </w:r>
      <w:r>
        <w:rPr>
          <w:rFonts w:hint="eastAsia" w:ascii="宋体" w:hAnsi="宋体"/>
          <w:szCs w:val="21"/>
        </w:rPr>
        <w:t>首先与项目经理部协商解决，项目物资部联系方式：详见附件一</w:t>
      </w:r>
    </w:p>
    <w:p w14:paraId="0533995F">
      <w:pPr>
        <w:spacing w:line="440" w:lineRule="exact"/>
        <w:ind w:firstLine="422" w:firstLineChars="200"/>
        <w:jc w:val="left"/>
        <w:rPr>
          <w:rFonts w:ascii="宋体" w:hAnsi="宋体"/>
          <w:szCs w:val="21"/>
        </w:rPr>
      </w:pPr>
      <w:r>
        <w:rPr>
          <w:rFonts w:hint="eastAsia" w:ascii="宋体" w:hAnsi="宋体"/>
          <w:b/>
          <w:bCs/>
          <w:szCs w:val="21"/>
        </w:rPr>
        <w:t>顺序2：</w:t>
      </w:r>
      <w:r>
        <w:rPr>
          <w:rFonts w:hint="eastAsia" w:ascii="宋体" w:hAnsi="宋体"/>
          <w:szCs w:val="21"/>
        </w:rPr>
        <w:t>若按顺序1协商不成的请继续联系上级职能部门调解：详见附件一</w:t>
      </w:r>
    </w:p>
    <w:p w14:paraId="4F042E37">
      <w:pPr>
        <w:spacing w:line="440" w:lineRule="exact"/>
        <w:ind w:firstLine="420" w:firstLineChars="200"/>
        <w:jc w:val="left"/>
        <w:rPr>
          <w:rFonts w:ascii="宋体" w:hAnsi="宋体"/>
          <w:szCs w:val="21"/>
        </w:rPr>
      </w:pPr>
    </w:p>
    <w:p w14:paraId="06E83E5F">
      <w:pPr>
        <w:spacing w:line="240" w:lineRule="auto"/>
        <w:ind w:firstLine="420" w:firstLineChars="200"/>
        <w:jc w:val="left"/>
        <w:rPr>
          <w:rFonts w:hint="eastAsia" w:ascii="宋体" w:hAnsi="宋体" w:eastAsia="宋体"/>
          <w:szCs w:val="21"/>
          <w:lang w:eastAsia="zh-CN"/>
        </w:rPr>
      </w:pPr>
      <w:r>
        <w:rPr>
          <w:rFonts w:hint="eastAsia" w:ascii="宋体" w:hAnsi="宋体"/>
          <w:szCs w:val="21"/>
          <w:lang w:val="en-US" w:eastAsia="zh-CN"/>
        </w:rPr>
        <w:t xml:space="preserve">                               </w:t>
      </w:r>
      <w:r>
        <w:rPr>
          <w:rFonts w:hint="eastAsia" w:ascii="宋体" w:hAnsi="宋体" w:eastAsia="宋体"/>
          <w:szCs w:val="21"/>
          <w:lang w:eastAsia="zh-CN"/>
        </w:rPr>
        <w:drawing>
          <wp:inline distT="0" distB="0" distL="114300" distR="114300">
            <wp:extent cx="1257300" cy="1362075"/>
            <wp:effectExtent l="0" t="0" r="0" b="9525"/>
            <wp:docPr id="1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片1"/>
                    <pic:cNvPicPr>
                      <a:picLocks noChangeAspect="1"/>
                    </pic:cNvPicPr>
                  </pic:nvPicPr>
                  <pic:blipFill>
                    <a:blip r:embed="rId17"/>
                    <a:stretch>
                      <a:fillRect/>
                    </a:stretch>
                  </pic:blipFill>
                  <pic:spPr>
                    <a:xfrm>
                      <a:off x="0" y="0"/>
                      <a:ext cx="1257300" cy="1362075"/>
                    </a:xfrm>
                    <a:prstGeom prst="rect">
                      <a:avLst/>
                    </a:prstGeom>
                    <a:noFill/>
                    <a:ln>
                      <a:noFill/>
                    </a:ln>
                  </pic:spPr>
                </pic:pic>
              </a:graphicData>
            </a:graphic>
          </wp:inline>
        </w:drawing>
      </w:r>
    </w:p>
    <w:p w14:paraId="6E44C46A">
      <w:pPr>
        <w:spacing w:line="440" w:lineRule="exact"/>
        <w:ind w:firstLine="4322" w:firstLineChars="2050"/>
        <w:jc w:val="left"/>
        <w:rPr>
          <w:rFonts w:hint="eastAsia" w:ascii="宋体" w:hAnsi="宋体"/>
          <w:b/>
          <w:bCs/>
          <w:szCs w:val="21"/>
        </w:rPr>
      </w:pPr>
      <w:r>
        <w:rPr>
          <w:rFonts w:hint="eastAsia" w:ascii="宋体" w:hAnsi="宋体"/>
          <w:b/>
          <w:bCs/>
          <w:szCs w:val="21"/>
        </w:rPr>
        <w:t>二维码1</w:t>
      </w:r>
    </w:p>
    <w:p w14:paraId="01A0D3F0">
      <w:pPr>
        <w:spacing w:line="440" w:lineRule="exact"/>
        <w:ind w:firstLine="422" w:firstLineChars="200"/>
        <w:jc w:val="left"/>
        <w:rPr>
          <w:rFonts w:hint="eastAsia" w:ascii="宋体" w:hAnsi="宋体"/>
          <w:szCs w:val="21"/>
        </w:rPr>
      </w:pPr>
      <w:r>
        <w:rPr>
          <w:rFonts w:hint="eastAsia" w:ascii="宋体" w:hAnsi="宋体"/>
          <w:b/>
          <w:bCs/>
          <w:szCs w:val="21"/>
        </w:rPr>
        <w:t>顺序3：</w:t>
      </w:r>
      <w:r>
        <w:rPr>
          <w:rFonts w:hint="eastAsia" w:hAnsi="宋体"/>
        </w:rPr>
        <w:t>如上述2个途径仍未有效解决问题，各供应商可继续通过邮箱维权邮</w:t>
      </w:r>
      <w:r>
        <w:rPr>
          <w:rFonts w:hint="eastAsia" w:hAnsi="宋体"/>
          <w:b/>
          <w:bCs/>
        </w:rPr>
        <w:t>ztejwqxx@163.com，</w:t>
      </w:r>
      <w:r>
        <w:rPr>
          <w:rFonts w:hint="eastAsia" w:hAnsi="宋体"/>
        </w:rPr>
        <w:t>或者扫描“二维码2”（中铁二局维权投诉平台）进一步反映问题，平台将在</w:t>
      </w:r>
      <w:r>
        <w:rPr>
          <w:rFonts w:hAnsi="宋体"/>
        </w:rPr>
        <w:t>20</w:t>
      </w:r>
      <w:r>
        <w:rPr>
          <w:rFonts w:hint="eastAsia" w:hAnsi="宋体"/>
        </w:rPr>
        <w:t>个工作日内核实处理。</w:t>
      </w:r>
    </w:p>
    <w:p w14:paraId="7CFB7D7F">
      <w:pPr>
        <w:spacing w:line="240" w:lineRule="auto"/>
        <w:jc w:val="left"/>
        <w:rPr>
          <w:rFonts w:hint="eastAsia" w:ascii="宋体" w:hAnsi="宋体" w:eastAsia="宋体"/>
          <w:bCs/>
          <w:szCs w:val="21"/>
          <w:lang w:eastAsia="zh-CN"/>
        </w:rPr>
      </w:pPr>
      <w:r>
        <w:rPr>
          <w:rFonts w:hint="eastAsia" w:ascii="宋体" w:hAnsi="宋体"/>
          <w:bCs/>
          <w:szCs w:val="21"/>
          <w:lang w:val="en-US" w:eastAsia="zh-CN"/>
        </w:rPr>
        <w:t xml:space="preserve">                                  </w:t>
      </w:r>
      <w:r>
        <w:rPr>
          <w:rFonts w:hint="eastAsia" w:ascii="宋体" w:hAnsi="宋体"/>
          <w:bCs/>
          <w:szCs w:val="21"/>
        </w:rPr>
        <w:t xml:space="preserve"> </w:t>
      </w:r>
      <w:r>
        <w:rPr>
          <w:rFonts w:hint="eastAsia" w:ascii="宋体" w:hAnsi="宋体" w:eastAsia="宋体"/>
          <w:bCs/>
          <w:szCs w:val="21"/>
          <w:lang w:eastAsia="zh-CN"/>
        </w:rPr>
        <w:drawing>
          <wp:inline distT="0" distB="0" distL="114300" distR="114300">
            <wp:extent cx="1289685" cy="1343660"/>
            <wp:effectExtent l="0" t="0" r="5715" b="2540"/>
            <wp:docPr id="9"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2"/>
                    <pic:cNvPicPr>
                      <a:picLocks noChangeAspect="1"/>
                    </pic:cNvPicPr>
                  </pic:nvPicPr>
                  <pic:blipFill>
                    <a:blip r:embed="rId18"/>
                    <a:stretch>
                      <a:fillRect/>
                    </a:stretch>
                  </pic:blipFill>
                  <pic:spPr>
                    <a:xfrm>
                      <a:off x="0" y="0"/>
                      <a:ext cx="1289685" cy="1343660"/>
                    </a:xfrm>
                    <a:prstGeom prst="rect">
                      <a:avLst/>
                    </a:prstGeom>
                    <a:noFill/>
                    <a:ln>
                      <a:noFill/>
                    </a:ln>
                  </pic:spPr>
                </pic:pic>
              </a:graphicData>
            </a:graphic>
          </wp:inline>
        </w:drawing>
      </w:r>
    </w:p>
    <w:p w14:paraId="59817D45">
      <w:pPr>
        <w:spacing w:line="440" w:lineRule="exact"/>
        <w:ind w:firstLine="4322" w:firstLineChars="2050"/>
        <w:jc w:val="left"/>
        <w:rPr>
          <w:rFonts w:hint="eastAsia" w:ascii="宋体" w:hAnsi="宋体"/>
          <w:b/>
          <w:szCs w:val="21"/>
        </w:rPr>
      </w:pPr>
      <w:r>
        <w:rPr>
          <w:rFonts w:hint="eastAsia" w:ascii="宋体" w:hAnsi="宋体"/>
          <w:b/>
          <w:szCs w:val="21"/>
        </w:rPr>
        <w:t>二维码2</w:t>
      </w:r>
    </w:p>
    <w:p w14:paraId="667894F1">
      <w:pPr>
        <w:wordWrap w:val="0"/>
        <w:spacing w:line="480" w:lineRule="auto"/>
        <w:ind w:firstLine="420" w:firstLineChars="200"/>
        <w:rPr>
          <w:rFonts w:hint="eastAsia" w:ascii="宋体" w:hAnsi="宋体"/>
          <w:kern w:val="0"/>
          <w:szCs w:val="21"/>
        </w:rPr>
      </w:pPr>
      <w:r>
        <w:rPr>
          <w:rFonts w:hint="eastAsia" w:ascii="宋体" w:hAnsi="宋体"/>
          <w:kern w:val="0"/>
          <w:szCs w:val="21"/>
        </w:rPr>
        <w:t>乙方若不按以上顺序逐级协商处理，造成甲方信用、声誉、经济、经营、业绩等实质性损失或者恶劣影响的，乙方接受甲方相应处罚。</w:t>
      </w:r>
    </w:p>
    <w:p w14:paraId="339FAC8E">
      <w:pPr>
        <w:wordWrap w:val="0"/>
        <w:spacing w:line="480" w:lineRule="auto"/>
        <w:ind w:firstLine="420" w:firstLineChars="200"/>
        <w:rPr>
          <w:rFonts w:ascii="宋体" w:hAnsi="宋体"/>
          <w:kern w:val="0"/>
          <w:szCs w:val="21"/>
        </w:rPr>
      </w:pPr>
      <w:r>
        <w:rPr>
          <w:rFonts w:hint="eastAsia" w:ascii="宋体" w:hAnsi="宋体"/>
          <w:kern w:val="0"/>
          <w:szCs w:val="21"/>
        </w:rPr>
        <w:t>乙方若恶意或者不实投诉，造成甲方信用、声誉、经济、经营、业绩等实质性损失或者恶劣影响的，甲方有权取消乙方的合作资格，并接受甲方相应处罚，承担相关法律、经济责任。</w:t>
      </w:r>
    </w:p>
    <w:p w14:paraId="4CD0C518">
      <w:pPr>
        <w:pStyle w:val="13"/>
        <w:ind w:firstLine="480"/>
      </w:pPr>
    </w:p>
    <w:p w14:paraId="32586F6B">
      <w:pPr>
        <w:pStyle w:val="13"/>
        <w:ind w:firstLine="480"/>
        <w:rPr>
          <w:rFonts w:hint="eastAsia"/>
        </w:rPr>
      </w:pPr>
    </w:p>
    <w:p w14:paraId="5405D06A">
      <w:pPr>
        <w:wordWrap w:val="0"/>
        <w:spacing w:line="480" w:lineRule="auto"/>
        <w:ind w:firstLine="4620" w:firstLineChars="2200"/>
        <w:rPr>
          <w:rFonts w:hint="eastAsia" w:ascii="宋体" w:hAnsi="宋体"/>
          <w:kern w:val="0"/>
          <w:szCs w:val="21"/>
          <w:u w:val="single"/>
        </w:rPr>
      </w:pP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      卖方/乙方（公章）： </w:t>
      </w:r>
    </w:p>
    <w:p w14:paraId="460C8058">
      <w:pPr>
        <w:wordWrap w:val="0"/>
        <w:spacing w:line="480" w:lineRule="auto"/>
        <w:rPr>
          <w:rFonts w:hint="eastAsia" w:ascii="宋体" w:hAnsi="宋体"/>
          <w:kern w:val="0"/>
          <w:szCs w:val="21"/>
        </w:rPr>
      </w:pP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法定代表人或其授权人签字： </w:t>
      </w:r>
    </w:p>
    <w:p w14:paraId="24F97F46">
      <w:pPr>
        <w:wordWrap w:val="0"/>
        <w:spacing w:line="480" w:lineRule="auto"/>
        <w:ind w:firstLine="5040" w:firstLineChars="2400"/>
        <w:rPr>
          <w:rFonts w:ascii="宋体" w:hAnsi="宋体"/>
          <w:kern w:val="0"/>
          <w:szCs w:val="21"/>
        </w:rPr>
      </w:pPr>
      <w:r>
        <w:rPr>
          <w:rFonts w:hint="eastAsia" w:ascii="宋体" w:hAnsi="宋体"/>
          <w:kern w:val="0"/>
          <w:szCs w:val="21"/>
        </w:rPr>
        <w:t xml:space="preserve">日期：  </w:t>
      </w:r>
      <w:r>
        <w:rPr>
          <w:rFonts w:ascii="宋体" w:hAnsi="宋体"/>
          <w:kern w:val="0"/>
          <w:szCs w:val="21"/>
        </w:rPr>
        <w:t xml:space="preserve">   </w:t>
      </w:r>
      <w:r>
        <w:rPr>
          <w:rFonts w:hint="eastAsia" w:ascii="宋体" w:hAnsi="宋体"/>
          <w:kern w:val="0"/>
          <w:szCs w:val="21"/>
        </w:rPr>
        <w:t xml:space="preserve"> 年   月   日</w:t>
      </w:r>
    </w:p>
    <w:p w14:paraId="4A7DAE9E">
      <w:pPr>
        <w:rPr>
          <w:rFonts w:ascii="宋体" w:hAnsi="宋体"/>
          <w:sz w:val="28"/>
          <w:szCs w:val="28"/>
        </w:rPr>
      </w:pPr>
    </w:p>
    <w:p w14:paraId="3CFDE2EE">
      <w:pPr>
        <w:outlineLvl w:val="1"/>
        <w:rPr>
          <w:rFonts w:hint="eastAsia" w:ascii="宋体" w:hAnsi="宋体"/>
          <w:sz w:val="28"/>
          <w:szCs w:val="28"/>
        </w:rPr>
      </w:pPr>
    </w:p>
    <w:p w14:paraId="7E2A7F75">
      <w:pPr>
        <w:outlineLvl w:val="1"/>
        <w:rPr>
          <w:rFonts w:hint="eastAsia" w:ascii="宋体" w:hAnsi="宋体"/>
          <w:sz w:val="28"/>
          <w:szCs w:val="28"/>
        </w:rPr>
      </w:pPr>
    </w:p>
    <w:p w14:paraId="54A4B998">
      <w:pPr>
        <w:outlineLvl w:val="1"/>
        <w:rPr>
          <w:rFonts w:hint="eastAsia" w:ascii="宋体" w:hAnsi="宋体"/>
          <w:sz w:val="28"/>
          <w:szCs w:val="28"/>
        </w:rPr>
      </w:pPr>
    </w:p>
    <w:p w14:paraId="673BABF7">
      <w:pPr>
        <w:outlineLvl w:val="1"/>
        <w:rPr>
          <w:rFonts w:hint="eastAsia" w:ascii="宋体" w:hAnsi="宋体"/>
          <w:sz w:val="28"/>
          <w:szCs w:val="28"/>
        </w:rPr>
      </w:pPr>
    </w:p>
    <w:p w14:paraId="5328DFB8">
      <w:pPr>
        <w:outlineLvl w:val="1"/>
        <w:rPr>
          <w:rFonts w:hint="eastAsia" w:ascii="宋体" w:hAnsi="宋体"/>
          <w:sz w:val="28"/>
          <w:szCs w:val="28"/>
        </w:rPr>
      </w:pPr>
    </w:p>
    <w:p w14:paraId="5CCD31AF">
      <w:pPr>
        <w:outlineLvl w:val="1"/>
        <w:rPr>
          <w:rFonts w:hint="eastAsia" w:ascii="宋体" w:hAnsi="宋体"/>
          <w:sz w:val="28"/>
          <w:szCs w:val="28"/>
        </w:rPr>
      </w:pPr>
    </w:p>
    <w:p w14:paraId="51B8FCD5">
      <w:pPr>
        <w:outlineLvl w:val="1"/>
        <w:rPr>
          <w:rFonts w:hint="eastAsia" w:ascii="宋体" w:hAnsi="宋体"/>
          <w:sz w:val="28"/>
          <w:szCs w:val="28"/>
        </w:rPr>
      </w:pPr>
    </w:p>
    <w:p w14:paraId="3BEA5864">
      <w:pPr>
        <w:outlineLvl w:val="1"/>
        <w:rPr>
          <w:rFonts w:hint="eastAsia" w:ascii="宋体" w:hAnsi="宋体"/>
          <w:sz w:val="28"/>
          <w:szCs w:val="28"/>
        </w:rPr>
      </w:pPr>
    </w:p>
    <w:p w14:paraId="6A6154AE">
      <w:pPr>
        <w:outlineLvl w:val="1"/>
        <w:rPr>
          <w:rFonts w:hint="eastAsia" w:ascii="宋体" w:hAnsi="宋体"/>
          <w:sz w:val="28"/>
          <w:szCs w:val="28"/>
        </w:rPr>
      </w:pPr>
    </w:p>
    <w:p w14:paraId="766EFAC9">
      <w:pPr>
        <w:outlineLvl w:val="1"/>
        <w:rPr>
          <w:rFonts w:hint="eastAsia" w:ascii="宋体" w:hAnsi="宋体"/>
          <w:sz w:val="28"/>
          <w:szCs w:val="28"/>
        </w:rPr>
      </w:pPr>
    </w:p>
    <w:p w14:paraId="4C502532">
      <w:pPr>
        <w:outlineLvl w:val="1"/>
        <w:rPr>
          <w:rFonts w:hint="eastAsia" w:ascii="宋体" w:hAnsi="宋体"/>
          <w:sz w:val="28"/>
          <w:szCs w:val="28"/>
        </w:rPr>
      </w:pPr>
    </w:p>
    <w:p w14:paraId="1E33B5D8">
      <w:pPr>
        <w:outlineLvl w:val="1"/>
        <w:rPr>
          <w:rFonts w:hint="eastAsia" w:ascii="宋体" w:hAnsi="宋体"/>
          <w:sz w:val="28"/>
          <w:szCs w:val="28"/>
        </w:rPr>
      </w:pPr>
    </w:p>
    <w:p w14:paraId="564B6457">
      <w:pPr>
        <w:outlineLvl w:val="1"/>
        <w:rPr>
          <w:rFonts w:hint="eastAsia" w:ascii="宋体" w:hAnsi="宋体"/>
          <w:sz w:val="28"/>
          <w:szCs w:val="28"/>
        </w:rPr>
      </w:pPr>
    </w:p>
    <w:p w14:paraId="781C18E7">
      <w:pPr>
        <w:outlineLvl w:val="1"/>
        <w:rPr>
          <w:rFonts w:hint="eastAsia" w:ascii="宋体" w:hAnsi="宋体"/>
          <w:sz w:val="28"/>
          <w:szCs w:val="28"/>
        </w:rPr>
      </w:pPr>
    </w:p>
    <w:p w14:paraId="7206E0C6">
      <w:pPr>
        <w:outlineLvl w:val="1"/>
        <w:rPr>
          <w:rFonts w:hint="eastAsia" w:ascii="宋体" w:hAnsi="宋体"/>
          <w:sz w:val="28"/>
          <w:szCs w:val="28"/>
        </w:rPr>
      </w:pPr>
    </w:p>
    <w:p w14:paraId="65C3E7FF">
      <w:pPr>
        <w:outlineLvl w:val="1"/>
        <w:rPr>
          <w:rFonts w:hint="eastAsia" w:ascii="宋体" w:hAnsi="宋体"/>
          <w:sz w:val="28"/>
          <w:szCs w:val="28"/>
        </w:rPr>
      </w:pPr>
    </w:p>
    <w:p w14:paraId="0AEF90FC">
      <w:pPr>
        <w:outlineLvl w:val="1"/>
        <w:rPr>
          <w:rFonts w:hint="eastAsia" w:ascii="宋体" w:hAnsi="宋体"/>
          <w:sz w:val="28"/>
          <w:szCs w:val="28"/>
        </w:rPr>
      </w:pPr>
    </w:p>
    <w:p w14:paraId="4D1DAD3D">
      <w:pPr>
        <w:outlineLvl w:val="1"/>
        <w:rPr>
          <w:rFonts w:hint="eastAsia" w:ascii="宋体" w:hAnsi="宋体"/>
          <w:sz w:val="28"/>
          <w:szCs w:val="28"/>
        </w:rPr>
      </w:pPr>
    </w:p>
    <w:p w14:paraId="0091EE00">
      <w:pPr>
        <w:outlineLvl w:val="1"/>
        <w:rPr>
          <w:rFonts w:hint="eastAsia" w:ascii="宋体" w:hAnsi="宋体"/>
          <w:sz w:val="28"/>
          <w:szCs w:val="28"/>
        </w:rPr>
      </w:pPr>
    </w:p>
    <w:p w14:paraId="4517B60E">
      <w:pPr>
        <w:outlineLvl w:val="1"/>
        <w:rPr>
          <w:rFonts w:hint="eastAsia" w:ascii="宋体" w:hAnsi="宋体"/>
          <w:sz w:val="28"/>
          <w:szCs w:val="28"/>
        </w:rPr>
      </w:pPr>
    </w:p>
    <w:p w14:paraId="21204E31">
      <w:pPr>
        <w:outlineLvl w:val="1"/>
        <w:rPr>
          <w:rFonts w:hint="eastAsia" w:ascii="宋体" w:hAnsi="宋体"/>
          <w:sz w:val="28"/>
          <w:szCs w:val="28"/>
        </w:rPr>
      </w:pPr>
    </w:p>
    <w:p w14:paraId="62487045">
      <w:pPr>
        <w:outlineLvl w:val="1"/>
        <w:rPr>
          <w:rFonts w:hint="eastAsia" w:ascii="宋体" w:hAnsi="宋体"/>
          <w:sz w:val="28"/>
          <w:szCs w:val="28"/>
        </w:rPr>
      </w:pPr>
    </w:p>
    <w:p w14:paraId="1C28AA8B">
      <w:pPr>
        <w:outlineLvl w:val="1"/>
        <w:rPr>
          <w:rFonts w:hint="eastAsia" w:ascii="宋体" w:hAnsi="宋体"/>
          <w:sz w:val="28"/>
          <w:szCs w:val="28"/>
        </w:rPr>
      </w:pPr>
    </w:p>
    <w:p w14:paraId="6CF6C42C">
      <w:pPr>
        <w:outlineLvl w:val="1"/>
        <w:rPr>
          <w:rFonts w:hint="eastAsia" w:ascii="宋体" w:hAnsi="宋体"/>
          <w:sz w:val="28"/>
          <w:szCs w:val="28"/>
        </w:rPr>
      </w:pPr>
    </w:p>
    <w:p w14:paraId="6815B662">
      <w:pPr>
        <w:outlineLvl w:val="1"/>
        <w:rPr>
          <w:rFonts w:hint="eastAsia" w:ascii="宋体" w:hAnsi="宋体"/>
          <w:sz w:val="28"/>
          <w:szCs w:val="28"/>
        </w:rPr>
      </w:pPr>
    </w:p>
    <w:p w14:paraId="78BDC587">
      <w:pPr>
        <w:outlineLvl w:val="1"/>
        <w:rPr>
          <w:rFonts w:hint="eastAsia" w:ascii="宋体" w:hAnsi="宋体"/>
          <w:sz w:val="28"/>
          <w:szCs w:val="28"/>
        </w:rPr>
      </w:pPr>
    </w:p>
    <w:p w14:paraId="0BCB10D4">
      <w:pPr>
        <w:outlineLvl w:val="1"/>
        <w:rPr>
          <w:rFonts w:hint="eastAsia" w:ascii="宋体" w:hAnsi="宋体"/>
          <w:sz w:val="28"/>
          <w:szCs w:val="28"/>
        </w:rPr>
      </w:pPr>
      <w:bookmarkStart w:id="64" w:name="_Toc12499"/>
      <w:r>
        <w:rPr>
          <w:rFonts w:hint="eastAsia" w:ascii="宋体" w:hAnsi="宋体"/>
          <w:sz w:val="28"/>
          <w:szCs w:val="28"/>
        </w:rPr>
        <w:t>附件九</w:t>
      </w:r>
      <w:bookmarkEnd w:id="64"/>
    </w:p>
    <w:p w14:paraId="29340F6F">
      <w:pPr>
        <w:snapToGrid w:val="0"/>
        <w:spacing w:before="60" w:after="60" w:line="312" w:lineRule="auto"/>
        <w:jc w:val="center"/>
        <w:rPr>
          <w:rFonts w:hint="eastAsia" w:ascii="宋体" w:hAnsi="宋体" w:eastAsia="宋体" w:cs="新宋体"/>
          <w:b/>
          <w:bCs/>
          <w:kern w:val="0"/>
          <w:sz w:val="36"/>
          <w:szCs w:val="36"/>
          <w:lang w:val="en-US" w:eastAsia="zh-CN" w:bidi="ar-SA"/>
        </w:rPr>
      </w:pPr>
      <w:r>
        <w:rPr>
          <w:rFonts w:hint="eastAsia" w:ascii="宋体" w:hAnsi="宋体" w:eastAsia="宋体" w:cs="新宋体"/>
          <w:b/>
          <w:bCs/>
          <w:kern w:val="0"/>
          <w:sz w:val="36"/>
          <w:szCs w:val="36"/>
          <w:lang w:val="en-US" w:eastAsia="zh-CN" w:bidi="ar-SA"/>
        </w:rPr>
        <w:t>投标供应商付款操作指南</w:t>
      </w:r>
    </w:p>
    <w:p w14:paraId="17EA6D32">
      <w:pPr>
        <w:keepNext/>
        <w:keepLines/>
        <w:snapToGrid w:val="0"/>
        <w:spacing w:line="408" w:lineRule="auto"/>
        <w:jc w:val="left"/>
        <w:outlineLvl w:val="0"/>
        <w:rPr>
          <w:rFonts w:ascii="minorHAnsi" w:hAnsi="minorHAnsi" w:eastAsia="等线"/>
          <w:b/>
          <w:bCs/>
          <w:color w:val="1A1A1A"/>
          <w:sz w:val="28"/>
          <w:szCs w:val="36"/>
        </w:rPr>
      </w:pPr>
      <w:bookmarkStart w:id="65" w:name="_Toc10203"/>
      <w:r>
        <w:rPr>
          <w:rFonts w:ascii="minorHAnsi" w:hAnsi="minorHAnsi" w:eastAsia="等线"/>
          <w:b/>
          <w:bCs/>
          <w:color w:val="1A1A1A"/>
          <w:sz w:val="28"/>
          <w:szCs w:val="36"/>
        </w:rPr>
        <w:t>一、收款开户行</w:t>
      </w:r>
      <w:bookmarkEnd w:id="65"/>
    </w:p>
    <w:p w14:paraId="309D0D54">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开户行名称：中国农业银行股份有限公司总行营业部（非转汇行）</w:t>
      </w:r>
    </w:p>
    <w:p w14:paraId="7F4E3FBD">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联行号：103100000018</w:t>
      </w:r>
    </w:p>
    <w:p w14:paraId="0082960C">
      <w:pPr>
        <w:spacing w:line="360" w:lineRule="auto"/>
        <w:ind w:firstLine="482" w:firstLineChars="200"/>
        <w:rPr>
          <w:rFonts w:hint="eastAsia" w:ascii="宋体" w:hAnsi="宋体" w:cs="宋体"/>
          <w:b/>
          <w:color w:val="000000"/>
          <w:sz w:val="24"/>
          <w:szCs w:val="22"/>
        </w:rPr>
      </w:pPr>
      <w:r>
        <w:rPr>
          <w:rFonts w:ascii="宋体" w:hAnsi="宋体" w:cs="宋体"/>
          <w:b/>
          <w:color w:val="000000"/>
          <w:sz w:val="24"/>
          <w:szCs w:val="22"/>
        </w:rPr>
        <w:t>注意：</w:t>
      </w:r>
    </w:p>
    <w:p w14:paraId="7391639C">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①开户行名称必须填写完整，包括“</w:t>
      </w:r>
      <w:r>
        <w:rPr>
          <w:rFonts w:ascii="宋体" w:hAnsi="宋体" w:cs="宋体"/>
          <w:b/>
          <w:color w:val="FF0000"/>
          <w:sz w:val="24"/>
          <w:szCs w:val="22"/>
        </w:rPr>
        <w:t>（非转汇行）</w:t>
      </w:r>
      <w:r>
        <w:rPr>
          <w:rFonts w:ascii="宋体" w:hAnsi="宋体" w:cs="宋体"/>
          <w:color w:val="000000"/>
          <w:sz w:val="24"/>
          <w:szCs w:val="22"/>
        </w:rPr>
        <w:t>”，字符括号为</w:t>
      </w:r>
      <w:r>
        <w:rPr>
          <w:rFonts w:ascii="宋体" w:hAnsi="宋体" w:cs="宋体"/>
          <w:b/>
          <w:color w:val="FF0000"/>
          <w:sz w:val="24"/>
          <w:szCs w:val="22"/>
        </w:rPr>
        <w:t>全角</w:t>
      </w:r>
      <w:r>
        <w:rPr>
          <w:rFonts w:ascii="宋体" w:hAnsi="宋体" w:cs="宋体"/>
          <w:color w:val="000000"/>
          <w:sz w:val="24"/>
          <w:szCs w:val="22"/>
        </w:rPr>
        <w:t>格式。与前后字符相隔较远的为全角，紧挨着前后字符的为半角。</w:t>
      </w:r>
    </w:p>
    <w:p w14:paraId="368641CC">
      <w:pPr>
        <w:ind w:left="-708" w:leftChars="-337" w:right="-624" w:rightChars="-297"/>
        <w:rPr>
          <w:rFonts w:hint="eastAsia" w:ascii="宋体" w:hAnsi="宋体" w:cs="宋体"/>
          <w:b/>
          <w:color w:val="000000"/>
          <w:sz w:val="32"/>
          <w:szCs w:val="22"/>
        </w:rPr>
      </w:pPr>
    </w:p>
    <w:p w14:paraId="56DBCBDB">
      <w:pPr>
        <w:keepNext/>
        <w:keepLines/>
        <w:snapToGrid w:val="0"/>
        <w:spacing w:line="408" w:lineRule="auto"/>
        <w:jc w:val="left"/>
        <w:outlineLvl w:val="0"/>
        <w:rPr>
          <w:rFonts w:ascii="minorHAnsi" w:hAnsi="minorHAnsi" w:eastAsia="等线"/>
          <w:b/>
          <w:bCs/>
          <w:color w:val="1A1A1A"/>
          <w:sz w:val="36"/>
          <w:szCs w:val="36"/>
        </w:rPr>
      </w:pPr>
      <w:bookmarkStart w:id="66" w:name="_Toc17089"/>
      <w:r>
        <w:rPr>
          <w:rFonts w:ascii="minorHAnsi" w:hAnsi="minorHAnsi" w:eastAsia="等线"/>
          <w:b/>
          <w:bCs/>
          <w:color w:val="1A1A1A"/>
          <w:sz w:val="28"/>
          <w:szCs w:val="36"/>
        </w:rPr>
        <w:t>二、汇款注意事项</w:t>
      </w:r>
      <w:bookmarkEnd w:id="66"/>
    </w:p>
    <w:p w14:paraId="39CB3F87">
      <w:pPr>
        <w:keepNext/>
        <w:keepLines/>
        <w:snapToGrid w:val="0"/>
        <w:spacing w:line="408" w:lineRule="auto"/>
        <w:jc w:val="left"/>
        <w:outlineLvl w:val="1"/>
        <w:rPr>
          <w:rFonts w:ascii="minorHAnsi" w:hAnsi="minorHAnsi" w:eastAsia="等线"/>
          <w:b/>
          <w:bCs/>
          <w:color w:val="1A1A1A"/>
          <w:sz w:val="32"/>
          <w:szCs w:val="32"/>
        </w:rPr>
      </w:pPr>
      <w:bookmarkStart w:id="67" w:name="_Toc13122"/>
      <w:r>
        <w:rPr>
          <w:rFonts w:ascii="minorHAnsi" w:hAnsi="minorHAnsi" w:eastAsia="等线"/>
          <w:b/>
          <w:bCs/>
          <w:color w:val="1A1A1A"/>
          <w:sz w:val="28"/>
          <w:szCs w:val="32"/>
        </w:rPr>
        <w:t>（1）通过企业网上银行支付</w:t>
      </w:r>
      <w:bookmarkEnd w:id="67"/>
    </w:p>
    <w:p w14:paraId="29B5A759">
      <w:pPr>
        <w:snapToGrid w:val="0"/>
        <w:ind w:firstLine="480" w:firstLineChars="200"/>
        <w:jc w:val="left"/>
        <w:rPr>
          <w:rFonts w:hint="eastAsia" w:ascii="宋体" w:hAnsi="宋体" w:cs="宋体"/>
          <w:color w:val="000000"/>
          <w:sz w:val="24"/>
          <w:szCs w:val="22"/>
        </w:rPr>
      </w:pPr>
      <w:r>
        <w:rPr>
          <w:rFonts w:ascii="宋体" w:hAnsi="宋体" w:cs="宋体"/>
          <w:color w:val="000000"/>
          <w:sz w:val="24"/>
          <w:szCs w:val="22"/>
        </w:rPr>
        <w:t>①</w:t>
      </w:r>
      <w:r>
        <w:rPr>
          <w:rFonts w:ascii="宋体" w:hAnsi="宋体" w:cs="宋体"/>
          <w:b/>
          <w:color w:val="FF0000"/>
          <w:sz w:val="24"/>
          <w:szCs w:val="22"/>
        </w:rPr>
        <w:t>付款方银行</w:t>
      </w:r>
      <w:r>
        <w:rPr>
          <w:rFonts w:ascii="宋体" w:hAnsi="宋体" w:cs="宋体"/>
          <w:color w:val="000000"/>
          <w:sz w:val="24"/>
          <w:szCs w:val="22"/>
        </w:rPr>
        <w:t>无论从哪个银行汇出，均要选择“</w:t>
      </w:r>
      <w:r>
        <w:rPr>
          <w:rFonts w:ascii="宋体" w:hAnsi="宋体" w:cs="宋体"/>
          <w:b/>
          <w:color w:val="FF0000"/>
          <w:sz w:val="24"/>
          <w:szCs w:val="22"/>
        </w:rPr>
        <w:t>跨行</w:t>
      </w:r>
      <w:r>
        <w:rPr>
          <w:rFonts w:ascii="宋体" w:hAnsi="宋体" w:cs="宋体"/>
          <w:color w:val="000000"/>
          <w:sz w:val="24"/>
          <w:szCs w:val="22"/>
        </w:rPr>
        <w:t xml:space="preserve">”交易，但收款方开户行类别要根据出款银行做区分： </w:t>
      </w:r>
      <w:r>
        <w:rPr>
          <w:rFonts w:ascii="宋体" w:hAnsi="宋体" w:cs="宋体"/>
          <w:color w:val="000000"/>
          <w:sz w:val="24"/>
          <w:szCs w:val="22"/>
        </w:rPr>
        <w:drawing>
          <wp:inline distT="0" distB="0" distL="114300" distR="114300">
            <wp:extent cx="6181090" cy="952500"/>
            <wp:effectExtent l="0" t="0" r="3810" b="0"/>
            <wp:docPr id="11" name="图片 3" descr="descript"/>
            <wp:cNvGraphicFramePr/>
            <a:graphic xmlns:a="http://schemas.openxmlformats.org/drawingml/2006/main">
              <a:graphicData uri="http://schemas.openxmlformats.org/drawingml/2006/picture">
                <pic:pic xmlns:pic="http://schemas.openxmlformats.org/drawingml/2006/picture">
                  <pic:nvPicPr>
                    <pic:cNvPr id="11" name="图片 3" descr="descript"/>
                    <pic:cNvPicPr/>
                  </pic:nvPicPr>
                  <pic:blipFill>
                    <a:blip r:embed="rId19"/>
                    <a:stretch>
                      <a:fillRect/>
                    </a:stretch>
                  </pic:blipFill>
                  <pic:spPr>
                    <a:xfrm>
                      <a:off x="0" y="0"/>
                      <a:ext cx="6181090" cy="952500"/>
                    </a:xfrm>
                    <a:prstGeom prst="rect">
                      <a:avLst/>
                    </a:prstGeom>
                    <a:solidFill>
                      <a:srgbClr val="FFFFFF"/>
                    </a:solidFill>
                    <a:ln>
                      <a:noFill/>
                    </a:ln>
                  </pic:spPr>
                </pic:pic>
              </a:graphicData>
            </a:graphic>
          </wp:inline>
        </w:drawing>
      </w:r>
    </w:p>
    <w:p w14:paraId="51FA9E9F">
      <w:pPr>
        <w:snapToGrid w:val="0"/>
        <w:ind w:firstLine="480" w:firstLineChars="200"/>
        <w:jc w:val="left"/>
        <w:rPr>
          <w:rFonts w:hint="eastAsia" w:ascii="宋体" w:hAnsi="宋体" w:cs="宋体"/>
          <w:color w:val="000000"/>
          <w:szCs w:val="22"/>
        </w:rPr>
      </w:pPr>
      <w:r>
        <w:rPr>
          <w:rFonts w:ascii="宋体" w:hAnsi="宋体" w:cs="宋体"/>
          <w:color w:val="000000"/>
          <w:sz w:val="24"/>
          <w:szCs w:val="22"/>
        </w:rPr>
        <w:t>②</w:t>
      </w:r>
      <w:r>
        <w:rPr>
          <w:rFonts w:ascii="宋体" w:hAnsi="宋体" w:cs="宋体"/>
          <w:color w:val="FF0000"/>
          <w:sz w:val="24"/>
          <w:szCs w:val="22"/>
        </w:rPr>
        <w:t>付款用途</w:t>
      </w:r>
      <w:r>
        <w:rPr>
          <w:rFonts w:ascii="宋体" w:hAnsi="宋体" w:cs="宋体"/>
          <w:color w:val="000000"/>
          <w:sz w:val="24"/>
          <w:szCs w:val="22"/>
        </w:rPr>
        <w:t>要写在“附言”项里，也就是常说的摘要/备注。附言不超30个字。</w:t>
      </w:r>
    </w:p>
    <w:p w14:paraId="1DAD16DE">
      <w:pPr>
        <w:snapToGrid w:val="0"/>
        <w:ind w:firstLine="420" w:firstLineChars="200"/>
        <w:jc w:val="left"/>
        <w:rPr>
          <w:rFonts w:hint="eastAsia" w:ascii="宋体" w:hAnsi="宋体" w:cs="宋体"/>
          <w:color w:val="000000"/>
          <w:szCs w:val="22"/>
        </w:rPr>
      </w:pPr>
    </w:p>
    <w:p w14:paraId="056AC7BB">
      <w:pPr>
        <w:snapToGrid w:val="0"/>
        <w:ind w:firstLine="420" w:firstLineChars="200"/>
        <w:jc w:val="left"/>
        <w:rPr>
          <w:rFonts w:hint="eastAsia" w:ascii="宋体" w:hAnsi="宋体" w:cs="宋体"/>
          <w:color w:val="000000"/>
          <w:szCs w:val="22"/>
        </w:rPr>
      </w:pPr>
      <w:r>
        <w:rPr>
          <w:rFonts w:ascii="宋体" w:hAnsi="宋体" w:cs="宋体"/>
          <w:color w:val="000000"/>
          <w:szCs w:val="22"/>
        </w:rPr>
        <w:drawing>
          <wp:inline distT="0" distB="0" distL="114300" distR="114300">
            <wp:extent cx="5370830" cy="4427220"/>
            <wp:effectExtent l="0" t="0" r="1270" b="5080"/>
            <wp:docPr id="13"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descript"/>
                    <pic:cNvPicPr>
                      <a:picLocks noChangeAspect="1"/>
                    </pic:cNvPicPr>
                  </pic:nvPicPr>
                  <pic:blipFill>
                    <a:blip r:embed="rId20"/>
                    <a:stretch>
                      <a:fillRect/>
                    </a:stretch>
                  </pic:blipFill>
                  <pic:spPr>
                    <a:xfrm>
                      <a:off x="0" y="0"/>
                      <a:ext cx="5370830" cy="4427220"/>
                    </a:xfrm>
                    <a:prstGeom prst="rect">
                      <a:avLst/>
                    </a:prstGeom>
                    <a:noFill/>
                    <a:ln>
                      <a:noFill/>
                    </a:ln>
                  </pic:spPr>
                </pic:pic>
              </a:graphicData>
            </a:graphic>
          </wp:inline>
        </w:drawing>
      </w:r>
    </w:p>
    <w:p w14:paraId="5388868B">
      <w:pPr>
        <w:spacing w:line="360" w:lineRule="auto"/>
        <w:ind w:left="-708" w:leftChars="-337" w:right="-624" w:rightChars="-297" w:firstLine="420" w:firstLineChars="200"/>
        <w:rPr>
          <w:rFonts w:hint="eastAsia" w:ascii="宋体" w:hAnsi="宋体" w:cs="宋体"/>
          <w:color w:val="000000"/>
          <w:szCs w:val="22"/>
        </w:rPr>
      </w:pPr>
    </w:p>
    <w:p w14:paraId="7010B653">
      <w:pPr>
        <w:keepNext/>
        <w:keepLines/>
        <w:snapToGrid w:val="0"/>
        <w:spacing w:line="408" w:lineRule="auto"/>
        <w:jc w:val="left"/>
        <w:outlineLvl w:val="1"/>
        <w:rPr>
          <w:rFonts w:ascii="minorHAnsi" w:hAnsi="minorHAnsi" w:eastAsia="等线"/>
          <w:b/>
          <w:bCs/>
          <w:color w:val="1A1A1A"/>
          <w:sz w:val="28"/>
          <w:szCs w:val="32"/>
        </w:rPr>
      </w:pPr>
      <w:bookmarkStart w:id="68" w:name="_Toc6803"/>
      <w:r>
        <w:rPr>
          <w:rFonts w:ascii="minorHAnsi" w:hAnsi="minorHAnsi" w:eastAsia="等线"/>
          <w:b/>
          <w:bCs/>
          <w:color w:val="1A1A1A"/>
          <w:sz w:val="28"/>
          <w:szCs w:val="32"/>
        </w:rPr>
        <w:t>农行网银付款注意事项：</w:t>
      </w:r>
      <w:bookmarkEnd w:id="68"/>
    </w:p>
    <w:p w14:paraId="5B0FA372">
      <w:pPr>
        <w:spacing w:line="360" w:lineRule="auto"/>
        <w:ind w:firstLine="482" w:firstLineChars="200"/>
        <w:rPr>
          <w:rFonts w:hint="eastAsia" w:ascii="宋体" w:hAnsi="宋体" w:cs="宋体"/>
          <w:b/>
          <w:color w:val="000000"/>
          <w:sz w:val="24"/>
          <w:szCs w:val="22"/>
        </w:rPr>
      </w:pPr>
      <w:r>
        <w:rPr>
          <w:rFonts w:ascii="宋体" w:hAnsi="宋体" w:cs="宋体"/>
          <w:b/>
          <w:color w:val="000000"/>
          <w:sz w:val="24"/>
          <w:szCs w:val="22"/>
        </w:rPr>
        <w:t>投标供应商采用</w:t>
      </w:r>
      <w:r>
        <w:rPr>
          <w:rFonts w:ascii="宋体" w:hAnsi="宋体" w:cs="宋体"/>
          <w:b/>
          <w:color w:val="FF0000"/>
          <w:sz w:val="24"/>
          <w:szCs w:val="22"/>
        </w:rPr>
        <w:t>农行网银</w:t>
      </w:r>
      <w:r>
        <w:rPr>
          <w:rFonts w:ascii="宋体" w:hAnsi="宋体" w:cs="宋体"/>
          <w:b/>
          <w:color w:val="000000"/>
          <w:sz w:val="24"/>
          <w:szCs w:val="22"/>
        </w:rPr>
        <w:t>付款时，必须</w:t>
      </w:r>
      <w:r>
        <w:rPr>
          <w:rFonts w:ascii="宋体" w:hAnsi="宋体" w:cs="宋体"/>
          <w:b/>
          <w:color w:val="FF0000"/>
          <w:sz w:val="24"/>
          <w:szCs w:val="22"/>
        </w:rPr>
        <w:t>先进行收款方信息维护</w:t>
      </w:r>
      <w:r>
        <w:rPr>
          <w:rFonts w:ascii="宋体" w:hAnsi="宋体" w:cs="宋体"/>
          <w:b/>
          <w:color w:val="000000"/>
          <w:sz w:val="24"/>
          <w:szCs w:val="22"/>
        </w:rPr>
        <w:t>再付款，维护详见步骤一、二。</w:t>
      </w:r>
    </w:p>
    <w:p w14:paraId="071C64BD">
      <w:pPr>
        <w:spacing w:line="360" w:lineRule="auto"/>
        <w:ind w:firstLine="482" w:firstLineChars="200"/>
        <w:rPr>
          <w:rFonts w:hint="eastAsia" w:ascii="宋体" w:hAnsi="宋体" w:cs="宋体"/>
          <w:color w:val="000000"/>
          <w:szCs w:val="22"/>
        </w:rPr>
      </w:pPr>
      <w:r>
        <w:rPr>
          <w:rFonts w:ascii="宋体" w:hAnsi="宋体" w:cs="宋体"/>
          <w:b/>
          <w:color w:val="000000"/>
          <w:sz w:val="24"/>
          <w:szCs w:val="22"/>
        </w:rPr>
        <w:t>维护完成后进行转账支付，点击</w:t>
      </w:r>
      <w:r>
        <w:rPr>
          <w:rFonts w:ascii="宋体" w:hAnsi="宋体" w:cs="宋体"/>
          <w:b/>
          <w:color w:val="FF0000"/>
          <w:sz w:val="24"/>
          <w:szCs w:val="22"/>
        </w:rPr>
        <w:t>收款方名册</w:t>
      </w:r>
      <w:r>
        <w:rPr>
          <w:rFonts w:ascii="宋体" w:hAnsi="宋体" w:cs="宋体"/>
          <w:b/>
          <w:color w:val="000000"/>
          <w:sz w:val="24"/>
          <w:szCs w:val="22"/>
        </w:rPr>
        <w:t>选择收款单位，转账方式选择“</w:t>
      </w:r>
      <w:r>
        <w:rPr>
          <w:rFonts w:ascii="宋体" w:hAnsi="宋体" w:cs="宋体"/>
          <w:b/>
          <w:color w:val="FF0000"/>
          <w:sz w:val="24"/>
          <w:szCs w:val="22"/>
        </w:rPr>
        <w:t>普通转账</w:t>
      </w:r>
      <w:r>
        <w:rPr>
          <w:rFonts w:ascii="宋体" w:hAnsi="宋体" w:cs="宋体"/>
          <w:b/>
          <w:color w:val="000000"/>
          <w:sz w:val="24"/>
          <w:szCs w:val="22"/>
        </w:rPr>
        <w:t>”。</w:t>
      </w:r>
    </w:p>
    <w:p w14:paraId="0A989236">
      <w:pPr>
        <w:ind w:right="-624" w:rightChars="-297"/>
        <w:jc w:val="left"/>
        <w:rPr>
          <w:rFonts w:hint="eastAsia" w:ascii="宋体" w:hAnsi="宋体" w:cs="宋体"/>
          <w:color w:val="000000"/>
          <w:szCs w:val="22"/>
        </w:rPr>
      </w:pPr>
    </w:p>
    <w:p w14:paraId="4336D5DA">
      <w:pPr>
        <w:keepNext/>
        <w:keepLines/>
        <w:snapToGrid w:val="0"/>
        <w:spacing w:line="408" w:lineRule="auto"/>
        <w:jc w:val="left"/>
        <w:outlineLvl w:val="1"/>
        <w:rPr>
          <w:rFonts w:ascii="minorHAnsi" w:hAnsi="minorHAnsi" w:eastAsia="等线"/>
          <w:b/>
          <w:bCs/>
          <w:color w:val="1A1A1A"/>
          <w:sz w:val="28"/>
          <w:szCs w:val="32"/>
        </w:rPr>
      </w:pPr>
      <w:bookmarkStart w:id="69" w:name="_Toc1237"/>
      <w:r>
        <w:rPr>
          <w:rFonts w:ascii="minorHAnsi" w:hAnsi="minorHAnsi" w:eastAsia="等线"/>
          <w:b/>
          <w:bCs/>
          <w:color w:val="1A1A1A"/>
          <w:sz w:val="28"/>
          <w:szCs w:val="32"/>
        </w:rPr>
        <w:t>收款方信息维护步骤一：</w:t>
      </w:r>
      <w:bookmarkEnd w:id="69"/>
    </w:p>
    <w:p w14:paraId="7B1C4741">
      <w:pPr>
        <w:spacing w:line="360" w:lineRule="auto"/>
        <w:ind w:firstLine="480" w:firstLineChars="200"/>
        <w:rPr>
          <w:rFonts w:hint="eastAsia" w:ascii="宋体" w:hAnsi="宋体" w:cs="宋体"/>
          <w:b/>
          <w:color w:val="FF0000"/>
          <w:szCs w:val="22"/>
        </w:rPr>
      </w:pPr>
      <w:r>
        <w:rPr>
          <w:rFonts w:ascii="宋体" w:hAnsi="宋体" w:cs="宋体"/>
          <w:color w:val="000000"/>
          <w:sz w:val="24"/>
          <w:szCs w:val="22"/>
        </w:rPr>
        <w:t>进行</w:t>
      </w:r>
      <w:r>
        <w:rPr>
          <w:rFonts w:ascii="宋体" w:hAnsi="宋体" w:cs="宋体"/>
          <w:color w:val="FF0000"/>
          <w:sz w:val="24"/>
          <w:szCs w:val="22"/>
        </w:rPr>
        <w:t>收款方信息维护</w:t>
      </w:r>
      <w:r>
        <w:rPr>
          <w:rFonts w:ascii="宋体" w:hAnsi="宋体" w:cs="宋体"/>
          <w:color w:val="000000"/>
          <w:sz w:val="24"/>
          <w:szCs w:val="22"/>
        </w:rPr>
        <w:t>-</w:t>
      </w:r>
      <w:r>
        <w:rPr>
          <w:rFonts w:ascii="宋体" w:hAnsi="宋体" w:cs="宋体"/>
          <w:color w:val="FF0000"/>
          <w:sz w:val="24"/>
          <w:szCs w:val="22"/>
        </w:rPr>
        <w:t>新增收款方</w:t>
      </w:r>
      <w:r>
        <w:rPr>
          <w:rFonts w:ascii="宋体" w:hAnsi="宋体" w:cs="宋体"/>
          <w:color w:val="000000"/>
          <w:sz w:val="24"/>
          <w:szCs w:val="22"/>
        </w:rPr>
        <w:t>-需选择“</w:t>
      </w:r>
      <w:r>
        <w:rPr>
          <w:rFonts w:ascii="宋体" w:hAnsi="宋体" w:cs="宋体"/>
          <w:color w:val="FF0000"/>
          <w:sz w:val="24"/>
          <w:szCs w:val="22"/>
        </w:rPr>
        <w:t>特殊账户类型录入</w:t>
      </w:r>
      <w:r>
        <w:rPr>
          <w:rFonts w:ascii="宋体" w:hAnsi="宋体" w:cs="宋体"/>
          <w:color w:val="000000"/>
          <w:sz w:val="24"/>
          <w:szCs w:val="22"/>
        </w:rPr>
        <w:t>”-“</w:t>
      </w:r>
      <w:r>
        <w:rPr>
          <w:rFonts w:ascii="宋体" w:hAnsi="宋体" w:cs="宋体"/>
          <w:color w:val="FF0000"/>
          <w:sz w:val="24"/>
          <w:szCs w:val="22"/>
        </w:rPr>
        <w:t>内部合约</w:t>
      </w:r>
      <w:r>
        <w:rPr>
          <w:rFonts w:ascii="宋体" w:hAnsi="宋体" w:cs="宋体"/>
          <w:color w:val="000000"/>
          <w:sz w:val="24"/>
          <w:szCs w:val="22"/>
        </w:rPr>
        <w:t>”，如图所示：</w:t>
      </w:r>
    </w:p>
    <w:p w14:paraId="3F917A23">
      <w:pPr>
        <w:ind w:left="-709" w:right="-624" w:rightChars="-297" w:firstLine="424" w:firstLineChars="202"/>
        <w:jc w:val="left"/>
        <w:rPr>
          <w:rFonts w:hint="eastAsia" w:ascii="宋体" w:hAnsi="宋体" w:cs="宋体"/>
          <w:color w:val="333333"/>
          <w:szCs w:val="22"/>
        </w:rPr>
      </w:pPr>
    </w:p>
    <w:p w14:paraId="1A36EB46">
      <w:pPr>
        <w:ind w:left="-709" w:right="-624" w:rightChars="-297" w:firstLine="424" w:firstLineChars="202"/>
        <w:jc w:val="center"/>
        <w:rPr>
          <w:rFonts w:hint="eastAsia" w:ascii="宋体" w:hAnsi="宋体" w:cs="宋体"/>
          <w:color w:val="000000"/>
          <w:szCs w:val="22"/>
        </w:rPr>
      </w:pPr>
      <w:r>
        <w:rPr>
          <w:rFonts w:ascii="宋体" w:hAnsi="宋体" w:cs="宋体"/>
          <w:color w:val="000000"/>
          <w:szCs w:val="22"/>
        </w:rPr>
        <w:t xml:space="preserve">   </w:t>
      </w:r>
      <w:r>
        <w:rPr>
          <w:rFonts w:ascii="宋体" w:hAnsi="宋体" w:cs="宋体"/>
          <w:color w:val="000000"/>
          <w:szCs w:val="22"/>
        </w:rPr>
        <w:drawing>
          <wp:inline distT="0" distB="0" distL="114300" distR="114300">
            <wp:extent cx="6208395" cy="3369945"/>
            <wp:effectExtent l="0" t="0" r="1905" b="8255"/>
            <wp:docPr id="14"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descript"/>
                    <pic:cNvPicPr>
                      <a:picLocks noChangeAspect="1"/>
                    </pic:cNvPicPr>
                  </pic:nvPicPr>
                  <pic:blipFill>
                    <a:blip r:embed="rId21"/>
                    <a:stretch>
                      <a:fillRect/>
                    </a:stretch>
                  </pic:blipFill>
                  <pic:spPr>
                    <a:xfrm>
                      <a:off x="0" y="0"/>
                      <a:ext cx="6208395" cy="3369945"/>
                    </a:xfrm>
                    <a:prstGeom prst="rect">
                      <a:avLst/>
                    </a:prstGeom>
                    <a:noFill/>
                    <a:ln>
                      <a:noFill/>
                    </a:ln>
                  </pic:spPr>
                </pic:pic>
              </a:graphicData>
            </a:graphic>
          </wp:inline>
        </w:drawing>
      </w:r>
    </w:p>
    <w:p w14:paraId="79FD2D90">
      <w:pPr>
        <w:keepNext/>
        <w:keepLines/>
        <w:snapToGrid w:val="0"/>
        <w:spacing w:line="408" w:lineRule="auto"/>
        <w:jc w:val="left"/>
        <w:outlineLvl w:val="1"/>
        <w:rPr>
          <w:rFonts w:ascii="minorHAnsi" w:hAnsi="minorHAnsi" w:eastAsia="等线"/>
          <w:b/>
          <w:bCs/>
          <w:color w:val="1A1A1A"/>
          <w:sz w:val="28"/>
          <w:szCs w:val="32"/>
        </w:rPr>
      </w:pPr>
      <w:bookmarkStart w:id="70" w:name="_Toc17754"/>
      <w:r>
        <w:rPr>
          <w:rFonts w:ascii="minorHAnsi" w:hAnsi="minorHAnsi" w:eastAsia="等线"/>
          <w:b/>
          <w:bCs/>
          <w:color w:val="1A1A1A"/>
          <w:sz w:val="28"/>
          <w:szCs w:val="32"/>
        </w:rPr>
        <w:t>收款方信息维护步骤二：</w:t>
      </w:r>
      <w:bookmarkEnd w:id="70"/>
    </w:p>
    <w:p w14:paraId="5FB2F2F4">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按要求维护完毕后进行消息确认，如图所示：</w:t>
      </w:r>
    </w:p>
    <w:p w14:paraId="1862FB2D">
      <w:pPr>
        <w:ind w:left="-709" w:right="-624" w:rightChars="-297" w:firstLine="444" w:firstLineChars="202"/>
        <w:jc w:val="left"/>
        <w:rPr>
          <w:rFonts w:hint="eastAsia" w:ascii="宋体" w:hAnsi="宋体" w:cs="宋体"/>
          <w:color w:val="333333"/>
          <w:sz w:val="22"/>
          <w:szCs w:val="22"/>
        </w:rPr>
      </w:pPr>
    </w:p>
    <w:p w14:paraId="06EE9FBC">
      <w:pPr>
        <w:ind w:left="-709" w:right="-624" w:rightChars="-297" w:firstLine="444" w:firstLineChars="202"/>
        <w:jc w:val="center"/>
        <w:rPr>
          <w:rFonts w:hint="eastAsia" w:ascii="宋体" w:hAnsi="宋体" w:cs="宋体"/>
          <w:color w:val="333333"/>
          <w:sz w:val="22"/>
          <w:szCs w:val="22"/>
        </w:rPr>
      </w:pPr>
      <w:r>
        <w:rPr>
          <w:rFonts w:ascii="宋体" w:hAnsi="宋体" w:cs="宋体"/>
          <w:color w:val="333333"/>
          <w:sz w:val="22"/>
          <w:szCs w:val="22"/>
        </w:rPr>
        <w:drawing>
          <wp:inline distT="0" distB="0" distL="114300" distR="114300">
            <wp:extent cx="5123815" cy="3109595"/>
            <wp:effectExtent l="0" t="0" r="6985" b="1905"/>
            <wp:docPr id="4"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descript"/>
                    <pic:cNvPicPr>
                      <a:picLocks noChangeAspect="1"/>
                    </pic:cNvPicPr>
                  </pic:nvPicPr>
                  <pic:blipFill>
                    <a:blip r:embed="rId22"/>
                    <a:stretch>
                      <a:fillRect/>
                    </a:stretch>
                  </pic:blipFill>
                  <pic:spPr>
                    <a:xfrm>
                      <a:off x="0" y="0"/>
                      <a:ext cx="5123815" cy="3109595"/>
                    </a:xfrm>
                    <a:prstGeom prst="rect">
                      <a:avLst/>
                    </a:prstGeom>
                    <a:noFill/>
                    <a:ln>
                      <a:noFill/>
                    </a:ln>
                  </pic:spPr>
                </pic:pic>
              </a:graphicData>
            </a:graphic>
          </wp:inline>
        </w:drawing>
      </w:r>
    </w:p>
    <w:p w14:paraId="3974190E">
      <w:pPr>
        <w:ind w:left="-709" w:right="-624" w:rightChars="-297" w:firstLine="444" w:firstLineChars="202"/>
        <w:jc w:val="left"/>
        <w:rPr>
          <w:rFonts w:hint="eastAsia" w:ascii="宋体" w:hAnsi="宋体" w:cs="宋体"/>
          <w:color w:val="333333"/>
          <w:sz w:val="22"/>
          <w:szCs w:val="22"/>
        </w:rPr>
      </w:pPr>
    </w:p>
    <w:p w14:paraId="56529F2B">
      <w:pPr>
        <w:keepNext/>
        <w:keepLines/>
        <w:snapToGrid w:val="0"/>
        <w:spacing w:line="408" w:lineRule="auto"/>
        <w:jc w:val="left"/>
        <w:outlineLvl w:val="1"/>
        <w:rPr>
          <w:rFonts w:ascii="minorHAnsi" w:hAnsi="minorHAnsi" w:eastAsia="等线"/>
          <w:b/>
          <w:bCs/>
          <w:color w:val="1A1A1A"/>
          <w:sz w:val="28"/>
          <w:szCs w:val="32"/>
        </w:rPr>
      </w:pPr>
      <w:bookmarkStart w:id="71" w:name="_Toc9757"/>
      <w:r>
        <w:rPr>
          <w:rFonts w:ascii="minorHAnsi" w:hAnsi="minorHAnsi" w:eastAsia="等线"/>
          <w:b/>
          <w:bCs/>
          <w:color w:val="1A1A1A"/>
          <w:sz w:val="28"/>
          <w:szCs w:val="32"/>
        </w:rPr>
        <w:t>（2）银行柜台转账</w:t>
      </w:r>
      <w:bookmarkEnd w:id="71"/>
    </w:p>
    <w:p w14:paraId="0647B5C6">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如果是农行柜台转账，需要告诉银行业务人员</w:t>
      </w:r>
      <w:r>
        <w:rPr>
          <w:rFonts w:ascii="宋体" w:hAnsi="宋体" w:cs="宋体"/>
          <w:color w:val="FF0000"/>
          <w:sz w:val="24"/>
          <w:szCs w:val="22"/>
        </w:rPr>
        <w:t>“农行账号往内部合约付款柜面操作，用“21201”交易，勾选账户间转账，账号录入财务公司15077账号，再勾选集中代理收付款，再录入代理行内部合约”。</w:t>
      </w:r>
    </w:p>
    <w:p w14:paraId="39C08A02">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如需跟出款行付款提示，请务必说明收款方开户银行是中铁财务公司，代理银行为农业银行，此账号为中铁财务公司为我单位开设的代理行账户。</w:t>
      </w:r>
    </w:p>
    <w:p w14:paraId="2DD81273">
      <w:pPr>
        <w:ind w:left="-708" w:leftChars="-337" w:right="-624" w:rightChars="-297" w:firstLine="420" w:firstLineChars="200"/>
        <w:jc w:val="center"/>
        <w:rPr>
          <w:rFonts w:hint="eastAsia" w:ascii="宋体" w:hAnsi="宋体" w:cs="宋体"/>
          <w:color w:val="333333"/>
          <w:szCs w:val="22"/>
        </w:rPr>
      </w:pPr>
      <w:r>
        <w:rPr>
          <w:rFonts w:ascii="宋体" w:hAnsi="宋体" w:cs="宋体"/>
          <w:color w:val="333333"/>
          <w:szCs w:val="22"/>
        </w:rPr>
        <w:drawing>
          <wp:inline distT="0" distB="0" distL="114300" distR="114300">
            <wp:extent cx="5191125" cy="3557905"/>
            <wp:effectExtent l="0" t="0" r="3175" b="10795"/>
            <wp:docPr id="15"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descript"/>
                    <pic:cNvPicPr>
                      <a:picLocks noChangeAspect="1"/>
                    </pic:cNvPicPr>
                  </pic:nvPicPr>
                  <pic:blipFill>
                    <a:blip r:embed="rId23"/>
                    <a:stretch>
                      <a:fillRect/>
                    </a:stretch>
                  </pic:blipFill>
                  <pic:spPr>
                    <a:xfrm>
                      <a:off x="0" y="0"/>
                      <a:ext cx="5191125" cy="3557905"/>
                    </a:xfrm>
                    <a:prstGeom prst="rect">
                      <a:avLst/>
                    </a:prstGeom>
                    <a:noFill/>
                    <a:ln>
                      <a:noFill/>
                    </a:ln>
                  </pic:spPr>
                </pic:pic>
              </a:graphicData>
            </a:graphic>
          </wp:inline>
        </w:drawing>
      </w:r>
    </w:p>
    <w:p w14:paraId="74FA57BE">
      <w:pPr>
        <w:ind w:left="-708" w:leftChars="-337" w:right="-624" w:rightChars="-297" w:firstLine="420" w:firstLineChars="200"/>
        <w:rPr>
          <w:rFonts w:hint="eastAsia" w:ascii="宋体" w:hAnsi="宋体" w:cs="宋体"/>
          <w:color w:val="333333"/>
          <w:szCs w:val="22"/>
        </w:rPr>
      </w:pPr>
    </w:p>
    <w:p w14:paraId="73EA1672">
      <w:pPr>
        <w:keepNext/>
        <w:keepLines/>
        <w:snapToGrid w:val="0"/>
        <w:spacing w:line="408" w:lineRule="auto"/>
        <w:jc w:val="left"/>
        <w:outlineLvl w:val="1"/>
        <w:rPr>
          <w:rFonts w:ascii="minorHAnsi" w:hAnsi="minorHAnsi" w:eastAsia="等线"/>
          <w:b/>
          <w:bCs/>
          <w:color w:val="1A1A1A"/>
          <w:sz w:val="28"/>
          <w:szCs w:val="32"/>
        </w:rPr>
      </w:pPr>
      <w:bookmarkStart w:id="72" w:name="_Toc31825"/>
      <w:r>
        <w:rPr>
          <w:rFonts w:ascii="minorHAnsi" w:hAnsi="minorHAnsi" w:eastAsia="等线"/>
          <w:b/>
          <w:bCs/>
          <w:color w:val="1A1A1A"/>
          <w:sz w:val="28"/>
          <w:szCs w:val="32"/>
        </w:rPr>
        <w:t>（3）付款结果查询</w:t>
      </w:r>
      <w:bookmarkEnd w:id="72"/>
    </w:p>
    <w:p w14:paraId="2CBDBFFD">
      <w:r>
        <w:rPr>
          <w:rFonts w:ascii="宋体" w:hAnsi="宋体" w:cs="宋体"/>
          <w:b/>
          <w:color w:val="000000"/>
          <w:sz w:val="24"/>
          <w:szCs w:val="22"/>
        </w:rPr>
        <w:t>付款银行确认已出款但收款方未到账时，如确认收款信息填写无误，请将</w:t>
      </w:r>
      <w:r>
        <w:rPr>
          <w:rFonts w:ascii="宋体" w:hAnsi="宋体" w:cs="宋体"/>
          <w:b/>
          <w:color w:val="FF0000"/>
          <w:sz w:val="24"/>
          <w:szCs w:val="22"/>
        </w:rPr>
        <w:t>正式银行回单</w:t>
      </w:r>
      <w:r>
        <w:rPr>
          <w:rFonts w:ascii="宋体" w:hAnsi="宋体" w:cs="宋体"/>
          <w:b/>
          <w:color w:val="000000"/>
          <w:sz w:val="24"/>
          <w:szCs w:val="22"/>
        </w:rPr>
        <w:t>传给招标负责人查询。</w:t>
      </w:r>
      <w:bookmarkStart w:id="73" w:name="_GoBack"/>
      <w:bookmarkEnd w:id="73"/>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CIDFon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minorHAnsi">
    <w:altName w:val="Cambria"/>
    <w:panose1 w:val="00000000000000000000"/>
    <w:charset w:val="00"/>
    <w:family w:val="roman"/>
    <w:pitch w:val="default"/>
    <w:sig w:usb0="00000000" w:usb1="00000000" w:usb2="00000000" w:usb3="00000000" w:csb0="0004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F3C45">
    <w:pPr>
      <w:pStyle w:val="6"/>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5503A8">
                          <w:pPr>
                            <w:pStyle w:val="6"/>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775503A8">
                    <w:pPr>
                      <w:pStyle w:val="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049D8">
    <w:pPr>
      <w:pStyle w:val="6"/>
      <w:framePr w:wrap="around" w:vAnchor="text" w:hAnchor="margin" w:xAlign="right" w:y="1"/>
      <w:rPr>
        <w:rStyle w:val="10"/>
      </w:rPr>
    </w:pPr>
    <w:r>
      <w:fldChar w:fldCharType="begin"/>
    </w:r>
    <w:r>
      <w:rPr>
        <w:rStyle w:val="10"/>
      </w:rPr>
      <w:instrText xml:space="preserve">PAGE  </w:instrText>
    </w:r>
    <w:r>
      <w:fldChar w:fldCharType="separate"/>
    </w:r>
    <w:r>
      <w:rPr>
        <w:rStyle w:val="10"/>
      </w:rPr>
      <w:t>9</w:t>
    </w:r>
    <w:r>
      <w:fldChar w:fldCharType="end"/>
    </w:r>
  </w:p>
  <w:p w14:paraId="3073F476">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AAAB4">
    <w:pPr>
      <w:pStyle w:val="6"/>
      <w:jc w:val="center"/>
      <w:rPr>
        <w:rFonts w:ascii="宋体" w:hAnsi="宋体"/>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F7009">
    <w:pPr>
      <w:pStyle w:val="6"/>
      <w:jc w:val="center"/>
      <w:rPr>
        <w:rFonts w:ascii="宋体" w:hAnsi="宋体"/>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64710">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6904A">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9B2A46"/>
    <w:rsid w:val="12ED3351"/>
    <w:rsid w:val="32DD7F38"/>
    <w:rsid w:val="342A10D6"/>
    <w:rsid w:val="66844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
    <w:qFormat/>
    <w:uiPriority w:val="0"/>
    <w:pPr>
      <w:keepNext/>
      <w:keepLines/>
      <w:spacing w:line="579" w:lineRule="auto"/>
      <w:jc w:val="center"/>
      <w:outlineLvl w:val="0"/>
    </w:pPr>
    <w:rPr>
      <w:rFonts w:ascii="Times New Roman" w:hAnsi="Times New Roman" w:eastAsia="方正小标宋简体"/>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pPr>
    <w:rPr>
      <w:kern w:val="0"/>
      <w:sz w:val="20"/>
    </w:rPr>
  </w:style>
  <w:style w:type="paragraph" w:styleId="5">
    <w:name w:val="Plain Text"/>
    <w:basedOn w:val="1"/>
    <w:qFormat/>
    <w:uiPriority w:val="0"/>
    <w:pPr>
      <w:ind w:firstLine="200" w:firstLineChars="200"/>
    </w:pPr>
    <w:rPr>
      <w:rFonts w:ascii="宋体" w:hAnsi="Courier New" w:eastAsia="仿宋_GB2312"/>
      <w:kern w:val="0"/>
      <w:sz w:val="20"/>
      <w:szCs w:val="21"/>
    </w:rPr>
  </w:style>
  <w:style w:type="paragraph" w:styleId="6">
    <w:name w:val="footer"/>
    <w:basedOn w:val="1"/>
    <w:unhideWhenUsed/>
    <w:qFormat/>
    <w:uiPriority w:val="99"/>
    <w:pPr>
      <w:tabs>
        <w:tab w:val="center" w:pos="4153"/>
        <w:tab w:val="right" w:pos="8306"/>
      </w:tabs>
      <w:snapToGrid w:val="0"/>
      <w:jc w:val="left"/>
    </w:pPr>
    <w:rPr>
      <w:kern w:val="0"/>
      <w:sz w:val="18"/>
      <w:szCs w:val="18"/>
    </w:rPr>
  </w:style>
  <w:style w:type="paragraph" w:styleId="7">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character" w:styleId="10">
    <w:name w:val="page number"/>
    <w:qFormat/>
    <w:uiPriority w:val="0"/>
  </w:style>
  <w:style w:type="character" w:styleId="11">
    <w:name w:val="Hyperlink"/>
    <w:qFormat/>
    <w:uiPriority w:val="99"/>
    <w:rPr>
      <w:color w:val="0000FF"/>
      <w:u w:val="single"/>
    </w:rPr>
  </w:style>
  <w:style w:type="character" w:customStyle="1" w:styleId="12">
    <w:name w:val="标题 1 字符"/>
    <w:link w:val="2"/>
    <w:qFormat/>
    <w:uiPriority w:val="0"/>
    <w:rPr>
      <w:rFonts w:ascii="Times New Roman" w:hAnsi="Times New Roman" w:eastAsia="方正小标宋简体"/>
      <w:b/>
      <w:bCs/>
      <w:kern w:val="44"/>
      <w:sz w:val="44"/>
      <w:szCs w:val="44"/>
    </w:rPr>
  </w:style>
  <w:style w:type="paragraph" w:customStyle="1" w:styleId="13">
    <w:name w:val="正文2"/>
    <w:basedOn w:val="1"/>
    <w:link w:val="16"/>
    <w:qFormat/>
    <w:uiPriority w:val="0"/>
    <w:pPr>
      <w:spacing w:line="480" w:lineRule="exact"/>
      <w:ind w:firstLine="200" w:firstLineChars="200"/>
    </w:pPr>
    <w:rPr>
      <w:rFonts w:ascii="Times New Roman" w:hAnsi="Times New Roman" w:cs="Times New Roman"/>
      <w:color w:val="000000"/>
      <w:sz w:val="24"/>
      <w:szCs w:val="24"/>
    </w:rPr>
  </w:style>
  <w:style w:type="paragraph" w:customStyle="1" w:styleId="14">
    <w:name w:val="Default"/>
    <w:qFormat/>
    <w:uiPriority w:val="99"/>
    <w:pPr>
      <w:widowControl w:val="0"/>
      <w:autoSpaceDE w:val="0"/>
      <w:autoSpaceDN w:val="0"/>
      <w:adjustRightInd w:val="0"/>
    </w:pPr>
    <w:rPr>
      <w:rFonts w:ascii="黑体" w:hAnsi="Calibri" w:eastAsia="黑体" w:cs="黑体"/>
      <w:color w:val="000000"/>
      <w:kern w:val="2"/>
      <w:sz w:val="24"/>
      <w:szCs w:val="24"/>
      <w:lang w:val="en-US" w:eastAsia="zh-CN" w:bidi="ar-SA"/>
    </w:rPr>
  </w:style>
  <w:style w:type="paragraph" w:customStyle="1" w:styleId="15">
    <w:name w:val="1"/>
    <w:basedOn w:val="1"/>
    <w:qFormat/>
    <w:uiPriority w:val="0"/>
  </w:style>
  <w:style w:type="character" w:customStyle="1" w:styleId="16">
    <w:name w:val="正文2 Char"/>
    <w:link w:val="13"/>
    <w:qFormat/>
    <w:uiPriority w:val="0"/>
    <w:rPr>
      <w:rFonts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2537</Words>
  <Characters>3128</Characters>
  <Lines>0</Lines>
  <Paragraphs>0</Paragraphs>
  <TotalTime>0</TotalTime>
  <ScaleCrop>false</ScaleCrop>
  <LinksUpToDate>false</LinksUpToDate>
  <CharactersWithSpaces>3136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2025-07-11T01:38:00Z</dcterms:created>
  <dc:creator>ZZX</dc:creator>
  <cp:lastModifiedBy>张喆先</cp:lastModifiedBy>
  <dcterms:modified xsi:type="dcterms:W3CDTF">2025-10-04T02:44:01Z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BEE984C502E346F7992F24B9A8CD415C</vt:lpwstr>
  </property>
  <property fmtid="{D5CDD505-2E9C-101B-9397-08002B2CF9AE}" pid="4" name="KSOTemplateDocerSaveRecord">
    <vt:lpwstr>eyJoZGlkIjoiODk2ZWY3Yjg2MGE1NTBjZmFmMGI1ZmU4MDAyMWU0OTIiLCJ1c2VySWQiOiIxNjU3MzI4MDg2In0=</vt:lpwstr>
  </property>
</Properties>
</file>