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240" w:lineRule="auto"/>
        <w:jc w:val="center"/>
        <w:outlineLvl w:val="0"/>
        <w:rPr>
          <w:rFonts w:ascii="黑体" w:eastAsia="黑体"/>
          <w:b/>
          <w:color w:val="000000" w:themeColor="text1"/>
          <w:sz w:val="36"/>
          <w:szCs w:val="36"/>
          <w:lang w:eastAsia="zh-CN"/>
          <w14:textFill>
            <w14:solidFill>
              <w14:schemeClr w14:val="tx1"/>
            </w14:solidFill>
          </w14:textFill>
        </w:rPr>
      </w:pPr>
      <w:bookmarkStart w:id="0" w:name="_Toc63094708"/>
      <w:bookmarkStart w:id="13" w:name="_GoBack"/>
      <w:bookmarkEnd w:id="13"/>
      <w:r>
        <w:rPr>
          <w:rFonts w:hint="eastAsia" w:ascii="黑体" w:eastAsia="黑体"/>
          <w:b/>
          <w:color w:val="000000" w:themeColor="text1"/>
          <w:sz w:val="28"/>
          <w:szCs w:val="28"/>
          <w:lang w:eastAsia="zh-CN"/>
          <w14:textFill>
            <w14:solidFill>
              <w14:schemeClr w14:val="tx1"/>
            </w14:solidFill>
          </w14:textFill>
        </w:rPr>
        <w:t xml:space="preserve">  采购公告</w:t>
      </w:r>
      <w:bookmarkEnd w:id="0"/>
    </w:p>
    <w:p>
      <w:pPr>
        <w:adjustRightInd w:val="0"/>
        <w:snapToGrid w:val="0"/>
        <w:spacing w:after="0" w:line="240" w:lineRule="auto"/>
        <w:jc w:val="center"/>
        <w:rPr>
          <w:rFonts w:ascii="黑体" w:eastAsia="黑体"/>
          <w:color w:val="000000" w:themeColor="text1"/>
          <w:sz w:val="28"/>
          <w:szCs w:val="28"/>
          <w:lang w:eastAsia="zh-CN"/>
          <w14:textFill>
            <w14:solidFill>
              <w14:schemeClr w14:val="tx1"/>
            </w14:solidFill>
          </w14:textFill>
        </w:rPr>
      </w:pPr>
      <w:bookmarkStart w:id="1" w:name="_Toc2811"/>
      <w:r>
        <w:rPr>
          <w:rFonts w:hint="eastAsia" w:ascii="黑体" w:eastAsia="黑体"/>
          <w:color w:val="000000" w:themeColor="text1"/>
          <w:sz w:val="28"/>
          <w:szCs w:val="28"/>
          <w:lang w:eastAsia="zh-CN"/>
          <w14:textFill>
            <w14:solidFill>
              <w14:schemeClr w14:val="tx1"/>
            </w14:solidFill>
          </w14:textFill>
        </w:rPr>
        <w:t>项目名称</w:t>
      </w:r>
      <w:bookmarkEnd w:id="1"/>
      <w:r>
        <w:rPr>
          <w:rFonts w:hint="eastAsia" w:ascii="黑体" w:eastAsia="黑体"/>
          <w:color w:val="000000" w:themeColor="text1"/>
          <w:sz w:val="28"/>
          <w:szCs w:val="28"/>
          <w:lang w:eastAsia="zh-CN"/>
          <w14:textFill>
            <w14:solidFill>
              <w14:schemeClr w14:val="tx1"/>
            </w14:solidFill>
          </w14:textFill>
        </w:rPr>
        <w:t>：</w:t>
      </w:r>
      <w:r>
        <w:rPr>
          <w:rFonts w:hint="eastAsia" w:ascii="黑体" w:eastAsia="黑体"/>
          <w:color w:val="000000" w:themeColor="text1"/>
          <w:sz w:val="28"/>
          <w:szCs w:val="28"/>
          <w:lang w:val="en-US" w:eastAsia="zh-CN"/>
          <w14:textFill>
            <w14:solidFill>
              <w14:schemeClr w14:val="tx1"/>
            </w14:solidFill>
          </w14:textFill>
        </w:rPr>
        <w:t>国网铜陵供电公司省管产业2024年6月服务竞争性谈判采购</w:t>
      </w:r>
    </w:p>
    <w:p>
      <w:pPr>
        <w:adjustRightInd w:val="0"/>
        <w:snapToGrid w:val="0"/>
        <w:spacing w:after="0" w:line="240" w:lineRule="auto"/>
        <w:jc w:val="center"/>
        <w:rPr>
          <w:rFonts w:ascii="黑体" w:eastAsia="黑体"/>
          <w:color w:val="000000" w:themeColor="text1"/>
          <w:sz w:val="28"/>
          <w:szCs w:val="28"/>
          <w:lang w:eastAsia="zh-CN"/>
          <w14:textFill>
            <w14:solidFill>
              <w14:schemeClr w14:val="tx1"/>
            </w14:solidFill>
          </w14:textFill>
        </w:rPr>
      </w:pPr>
      <w:bookmarkStart w:id="2" w:name="_Toc20475"/>
      <w:r>
        <w:rPr>
          <w:rFonts w:hint="eastAsia" w:ascii="黑体" w:eastAsia="黑体"/>
          <w:color w:val="000000" w:themeColor="text1"/>
          <w:sz w:val="28"/>
          <w:szCs w:val="28"/>
          <w:lang w:eastAsia="zh-CN"/>
          <w14:textFill>
            <w14:solidFill>
              <w14:schemeClr w14:val="tx1"/>
            </w14:solidFill>
          </w14:textFill>
        </w:rPr>
        <w:t>采购公告</w:t>
      </w:r>
      <w:bookmarkEnd w:id="2"/>
    </w:p>
    <w:p>
      <w:pPr>
        <w:adjustRightInd w:val="0"/>
        <w:snapToGrid w:val="0"/>
        <w:spacing w:after="0" w:line="240" w:lineRule="auto"/>
        <w:jc w:val="center"/>
        <w:rPr>
          <w:rFonts w:ascii="宋体" w:hAnsi="宋体"/>
          <w:b/>
          <w:color w:val="000000" w:themeColor="text1"/>
          <w:lang w:eastAsia="zh-CN"/>
          <w14:textFill>
            <w14:solidFill>
              <w14:schemeClr w14:val="tx1"/>
            </w14:solidFill>
          </w14:textFill>
        </w:rPr>
      </w:pPr>
      <w:r>
        <w:rPr>
          <w:rFonts w:hint="eastAsia" w:ascii="黑体" w:hAnsi="黑体" w:eastAsia="黑体"/>
          <w:color w:val="000000" w:themeColor="text1"/>
          <w:sz w:val="28"/>
          <w:szCs w:val="28"/>
          <w:lang w:eastAsia="zh-CN"/>
          <w14:textFill>
            <w14:solidFill>
              <w14:schemeClr w14:val="tx1"/>
            </w14:solidFill>
          </w14:textFill>
        </w:rPr>
        <w:t>采购编号：1224tl0010</w:t>
      </w:r>
    </w:p>
    <w:p>
      <w:pPr>
        <w:adjustRightInd w:val="0"/>
        <w:snapToGrid w:val="0"/>
        <w:spacing w:beforeLines="100" w:afterLines="50" w:line="400" w:lineRule="exact"/>
        <w:outlineLvl w:val="1"/>
        <w:rPr>
          <w:rFonts w:ascii="黑体" w:eastAsia="黑体"/>
          <w:b/>
          <w:color w:val="000000" w:themeColor="text1"/>
          <w:sz w:val="24"/>
          <w:lang w:eastAsia="zh-CN"/>
          <w14:textFill>
            <w14:solidFill>
              <w14:schemeClr w14:val="tx1"/>
            </w14:solidFill>
          </w14:textFill>
        </w:rPr>
      </w:pPr>
      <w:bookmarkStart w:id="3" w:name="_Toc63094709"/>
      <w:r>
        <w:rPr>
          <w:rFonts w:hint="eastAsia" w:ascii="黑体" w:eastAsia="黑体"/>
          <w:b/>
          <w:color w:val="000000" w:themeColor="text1"/>
          <w:sz w:val="24"/>
          <w:lang w:eastAsia="zh-CN"/>
          <w14:textFill>
            <w14:solidFill>
              <w14:schemeClr w14:val="tx1"/>
            </w14:solidFill>
          </w14:textFill>
        </w:rPr>
        <w:t>1.采购条件</w:t>
      </w:r>
      <w:bookmarkEnd w:id="3"/>
    </w:p>
    <w:p>
      <w:pPr>
        <w:adjustRightInd w:val="0"/>
        <w:snapToGrid w:val="0"/>
        <w:spacing w:after="0" w:line="400" w:lineRule="exact"/>
        <w:ind w:firstLine="420" w:firstLineChars="200"/>
        <w:rPr>
          <w:rFonts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本项目采购人为铜陵铜能电力工程有限责任公司，资金来源为自筹资金，委托铜陵市电力咨询设计有限责任公司为采购代理机构</w:t>
      </w:r>
      <w:r>
        <w:rPr>
          <w:rFonts w:hint="eastAsia" w:asciiTheme="minorEastAsia" w:hAnsiTheme="minorEastAsia" w:eastAsiaTheme="minorEastAsia" w:cstheme="minorEastAsia"/>
          <w:color w:val="000000" w:themeColor="text1"/>
          <w:sz w:val="21"/>
          <w:szCs w:val="22"/>
          <w:highlight w:val="none"/>
          <w14:textFill>
            <w14:solidFill>
              <w14:schemeClr w14:val="tx1"/>
            </w14:solidFill>
          </w14:textFill>
        </w:rPr>
        <w:t>。</w:t>
      </w:r>
      <w:r>
        <w:rPr>
          <w:rFonts w:hint="eastAsia" w:ascii="宋体" w:hAnsi="宋体" w:eastAsia="宋体" w:cs="宋体"/>
          <w:color w:val="000000" w:themeColor="text1"/>
          <w:sz w:val="21"/>
          <w:szCs w:val="21"/>
          <w:lang w:eastAsia="zh-CN"/>
          <w14:textFill>
            <w14:solidFill>
              <w14:schemeClr w14:val="tx1"/>
            </w14:solidFill>
          </w14:textFill>
        </w:rPr>
        <w:t>项目已具备采购条件，现对该项目进行公开竞争性谈判采购。</w:t>
      </w:r>
    </w:p>
    <w:p>
      <w:pPr>
        <w:adjustRightInd w:val="0"/>
        <w:snapToGrid w:val="0"/>
        <w:spacing w:after="0" w:line="400" w:lineRule="exact"/>
        <w:ind w:firstLine="420" w:firstLineChars="200"/>
        <w:rPr>
          <w:rFonts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本项目积极响应《中共中央国务院关于开展质量提升行动的指导意见》，倡导潜在应答人用先进标准引领产品质量提升，有效治理质量突出问题，推动形成优质优价的采购机制。</w:t>
      </w:r>
    </w:p>
    <w:p>
      <w:pPr>
        <w:numPr>
          <w:ilvl w:val="0"/>
          <w:numId w:val="1"/>
        </w:numPr>
        <w:adjustRightInd w:val="0"/>
        <w:snapToGrid w:val="0"/>
        <w:spacing w:beforeLines="100" w:afterLines="50" w:line="400" w:lineRule="exact"/>
        <w:outlineLvl w:val="1"/>
        <w:rPr>
          <w:rFonts w:ascii="黑体" w:eastAsia="黑体"/>
          <w:b/>
          <w:color w:val="000000" w:themeColor="text1"/>
          <w:sz w:val="24"/>
          <w:lang w:eastAsia="zh-CN"/>
          <w14:textFill>
            <w14:solidFill>
              <w14:schemeClr w14:val="tx1"/>
            </w14:solidFill>
          </w14:textFill>
        </w:rPr>
      </w:pPr>
      <w:bookmarkStart w:id="4" w:name="_Toc63094710"/>
      <w:r>
        <w:rPr>
          <w:rFonts w:hint="eastAsia" w:ascii="黑体" w:eastAsia="黑体"/>
          <w:b/>
          <w:color w:val="000000" w:themeColor="text1"/>
          <w:sz w:val="24"/>
          <w:lang w:eastAsia="zh-CN"/>
          <w14:textFill>
            <w14:solidFill>
              <w14:schemeClr w14:val="tx1"/>
            </w14:solidFill>
          </w14:textFill>
        </w:rPr>
        <w:t>项目概况与采购范围</w:t>
      </w:r>
      <w:bookmarkEnd w:id="4"/>
      <w:bookmarkStart w:id="5" w:name="_Toc63094711"/>
    </w:p>
    <w:p>
      <w:pPr>
        <w:tabs>
          <w:tab w:val="left" w:pos="1134"/>
        </w:tabs>
        <w:adjustRightInd w:val="0"/>
        <w:snapToGrid w:val="0"/>
        <w:spacing w:beforeLines="0" w:afterLines="0" w:line="400" w:lineRule="exact"/>
        <w:ind w:firstLine="420" w:firstLineChars="200"/>
        <w:rPr>
          <w:rFonts w:hint="eastAsia" w:asciiTheme="minorEastAsia" w:hAnsiTheme="minorEastAsia" w:eastAsiaTheme="minorEastAsia" w:cstheme="minorEastAsia"/>
          <w:color w:val="0000FF"/>
          <w:sz w:val="21"/>
          <w:szCs w:val="22"/>
          <w:highlight w:val="none"/>
          <w:lang w:eastAsia="zh-CN"/>
        </w:rPr>
      </w:pPr>
      <w:bookmarkStart w:id="6" w:name="_bookmark4"/>
      <w:bookmarkEnd w:id="6"/>
      <w:r>
        <w:rPr>
          <w:rFonts w:hint="eastAsia" w:ascii="宋体" w:hAnsi="宋体" w:eastAsia="宋体" w:cs="宋体"/>
          <w:color w:val="0000FF"/>
          <w:sz w:val="21"/>
          <w:szCs w:val="21"/>
          <w:lang w:eastAsia="zh-CN"/>
        </w:rPr>
        <w:t>本</w:t>
      </w:r>
      <w:r>
        <w:rPr>
          <w:rFonts w:hint="eastAsia" w:ascii="宋体" w:hAnsi="宋体" w:eastAsia="宋体" w:cs="宋体"/>
          <w:color w:val="0000FF"/>
          <w:sz w:val="21"/>
          <w:szCs w:val="21"/>
          <w:lang w:val="en-US" w:eastAsia="zh-CN"/>
        </w:rPr>
        <w:t>批次</w:t>
      </w:r>
      <w:r>
        <w:rPr>
          <w:rFonts w:hint="eastAsia" w:ascii="宋体" w:hAnsi="宋体" w:eastAsia="宋体" w:cs="宋体"/>
          <w:color w:val="0000FF"/>
          <w:sz w:val="21"/>
          <w:szCs w:val="21"/>
          <w:lang w:eastAsia="zh-CN"/>
        </w:rPr>
        <w:t>项目</w:t>
      </w:r>
      <w:r>
        <w:rPr>
          <w:rFonts w:hint="eastAsia" w:ascii="宋体" w:hAnsi="宋体" w:eastAsia="宋体" w:cs="宋体"/>
          <w:color w:val="0000FF"/>
          <w:sz w:val="21"/>
          <w:szCs w:val="21"/>
          <w:lang w:val="en-US" w:eastAsia="zh-CN"/>
        </w:rPr>
        <w:t>划分2个标段（标一，标二），共含19个包，各包名称及招标内容详见公告附件《国网铜陵供电公司省管产业2024年6月服务竞争性谈判采购采购一览表》</w:t>
      </w:r>
      <w:r>
        <w:rPr>
          <w:rFonts w:hint="eastAsia" w:ascii="宋体" w:hAnsi="宋体" w:eastAsia="宋体" w:cs="宋体"/>
          <w:color w:val="0000FF"/>
          <w:sz w:val="21"/>
          <w:szCs w:val="21"/>
          <w:lang w:eastAsia="zh-CN"/>
        </w:rPr>
        <w:t>。</w:t>
      </w:r>
      <w:r>
        <w:rPr>
          <w:rFonts w:hint="eastAsia" w:ascii="宋体" w:hAnsi="宋体" w:eastAsia="宋体" w:cs="宋体"/>
          <w:color w:val="0000FF"/>
          <w:sz w:val="21"/>
          <w:szCs w:val="21"/>
          <w:lang w:val="en-US" w:eastAsia="zh-CN"/>
        </w:rPr>
        <w:t>本次评审活动在铜陵铜能电力工程有限责任公司评审场所进行，地址:铜陵市长江中路268号（原职工之家4楼）。</w:t>
      </w:r>
    </w:p>
    <w:p>
      <w:pPr>
        <w:adjustRightInd w:val="0"/>
        <w:snapToGrid w:val="0"/>
        <w:spacing w:beforeLines="100" w:afterLines="50" w:line="400" w:lineRule="exact"/>
        <w:outlineLvl w:val="1"/>
        <w:rPr>
          <w:rFonts w:ascii="黑体" w:eastAsia="黑体"/>
          <w:b/>
          <w:color w:val="000000" w:themeColor="text1"/>
          <w:sz w:val="24"/>
          <w:lang w:eastAsia="zh-CN"/>
          <w14:textFill>
            <w14:solidFill>
              <w14:schemeClr w14:val="tx1"/>
            </w14:solidFill>
          </w14:textFill>
        </w:rPr>
      </w:pPr>
      <w:r>
        <w:rPr>
          <w:rFonts w:hint="eastAsia" w:ascii="黑体" w:eastAsia="黑体"/>
          <w:b/>
          <w:color w:val="000000" w:themeColor="text1"/>
          <w:sz w:val="24"/>
          <w:lang w:eastAsia="zh-CN"/>
          <w14:textFill>
            <w14:solidFill>
              <w14:schemeClr w14:val="tx1"/>
            </w14:solidFill>
          </w14:textFill>
        </w:rPr>
        <w:t>3.应答人资格要求</w:t>
      </w:r>
      <w:bookmarkEnd w:id="5"/>
    </w:p>
    <w:p>
      <w:pPr>
        <w:adjustRightInd w:val="0"/>
        <w:snapToGrid w:val="0"/>
        <w:spacing w:beforeLines="100" w:afterLines="50" w:line="400" w:lineRule="exact"/>
        <w:outlineLvl w:val="1"/>
        <w:rPr>
          <w:rFonts w:hint="eastAsia" w:ascii="黑体" w:eastAsia="黑体"/>
          <w:b/>
          <w:color w:val="000000" w:themeColor="text1"/>
          <w:sz w:val="24"/>
          <w:lang w:eastAsia="zh-CN"/>
          <w14:textFill>
            <w14:solidFill>
              <w14:schemeClr w14:val="tx1"/>
            </w14:solidFill>
          </w14:textFill>
        </w:rPr>
      </w:pPr>
      <w:bookmarkStart w:id="7" w:name="_Toc63094712"/>
      <w:r>
        <w:rPr>
          <w:rFonts w:hint="eastAsia" w:ascii="黑体" w:eastAsia="黑体"/>
          <w:b/>
          <w:color w:val="000000" w:themeColor="text1"/>
          <w:sz w:val="24"/>
          <w:lang w:eastAsia="zh-CN"/>
          <w14:textFill>
            <w14:solidFill>
              <w14:schemeClr w14:val="tx1"/>
            </w14:solidFill>
          </w14:textFill>
        </w:rPr>
        <w:t>3.1 应答人须满足如下通用资格要求：</w:t>
      </w:r>
    </w:p>
    <w:p>
      <w:pPr>
        <w:adjustRightInd w:val="0"/>
        <w:snapToGrid w:val="0"/>
        <w:spacing w:after="0" w:line="400" w:lineRule="exact"/>
        <w:ind w:firstLine="420" w:firstLineChars="200"/>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（1）本次采购要求应答人须为中华人民共和国境内依法注册的法人或其他组织，须具备承担所应答项目的资格条件；并在人员、设备、资金等方面具有保障如期完成采购项目的能力。</w:t>
      </w:r>
    </w:p>
    <w:p>
      <w:pPr>
        <w:adjustRightInd w:val="0"/>
        <w:snapToGrid w:val="0"/>
        <w:spacing w:after="0" w:line="400" w:lineRule="exact"/>
        <w:ind w:firstLine="420" w:firstLineChars="200"/>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（2）法定代表人或单位负责人为同一人或者存在控股、管理关系的不同单位，不得参加同一标包应答或者未划分标包的同一采购项目应答。</w:t>
      </w:r>
    </w:p>
    <w:p>
      <w:pPr>
        <w:adjustRightInd w:val="0"/>
        <w:snapToGrid w:val="0"/>
        <w:spacing w:after="0" w:line="400" w:lineRule="exact"/>
        <w:ind w:firstLine="420" w:firstLineChars="200"/>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（3）取得国家法律、法规、部门规章规定的有效许可证。取得采购文件要求的国家强制认证证书。</w:t>
      </w:r>
    </w:p>
    <w:p>
      <w:pPr>
        <w:adjustRightInd w:val="0"/>
        <w:snapToGrid w:val="0"/>
        <w:spacing w:after="0" w:line="400" w:lineRule="exact"/>
        <w:ind w:firstLine="420" w:firstLineChars="200"/>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4</w:t>
      </w:r>
      <w:r>
        <w:rPr>
          <w:rFonts w:hint="eastAsia" w:ascii="宋体" w:hAnsi="宋体" w:eastAsia="宋体" w:cs="宋体"/>
          <w:color w:val="000000" w:themeColor="text1"/>
          <w:sz w:val="21"/>
          <w:szCs w:val="21"/>
          <w:lang w:eastAsia="zh-CN"/>
          <w14:textFill>
            <w14:solidFill>
              <w14:schemeClr w14:val="tx1"/>
            </w14:solidFill>
          </w14:textFill>
        </w:rPr>
        <w:t>）应有良好的财务状况和商业信用。</w:t>
      </w:r>
    </w:p>
    <w:p>
      <w:pPr>
        <w:adjustRightInd w:val="0"/>
        <w:snapToGrid w:val="0"/>
        <w:spacing w:after="0" w:line="400" w:lineRule="exact"/>
        <w:ind w:firstLine="420" w:firstLineChars="200"/>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5</w:t>
      </w:r>
      <w:r>
        <w:rPr>
          <w:rFonts w:hint="eastAsia" w:ascii="宋体" w:hAnsi="宋体" w:eastAsia="宋体" w:cs="宋体"/>
          <w:color w:val="000000" w:themeColor="text1"/>
          <w:sz w:val="21"/>
          <w:szCs w:val="21"/>
          <w:lang w:eastAsia="zh-CN"/>
          <w14:textFill>
            <w14:solidFill>
              <w14:schemeClr w14:val="tx1"/>
            </w14:solidFill>
          </w14:textFill>
        </w:rPr>
        <w:t>）根据《国家电网有限公司供应商关系管理办法》的规定，应答人存在导致其被暂停成交资格或取消成交资格的不良行为且在处理有效期内的，应答人在首次应答截止之日至成交结果发布之前，任一日在不良行为处理期内的，均适用不良行为处理结果。或应答人存在触发《国家电网有限公司供应商关系管理办法》第</w:t>
      </w:r>
      <w:r>
        <w:rPr>
          <w:rFonts w:hint="eastAsia" w:ascii="宋体" w:hAnsi="宋体" w:eastAsia="宋体" w:cs="宋体"/>
          <w:color w:val="000000" w:themeColor="text1"/>
          <w:sz w:val="21"/>
          <w:szCs w:val="21"/>
          <w:lang w:val="en-US" w:eastAsia="zh-CN"/>
          <w14:textFill>
            <w14:solidFill>
              <w14:schemeClr w14:val="tx1"/>
            </w14:solidFill>
          </w14:textFill>
        </w:rPr>
        <w:t>六</w:t>
      </w:r>
      <w:r>
        <w:rPr>
          <w:rFonts w:hint="eastAsia" w:ascii="宋体" w:hAnsi="宋体" w:eastAsia="宋体" w:cs="宋体"/>
          <w:color w:val="000000" w:themeColor="text1"/>
          <w:sz w:val="21"/>
          <w:szCs w:val="21"/>
          <w:lang w:eastAsia="zh-CN"/>
          <w14:textFill>
            <w14:solidFill>
              <w14:schemeClr w14:val="tx1"/>
            </w14:solidFill>
          </w14:textFill>
        </w:rPr>
        <w:t>十三条重大问题“熔断机制”情形的，其应答将被否决。</w:t>
      </w:r>
    </w:p>
    <w:p>
      <w:pPr>
        <w:adjustRightInd w:val="0"/>
        <w:snapToGrid w:val="0"/>
        <w:spacing w:after="0" w:line="400" w:lineRule="exact"/>
        <w:ind w:firstLine="420" w:firstLineChars="200"/>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6</w:t>
      </w:r>
      <w:r>
        <w:rPr>
          <w:rFonts w:hint="eastAsia" w:ascii="宋体" w:hAnsi="宋体" w:eastAsia="宋体" w:cs="宋体"/>
          <w:color w:val="000000" w:themeColor="text1"/>
          <w:sz w:val="21"/>
          <w:szCs w:val="21"/>
          <w:lang w:eastAsia="zh-CN"/>
          <w14:textFill>
            <w14:solidFill>
              <w14:schemeClr w14:val="tx1"/>
            </w14:solidFill>
          </w14:textFill>
        </w:rPr>
        <w:t>）根据最高人民法院、国家发展改革委、国家铁路局等九部门联合印发的《关于在招标投标活动中对失信被执行人实施联合惩戒的通知》（法〔2016〕285号），应答人不得被人民法院列为</w:t>
      </w:r>
      <w:r>
        <w:rPr>
          <w:rFonts w:hint="eastAsia" w:ascii="宋体" w:hAnsi="宋体" w:eastAsia="宋体" w:cs="宋体"/>
          <w:color w:val="000000" w:themeColor="text1"/>
          <w:sz w:val="21"/>
          <w:szCs w:val="21"/>
          <w:lang w:val="en-US" w:eastAsia="zh-CN"/>
          <w14:textFill>
            <w14:solidFill>
              <w14:schemeClr w14:val="tx1"/>
            </w14:solidFill>
          </w14:textFill>
        </w:rPr>
        <w:t>失信被执行人</w:t>
      </w:r>
      <w:r>
        <w:rPr>
          <w:rFonts w:hint="eastAsia" w:ascii="宋体" w:hAnsi="宋体" w:eastAsia="宋体" w:cs="宋体"/>
          <w:color w:val="000000" w:themeColor="text1"/>
          <w:sz w:val="21"/>
          <w:szCs w:val="21"/>
          <w:lang w:eastAsia="zh-CN"/>
          <w14:textFill>
            <w14:solidFill>
              <w14:schemeClr w14:val="tx1"/>
            </w14:solidFill>
          </w14:textFill>
        </w:rPr>
        <w:t>。应答人不得存在违法失信行为，</w:t>
      </w:r>
      <w:r>
        <w:rPr>
          <w:rFonts w:hint="eastAsia" w:ascii="宋体" w:hAnsi="宋体" w:eastAsia="宋体" w:cs="宋体"/>
          <w:color w:val="000000" w:themeColor="text1"/>
          <w:sz w:val="21"/>
          <w:szCs w:val="21"/>
          <w:lang w:val="en-US" w:eastAsia="zh-CN"/>
          <w14:textFill>
            <w14:solidFill>
              <w14:schemeClr w14:val="tx1"/>
            </w14:solidFill>
          </w14:textFill>
        </w:rPr>
        <w:t>不得被列入失信被执行人，</w:t>
      </w:r>
      <w:r>
        <w:rPr>
          <w:rFonts w:hint="eastAsia" w:ascii="宋体" w:hAnsi="宋体" w:eastAsia="宋体" w:cs="宋体"/>
          <w:color w:val="000000" w:themeColor="text1"/>
          <w:sz w:val="21"/>
          <w:szCs w:val="21"/>
          <w:lang w:eastAsia="zh-CN"/>
          <w14:textFill>
            <w14:solidFill>
              <w14:schemeClr w14:val="tx1"/>
            </w14:solidFill>
          </w14:textFill>
        </w:rPr>
        <w:t>不得被“信用中国”网站（www.creditchina.gov.cn）列入严重失信主体名单。</w:t>
      </w:r>
    </w:p>
    <w:p>
      <w:pPr>
        <w:adjustRightInd w:val="0"/>
        <w:snapToGrid w:val="0"/>
        <w:spacing w:after="0" w:line="400" w:lineRule="exact"/>
        <w:ind w:firstLine="420" w:firstLineChars="200"/>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7</w:t>
      </w:r>
      <w:r>
        <w:rPr>
          <w:rFonts w:hint="eastAsia" w:ascii="宋体" w:hAnsi="宋体" w:eastAsia="宋体" w:cs="宋体"/>
          <w:color w:val="000000" w:themeColor="text1"/>
          <w:sz w:val="21"/>
          <w:szCs w:val="21"/>
          <w:lang w:eastAsia="zh-CN"/>
          <w14:textFill>
            <w14:solidFill>
              <w14:schemeClr w14:val="tx1"/>
            </w14:solidFill>
          </w14:textFill>
        </w:rPr>
        <w:t>）应答人不得被市场监督管理机关在国家企业信用信息公示系统中列入严重违法失信企业名单或列入经营异常名录信息。应答人需同时在商务文件中提供在国家企业信用信息公示系统（www.gsxt.gov.cn）查询的，包含“营业执照信息”、“列入严重违法失信企业名单（黑名单）”、“列入经营异常名录信息”、“行政处罚信息”、“清算信息”的查询结果，如应答人未提供企业信用信息公示报告，或提供的报告不符合采购文件规定的格式与内容，或报告内容被评审委员会认定有异议的，应答人的“列入经营异常名录信息”和“列入严重违法失信企业名单（黑名单）信息”以评审委员会在国家企业信用信息公示系统（www.gsxt.gov.cn）查询的结果为准。应答人未提供或提供的企业信用信息公示报告不符合采购文件规定的格式与内容的，评审委员会将会对应答人进行不利评价。应答人提供虚假企业信用信息公示报告的，按照虚假应答进行否决，并根据《国家电网有限公司供应商关系管理办法》进行相应处理。</w:t>
      </w:r>
    </w:p>
    <w:p>
      <w:pPr>
        <w:adjustRightInd w:val="0"/>
        <w:snapToGrid w:val="0"/>
        <w:spacing w:after="0" w:line="400" w:lineRule="exact"/>
        <w:ind w:firstLine="420" w:firstLineChars="200"/>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8</w:t>
      </w:r>
      <w:r>
        <w:rPr>
          <w:rFonts w:hint="eastAsia" w:ascii="宋体" w:hAnsi="宋体" w:eastAsia="宋体" w:cs="宋体"/>
          <w:color w:val="000000" w:themeColor="text1"/>
          <w:sz w:val="21"/>
          <w:szCs w:val="21"/>
          <w:lang w:eastAsia="zh-CN"/>
          <w14:textFill>
            <w14:solidFill>
              <w14:schemeClr w14:val="tx1"/>
            </w14:solidFill>
          </w14:textFill>
        </w:rPr>
        <w:t>）其他。</w:t>
      </w:r>
    </w:p>
    <w:p>
      <w:pPr>
        <w:adjustRightInd w:val="0"/>
        <w:snapToGrid w:val="0"/>
        <w:spacing w:beforeLines="100" w:afterLines="50" w:line="400" w:lineRule="exact"/>
        <w:outlineLvl w:val="1"/>
        <w:rPr>
          <w:rFonts w:hint="eastAsia" w:ascii="黑体" w:eastAsia="黑体"/>
          <w:b/>
          <w:color w:val="000000" w:themeColor="text1"/>
          <w:sz w:val="24"/>
          <w:lang w:eastAsia="zh-CN"/>
          <w14:textFill>
            <w14:solidFill>
              <w14:schemeClr w14:val="tx1"/>
            </w14:solidFill>
          </w14:textFill>
        </w:rPr>
      </w:pPr>
      <w:r>
        <w:rPr>
          <w:rFonts w:hint="eastAsia" w:ascii="黑体" w:eastAsia="黑体"/>
          <w:b/>
          <w:color w:val="000000" w:themeColor="text1"/>
          <w:sz w:val="24"/>
          <w:lang w:eastAsia="zh-CN"/>
          <w14:textFill>
            <w14:solidFill>
              <w14:schemeClr w14:val="tx1"/>
            </w14:solidFill>
          </w14:textFill>
        </w:rPr>
        <w:t>3.2 应答人须满足如下专用资格要求：</w:t>
      </w:r>
    </w:p>
    <w:p>
      <w:pPr>
        <w:adjustRightInd w:val="0"/>
        <w:snapToGrid w:val="0"/>
        <w:spacing w:after="0" w:line="400" w:lineRule="exact"/>
        <w:ind w:firstLine="420" w:firstLineChars="200"/>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详见采购</w:t>
      </w:r>
      <w:r>
        <w:rPr>
          <w:rFonts w:hint="eastAsia" w:ascii="宋体" w:hAnsi="宋体" w:eastAsia="宋体" w:cs="宋体"/>
          <w:color w:val="000000" w:themeColor="text1"/>
          <w:sz w:val="21"/>
          <w:szCs w:val="21"/>
          <w:lang w:val="en-US" w:eastAsia="zh-CN"/>
          <w14:textFill>
            <w14:solidFill>
              <w14:schemeClr w14:val="tx1"/>
            </w14:solidFill>
          </w14:textFill>
        </w:rPr>
        <w:t>一览表。</w:t>
      </w:r>
    </w:p>
    <w:p>
      <w:pPr>
        <w:adjustRightInd w:val="0"/>
        <w:snapToGrid w:val="0"/>
        <w:spacing w:beforeLines="100" w:afterLines="50" w:line="400" w:lineRule="exact"/>
        <w:outlineLvl w:val="1"/>
        <w:rPr>
          <w:rFonts w:hint="eastAsia" w:ascii="黑体" w:eastAsia="黑体"/>
          <w:b/>
          <w:color w:val="000000" w:themeColor="text1"/>
          <w:sz w:val="24"/>
          <w:lang w:eastAsia="zh-CN"/>
          <w14:textFill>
            <w14:solidFill>
              <w14:schemeClr w14:val="tx1"/>
            </w14:solidFill>
          </w14:textFill>
        </w:rPr>
      </w:pPr>
      <w:r>
        <w:rPr>
          <w:rFonts w:hint="eastAsia" w:ascii="黑体" w:eastAsia="黑体"/>
          <w:b/>
          <w:color w:val="000000" w:themeColor="text1"/>
          <w:sz w:val="24"/>
          <w:lang w:eastAsia="zh-CN"/>
          <w14:textFill>
            <w14:solidFill>
              <w14:schemeClr w14:val="tx1"/>
            </w14:solidFill>
          </w14:textFill>
        </w:rPr>
        <w:t>3.3 不接受联合体应答。</w:t>
      </w:r>
    </w:p>
    <w:p>
      <w:pPr>
        <w:adjustRightInd w:val="0"/>
        <w:snapToGrid w:val="0"/>
        <w:spacing w:beforeLines="100" w:afterLines="50" w:line="400" w:lineRule="exact"/>
        <w:outlineLvl w:val="1"/>
        <w:rPr>
          <w:rFonts w:hint="eastAsia" w:ascii="黑体" w:eastAsia="黑体"/>
          <w:b/>
          <w:color w:val="000000" w:themeColor="text1"/>
          <w:sz w:val="24"/>
          <w:lang w:eastAsia="zh-CN"/>
          <w14:textFill>
            <w14:solidFill>
              <w14:schemeClr w14:val="tx1"/>
            </w14:solidFill>
          </w14:textFill>
        </w:rPr>
      </w:pPr>
      <w:r>
        <w:rPr>
          <w:rFonts w:hint="eastAsia" w:ascii="黑体" w:eastAsia="黑体"/>
          <w:b/>
          <w:color w:val="000000" w:themeColor="text1"/>
          <w:sz w:val="24"/>
          <w:lang w:eastAsia="zh-CN"/>
          <w14:textFill>
            <w14:solidFill>
              <w14:schemeClr w14:val="tx1"/>
            </w14:solidFill>
          </w14:textFill>
        </w:rPr>
        <w:t>3.</w:t>
      </w:r>
      <w:r>
        <w:rPr>
          <w:rFonts w:hint="eastAsia" w:ascii="黑体" w:eastAsia="黑体"/>
          <w:b/>
          <w:color w:val="000000" w:themeColor="text1"/>
          <w:sz w:val="24"/>
          <w:lang w:val="en-US" w:eastAsia="zh-CN"/>
          <w14:textFill>
            <w14:solidFill>
              <w14:schemeClr w14:val="tx1"/>
            </w14:solidFill>
          </w14:textFill>
        </w:rPr>
        <w:t>4</w:t>
      </w:r>
      <w:r>
        <w:rPr>
          <w:rFonts w:hint="eastAsia" w:ascii="黑体" w:eastAsia="黑体"/>
          <w:b/>
          <w:color w:val="000000" w:themeColor="text1"/>
          <w:sz w:val="24"/>
          <w:lang w:eastAsia="zh-CN"/>
          <w14:textFill>
            <w14:solidFill>
              <w14:schemeClr w14:val="tx1"/>
            </w14:solidFill>
          </w14:textFill>
        </w:rPr>
        <w:t>本次</w:t>
      </w:r>
      <w:r>
        <w:rPr>
          <w:rFonts w:hint="eastAsia" w:ascii="黑体" w:eastAsia="黑体"/>
          <w:b/>
          <w:color w:val="000000" w:themeColor="text1"/>
          <w:sz w:val="24"/>
          <w:lang w:val="en-US" w:eastAsia="zh-CN"/>
          <w14:textFill>
            <w14:solidFill>
              <w14:schemeClr w14:val="tx1"/>
            </w14:solidFill>
          </w14:textFill>
        </w:rPr>
        <w:t>采购</w:t>
      </w:r>
      <w:r>
        <w:rPr>
          <w:rFonts w:hint="eastAsia" w:ascii="黑体" w:eastAsia="黑体"/>
          <w:b/>
          <w:color w:val="000000" w:themeColor="text1"/>
          <w:sz w:val="24"/>
          <w:lang w:eastAsia="zh-CN"/>
          <w14:textFill>
            <w14:solidFill>
              <w14:schemeClr w14:val="tx1"/>
            </w14:solidFill>
          </w14:textFill>
        </w:rPr>
        <w:t>不接受应答人委托中介机构或者中间人编制应答文件或代行办理应答事宜。</w:t>
      </w:r>
    </w:p>
    <w:p>
      <w:pPr>
        <w:adjustRightInd w:val="0"/>
        <w:snapToGrid w:val="0"/>
        <w:spacing w:beforeLines="100" w:afterLines="50" w:line="400" w:lineRule="exact"/>
        <w:outlineLvl w:val="1"/>
        <w:rPr>
          <w:rFonts w:hint="eastAsia" w:ascii="黑体" w:eastAsia="黑体"/>
          <w:b/>
          <w:color w:val="000000" w:themeColor="text1"/>
          <w:sz w:val="24"/>
          <w:lang w:eastAsia="zh-CN"/>
          <w14:textFill>
            <w14:solidFill>
              <w14:schemeClr w14:val="tx1"/>
            </w14:solidFill>
          </w14:textFill>
        </w:rPr>
      </w:pPr>
      <w:r>
        <w:rPr>
          <w:rFonts w:hint="eastAsia" w:ascii="黑体" w:eastAsia="黑体"/>
          <w:b/>
          <w:color w:val="000000" w:themeColor="text1"/>
          <w:sz w:val="24"/>
          <w:lang w:eastAsia="zh-CN"/>
          <w14:textFill>
            <w14:solidFill>
              <w14:schemeClr w14:val="tx1"/>
            </w14:solidFill>
          </w14:textFill>
        </w:rPr>
        <w:t>3.</w:t>
      </w:r>
      <w:r>
        <w:rPr>
          <w:rFonts w:hint="eastAsia" w:ascii="黑体" w:eastAsia="黑体"/>
          <w:b/>
          <w:color w:val="000000" w:themeColor="text1"/>
          <w:sz w:val="24"/>
          <w:lang w:val="en-US" w:eastAsia="zh-CN"/>
          <w14:textFill>
            <w14:solidFill>
              <w14:schemeClr w14:val="tx1"/>
            </w14:solidFill>
          </w14:textFill>
        </w:rPr>
        <w:t>5</w:t>
      </w:r>
      <w:r>
        <w:rPr>
          <w:rFonts w:hint="eastAsia" w:ascii="黑体" w:eastAsia="黑体"/>
          <w:b/>
          <w:color w:val="000000" w:themeColor="text1"/>
          <w:sz w:val="24"/>
          <w:lang w:eastAsia="zh-CN"/>
          <w14:textFill>
            <w14:solidFill>
              <w14:schemeClr w14:val="tx1"/>
            </w14:solidFill>
          </w14:textFill>
        </w:rPr>
        <w:t>各应答人均可就本次采购的部分或全部标包应答。</w:t>
      </w:r>
    </w:p>
    <w:p>
      <w:pPr>
        <w:adjustRightInd w:val="0"/>
        <w:snapToGrid w:val="0"/>
        <w:spacing w:beforeLines="100" w:afterLines="50" w:line="400" w:lineRule="exact"/>
        <w:outlineLvl w:val="1"/>
        <w:rPr>
          <w:rFonts w:ascii="黑体" w:eastAsia="黑体"/>
          <w:b/>
          <w:color w:val="000000" w:themeColor="text1"/>
          <w:sz w:val="24"/>
          <w:lang w:eastAsia="zh-CN"/>
          <w14:textFill>
            <w14:solidFill>
              <w14:schemeClr w14:val="tx1"/>
            </w14:solidFill>
          </w14:textFill>
        </w:rPr>
      </w:pPr>
      <w:r>
        <w:rPr>
          <w:rFonts w:hint="eastAsia" w:ascii="黑体" w:eastAsia="黑体"/>
          <w:b/>
          <w:color w:val="000000" w:themeColor="text1"/>
          <w:sz w:val="24"/>
          <w:lang w:eastAsia="zh-CN"/>
          <w14:textFill>
            <w14:solidFill>
              <w14:schemeClr w14:val="tx1"/>
            </w14:solidFill>
          </w14:textFill>
        </w:rPr>
        <w:t>4.采购文件的获取</w:t>
      </w:r>
      <w:bookmarkEnd w:id="7"/>
    </w:p>
    <w:p>
      <w:pPr>
        <w:adjustRightInd w:val="0"/>
        <w:snapToGrid w:val="0"/>
        <w:spacing w:after="0" w:line="400" w:lineRule="exact"/>
        <w:ind w:firstLine="420" w:firstLineChars="200"/>
        <w:rPr>
          <w:rFonts w:ascii="宋体" w:hAnsi="宋体" w:eastAsia="宋体" w:cs="宋体"/>
          <w:color w:val="000000" w:themeColor="text1"/>
          <w:sz w:val="21"/>
          <w:szCs w:val="21"/>
          <w:lang w:eastAsia="zh-CN"/>
          <w14:textFill>
            <w14:solidFill>
              <w14:schemeClr w14:val="tx1"/>
            </w14:solidFill>
          </w14:textFill>
        </w:rPr>
      </w:pPr>
      <w:bookmarkStart w:id="8" w:name="_Toc63094713"/>
      <w:r>
        <w:rPr>
          <w:rFonts w:hint="eastAsia" w:ascii="宋体" w:hAnsi="宋体" w:eastAsia="宋体" w:cs="宋体"/>
          <w:color w:val="000000" w:themeColor="text1"/>
          <w:sz w:val="21"/>
          <w:szCs w:val="21"/>
          <w:lang w:eastAsia="zh-CN"/>
          <w14:textFill>
            <w14:solidFill>
              <w14:schemeClr w14:val="tx1"/>
            </w14:solidFill>
          </w14:textFill>
        </w:rPr>
        <w:t>4.1采购文件（电子文件）免费获取。服务商须凭电子钥匙登录电子商务平台-电工交易专区后，点击“获取采购文件”按钮，下载采购文件。</w:t>
      </w:r>
    </w:p>
    <w:p>
      <w:pPr>
        <w:wordWrap w:val="0"/>
        <w:adjustRightInd w:val="0"/>
        <w:snapToGrid w:val="0"/>
        <w:spacing w:after="0" w:line="400" w:lineRule="exact"/>
        <w:ind w:firstLine="420" w:firstLineChars="200"/>
        <w:jc w:val="both"/>
        <w:rPr>
          <w:rFonts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4.2凡有意参加应答者，请于</w:t>
      </w:r>
      <w:r>
        <w:rPr>
          <w:rFonts w:hint="eastAsia" w:ascii="宋体" w:hAnsi="宋体" w:eastAsia="宋体" w:cs="宋体"/>
          <w:color w:val="0000FF"/>
          <w:sz w:val="21"/>
          <w:szCs w:val="21"/>
          <w:lang w:eastAsia="zh-CN"/>
        </w:rPr>
        <w:t>202</w:t>
      </w:r>
      <w:r>
        <w:rPr>
          <w:rFonts w:hint="eastAsia" w:ascii="宋体" w:hAnsi="宋体" w:eastAsia="宋体" w:cs="宋体"/>
          <w:color w:val="0000FF"/>
          <w:sz w:val="21"/>
          <w:szCs w:val="21"/>
          <w:lang w:val="en-US" w:eastAsia="zh-CN"/>
        </w:rPr>
        <w:t>4</w:t>
      </w:r>
      <w:r>
        <w:rPr>
          <w:rFonts w:hint="eastAsia" w:ascii="宋体" w:hAnsi="宋体" w:eastAsia="宋体" w:cs="宋体"/>
          <w:color w:val="0000FF"/>
          <w:sz w:val="21"/>
          <w:szCs w:val="21"/>
          <w:lang w:eastAsia="zh-CN"/>
        </w:rPr>
        <w:t>年</w:t>
      </w:r>
      <w:r>
        <w:rPr>
          <w:rFonts w:hint="eastAsia" w:ascii="宋体" w:hAnsi="宋体" w:eastAsia="宋体" w:cs="宋体"/>
          <w:color w:val="0000FF"/>
          <w:sz w:val="21"/>
          <w:szCs w:val="21"/>
          <w:lang w:val="en-US" w:eastAsia="zh-CN"/>
        </w:rPr>
        <w:t>6</w:t>
      </w:r>
      <w:r>
        <w:rPr>
          <w:rFonts w:hint="eastAsia" w:ascii="宋体" w:hAnsi="宋体" w:eastAsia="宋体" w:cs="宋体"/>
          <w:color w:val="0000FF"/>
          <w:sz w:val="21"/>
          <w:szCs w:val="21"/>
          <w:lang w:eastAsia="zh-CN"/>
        </w:rPr>
        <w:t>月</w:t>
      </w:r>
      <w:r>
        <w:rPr>
          <w:rFonts w:hint="eastAsia" w:ascii="宋体" w:hAnsi="宋体" w:eastAsia="宋体" w:cs="宋体"/>
          <w:color w:val="0000FF"/>
          <w:sz w:val="21"/>
          <w:szCs w:val="21"/>
          <w:lang w:val="en-US" w:eastAsia="zh-CN"/>
        </w:rPr>
        <w:t>12</w:t>
      </w:r>
      <w:r>
        <w:rPr>
          <w:rFonts w:hint="eastAsia" w:ascii="宋体" w:hAnsi="宋体" w:eastAsia="宋体" w:cs="宋体"/>
          <w:color w:val="0000FF"/>
          <w:sz w:val="21"/>
          <w:szCs w:val="21"/>
          <w:lang w:eastAsia="zh-CN"/>
        </w:rPr>
        <w:t>日</w:t>
      </w:r>
      <w:r>
        <w:rPr>
          <w:rFonts w:hint="eastAsia" w:ascii="宋体" w:hAnsi="宋体" w:eastAsia="宋体" w:cs="宋体"/>
          <w:color w:val="0000FF"/>
          <w:sz w:val="21"/>
          <w:szCs w:val="21"/>
          <w:lang w:val="en-US" w:eastAsia="zh-CN"/>
        </w:rPr>
        <w:t>20</w:t>
      </w:r>
      <w:r>
        <w:rPr>
          <w:rFonts w:hint="eastAsia" w:ascii="宋体" w:hAnsi="宋体" w:eastAsia="宋体" w:cs="宋体"/>
          <w:color w:val="0000FF"/>
          <w:sz w:val="21"/>
          <w:szCs w:val="21"/>
          <w:lang w:eastAsia="zh-CN"/>
        </w:rPr>
        <w:t>:</w:t>
      </w:r>
      <w:r>
        <w:rPr>
          <w:rFonts w:hint="eastAsia" w:ascii="宋体" w:hAnsi="宋体" w:eastAsia="宋体" w:cs="宋体"/>
          <w:color w:val="0000FF"/>
          <w:sz w:val="21"/>
          <w:szCs w:val="21"/>
          <w:lang w:val="en-US" w:eastAsia="zh-CN"/>
        </w:rPr>
        <w:t>30</w:t>
      </w:r>
      <w:r>
        <w:rPr>
          <w:rFonts w:hint="eastAsia" w:ascii="宋体" w:hAnsi="宋体" w:eastAsia="宋体" w:cs="宋体"/>
          <w:color w:val="0000FF"/>
          <w:sz w:val="21"/>
          <w:szCs w:val="21"/>
          <w:lang w:eastAsia="zh-CN"/>
        </w:rPr>
        <w:t>至202</w:t>
      </w:r>
      <w:r>
        <w:rPr>
          <w:rFonts w:hint="eastAsia" w:ascii="宋体" w:hAnsi="宋体" w:eastAsia="宋体" w:cs="宋体"/>
          <w:color w:val="0000FF"/>
          <w:sz w:val="21"/>
          <w:szCs w:val="21"/>
          <w:lang w:val="en-US" w:eastAsia="zh-CN"/>
        </w:rPr>
        <w:t>4</w:t>
      </w:r>
      <w:r>
        <w:rPr>
          <w:rFonts w:hint="eastAsia" w:ascii="宋体" w:hAnsi="宋体" w:eastAsia="宋体" w:cs="宋体"/>
          <w:color w:val="0000FF"/>
          <w:sz w:val="21"/>
          <w:szCs w:val="21"/>
          <w:lang w:eastAsia="zh-CN"/>
        </w:rPr>
        <w:t>年</w:t>
      </w:r>
      <w:r>
        <w:rPr>
          <w:rFonts w:hint="eastAsia" w:ascii="宋体" w:hAnsi="宋体" w:eastAsia="宋体" w:cs="宋体"/>
          <w:color w:val="0000FF"/>
          <w:sz w:val="21"/>
          <w:szCs w:val="21"/>
          <w:lang w:val="en-US" w:eastAsia="zh-CN"/>
        </w:rPr>
        <w:t>6</w:t>
      </w:r>
      <w:r>
        <w:rPr>
          <w:rFonts w:hint="eastAsia" w:ascii="宋体" w:hAnsi="宋体" w:eastAsia="宋体" w:cs="宋体"/>
          <w:color w:val="0000FF"/>
          <w:sz w:val="21"/>
          <w:szCs w:val="21"/>
          <w:lang w:eastAsia="zh-CN"/>
        </w:rPr>
        <w:t>月</w:t>
      </w:r>
      <w:r>
        <w:rPr>
          <w:rFonts w:hint="eastAsia" w:ascii="宋体" w:hAnsi="宋体" w:eastAsia="宋体" w:cs="宋体"/>
          <w:color w:val="0000FF"/>
          <w:sz w:val="21"/>
          <w:szCs w:val="21"/>
          <w:lang w:val="en-US" w:eastAsia="zh-CN"/>
        </w:rPr>
        <w:t>19</w:t>
      </w:r>
      <w:r>
        <w:rPr>
          <w:rFonts w:hint="eastAsia" w:ascii="宋体" w:hAnsi="宋体" w:eastAsia="宋体" w:cs="宋体"/>
          <w:color w:val="0000FF"/>
          <w:sz w:val="21"/>
          <w:szCs w:val="21"/>
          <w:lang w:eastAsia="zh-CN"/>
        </w:rPr>
        <w:t>日</w:t>
      </w:r>
      <w:r>
        <w:rPr>
          <w:rFonts w:hint="eastAsia" w:ascii="宋体" w:hAnsi="宋体" w:eastAsia="宋体" w:cs="宋体"/>
          <w:color w:val="0000FF"/>
          <w:sz w:val="21"/>
          <w:szCs w:val="21"/>
          <w:lang w:val="en-US" w:eastAsia="zh-CN"/>
        </w:rPr>
        <w:t>20</w:t>
      </w:r>
      <w:r>
        <w:rPr>
          <w:rFonts w:hint="eastAsia" w:ascii="宋体" w:hAnsi="宋体" w:eastAsia="宋体" w:cs="宋体"/>
          <w:color w:val="0000FF"/>
          <w:sz w:val="21"/>
          <w:szCs w:val="21"/>
          <w:lang w:eastAsia="zh-CN"/>
        </w:rPr>
        <w:t>:30时（</w:t>
      </w:r>
      <w:r>
        <w:rPr>
          <w:rFonts w:hint="eastAsia" w:ascii="宋体" w:hAnsi="宋体" w:eastAsia="宋体" w:cs="宋体"/>
          <w:color w:val="0000FF"/>
          <w:sz w:val="21"/>
          <w:szCs w:val="21"/>
          <w:lang w:val="en-US" w:eastAsia="zh-CN"/>
        </w:rPr>
        <w:t>本文出现时间均为北京时间，以下不作赘述</w:t>
      </w:r>
      <w:r>
        <w:rPr>
          <w:rFonts w:hint="eastAsia" w:ascii="宋体" w:hAnsi="宋体" w:eastAsia="宋体" w:cs="宋体"/>
          <w:color w:val="0000FF"/>
          <w:sz w:val="21"/>
          <w:szCs w:val="21"/>
          <w:lang w:eastAsia="zh-CN"/>
        </w:rPr>
        <w:t>）</w:t>
      </w:r>
      <w:r>
        <w:rPr>
          <w:rFonts w:hint="eastAsia" w:ascii="宋体" w:hAnsi="宋体" w:eastAsia="宋体" w:cs="宋体"/>
          <w:color w:val="000000" w:themeColor="text1"/>
          <w:sz w:val="21"/>
          <w:szCs w:val="21"/>
          <w:lang w:eastAsia="zh-CN"/>
          <w14:textFill>
            <w14:solidFill>
              <w14:schemeClr w14:val="tx1"/>
            </w14:solidFill>
          </w14:textFill>
        </w:rPr>
        <w:t>登录“电子商务平台-电工交易专区（https://sgccetp.com.cn/）”下载采购文件，并按《电子招标应答办法》等国家法律法规要求，到第三方认证机构办理CA证书电子钥匙。</w:t>
      </w:r>
    </w:p>
    <w:p>
      <w:pPr>
        <w:wordWrap w:val="0"/>
        <w:adjustRightInd w:val="0"/>
        <w:snapToGrid w:val="0"/>
        <w:spacing w:after="0" w:line="400" w:lineRule="exact"/>
        <w:ind w:firstLine="420" w:firstLineChars="200"/>
        <w:jc w:val="both"/>
        <w:rPr>
          <w:rFonts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应答人应在招标人招投标交易平台信息系统注册并办理CA证书电子钥匙方可获取采购文件，电子钥匙的办理流程请登录招标人招投标交易平台信息系统首页“新手指引”→“电子钥匙办理须知及电子钥匙安装包”下载所有文件仔细阅读。电子钥匙的办理需要一定的时间，请潜在应答人高度重视。由于没有及时办理电子钥匙导致获取采购文件失败，由应答人自行承担相关责任。支持电话为：4009915500。</w:t>
      </w:r>
    </w:p>
    <w:p>
      <w:pPr>
        <w:wordWrap w:val="0"/>
        <w:adjustRightInd w:val="0"/>
        <w:snapToGrid w:val="0"/>
        <w:spacing w:after="0" w:line="400" w:lineRule="exact"/>
        <w:ind w:firstLine="420" w:firstLineChars="200"/>
        <w:jc w:val="both"/>
        <w:rPr>
          <w:rFonts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4.3未按上述时间和方式获取采购文件的，将无法进行后续的应答及报价。</w:t>
      </w:r>
    </w:p>
    <w:p>
      <w:pPr>
        <w:adjustRightInd w:val="0"/>
        <w:snapToGrid w:val="0"/>
        <w:spacing w:after="0" w:line="400" w:lineRule="exact"/>
        <w:ind w:firstLine="420" w:firstLineChars="200"/>
        <w:rPr>
          <w:rFonts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4.4应答人需利用投标工具进行电子应答文件编制。投标工具下载方式：请各应答人在招标人招投标交易平台信息系统首页“供应商应用指南”→“参与投标”→“投标工具下载与安装”下载并安装。操作手册及注意事项见首页“供应商应用指南”→“参与投标”→“操作手册”或“供应商应用指南”→“平台注册”→“操作手册”。投标工具操作问题联系招标人招投标交易平台信息系统支持服务电话：010-63411000。使用投标工具电脑配置要求：内存大于8GB，64位操作系统。</w:t>
      </w:r>
    </w:p>
    <w:p>
      <w:pPr>
        <w:adjustRightInd w:val="0"/>
        <w:snapToGrid w:val="0"/>
        <w:spacing w:beforeLines="100" w:afterLines="50" w:line="400" w:lineRule="exact"/>
        <w:outlineLvl w:val="1"/>
        <w:rPr>
          <w:rFonts w:ascii="黑体" w:eastAsia="黑体"/>
          <w:b/>
          <w:color w:val="000000" w:themeColor="text1"/>
          <w:sz w:val="24"/>
          <w:lang w:eastAsia="zh-CN"/>
          <w14:textFill>
            <w14:solidFill>
              <w14:schemeClr w14:val="tx1"/>
            </w14:solidFill>
          </w14:textFill>
        </w:rPr>
      </w:pPr>
      <w:r>
        <w:rPr>
          <w:rFonts w:hint="eastAsia" w:ascii="黑体" w:eastAsia="黑体"/>
          <w:b/>
          <w:color w:val="000000" w:themeColor="text1"/>
          <w:sz w:val="24"/>
          <w:lang w:eastAsia="zh-CN"/>
          <w14:textFill>
            <w14:solidFill>
              <w14:schemeClr w14:val="tx1"/>
            </w14:solidFill>
          </w14:textFill>
        </w:rPr>
        <w:t>5.首次应答文件的提交</w:t>
      </w:r>
      <w:bookmarkEnd w:id="8"/>
    </w:p>
    <w:p>
      <w:pPr>
        <w:adjustRightInd w:val="0"/>
        <w:snapToGrid w:val="0"/>
        <w:spacing w:after="0" w:line="400" w:lineRule="exact"/>
        <w:ind w:firstLine="420" w:firstLineChars="200"/>
        <w:rPr>
          <w:rFonts w:hint="eastAsia" w:ascii="宋体" w:hAnsi="宋体" w:eastAsia="宋体" w:cs="宋体"/>
          <w:color w:val="000000" w:themeColor="text1"/>
          <w:sz w:val="21"/>
          <w:szCs w:val="21"/>
          <w:lang w:eastAsia="zh-CN"/>
          <w14:textFill>
            <w14:solidFill>
              <w14:schemeClr w14:val="tx1"/>
            </w14:solidFill>
          </w14:textFill>
        </w:rPr>
      </w:pPr>
      <w:bookmarkStart w:id="9" w:name="_Toc63094714"/>
      <w:r>
        <w:rPr>
          <w:rFonts w:hint="eastAsia" w:ascii="宋体" w:hAnsi="宋体" w:eastAsia="宋体" w:cs="宋体"/>
          <w:color w:val="000000" w:themeColor="text1"/>
          <w:sz w:val="21"/>
          <w:szCs w:val="21"/>
          <w:lang w:val="en-US" w:eastAsia="zh-CN"/>
          <w14:textFill>
            <w14:solidFill>
              <w14:schemeClr w14:val="tx1"/>
            </w14:solidFill>
          </w14:textFill>
        </w:rPr>
        <w:t>5.1</w:t>
      </w:r>
      <w:r>
        <w:rPr>
          <w:rFonts w:hint="eastAsia" w:ascii="宋体" w:hAnsi="宋体" w:eastAsia="宋体" w:cs="宋体"/>
          <w:color w:val="000000" w:themeColor="text1"/>
          <w:sz w:val="21"/>
          <w:szCs w:val="21"/>
          <w:lang w:eastAsia="zh-CN"/>
          <w14:textFill>
            <w14:solidFill>
              <w14:schemeClr w14:val="tx1"/>
            </w14:solidFill>
          </w14:textFill>
        </w:rPr>
        <w:t>本次实行网上</w:t>
      </w:r>
      <w:r>
        <w:rPr>
          <w:rFonts w:hint="eastAsia" w:ascii="宋体" w:hAnsi="宋体" w:eastAsia="宋体" w:cs="宋体"/>
          <w:color w:val="000000" w:themeColor="text1"/>
          <w:sz w:val="21"/>
          <w:szCs w:val="21"/>
          <w:lang w:val="en-US" w:eastAsia="zh-CN"/>
          <w14:textFill>
            <w14:solidFill>
              <w14:schemeClr w14:val="tx1"/>
            </w14:solidFill>
          </w14:textFill>
        </w:rPr>
        <w:t>提</w:t>
      </w:r>
      <w:r>
        <w:rPr>
          <w:rFonts w:hint="eastAsia" w:ascii="宋体" w:hAnsi="宋体" w:eastAsia="宋体" w:cs="宋体"/>
          <w:color w:val="000000" w:themeColor="text1"/>
          <w:sz w:val="21"/>
          <w:szCs w:val="21"/>
          <w:lang w:eastAsia="zh-CN"/>
          <w14:textFill>
            <w14:solidFill>
              <w14:schemeClr w14:val="tx1"/>
            </w14:solidFill>
          </w14:textFill>
        </w:rPr>
        <w:t>交电子</w:t>
      </w:r>
      <w:r>
        <w:rPr>
          <w:rFonts w:hint="eastAsia" w:ascii="宋体" w:hAnsi="宋体" w:eastAsia="宋体" w:cs="宋体"/>
          <w:color w:val="000000" w:themeColor="text1"/>
          <w:sz w:val="21"/>
          <w:szCs w:val="21"/>
          <w:lang w:val="en-US" w:eastAsia="zh-CN"/>
          <w14:textFill>
            <w14:solidFill>
              <w14:schemeClr w14:val="tx1"/>
            </w14:solidFill>
          </w14:textFill>
        </w:rPr>
        <w:t>版应答文件</w:t>
      </w:r>
      <w:r>
        <w:rPr>
          <w:rFonts w:hint="eastAsia" w:ascii="宋体" w:hAnsi="宋体" w:eastAsia="宋体" w:cs="宋体"/>
          <w:color w:val="000000" w:themeColor="text1"/>
          <w:sz w:val="21"/>
          <w:szCs w:val="21"/>
          <w:lang w:eastAsia="zh-CN"/>
          <w14:textFill>
            <w14:solidFill>
              <w14:schemeClr w14:val="tx1"/>
            </w14:solidFill>
          </w14:textFill>
        </w:rPr>
        <w:t>，潜在</w:t>
      </w:r>
      <w:r>
        <w:rPr>
          <w:rFonts w:hint="eastAsia" w:ascii="宋体" w:hAnsi="宋体" w:eastAsia="宋体" w:cs="宋体"/>
          <w:color w:val="000000" w:themeColor="text1"/>
          <w:sz w:val="21"/>
          <w:szCs w:val="21"/>
          <w:lang w:val="en-US" w:eastAsia="zh-CN"/>
          <w14:textFill>
            <w14:solidFill>
              <w14:schemeClr w14:val="tx1"/>
            </w14:solidFill>
          </w14:textFill>
        </w:rPr>
        <w:t>应答人</w:t>
      </w:r>
      <w:r>
        <w:rPr>
          <w:rFonts w:hint="eastAsia" w:ascii="宋体" w:hAnsi="宋体" w:eastAsia="宋体" w:cs="宋体"/>
          <w:color w:val="000000" w:themeColor="text1"/>
          <w:sz w:val="21"/>
          <w:szCs w:val="21"/>
          <w:lang w:eastAsia="zh-CN"/>
          <w14:textFill>
            <w14:solidFill>
              <w14:schemeClr w14:val="tx1"/>
            </w14:solidFill>
          </w14:textFill>
        </w:rPr>
        <w:t>需登</w:t>
      </w:r>
      <w:r>
        <w:rPr>
          <w:rFonts w:hint="eastAsia" w:ascii="宋体" w:hAnsi="宋体" w:eastAsia="宋体" w:cs="宋体"/>
          <w:color w:val="000000" w:themeColor="text1"/>
          <w:sz w:val="21"/>
          <w:szCs w:val="21"/>
          <w:lang w:val="en-US" w:eastAsia="zh-CN"/>
          <w14:textFill>
            <w14:solidFill>
              <w14:schemeClr w14:val="tx1"/>
            </w14:solidFill>
          </w14:textFill>
        </w:rPr>
        <w:t>录“</w:t>
      </w:r>
      <w:r>
        <w:rPr>
          <w:rFonts w:hint="eastAsia" w:ascii="宋体" w:hAnsi="宋体" w:eastAsia="宋体" w:cs="宋体"/>
          <w:color w:val="000000" w:themeColor="text1"/>
          <w:sz w:val="21"/>
          <w:szCs w:val="21"/>
          <w:lang w:eastAsia="zh-CN"/>
          <w14:textFill>
            <w14:solidFill>
              <w14:schemeClr w14:val="tx1"/>
            </w14:solidFill>
          </w14:textFill>
        </w:rPr>
        <w:t>电子商务平台</w:t>
      </w:r>
      <w:r>
        <w:rPr>
          <w:rFonts w:hint="eastAsia" w:ascii="宋体" w:hAnsi="宋体" w:eastAsia="宋体" w:cs="宋体"/>
          <w:color w:val="000000" w:themeColor="text1"/>
          <w:sz w:val="21"/>
          <w:szCs w:val="21"/>
          <w:lang w:val="en-US" w:eastAsia="zh-CN"/>
          <w14:textFill>
            <w14:solidFill>
              <w14:schemeClr w14:val="tx1"/>
            </w14:solidFill>
          </w14:textFill>
        </w:rPr>
        <w:t>-电工交易专区”</w:t>
      </w:r>
      <w:r>
        <w:rPr>
          <w:rFonts w:hint="eastAsia" w:ascii="宋体" w:hAnsi="宋体" w:eastAsia="宋体" w:cs="宋体"/>
          <w:color w:val="000000" w:themeColor="text1"/>
          <w:sz w:val="21"/>
          <w:szCs w:val="21"/>
          <w:lang w:eastAsia="zh-CN"/>
          <w14:textFill>
            <w14:solidFill>
              <w14:schemeClr w14:val="tx1"/>
            </w14:solidFill>
          </w14:textFill>
        </w:rPr>
        <w:t>（https://sgccetp.com.cn/）进行操作，电子</w:t>
      </w:r>
      <w:r>
        <w:rPr>
          <w:rFonts w:hint="eastAsia" w:ascii="宋体" w:hAnsi="宋体" w:eastAsia="宋体" w:cs="宋体"/>
          <w:color w:val="000000" w:themeColor="text1"/>
          <w:sz w:val="21"/>
          <w:szCs w:val="21"/>
          <w:lang w:val="en-US" w:eastAsia="zh-CN"/>
          <w14:textFill>
            <w14:solidFill>
              <w14:schemeClr w14:val="tx1"/>
            </w14:solidFill>
          </w14:textFill>
        </w:rPr>
        <w:t>版应答文件提</w:t>
      </w:r>
      <w:r>
        <w:rPr>
          <w:rFonts w:hint="eastAsia" w:ascii="宋体" w:hAnsi="宋体" w:eastAsia="宋体" w:cs="宋体"/>
          <w:color w:val="000000" w:themeColor="text1"/>
          <w:sz w:val="21"/>
          <w:szCs w:val="21"/>
          <w:lang w:eastAsia="zh-CN"/>
          <w14:textFill>
            <w14:solidFill>
              <w14:schemeClr w14:val="tx1"/>
            </w14:solidFill>
          </w14:textFill>
        </w:rPr>
        <w:t>交流程请登录</w:t>
      </w:r>
      <w:r>
        <w:rPr>
          <w:rFonts w:hint="eastAsia" w:ascii="宋体" w:hAnsi="宋体" w:eastAsia="宋体" w:cs="宋体"/>
          <w:color w:val="000000" w:themeColor="text1"/>
          <w:sz w:val="21"/>
          <w:szCs w:val="21"/>
          <w:lang w:val="en-US" w:eastAsia="zh-CN"/>
          <w14:textFill>
            <w14:solidFill>
              <w14:schemeClr w14:val="tx1"/>
            </w14:solidFill>
          </w14:textFill>
        </w:rPr>
        <w:t>“</w:t>
      </w:r>
      <w:r>
        <w:rPr>
          <w:rFonts w:hint="eastAsia" w:ascii="宋体" w:hAnsi="宋体" w:eastAsia="宋体" w:cs="宋体"/>
          <w:color w:val="000000" w:themeColor="text1"/>
          <w:sz w:val="21"/>
          <w:szCs w:val="21"/>
          <w:lang w:eastAsia="zh-CN"/>
          <w14:textFill>
            <w14:solidFill>
              <w14:schemeClr w14:val="tx1"/>
            </w14:solidFill>
          </w14:textFill>
        </w:rPr>
        <w:t>电子商务平台</w:t>
      </w:r>
      <w:r>
        <w:rPr>
          <w:rFonts w:hint="eastAsia" w:ascii="宋体" w:hAnsi="宋体" w:eastAsia="宋体" w:cs="宋体"/>
          <w:color w:val="000000" w:themeColor="text1"/>
          <w:sz w:val="21"/>
          <w:szCs w:val="21"/>
          <w:lang w:val="en-US" w:eastAsia="zh-CN"/>
          <w14:textFill>
            <w14:solidFill>
              <w14:schemeClr w14:val="tx1"/>
            </w14:solidFill>
          </w14:textFill>
        </w:rPr>
        <w:t>-电工交易专区”</w:t>
      </w:r>
      <w:r>
        <w:rPr>
          <w:rFonts w:hint="eastAsia" w:ascii="宋体" w:hAnsi="宋体" w:eastAsia="宋体" w:cs="宋体"/>
          <w:color w:val="000000" w:themeColor="text1"/>
          <w:sz w:val="21"/>
          <w:szCs w:val="21"/>
          <w:lang w:eastAsia="zh-CN"/>
          <w14:textFill>
            <w14:solidFill>
              <w14:schemeClr w14:val="tx1"/>
            </w14:solidFill>
          </w14:textFill>
        </w:rPr>
        <w:t>—“供应商应用指南”—“参与投标”</w:t>
      </w:r>
      <w:r>
        <w:rPr>
          <w:rFonts w:hint="eastAsia" w:ascii="宋体" w:hAnsi="宋体" w:eastAsia="宋体" w:cs="宋体"/>
          <w:color w:val="000000" w:themeColor="text1"/>
          <w:sz w:val="21"/>
          <w:szCs w:val="21"/>
          <w:lang w:val="en-US" w:eastAsia="zh-CN"/>
          <w14:textFill>
            <w14:solidFill>
              <w14:schemeClr w14:val="tx1"/>
            </w14:solidFill>
          </w14:textFill>
        </w:rPr>
        <w:t>-</w:t>
      </w:r>
      <w:r>
        <w:rPr>
          <w:rFonts w:hint="eastAsia" w:ascii="宋体" w:hAnsi="宋体" w:eastAsia="宋体" w:cs="宋体"/>
          <w:color w:val="000000" w:themeColor="text1"/>
          <w:sz w:val="21"/>
          <w:szCs w:val="21"/>
          <w:lang w:eastAsia="zh-CN"/>
          <w14:textFill>
            <w14:solidFill>
              <w14:schemeClr w14:val="tx1"/>
            </w14:solidFill>
          </w14:textFill>
        </w:rPr>
        <w:t>“操作手册”下载所有文件仔细阅读。</w:t>
      </w:r>
    </w:p>
    <w:p>
      <w:pPr>
        <w:adjustRightInd w:val="0"/>
        <w:snapToGrid w:val="0"/>
        <w:spacing w:after="0" w:line="400" w:lineRule="exact"/>
        <w:ind w:firstLine="420" w:firstLineChars="200"/>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供应商注册服务热线：010-82288917;8259;8476;8392。</w:t>
      </w:r>
    </w:p>
    <w:p>
      <w:pPr>
        <w:adjustRightInd w:val="0"/>
        <w:snapToGrid w:val="0"/>
        <w:spacing w:after="0" w:line="400" w:lineRule="exact"/>
        <w:ind w:firstLine="420" w:firstLineChars="200"/>
        <w:rPr>
          <w:rFonts w:hint="default" w:ascii="宋体" w:hAnsi="宋体" w:eastAsia="宋体" w:cs="宋体"/>
          <w:color w:val="0000FF"/>
          <w:sz w:val="21"/>
          <w:szCs w:val="21"/>
          <w:lang w:val="en-US" w:eastAsia="zh-CN"/>
        </w:rPr>
      </w:pPr>
      <w:r>
        <w:rPr>
          <w:rFonts w:hint="eastAsia" w:ascii="宋体" w:hAnsi="宋体" w:eastAsia="宋体" w:cs="宋体"/>
          <w:color w:val="0000FF"/>
          <w:sz w:val="21"/>
          <w:szCs w:val="21"/>
          <w:lang w:val="en-US" w:eastAsia="zh-CN"/>
        </w:rPr>
        <w:t>提</w:t>
      </w:r>
      <w:r>
        <w:rPr>
          <w:rFonts w:hint="eastAsia" w:ascii="宋体" w:hAnsi="宋体" w:eastAsia="宋体" w:cs="宋体"/>
          <w:color w:val="0000FF"/>
          <w:sz w:val="21"/>
          <w:szCs w:val="21"/>
          <w:lang w:eastAsia="zh-CN"/>
        </w:rPr>
        <w:t>交截止时间为：202</w:t>
      </w:r>
      <w:r>
        <w:rPr>
          <w:rFonts w:hint="eastAsia" w:ascii="宋体" w:hAnsi="宋体" w:eastAsia="宋体" w:cs="宋体"/>
          <w:color w:val="0000FF"/>
          <w:sz w:val="21"/>
          <w:szCs w:val="21"/>
          <w:lang w:val="en-US" w:eastAsia="zh-CN"/>
        </w:rPr>
        <w:t>4</w:t>
      </w:r>
      <w:r>
        <w:rPr>
          <w:rFonts w:hint="eastAsia" w:ascii="宋体" w:hAnsi="宋体" w:eastAsia="宋体" w:cs="宋体"/>
          <w:color w:val="0000FF"/>
          <w:sz w:val="21"/>
          <w:szCs w:val="21"/>
          <w:lang w:eastAsia="zh-CN"/>
        </w:rPr>
        <w:t>年</w:t>
      </w:r>
      <w:r>
        <w:rPr>
          <w:rFonts w:hint="eastAsia" w:ascii="宋体" w:hAnsi="宋体" w:eastAsia="宋体" w:cs="宋体"/>
          <w:color w:val="0000FF"/>
          <w:sz w:val="21"/>
          <w:szCs w:val="21"/>
          <w:lang w:val="en-US" w:eastAsia="zh-CN"/>
        </w:rPr>
        <w:t>6</w:t>
      </w:r>
      <w:r>
        <w:rPr>
          <w:rFonts w:hint="eastAsia" w:ascii="宋体" w:hAnsi="宋体" w:eastAsia="宋体" w:cs="宋体"/>
          <w:color w:val="0000FF"/>
          <w:sz w:val="21"/>
          <w:szCs w:val="21"/>
          <w:lang w:eastAsia="zh-CN"/>
        </w:rPr>
        <w:t>月</w:t>
      </w:r>
      <w:r>
        <w:rPr>
          <w:rFonts w:hint="eastAsia" w:ascii="宋体" w:hAnsi="宋体" w:eastAsia="宋体" w:cs="宋体"/>
          <w:color w:val="0000FF"/>
          <w:sz w:val="21"/>
          <w:szCs w:val="21"/>
          <w:lang w:val="en-US" w:eastAsia="zh-CN"/>
        </w:rPr>
        <w:t>20</w:t>
      </w:r>
      <w:r>
        <w:rPr>
          <w:rFonts w:hint="eastAsia" w:ascii="宋体" w:hAnsi="宋体" w:eastAsia="宋体" w:cs="宋体"/>
          <w:color w:val="0000FF"/>
          <w:sz w:val="21"/>
          <w:szCs w:val="21"/>
          <w:lang w:eastAsia="zh-CN"/>
        </w:rPr>
        <w:t>日</w:t>
      </w:r>
      <w:r>
        <w:rPr>
          <w:rFonts w:hint="eastAsia" w:ascii="宋体" w:hAnsi="宋体" w:eastAsia="宋体" w:cs="宋体"/>
          <w:color w:val="0000FF"/>
          <w:sz w:val="21"/>
          <w:szCs w:val="21"/>
          <w:lang w:val="en-US" w:eastAsia="zh-CN"/>
        </w:rPr>
        <w:t>8</w:t>
      </w:r>
      <w:r>
        <w:rPr>
          <w:rFonts w:hint="eastAsia" w:ascii="宋体" w:hAnsi="宋体" w:eastAsia="宋体" w:cs="宋体"/>
          <w:color w:val="0000FF"/>
          <w:sz w:val="21"/>
          <w:szCs w:val="21"/>
          <w:lang w:eastAsia="zh-CN"/>
        </w:rPr>
        <w:t>:</w:t>
      </w:r>
      <w:r>
        <w:rPr>
          <w:rFonts w:hint="eastAsia" w:ascii="宋体" w:hAnsi="宋体" w:eastAsia="宋体" w:cs="宋体"/>
          <w:color w:val="0000FF"/>
          <w:sz w:val="21"/>
          <w:szCs w:val="21"/>
          <w:lang w:val="en-US" w:eastAsia="zh-CN"/>
        </w:rPr>
        <w:t>30</w:t>
      </w:r>
    </w:p>
    <w:p>
      <w:pPr>
        <w:adjustRightInd w:val="0"/>
        <w:snapToGrid w:val="0"/>
        <w:spacing w:after="0" w:line="400" w:lineRule="exact"/>
        <w:ind w:firstLine="420" w:firstLineChars="200"/>
        <w:rPr>
          <w:rFonts w:hint="default" w:ascii="宋体" w:hAnsi="宋体" w:eastAsia="宋体" w:cs="宋体"/>
          <w:color w:val="0000FF"/>
          <w:sz w:val="21"/>
          <w:szCs w:val="21"/>
          <w:lang w:val="en-US" w:eastAsia="zh-CN"/>
        </w:rPr>
      </w:pPr>
      <w:r>
        <w:rPr>
          <w:rFonts w:hint="eastAsia" w:ascii="宋体" w:hAnsi="宋体" w:eastAsia="宋体" w:cs="宋体"/>
          <w:color w:val="0000FF"/>
          <w:sz w:val="21"/>
          <w:szCs w:val="21"/>
          <w:lang w:val="en-US" w:eastAsia="zh-CN"/>
        </w:rPr>
        <w:t>开标</w:t>
      </w:r>
      <w:r>
        <w:rPr>
          <w:rFonts w:hint="eastAsia" w:ascii="宋体" w:hAnsi="宋体" w:eastAsia="宋体" w:cs="宋体"/>
          <w:color w:val="0000FF"/>
          <w:sz w:val="21"/>
          <w:szCs w:val="21"/>
          <w:lang w:eastAsia="zh-CN"/>
        </w:rPr>
        <w:t>时间为：202</w:t>
      </w:r>
      <w:r>
        <w:rPr>
          <w:rFonts w:hint="eastAsia" w:ascii="宋体" w:hAnsi="宋体" w:eastAsia="宋体" w:cs="宋体"/>
          <w:color w:val="0000FF"/>
          <w:sz w:val="21"/>
          <w:szCs w:val="21"/>
          <w:lang w:val="en-US" w:eastAsia="zh-CN"/>
        </w:rPr>
        <w:t>4</w:t>
      </w:r>
      <w:r>
        <w:rPr>
          <w:rFonts w:hint="eastAsia" w:ascii="宋体" w:hAnsi="宋体" w:eastAsia="宋体" w:cs="宋体"/>
          <w:color w:val="0000FF"/>
          <w:sz w:val="21"/>
          <w:szCs w:val="21"/>
          <w:lang w:eastAsia="zh-CN"/>
        </w:rPr>
        <w:t>年</w:t>
      </w:r>
      <w:r>
        <w:rPr>
          <w:rFonts w:hint="eastAsia" w:ascii="宋体" w:hAnsi="宋体" w:eastAsia="宋体" w:cs="宋体"/>
          <w:color w:val="0000FF"/>
          <w:sz w:val="21"/>
          <w:szCs w:val="21"/>
          <w:lang w:val="en-US" w:eastAsia="zh-CN"/>
        </w:rPr>
        <w:t>6</w:t>
      </w:r>
      <w:r>
        <w:rPr>
          <w:rFonts w:hint="eastAsia" w:ascii="宋体" w:hAnsi="宋体" w:eastAsia="宋体" w:cs="宋体"/>
          <w:color w:val="0000FF"/>
          <w:sz w:val="21"/>
          <w:szCs w:val="21"/>
          <w:lang w:eastAsia="zh-CN"/>
        </w:rPr>
        <w:t>月</w:t>
      </w:r>
      <w:r>
        <w:rPr>
          <w:rFonts w:hint="eastAsia" w:ascii="宋体" w:hAnsi="宋体" w:eastAsia="宋体" w:cs="宋体"/>
          <w:color w:val="0000FF"/>
          <w:sz w:val="21"/>
          <w:szCs w:val="21"/>
          <w:lang w:val="en-US" w:eastAsia="zh-CN"/>
        </w:rPr>
        <w:t>20</w:t>
      </w:r>
      <w:r>
        <w:rPr>
          <w:rFonts w:hint="eastAsia" w:ascii="宋体" w:hAnsi="宋体" w:eastAsia="宋体" w:cs="宋体"/>
          <w:color w:val="0000FF"/>
          <w:sz w:val="21"/>
          <w:szCs w:val="21"/>
          <w:lang w:eastAsia="zh-CN"/>
        </w:rPr>
        <w:t>日</w:t>
      </w:r>
      <w:r>
        <w:rPr>
          <w:rFonts w:hint="eastAsia" w:ascii="宋体" w:hAnsi="宋体" w:eastAsia="宋体" w:cs="宋体"/>
          <w:color w:val="0000FF"/>
          <w:sz w:val="21"/>
          <w:szCs w:val="21"/>
          <w:lang w:val="en-US" w:eastAsia="zh-CN"/>
        </w:rPr>
        <w:t>8</w:t>
      </w:r>
      <w:r>
        <w:rPr>
          <w:rFonts w:hint="eastAsia" w:ascii="宋体" w:hAnsi="宋体" w:eastAsia="宋体" w:cs="宋体"/>
          <w:color w:val="0000FF"/>
          <w:sz w:val="21"/>
          <w:szCs w:val="21"/>
          <w:lang w:eastAsia="zh-CN"/>
        </w:rPr>
        <w:t>:</w:t>
      </w:r>
      <w:r>
        <w:rPr>
          <w:rFonts w:hint="eastAsia" w:ascii="宋体" w:hAnsi="宋体" w:eastAsia="宋体" w:cs="宋体"/>
          <w:color w:val="0000FF"/>
          <w:sz w:val="21"/>
          <w:szCs w:val="21"/>
          <w:lang w:val="en-US" w:eastAsia="zh-CN"/>
        </w:rPr>
        <w:t>30</w:t>
      </w:r>
    </w:p>
    <w:p>
      <w:pPr>
        <w:adjustRightInd w:val="0"/>
        <w:snapToGrid w:val="0"/>
        <w:spacing w:beforeLines="100" w:afterLines="50" w:line="400" w:lineRule="exact"/>
        <w:ind w:firstLine="420" w:firstLineChars="200"/>
        <w:outlineLvl w:val="1"/>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5.2逾期提交的电子响应文件将不予以受理。</w:t>
      </w:r>
    </w:p>
    <w:p>
      <w:pPr>
        <w:adjustRightInd w:val="0"/>
        <w:snapToGrid w:val="0"/>
        <w:spacing w:beforeLines="100" w:afterLines="50" w:line="400" w:lineRule="exact"/>
        <w:outlineLvl w:val="1"/>
        <w:rPr>
          <w:rFonts w:ascii="黑体" w:eastAsia="黑体"/>
          <w:b/>
          <w:color w:val="000000" w:themeColor="text1"/>
          <w:sz w:val="24"/>
          <w:lang w:eastAsia="zh-CN"/>
          <w14:textFill>
            <w14:solidFill>
              <w14:schemeClr w14:val="tx1"/>
            </w14:solidFill>
          </w14:textFill>
        </w:rPr>
      </w:pPr>
      <w:r>
        <w:rPr>
          <w:rFonts w:hint="eastAsia" w:ascii="黑体" w:eastAsia="黑体"/>
          <w:b/>
          <w:color w:val="000000" w:themeColor="text1"/>
          <w:sz w:val="24"/>
          <w:lang w:eastAsia="zh-CN"/>
          <w14:textFill>
            <w14:solidFill>
              <w14:schemeClr w14:val="tx1"/>
            </w14:solidFill>
          </w14:textFill>
        </w:rPr>
        <w:t>6.发布公告的媒介</w:t>
      </w:r>
      <w:bookmarkEnd w:id="9"/>
    </w:p>
    <w:p>
      <w:pPr>
        <w:adjustRightInd w:val="0"/>
        <w:snapToGrid w:val="0"/>
        <w:spacing w:after="0" w:line="400" w:lineRule="exact"/>
        <w:ind w:firstLine="420" w:firstLineChars="200"/>
        <w:rPr>
          <w:rFonts w:hint="eastAsia" w:ascii="宋体" w:hAnsi="宋体" w:eastAsia="宋体" w:cs="宋体"/>
          <w:color w:val="000000" w:themeColor="text1"/>
          <w:sz w:val="21"/>
          <w:szCs w:val="21"/>
          <w:lang w:eastAsia="zh-CN"/>
          <w14:textFill>
            <w14:solidFill>
              <w14:schemeClr w14:val="tx1"/>
            </w14:solidFill>
          </w14:textFill>
        </w:rPr>
      </w:pPr>
      <w:bookmarkStart w:id="10" w:name="_Toc63094715"/>
      <w:r>
        <w:rPr>
          <w:rFonts w:hint="eastAsia" w:ascii="宋体" w:hAnsi="宋体" w:eastAsia="宋体" w:cs="宋体"/>
          <w:color w:val="000000" w:themeColor="text1"/>
          <w:sz w:val="21"/>
          <w:szCs w:val="21"/>
          <w:lang w:eastAsia="zh-CN"/>
          <w14:textFill>
            <w14:solidFill>
              <w14:schemeClr w14:val="tx1"/>
            </w14:solidFill>
          </w14:textFill>
        </w:rPr>
        <w:t>本次采购采取</w:t>
      </w:r>
      <w:r>
        <w:rPr>
          <w:rFonts w:hint="eastAsia" w:ascii="宋体" w:hAnsi="宋体" w:eastAsia="宋体" w:cs="宋体"/>
          <w:color w:val="000000" w:themeColor="text1"/>
          <w:sz w:val="21"/>
          <w:szCs w:val="21"/>
          <w:lang w:val="en-US" w:eastAsia="zh-CN"/>
          <w14:textFill>
            <w14:solidFill>
              <w14:schemeClr w14:val="tx1"/>
            </w14:solidFill>
          </w14:textFill>
        </w:rPr>
        <w:t>公开竞争性谈判采购方式</w:t>
      </w:r>
      <w:r>
        <w:rPr>
          <w:rFonts w:hint="eastAsia" w:ascii="宋体" w:hAnsi="宋体" w:eastAsia="宋体" w:cs="宋体"/>
          <w:color w:val="000000" w:themeColor="text1"/>
          <w:sz w:val="21"/>
          <w:szCs w:val="21"/>
          <w:lang w:eastAsia="zh-CN"/>
          <w14:textFill>
            <w14:solidFill>
              <w14:schemeClr w14:val="tx1"/>
            </w14:solidFill>
          </w14:textFill>
        </w:rPr>
        <w:t>，采购代理机构在“中国招标</w:t>
      </w:r>
      <w:r>
        <w:rPr>
          <w:rFonts w:hint="eastAsia" w:ascii="宋体" w:hAnsi="宋体" w:eastAsia="宋体" w:cs="宋体"/>
          <w:color w:val="000000" w:themeColor="text1"/>
          <w:sz w:val="21"/>
          <w:szCs w:val="21"/>
          <w:lang w:val="en-US" w:eastAsia="zh-CN"/>
          <w14:textFill>
            <w14:solidFill>
              <w14:schemeClr w14:val="tx1"/>
            </w14:solidFill>
          </w14:textFill>
        </w:rPr>
        <w:t>投标</w:t>
      </w:r>
      <w:r>
        <w:rPr>
          <w:rFonts w:hint="eastAsia" w:ascii="宋体" w:hAnsi="宋体" w:eastAsia="宋体" w:cs="宋体"/>
          <w:color w:val="000000" w:themeColor="text1"/>
          <w:sz w:val="21"/>
          <w:szCs w:val="21"/>
          <w:lang w:eastAsia="zh-CN"/>
          <w14:textFill>
            <w14:solidFill>
              <w14:schemeClr w14:val="tx1"/>
            </w14:solidFill>
          </w14:textFill>
        </w:rPr>
        <w:t>公共服务平台”(http://www.cebpubservice.com)、“国网新一代电子商务平台</w:t>
      </w:r>
      <w:r>
        <w:rPr>
          <w:rFonts w:hint="eastAsia" w:ascii="宋体" w:hAnsi="宋体" w:eastAsia="宋体" w:cs="宋体"/>
          <w:color w:val="000000" w:themeColor="text1"/>
          <w:sz w:val="21"/>
          <w:szCs w:val="21"/>
          <w:lang w:val="en-US" w:eastAsia="zh-CN"/>
          <w14:textFill>
            <w14:solidFill>
              <w14:schemeClr w14:val="tx1"/>
            </w14:solidFill>
          </w14:textFill>
        </w:rPr>
        <w:t>-电工交易专区</w:t>
      </w:r>
      <w:r>
        <w:rPr>
          <w:rFonts w:hint="eastAsia" w:ascii="宋体" w:hAnsi="宋体" w:eastAsia="宋体" w:cs="宋体"/>
          <w:color w:val="000000" w:themeColor="text1"/>
          <w:sz w:val="21"/>
          <w:szCs w:val="21"/>
          <w:lang w:eastAsia="zh-CN"/>
          <w14:textFill>
            <w14:solidFill>
              <w14:schemeClr w14:val="tx1"/>
            </w14:solidFill>
          </w14:textFill>
        </w:rPr>
        <w:t>”https://sgccetp.com.cn/)上发布</w:t>
      </w:r>
      <w:r>
        <w:rPr>
          <w:rFonts w:hint="eastAsia" w:ascii="宋体" w:hAnsi="宋体" w:eastAsia="宋体" w:cs="宋体"/>
          <w:color w:val="000000" w:themeColor="text1"/>
          <w:sz w:val="21"/>
          <w:szCs w:val="21"/>
          <w:lang w:val="en-US" w:eastAsia="zh-CN"/>
          <w14:textFill>
            <w14:solidFill>
              <w14:schemeClr w14:val="tx1"/>
            </w14:solidFill>
          </w14:textFill>
        </w:rPr>
        <w:t>采购</w:t>
      </w:r>
      <w:r>
        <w:rPr>
          <w:rFonts w:hint="eastAsia" w:ascii="宋体" w:hAnsi="宋体" w:eastAsia="宋体" w:cs="宋体"/>
          <w:color w:val="000000" w:themeColor="text1"/>
          <w:sz w:val="21"/>
          <w:szCs w:val="21"/>
          <w:lang w:eastAsia="zh-CN"/>
          <w14:textFill>
            <w14:solidFill>
              <w14:schemeClr w14:val="tx1"/>
            </w14:solidFill>
          </w14:textFill>
        </w:rPr>
        <w:t>公告，</w:t>
      </w:r>
      <w:r>
        <w:rPr>
          <w:rFonts w:hint="eastAsia" w:ascii="宋体" w:hAnsi="宋体" w:eastAsia="宋体" w:cs="宋体"/>
          <w:color w:val="000000" w:themeColor="text1"/>
          <w:sz w:val="21"/>
          <w:szCs w:val="21"/>
          <w:lang w:val="en-US" w:eastAsia="zh-CN"/>
          <w14:textFill>
            <w14:solidFill>
              <w14:schemeClr w14:val="tx1"/>
            </w14:solidFill>
          </w14:textFill>
        </w:rPr>
        <w:t>采购</w:t>
      </w:r>
      <w:r>
        <w:rPr>
          <w:rFonts w:hint="eastAsia" w:ascii="宋体" w:hAnsi="宋体" w:eastAsia="宋体" w:cs="宋体"/>
          <w:color w:val="000000" w:themeColor="text1"/>
          <w:sz w:val="21"/>
          <w:szCs w:val="21"/>
          <w:lang w:eastAsia="zh-CN"/>
          <w14:textFill>
            <w14:solidFill>
              <w14:schemeClr w14:val="tx1"/>
            </w14:solidFill>
          </w14:textFill>
        </w:rPr>
        <w:t>公告将明确对潜在</w:t>
      </w:r>
      <w:r>
        <w:rPr>
          <w:rFonts w:hint="eastAsia" w:ascii="宋体" w:hAnsi="宋体" w:eastAsia="宋体" w:cs="宋体"/>
          <w:color w:val="000000" w:themeColor="text1"/>
          <w:sz w:val="21"/>
          <w:szCs w:val="21"/>
          <w:lang w:val="en-US" w:eastAsia="zh-CN"/>
          <w14:textFill>
            <w14:solidFill>
              <w14:schemeClr w14:val="tx1"/>
            </w14:solidFill>
          </w14:textFill>
        </w:rPr>
        <w:t>应答</w:t>
      </w:r>
      <w:r>
        <w:rPr>
          <w:rFonts w:hint="eastAsia" w:ascii="宋体" w:hAnsi="宋体" w:eastAsia="宋体" w:cs="宋体"/>
          <w:color w:val="000000" w:themeColor="text1"/>
          <w:sz w:val="21"/>
          <w:szCs w:val="21"/>
          <w:lang w:eastAsia="zh-CN"/>
          <w14:textFill>
            <w14:solidFill>
              <w14:schemeClr w14:val="tx1"/>
            </w14:solidFill>
          </w14:textFill>
        </w:rPr>
        <w:t>人的资格要求、</w:t>
      </w:r>
      <w:r>
        <w:rPr>
          <w:rFonts w:hint="eastAsia" w:ascii="宋体" w:hAnsi="宋体" w:eastAsia="宋体" w:cs="宋体"/>
          <w:color w:val="000000" w:themeColor="text1"/>
          <w:sz w:val="21"/>
          <w:szCs w:val="21"/>
          <w:lang w:val="en-US" w:eastAsia="zh-CN"/>
          <w14:textFill>
            <w14:solidFill>
              <w14:schemeClr w14:val="tx1"/>
            </w14:solidFill>
          </w14:textFill>
        </w:rPr>
        <w:t>采购</w:t>
      </w:r>
      <w:r>
        <w:rPr>
          <w:rFonts w:hint="eastAsia" w:ascii="宋体" w:hAnsi="宋体" w:eastAsia="宋体" w:cs="宋体"/>
          <w:color w:val="000000" w:themeColor="text1"/>
          <w:sz w:val="21"/>
          <w:szCs w:val="21"/>
          <w:lang w:eastAsia="zh-CN"/>
          <w14:textFill>
            <w14:solidFill>
              <w14:schemeClr w14:val="tx1"/>
            </w14:solidFill>
          </w14:textFill>
        </w:rPr>
        <w:t>文件发放、</w:t>
      </w:r>
      <w:r>
        <w:rPr>
          <w:rFonts w:hint="eastAsia" w:ascii="宋体" w:hAnsi="宋体" w:eastAsia="宋体" w:cs="宋体"/>
          <w:color w:val="000000" w:themeColor="text1"/>
          <w:sz w:val="21"/>
          <w:szCs w:val="21"/>
          <w:lang w:val="en-US" w:eastAsia="zh-CN"/>
          <w14:textFill>
            <w14:solidFill>
              <w14:schemeClr w14:val="tx1"/>
            </w14:solidFill>
          </w14:textFill>
        </w:rPr>
        <w:t>应答</w:t>
      </w:r>
      <w:r>
        <w:rPr>
          <w:rFonts w:hint="eastAsia" w:ascii="宋体" w:hAnsi="宋体" w:eastAsia="宋体" w:cs="宋体"/>
          <w:color w:val="000000" w:themeColor="text1"/>
          <w:sz w:val="21"/>
          <w:szCs w:val="21"/>
          <w:lang w:eastAsia="zh-CN"/>
          <w14:textFill>
            <w14:solidFill>
              <w14:schemeClr w14:val="tx1"/>
            </w14:solidFill>
          </w14:textFill>
        </w:rPr>
        <w:t>文件递交、谈判时间和地点等事宜。</w:t>
      </w:r>
    </w:p>
    <w:p>
      <w:pPr>
        <w:adjustRightInd w:val="0"/>
        <w:snapToGrid w:val="0"/>
        <w:spacing w:beforeLines="100" w:afterLines="50" w:line="400" w:lineRule="exact"/>
        <w:outlineLvl w:val="1"/>
        <w:rPr>
          <w:rFonts w:ascii="黑体" w:eastAsia="黑体"/>
          <w:b/>
          <w:color w:val="000000" w:themeColor="text1"/>
          <w:sz w:val="24"/>
          <w:lang w:eastAsia="zh-CN"/>
          <w14:textFill>
            <w14:solidFill>
              <w14:schemeClr w14:val="tx1"/>
            </w14:solidFill>
          </w14:textFill>
        </w:rPr>
      </w:pPr>
      <w:r>
        <w:rPr>
          <w:rFonts w:hint="eastAsia" w:ascii="黑体" w:eastAsia="黑体"/>
          <w:b/>
          <w:color w:val="000000" w:themeColor="text1"/>
          <w:sz w:val="24"/>
          <w:lang w:eastAsia="zh-CN"/>
          <w14:textFill>
            <w14:solidFill>
              <w14:schemeClr w14:val="tx1"/>
            </w14:solidFill>
          </w14:textFill>
        </w:rPr>
        <w:t>7.采购文件获取联系方式</w:t>
      </w:r>
      <w:bookmarkEnd w:id="10"/>
    </w:p>
    <w:p>
      <w:pPr>
        <w:pStyle w:val="8"/>
        <w:adjustRightInd w:val="0"/>
        <w:snapToGrid w:val="0"/>
        <w:spacing w:after="0" w:line="400" w:lineRule="exact"/>
        <w:ind w:firstLineChars="200"/>
        <w:rPr>
          <w:rFonts w:hint="eastAsia" w:ascii="宋体" w:hAnsi="宋体" w:eastAsia="宋体" w:cs="宋体"/>
          <w:color w:val="000000" w:themeColor="text1"/>
          <w:sz w:val="21"/>
          <w:szCs w:val="22"/>
          <w:lang w:val="en-US" w:eastAsia="zh-CN"/>
          <w14:textFill>
            <w14:solidFill>
              <w14:schemeClr w14:val="tx1"/>
            </w14:solidFill>
          </w14:textFill>
        </w:rPr>
      </w:pPr>
      <w:r>
        <w:rPr>
          <w:rFonts w:hint="eastAsia" w:ascii="宋体" w:hAnsi="宋体" w:eastAsia="宋体" w:cs="宋体"/>
          <w:color w:val="000000" w:themeColor="text1"/>
          <w:sz w:val="21"/>
          <w:szCs w:val="22"/>
          <w:lang w:val="en-US" w:eastAsia="zh-CN"/>
          <w14:textFill>
            <w14:solidFill>
              <w14:schemeClr w14:val="tx1"/>
            </w14:solidFill>
          </w14:textFill>
        </w:rPr>
        <w:t>采购人:铜陵铜能电力工程有限责任公司</w:t>
      </w:r>
    </w:p>
    <w:p>
      <w:pPr>
        <w:pStyle w:val="8"/>
        <w:adjustRightInd w:val="0"/>
        <w:snapToGrid w:val="0"/>
        <w:spacing w:after="0" w:line="400" w:lineRule="exact"/>
        <w:ind w:firstLineChars="200"/>
        <w:rPr>
          <w:rFonts w:hint="eastAsia" w:ascii="宋体" w:hAnsi="宋体" w:eastAsia="宋体" w:cs="宋体"/>
          <w:color w:val="000000" w:themeColor="text1"/>
          <w:sz w:val="21"/>
          <w:szCs w:val="22"/>
          <w:lang w:val="en-US" w:eastAsia="zh-CN"/>
          <w14:textFill>
            <w14:solidFill>
              <w14:schemeClr w14:val="tx1"/>
            </w14:solidFill>
          </w14:textFill>
        </w:rPr>
      </w:pPr>
      <w:r>
        <w:rPr>
          <w:rFonts w:hint="eastAsia" w:ascii="宋体" w:hAnsi="宋体" w:eastAsia="宋体" w:cs="宋体"/>
          <w:color w:val="000000" w:themeColor="text1"/>
          <w:sz w:val="21"/>
          <w:szCs w:val="22"/>
          <w:lang w:val="en-US" w:eastAsia="zh-CN"/>
          <w14:textFill>
            <w14:solidFill>
              <w14:schemeClr w14:val="tx1"/>
            </w14:solidFill>
          </w14:textFill>
        </w:rPr>
        <w:t>地址:安徽省铜陵市经济开发区泰山大道北段36号</w:t>
      </w:r>
    </w:p>
    <w:p>
      <w:pPr>
        <w:pStyle w:val="8"/>
        <w:adjustRightInd w:val="0"/>
        <w:snapToGrid w:val="0"/>
        <w:spacing w:after="0" w:line="400" w:lineRule="exact"/>
        <w:ind w:firstLineChars="200"/>
        <w:rPr>
          <w:rFonts w:hint="eastAsia" w:ascii="宋体" w:hAnsi="宋体" w:eastAsia="宋体" w:cs="宋体"/>
          <w:color w:val="000000" w:themeColor="text1"/>
          <w:sz w:val="21"/>
          <w:szCs w:val="22"/>
          <w:lang w:val="en-US" w:eastAsia="zh-CN"/>
          <w14:textFill>
            <w14:solidFill>
              <w14:schemeClr w14:val="tx1"/>
            </w14:solidFill>
          </w14:textFill>
        </w:rPr>
      </w:pPr>
      <w:r>
        <w:rPr>
          <w:rFonts w:hint="eastAsia" w:ascii="宋体" w:hAnsi="宋体" w:eastAsia="宋体" w:cs="宋体"/>
          <w:color w:val="000000" w:themeColor="text1"/>
          <w:sz w:val="21"/>
          <w:szCs w:val="22"/>
          <w:lang w:val="en-US" w:eastAsia="zh-CN"/>
          <w14:textFill>
            <w14:solidFill>
              <w14:schemeClr w14:val="tx1"/>
            </w14:solidFill>
          </w14:textFill>
        </w:rPr>
        <w:t>邮编：244000</w:t>
      </w:r>
    </w:p>
    <w:p>
      <w:pPr>
        <w:pStyle w:val="8"/>
        <w:adjustRightInd w:val="0"/>
        <w:snapToGrid w:val="0"/>
        <w:spacing w:after="0" w:line="400" w:lineRule="exact"/>
        <w:ind w:firstLineChars="200"/>
        <w:rPr>
          <w:rFonts w:hint="eastAsia" w:ascii="宋体" w:hAnsi="宋体" w:eastAsia="宋体" w:cs="宋体"/>
          <w:color w:val="000000" w:themeColor="text1"/>
          <w:sz w:val="21"/>
          <w:szCs w:val="22"/>
          <w:lang w:val="en-US" w:eastAsia="zh-CN"/>
          <w14:textFill>
            <w14:solidFill>
              <w14:schemeClr w14:val="tx1"/>
            </w14:solidFill>
          </w14:textFill>
        </w:rPr>
      </w:pPr>
      <w:r>
        <w:rPr>
          <w:rFonts w:hint="eastAsia" w:ascii="宋体" w:hAnsi="宋体" w:eastAsia="宋体" w:cs="宋体"/>
          <w:color w:val="000000" w:themeColor="text1"/>
          <w:sz w:val="21"/>
          <w:szCs w:val="22"/>
          <w:lang w:val="en-US" w:eastAsia="zh-CN"/>
          <w14:textFill>
            <w14:solidFill>
              <w14:schemeClr w14:val="tx1"/>
            </w14:solidFill>
          </w14:textFill>
        </w:rPr>
        <w:t>采购代理机构：铜陵市电力咨询设计有限责任公司</w:t>
      </w:r>
    </w:p>
    <w:p>
      <w:pPr>
        <w:pStyle w:val="8"/>
        <w:adjustRightInd w:val="0"/>
        <w:snapToGrid w:val="0"/>
        <w:spacing w:after="0" w:line="400" w:lineRule="exact"/>
        <w:ind w:firstLineChars="200"/>
        <w:rPr>
          <w:rFonts w:hint="eastAsia" w:ascii="宋体" w:hAnsi="宋体" w:eastAsia="宋体" w:cs="宋体"/>
          <w:color w:val="000000" w:themeColor="text1"/>
          <w:sz w:val="21"/>
          <w:szCs w:val="22"/>
          <w:lang w:val="en-US" w:eastAsia="zh-CN"/>
          <w14:textFill>
            <w14:solidFill>
              <w14:schemeClr w14:val="tx1"/>
            </w14:solidFill>
          </w14:textFill>
        </w:rPr>
      </w:pPr>
      <w:r>
        <w:rPr>
          <w:rFonts w:hint="eastAsia" w:ascii="宋体" w:hAnsi="宋体" w:eastAsia="宋体" w:cs="宋体"/>
          <w:color w:val="000000" w:themeColor="text1"/>
          <w:sz w:val="21"/>
          <w:szCs w:val="22"/>
          <w:lang w:val="en-US" w:eastAsia="zh-CN"/>
          <w14:textFill>
            <w14:solidFill>
              <w14:schemeClr w14:val="tx1"/>
            </w14:solidFill>
          </w14:textFill>
        </w:rPr>
        <w:t>地址：安徽省铜陵市经济开发区泰山大道北段36号</w:t>
      </w:r>
    </w:p>
    <w:p>
      <w:pPr>
        <w:pStyle w:val="8"/>
        <w:adjustRightInd w:val="0"/>
        <w:snapToGrid w:val="0"/>
        <w:spacing w:after="0" w:line="400" w:lineRule="exact"/>
        <w:ind w:firstLineChars="200"/>
        <w:rPr>
          <w:rFonts w:hint="eastAsia" w:ascii="宋体" w:hAnsi="宋体" w:eastAsia="宋体" w:cs="宋体"/>
          <w:color w:val="000000" w:themeColor="text1"/>
          <w:sz w:val="21"/>
          <w:szCs w:val="22"/>
          <w:lang w:val="en-US" w:eastAsia="zh-CN"/>
          <w14:textFill>
            <w14:solidFill>
              <w14:schemeClr w14:val="tx1"/>
            </w14:solidFill>
          </w14:textFill>
        </w:rPr>
      </w:pPr>
      <w:r>
        <w:rPr>
          <w:rFonts w:hint="eastAsia" w:ascii="宋体" w:hAnsi="宋体" w:eastAsia="宋体" w:cs="宋体"/>
          <w:color w:val="000000" w:themeColor="text1"/>
          <w:sz w:val="21"/>
          <w:szCs w:val="22"/>
          <w:lang w:val="en-US" w:eastAsia="zh-CN"/>
          <w14:textFill>
            <w14:solidFill>
              <w14:schemeClr w14:val="tx1"/>
            </w14:solidFill>
          </w14:textFill>
        </w:rPr>
        <w:t>邮编：244000</w:t>
      </w:r>
    </w:p>
    <w:p>
      <w:pPr>
        <w:pStyle w:val="8"/>
        <w:adjustRightInd w:val="0"/>
        <w:snapToGrid w:val="0"/>
        <w:spacing w:after="0" w:line="400" w:lineRule="exact"/>
        <w:ind w:firstLineChars="200"/>
        <w:rPr>
          <w:rFonts w:hint="eastAsia" w:ascii="宋体" w:hAnsi="宋体" w:eastAsia="宋体" w:cs="宋体"/>
          <w:color w:val="000000" w:themeColor="text1"/>
          <w:sz w:val="21"/>
          <w:szCs w:val="22"/>
          <w:lang w:val="en-US" w:eastAsia="zh-CN"/>
          <w14:textFill>
            <w14:solidFill>
              <w14:schemeClr w14:val="tx1"/>
            </w14:solidFill>
          </w14:textFill>
        </w:rPr>
      </w:pPr>
      <w:r>
        <w:rPr>
          <w:rFonts w:hint="eastAsia" w:ascii="宋体" w:hAnsi="宋体" w:eastAsia="宋体" w:cs="宋体"/>
          <w:color w:val="000000" w:themeColor="text1"/>
          <w:sz w:val="21"/>
          <w:szCs w:val="22"/>
          <w:lang w:val="en-US" w:eastAsia="zh-CN"/>
          <w14:textFill>
            <w14:solidFill>
              <w14:schemeClr w14:val="tx1"/>
            </w14:solidFill>
          </w14:textFill>
        </w:rPr>
        <w:t>联系人电话：朱玲玲；联系电话：0562-2664387；</w:t>
      </w:r>
    </w:p>
    <w:p>
      <w:pPr>
        <w:pStyle w:val="8"/>
        <w:adjustRightInd w:val="0"/>
        <w:snapToGrid w:val="0"/>
        <w:spacing w:after="0" w:line="400" w:lineRule="exact"/>
        <w:ind w:firstLineChars="200"/>
        <w:rPr>
          <w:rFonts w:hint="eastAsia" w:ascii="宋体" w:hAnsi="宋体" w:eastAsia="宋体" w:cs="宋体"/>
          <w:color w:val="000000" w:themeColor="text1"/>
          <w:sz w:val="21"/>
          <w:szCs w:val="22"/>
          <w:lang w:val="en-US" w:eastAsia="zh-CN"/>
          <w14:textFill>
            <w14:solidFill>
              <w14:schemeClr w14:val="tx1"/>
            </w14:solidFill>
          </w14:textFill>
        </w:rPr>
      </w:pPr>
      <w:r>
        <w:rPr>
          <w:rFonts w:hint="eastAsia" w:ascii="宋体" w:hAnsi="宋体" w:eastAsia="宋体" w:cs="宋体"/>
          <w:color w:val="000000" w:themeColor="text1"/>
          <w:sz w:val="21"/>
          <w:szCs w:val="22"/>
          <w:lang w:val="en-US" w:eastAsia="zh-CN"/>
          <w14:textFill>
            <w14:solidFill>
              <w14:schemeClr w14:val="tx1"/>
            </w14:solidFill>
          </w14:textFill>
        </w:rPr>
        <w:t>电子邮件：1570567038@qq.com</w:t>
      </w:r>
    </w:p>
    <w:p>
      <w:pPr>
        <w:tabs>
          <w:tab w:val="left" w:pos="2998"/>
        </w:tabs>
        <w:adjustRightInd w:val="0"/>
        <w:snapToGrid w:val="0"/>
        <w:spacing w:beforeLines="50" w:afterLines="50" w:line="400" w:lineRule="atLeast"/>
        <w:outlineLvl w:val="1"/>
        <w:rPr>
          <w:rFonts w:ascii="黑体" w:eastAsia="黑体"/>
          <w:b/>
          <w:color w:val="000000" w:themeColor="text1"/>
          <w:sz w:val="24"/>
          <w:lang w:eastAsia="zh-CN"/>
          <w14:textFill>
            <w14:solidFill>
              <w14:schemeClr w14:val="tx1"/>
            </w14:solidFill>
          </w14:textFill>
        </w:rPr>
      </w:pPr>
      <w:bookmarkStart w:id="11" w:name="_Toc63094716"/>
      <w:r>
        <w:rPr>
          <w:rFonts w:hint="eastAsia" w:ascii="黑体" w:eastAsia="黑体"/>
          <w:b/>
          <w:color w:val="000000" w:themeColor="text1"/>
          <w:sz w:val="24"/>
          <w:lang w:eastAsia="zh-CN"/>
          <w14:textFill>
            <w14:solidFill>
              <w14:schemeClr w14:val="tx1"/>
            </w14:solidFill>
          </w14:textFill>
        </w:rPr>
        <w:t>8.合规声明</w:t>
      </w:r>
      <w:bookmarkEnd w:id="11"/>
      <w:r>
        <w:rPr>
          <w:rFonts w:hint="eastAsia" w:ascii="黑体" w:eastAsia="黑体"/>
          <w:b/>
          <w:color w:val="000000" w:themeColor="text1"/>
          <w:sz w:val="24"/>
          <w:lang w:eastAsia="zh-CN"/>
          <w14:textFill>
            <w14:solidFill>
              <w14:schemeClr w14:val="tx1"/>
            </w14:solidFill>
          </w14:textFill>
        </w:rPr>
        <w:tab/>
      </w:r>
    </w:p>
    <w:p>
      <w:pPr>
        <w:pStyle w:val="2"/>
        <w:spacing w:after="0" w:line="400" w:lineRule="exact"/>
        <w:ind w:firstLine="420" w:firstLineChars="200"/>
        <w:rPr>
          <w:rFonts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本采购文件（包括商务部分和技术部分）符合国家现行法律法规规定，若国家颁布新的法律法规或对现有法律法规进行修订，以新施行的法律法规规定为准。</w:t>
      </w:r>
    </w:p>
    <w:p>
      <w:pPr>
        <w:adjustRightInd w:val="0"/>
        <w:snapToGrid w:val="0"/>
        <w:spacing w:beforeLines="50" w:afterLines="50" w:line="400" w:lineRule="atLeast"/>
        <w:outlineLvl w:val="1"/>
        <w:rPr>
          <w:rFonts w:ascii="黑体" w:eastAsia="黑体"/>
          <w:b/>
          <w:color w:val="000000" w:themeColor="text1"/>
          <w:sz w:val="24"/>
          <w:lang w:eastAsia="zh-CN"/>
          <w14:textFill>
            <w14:solidFill>
              <w14:schemeClr w14:val="tx1"/>
            </w14:solidFill>
          </w14:textFill>
        </w:rPr>
      </w:pPr>
      <w:r>
        <w:rPr>
          <w:rFonts w:hint="eastAsia" w:ascii="黑体" w:eastAsia="黑体"/>
          <w:b/>
          <w:color w:val="000000" w:themeColor="text1"/>
          <w:sz w:val="24"/>
          <w:lang w:eastAsia="zh-CN"/>
          <w14:textFill>
            <w14:solidFill>
              <w14:schemeClr w14:val="tx1"/>
            </w14:solidFill>
          </w14:textFill>
        </w:rPr>
        <w:t>9.权利声明</w:t>
      </w:r>
    </w:p>
    <w:p>
      <w:pPr>
        <w:pStyle w:val="2"/>
        <w:spacing w:after="0" w:line="400" w:lineRule="exact"/>
        <w:ind w:firstLine="420" w:firstLineChars="200"/>
        <w:rPr>
          <w:rFonts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禁止对本采购文件或公示信息进行任何形式的转载（包括但不限于部分或全文转载、修改后转载）或任何未经书面授权的使用。任何单位或个人不得对采购公告或公示信息等内容进行不全面、不准确、不客观地分析或使用，任何单位或个人违法或违反本条规定转载、使用本采购文件</w:t>
      </w:r>
      <w:bookmarkStart w:id="12" w:name="_Hlk97041604"/>
      <w:r>
        <w:rPr>
          <w:rFonts w:hint="eastAsia" w:ascii="宋体" w:hAnsi="宋体" w:eastAsia="宋体" w:cs="宋体"/>
          <w:color w:val="000000" w:themeColor="text1"/>
          <w:sz w:val="21"/>
          <w:szCs w:val="21"/>
          <w:lang w:eastAsia="zh-CN"/>
          <w14:textFill>
            <w14:solidFill>
              <w14:schemeClr w14:val="tx1"/>
            </w14:solidFill>
          </w14:textFill>
        </w:rPr>
        <w:t>或公示信息</w:t>
      </w:r>
      <w:bookmarkEnd w:id="12"/>
      <w:r>
        <w:rPr>
          <w:rFonts w:hint="eastAsia" w:ascii="宋体" w:hAnsi="宋体" w:eastAsia="宋体" w:cs="宋体"/>
          <w:color w:val="000000" w:themeColor="text1"/>
          <w:sz w:val="21"/>
          <w:szCs w:val="21"/>
          <w:lang w:eastAsia="zh-CN"/>
          <w14:textFill>
            <w14:solidFill>
              <w14:schemeClr w14:val="tx1"/>
            </w14:solidFill>
          </w14:textFill>
        </w:rPr>
        <w:t>的，采购人将依法追究法律责任。</w:t>
      </w:r>
    </w:p>
    <w:p>
      <w:pPr>
        <w:pStyle w:val="2"/>
        <w:spacing w:after="0" w:line="400" w:lineRule="exact"/>
        <w:ind w:firstLine="420" w:firstLineChars="200"/>
        <w:rPr>
          <w:rFonts w:ascii="宋体" w:hAnsi="宋体" w:eastAsia="宋体" w:cs="宋体"/>
          <w:color w:val="000000" w:themeColor="text1"/>
          <w:sz w:val="21"/>
          <w:szCs w:val="21"/>
          <w:lang w:eastAsia="zh-CN"/>
          <w14:textFill>
            <w14:solidFill>
              <w14:schemeClr w14:val="tx1"/>
            </w14:solidFill>
          </w14:textFill>
        </w:rPr>
      </w:pPr>
    </w:p>
    <w:p>
      <w:pPr>
        <w:wordWrap w:val="0"/>
        <w:spacing w:after="120" w:line="400" w:lineRule="exact"/>
        <w:ind w:firstLine="420" w:firstLineChars="200"/>
        <w:jc w:val="right"/>
        <w:rPr>
          <w:color w:val="0000FF"/>
          <w:lang w:eastAsia="zh-CN"/>
        </w:rPr>
        <w:sectPr>
          <w:footerReference r:id="rId6" w:type="first"/>
          <w:footerReference r:id="rId5" w:type="default"/>
          <w:pgSz w:w="11849" w:h="16781"/>
          <w:pgMar w:top="1134" w:right="1803" w:bottom="1134" w:left="1803" w:header="0" w:footer="839" w:gutter="0"/>
          <w:pgNumType w:fmt="decimal" w:start="1"/>
          <w:cols w:space="0" w:num="1"/>
          <w:titlePg/>
          <w:docGrid w:linePitch="312" w:charSpace="0"/>
        </w:sectPr>
      </w:pPr>
      <w:r>
        <w:rPr>
          <w:rFonts w:hint="eastAsia" w:ascii="宋体" w:eastAsia="宋体"/>
          <w:color w:val="0000FF"/>
          <w:sz w:val="21"/>
          <w:szCs w:val="21"/>
          <w:lang w:val="en-US" w:eastAsia="zh-CN"/>
        </w:rPr>
        <w:t>2024</w:t>
      </w:r>
      <w:r>
        <w:rPr>
          <w:rFonts w:hint="eastAsia" w:ascii="宋体" w:eastAsia="宋体"/>
          <w:color w:val="0000FF"/>
          <w:sz w:val="21"/>
          <w:szCs w:val="21"/>
          <w:lang w:eastAsia="zh-CN"/>
        </w:rPr>
        <w:t>年</w:t>
      </w:r>
      <w:r>
        <w:rPr>
          <w:rFonts w:hint="eastAsia" w:ascii="宋体" w:eastAsia="宋体"/>
          <w:color w:val="0000FF"/>
          <w:sz w:val="21"/>
          <w:szCs w:val="21"/>
          <w:lang w:val="en-US" w:eastAsia="zh-CN"/>
        </w:rPr>
        <w:t>6</w:t>
      </w:r>
      <w:r>
        <w:rPr>
          <w:rFonts w:hint="eastAsia" w:ascii="宋体" w:eastAsia="宋体"/>
          <w:color w:val="0000FF"/>
          <w:sz w:val="21"/>
          <w:szCs w:val="21"/>
          <w:lang w:eastAsia="zh-CN"/>
        </w:rPr>
        <w:t>月</w:t>
      </w:r>
      <w:r>
        <w:rPr>
          <w:rFonts w:hint="eastAsia" w:ascii="宋体" w:eastAsia="宋体"/>
          <w:color w:val="0000FF"/>
          <w:sz w:val="21"/>
          <w:szCs w:val="21"/>
          <w:lang w:val="en-US" w:eastAsia="zh-CN"/>
        </w:rPr>
        <w:t>12</w:t>
      </w:r>
      <w:r>
        <w:rPr>
          <w:rFonts w:hint="eastAsia" w:ascii="宋体" w:eastAsia="宋体"/>
          <w:color w:val="0000FF"/>
          <w:sz w:val="21"/>
          <w:szCs w:val="21"/>
          <w:lang w:eastAsia="zh-CN"/>
        </w:rPr>
        <w:t>日</w:t>
      </w:r>
    </w:p>
    <w:p>
      <w:pPr>
        <w:pStyle w:val="11"/>
        <w:spacing w:line="400" w:lineRule="exact"/>
        <w:outlineLvl w:val="1"/>
        <w:rPr>
          <w:rFonts w:ascii="黑体" w:hAnsi="黑体" w:eastAsia="黑体" w:cs="黑体"/>
          <w:b/>
          <w:bCs/>
          <w:color w:val="000000" w:themeColor="text1"/>
          <w:kern w:val="2"/>
          <w:sz w:val="24"/>
          <w:szCs w:val="24"/>
          <w:lang w:val="en-US" w:eastAsia="zh-CN"/>
          <w14:textFill>
            <w14:solidFill>
              <w14:schemeClr w14:val="tx1"/>
            </w14:solidFill>
          </w14:textFill>
        </w:rPr>
      </w:pPr>
      <w:r>
        <w:rPr>
          <w:rFonts w:hint="eastAsia" w:ascii="黑体" w:hAnsi="黑体" w:eastAsia="黑体" w:cs="黑体"/>
          <w:b/>
          <w:bCs/>
          <w:color w:val="000000" w:themeColor="text1"/>
          <w:kern w:val="2"/>
          <w:sz w:val="24"/>
          <w:szCs w:val="24"/>
          <w:lang w:val="en-US" w:eastAsia="zh-CN"/>
          <w14:textFill>
            <w14:solidFill>
              <w14:schemeClr w14:val="tx1"/>
            </w14:solidFill>
          </w14:textFill>
        </w:rPr>
        <w:t>采购公告附件：</w:t>
      </w:r>
    </w:p>
    <w:tbl>
      <w:tblPr>
        <w:tblStyle w:val="9"/>
        <w:tblW w:w="1472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44"/>
        <w:gridCol w:w="1803"/>
        <w:gridCol w:w="1511"/>
        <w:gridCol w:w="1149"/>
        <w:gridCol w:w="863"/>
        <w:gridCol w:w="1193"/>
        <w:gridCol w:w="2310"/>
        <w:gridCol w:w="1217"/>
        <w:gridCol w:w="863"/>
        <w:gridCol w:w="1629"/>
        <w:gridCol w:w="164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8" w:hRule="atLeast"/>
        </w:trPr>
        <w:tc>
          <w:tcPr>
            <w:tcW w:w="14729"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lang w:val="en-US" w:eastAsia="zh-CN" w:bidi="ar"/>
              </w:rPr>
              <w:t>国网铜陵供电公司省管产业2024年6月服务竞争性谈判采购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8" w:hRule="atLeast"/>
        </w:trPr>
        <w:tc>
          <w:tcPr>
            <w:tcW w:w="14729"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lang w:val="en-US" w:eastAsia="zh-CN" w:bidi="ar"/>
              </w:rPr>
              <w:t>采购一览表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trPr>
        <w:tc>
          <w:tcPr>
            <w:tcW w:w="14729"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标一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6" w:hRule="atLeast"/>
        </w:trPr>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包号</w:t>
            </w:r>
          </w:p>
        </w:tc>
        <w:tc>
          <w:tcPr>
            <w:tcW w:w="1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项目名称</w:t>
            </w:r>
          </w:p>
        </w:tc>
        <w:tc>
          <w:tcPr>
            <w:tcW w:w="15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服务类型</w:t>
            </w: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最高限价（元）</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报价方式</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税费（%）</w:t>
            </w:r>
          </w:p>
        </w:tc>
        <w:tc>
          <w:tcPr>
            <w:tcW w:w="23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专项资格要求</w:t>
            </w:r>
          </w:p>
        </w:tc>
        <w:tc>
          <w:tcPr>
            <w:tcW w:w="12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工期</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质保期</w:t>
            </w:r>
          </w:p>
        </w:tc>
        <w:tc>
          <w:tcPr>
            <w:tcW w:w="1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付款方式</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80" w:hRule="atLeast"/>
        </w:trPr>
        <w:tc>
          <w:tcPr>
            <w:tcW w:w="5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铜陵阳光电力维修工程有限公司枞阳分公司2024汽车租赁</w:t>
            </w:r>
          </w:p>
        </w:tc>
        <w:tc>
          <w:tcPr>
            <w:tcW w:w="15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车辆租赁（自有成本项目）</w:t>
            </w: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60000</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总价</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w:t>
            </w:r>
          </w:p>
        </w:tc>
        <w:tc>
          <w:tcPr>
            <w:tcW w:w="23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应满足采购公告规定的应答人通用资格条件以及专用资质业绩条件，并提供相应佐证材料</w:t>
            </w:r>
          </w:p>
        </w:tc>
        <w:tc>
          <w:tcPr>
            <w:tcW w:w="12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2024年7月16日-2025年7月15日</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按年度进行结算付款</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FF"/>
                <w:sz w:val="22"/>
                <w:szCs w:val="22"/>
                <w:u w:val="none"/>
              </w:rPr>
            </w:pPr>
            <w:r>
              <w:rPr>
                <w:rFonts w:hint="eastAsia" w:ascii="宋体" w:hAnsi="宋体" w:eastAsia="宋体" w:cs="宋体"/>
                <w:i w:val="0"/>
                <w:iCs w:val="0"/>
                <w:color w:val="0000FF"/>
                <w:kern w:val="0"/>
                <w:sz w:val="22"/>
                <w:szCs w:val="22"/>
                <w:u w:val="none"/>
                <w:lang w:val="en-US" w:eastAsia="zh-CN" w:bidi="ar"/>
              </w:rPr>
              <w:t>使用中间价下浮法的评审办法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5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铜陵阳光电力维修工程有限公司2024年招聘</w:t>
            </w:r>
          </w:p>
        </w:tc>
        <w:tc>
          <w:tcPr>
            <w:tcW w:w="15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其他人力资源服务（自有成本项目）</w:t>
            </w: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62000</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总价</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23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具备有效期内的人力资源服务许可证</w:t>
            </w:r>
          </w:p>
        </w:tc>
        <w:tc>
          <w:tcPr>
            <w:tcW w:w="12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合同签订后至2024年12月30日</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一年</w:t>
            </w:r>
          </w:p>
        </w:tc>
        <w:tc>
          <w:tcPr>
            <w:tcW w:w="1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合同履约结束并完成审计后，一次性付至审定金额的100%</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FF"/>
                <w:sz w:val="22"/>
                <w:szCs w:val="22"/>
                <w:u w:val="none"/>
              </w:rPr>
            </w:pPr>
            <w:r>
              <w:rPr>
                <w:rFonts w:hint="eastAsia" w:ascii="宋体" w:hAnsi="宋体" w:eastAsia="宋体" w:cs="宋体"/>
                <w:i w:val="0"/>
                <w:iCs w:val="0"/>
                <w:color w:val="0000FF"/>
                <w:kern w:val="0"/>
                <w:sz w:val="22"/>
                <w:szCs w:val="22"/>
                <w:u w:val="none"/>
                <w:lang w:val="en-US" w:eastAsia="zh-CN" w:bidi="ar"/>
              </w:rPr>
              <w:t>使用中间价下浮的评审办法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40" w:hRule="atLeast"/>
        </w:trPr>
        <w:tc>
          <w:tcPr>
            <w:tcW w:w="5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1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2024年用电信息采集系统运维</w:t>
            </w:r>
          </w:p>
        </w:tc>
        <w:tc>
          <w:tcPr>
            <w:tcW w:w="15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系统运维</w:t>
            </w: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857500</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总价</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23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应答人须具有独立法人资格，能够独立完成相关工作的服务实体，且具有有效的安全生产许可证。（2）应答人近五年没有骗取中标行为，未出现严重违约情况，未出现违法分包、转包现象；没有拖欠农民工工资问题。（3）应答人近三年在国内建设工程招投标活动和合同履行中，未受到行业及政府主管部门、国家电网公司、省级电力公司公开通报批评。（4）应答人未被列入国网安徽省电力有限公司系统黑名单的。（5）应答人应提供与本项目类似的业绩（类似项目是指与本项目在结构形式、使用功能、建设规模相同或相近的同类项目）</w:t>
            </w:r>
          </w:p>
        </w:tc>
        <w:tc>
          <w:tcPr>
            <w:tcW w:w="12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服务至2024年12月31日止</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一年</w:t>
            </w:r>
          </w:p>
        </w:tc>
        <w:tc>
          <w:tcPr>
            <w:tcW w:w="1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项目进度达到30%时，支付合同款项的30%；项目进度达到60%时，支付合同款项的30%；项目进度达到90%时，支付合同款项的30%；当项目竣工验收合格且结算审计后，支付至审计价款的100%</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FF"/>
                <w:sz w:val="22"/>
                <w:szCs w:val="22"/>
                <w:u w:val="none"/>
              </w:rPr>
            </w:pPr>
            <w:r>
              <w:rPr>
                <w:rFonts w:hint="eastAsia" w:ascii="宋体" w:hAnsi="宋体" w:eastAsia="宋体" w:cs="宋体"/>
                <w:i w:val="0"/>
                <w:iCs w:val="0"/>
                <w:color w:val="0000FF"/>
                <w:kern w:val="0"/>
                <w:sz w:val="22"/>
                <w:szCs w:val="22"/>
                <w:u w:val="none"/>
                <w:lang w:val="en-US" w:eastAsia="zh-CN" w:bidi="ar"/>
              </w:rPr>
              <w:t>使用中间价下浮的评审办法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40" w:hRule="atLeast"/>
        </w:trPr>
        <w:tc>
          <w:tcPr>
            <w:tcW w:w="5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1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铜陵阳光电力维修工程有限公司枞阳分公司劳务外委</w:t>
            </w:r>
          </w:p>
        </w:tc>
        <w:tc>
          <w:tcPr>
            <w:tcW w:w="15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劳务外包</w:t>
            </w: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1607600</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总价</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23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应答人须为中华人民共和国境内依法注册的法人或非法人组织，须具备承担所应答项目的资格条件。具备人力资源服务许可证和劳务派遣经营许可证。</w:t>
            </w:r>
          </w:p>
        </w:tc>
        <w:tc>
          <w:tcPr>
            <w:tcW w:w="12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2024年7月1日-2025年6月30日</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按月度进行结算付款</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FF"/>
                <w:sz w:val="22"/>
                <w:szCs w:val="22"/>
                <w:u w:val="none"/>
              </w:rPr>
            </w:pPr>
            <w:r>
              <w:rPr>
                <w:rFonts w:hint="eastAsia" w:ascii="宋体" w:hAnsi="宋体" w:eastAsia="宋体" w:cs="宋体"/>
                <w:i w:val="0"/>
                <w:iCs w:val="0"/>
                <w:color w:val="0000FF"/>
                <w:kern w:val="0"/>
                <w:sz w:val="22"/>
                <w:szCs w:val="22"/>
                <w:u w:val="none"/>
                <w:lang w:val="en-US" w:eastAsia="zh-CN" w:bidi="ar"/>
              </w:rPr>
              <w:t>使用中间价下浮的评审办法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55" w:hRule="atLeast"/>
        </w:trPr>
        <w:tc>
          <w:tcPr>
            <w:tcW w:w="5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1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铜陵市旋力特殊钢有限公司110kv变电站3号主变扩建工程电能表分时计量功能升级技术服务</w:t>
            </w:r>
          </w:p>
        </w:tc>
        <w:tc>
          <w:tcPr>
            <w:tcW w:w="15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技术服务</w:t>
            </w: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5000</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折扣率</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23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提供近三年内有过类似业绩的合同扫描件</w:t>
            </w:r>
          </w:p>
        </w:tc>
        <w:tc>
          <w:tcPr>
            <w:tcW w:w="12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合同签订后5日内</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竣工验收合格后一次性付款</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FF"/>
                <w:sz w:val="22"/>
                <w:szCs w:val="22"/>
                <w:u w:val="none"/>
              </w:rPr>
            </w:pPr>
            <w:r>
              <w:rPr>
                <w:rFonts w:hint="eastAsia" w:ascii="宋体" w:hAnsi="宋体" w:eastAsia="宋体" w:cs="宋体"/>
                <w:i w:val="0"/>
                <w:iCs w:val="0"/>
                <w:color w:val="0000FF"/>
                <w:kern w:val="0"/>
                <w:sz w:val="22"/>
                <w:szCs w:val="22"/>
                <w:u w:val="none"/>
                <w:lang w:val="en-US" w:eastAsia="zh-CN" w:bidi="ar"/>
              </w:rPr>
              <w:t>使用中间价下浮的评审办法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09" w:hRule="atLeast"/>
        </w:trPr>
        <w:tc>
          <w:tcPr>
            <w:tcW w:w="5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1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2024年配自主站网络维护</w:t>
            </w:r>
          </w:p>
        </w:tc>
        <w:tc>
          <w:tcPr>
            <w:tcW w:w="15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数字化运维</w:t>
            </w: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145600</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总价</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23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应答人须为中华人民共和国境内依法注册的法人或非法人组织，须具备承担所应答项目的资格条件。</w:t>
            </w:r>
          </w:p>
        </w:tc>
        <w:tc>
          <w:tcPr>
            <w:tcW w:w="12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合同签署日至2024.12.31</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一年</w:t>
            </w:r>
          </w:p>
        </w:tc>
        <w:tc>
          <w:tcPr>
            <w:tcW w:w="1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按项目进度分期付款</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FF"/>
                <w:sz w:val="22"/>
                <w:szCs w:val="22"/>
                <w:u w:val="none"/>
              </w:rPr>
            </w:pPr>
            <w:r>
              <w:rPr>
                <w:rFonts w:hint="eastAsia" w:ascii="宋体" w:hAnsi="宋体" w:eastAsia="宋体" w:cs="宋体"/>
                <w:i w:val="0"/>
                <w:iCs w:val="0"/>
                <w:color w:val="0000FF"/>
                <w:kern w:val="0"/>
                <w:sz w:val="22"/>
                <w:szCs w:val="22"/>
                <w:u w:val="none"/>
                <w:lang w:val="en-US" w:eastAsia="zh-CN" w:bidi="ar"/>
              </w:rPr>
              <w:t>使用中间价下浮的评审办法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5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1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2024年配网营配数据校核处理</w:t>
            </w:r>
          </w:p>
        </w:tc>
        <w:tc>
          <w:tcPr>
            <w:tcW w:w="15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数字化运维</w:t>
            </w: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134400</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总价</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23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应答人须为中华人民共和国境内依法注册的法人或非法人组织，须具备承担所应答项目的资格条件。</w:t>
            </w:r>
          </w:p>
        </w:tc>
        <w:tc>
          <w:tcPr>
            <w:tcW w:w="12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合同签署日至2024.12.31</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一年</w:t>
            </w:r>
          </w:p>
        </w:tc>
        <w:tc>
          <w:tcPr>
            <w:tcW w:w="1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按项目进度分期付款</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FF"/>
                <w:sz w:val="22"/>
                <w:szCs w:val="22"/>
                <w:u w:val="none"/>
              </w:rPr>
            </w:pPr>
            <w:r>
              <w:rPr>
                <w:rFonts w:hint="eastAsia" w:ascii="宋体" w:hAnsi="宋体" w:eastAsia="宋体" w:cs="宋体"/>
                <w:i w:val="0"/>
                <w:iCs w:val="0"/>
                <w:color w:val="0000FF"/>
                <w:kern w:val="0"/>
                <w:sz w:val="22"/>
                <w:szCs w:val="22"/>
                <w:u w:val="none"/>
                <w:lang w:val="en-US" w:eastAsia="zh-CN" w:bidi="ar"/>
              </w:rPr>
              <w:t>使用中间价下浮的评审办法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5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1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2024年海量数据处理支撑升级运维</w:t>
            </w:r>
          </w:p>
        </w:tc>
        <w:tc>
          <w:tcPr>
            <w:tcW w:w="15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数字化运维</w:t>
            </w: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225000</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总价</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23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应答人须为中华人民共和国境内依法注册的法人或非法人组织，须具备承担所应答项目的资格条件。</w:t>
            </w:r>
          </w:p>
        </w:tc>
        <w:tc>
          <w:tcPr>
            <w:tcW w:w="12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合同签署日至2024.12.31</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一年</w:t>
            </w:r>
          </w:p>
        </w:tc>
        <w:tc>
          <w:tcPr>
            <w:tcW w:w="1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按项目进度分期付款</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FF"/>
                <w:sz w:val="22"/>
                <w:szCs w:val="22"/>
                <w:u w:val="none"/>
              </w:rPr>
            </w:pPr>
            <w:r>
              <w:rPr>
                <w:rFonts w:hint="eastAsia" w:ascii="宋体" w:hAnsi="宋体" w:eastAsia="宋体" w:cs="宋体"/>
                <w:i w:val="0"/>
                <w:iCs w:val="0"/>
                <w:color w:val="0000FF"/>
                <w:kern w:val="0"/>
                <w:sz w:val="22"/>
                <w:szCs w:val="22"/>
                <w:u w:val="none"/>
                <w:lang w:val="en-US" w:eastAsia="zh-CN" w:bidi="ar"/>
              </w:rPr>
              <w:t>使用中间价下浮的评审办法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5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1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2024年配自机房动环系统等设备维护</w:t>
            </w:r>
          </w:p>
        </w:tc>
        <w:tc>
          <w:tcPr>
            <w:tcW w:w="15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数字化运维</w:t>
            </w: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176000</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总价</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23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应答人须为中华人民共和国境内依法注册的法人或非法人组织，须具备承担所应答项目的资格条件。</w:t>
            </w:r>
          </w:p>
        </w:tc>
        <w:tc>
          <w:tcPr>
            <w:tcW w:w="12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合同签署日至2024.12.31</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一年</w:t>
            </w:r>
          </w:p>
        </w:tc>
        <w:tc>
          <w:tcPr>
            <w:tcW w:w="1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按项目进度分期付款</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FF"/>
                <w:sz w:val="22"/>
                <w:szCs w:val="22"/>
                <w:u w:val="none"/>
              </w:rPr>
            </w:pPr>
            <w:r>
              <w:rPr>
                <w:rFonts w:hint="eastAsia" w:ascii="宋体" w:hAnsi="宋体" w:eastAsia="宋体" w:cs="宋体"/>
                <w:i w:val="0"/>
                <w:iCs w:val="0"/>
                <w:color w:val="0000FF"/>
                <w:kern w:val="0"/>
                <w:sz w:val="22"/>
                <w:szCs w:val="22"/>
                <w:u w:val="none"/>
                <w:lang w:val="en-US" w:eastAsia="zh-CN" w:bidi="ar"/>
              </w:rPr>
              <w:t>使用中间价下浮的评审办法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80" w:hRule="atLeast"/>
        </w:trPr>
        <w:tc>
          <w:tcPr>
            <w:tcW w:w="5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2024年度信息通信网络、会议系统、LED电子显示屏等运维</w:t>
            </w:r>
          </w:p>
        </w:tc>
        <w:tc>
          <w:tcPr>
            <w:tcW w:w="15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数字化运维</w:t>
            </w: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258700</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总价</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23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应答人须为中华人民共和国境内依法注册的法人或非法人组织，须具备承担所应答项目的资格条件。</w:t>
            </w:r>
          </w:p>
        </w:tc>
        <w:tc>
          <w:tcPr>
            <w:tcW w:w="12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合同签署日至2024.12.31</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一年</w:t>
            </w:r>
          </w:p>
        </w:tc>
        <w:tc>
          <w:tcPr>
            <w:tcW w:w="1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按项目进度分期付款</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FF"/>
                <w:sz w:val="22"/>
                <w:szCs w:val="22"/>
                <w:u w:val="none"/>
              </w:rPr>
            </w:pPr>
            <w:r>
              <w:rPr>
                <w:rFonts w:hint="eastAsia" w:ascii="宋体" w:hAnsi="宋体" w:eastAsia="宋体" w:cs="宋体"/>
                <w:i w:val="0"/>
                <w:iCs w:val="0"/>
                <w:color w:val="0000FF"/>
                <w:kern w:val="0"/>
                <w:sz w:val="22"/>
                <w:szCs w:val="22"/>
                <w:u w:val="none"/>
                <w:lang w:val="en-US" w:eastAsia="zh-CN" w:bidi="ar"/>
              </w:rPr>
              <w:t>使用中间价下浮的评审办法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5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1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2024年度视频监控系统等安防设施运维</w:t>
            </w:r>
          </w:p>
        </w:tc>
        <w:tc>
          <w:tcPr>
            <w:tcW w:w="15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数字化运维</w:t>
            </w: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97500</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总价</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23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应答人须为中华人民共和国境内依法注册的法人或非法人组织，须具备承担所应答项目的资格条件。</w:t>
            </w:r>
          </w:p>
        </w:tc>
        <w:tc>
          <w:tcPr>
            <w:tcW w:w="12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合同签署日至2024.12.31</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一年</w:t>
            </w:r>
          </w:p>
        </w:tc>
        <w:tc>
          <w:tcPr>
            <w:tcW w:w="1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按项目进度分期付款</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FF"/>
                <w:sz w:val="22"/>
                <w:szCs w:val="22"/>
                <w:u w:val="none"/>
              </w:rPr>
            </w:pPr>
            <w:r>
              <w:rPr>
                <w:rFonts w:hint="eastAsia" w:ascii="宋体" w:hAnsi="宋体" w:eastAsia="宋体" w:cs="宋体"/>
                <w:i w:val="0"/>
                <w:iCs w:val="0"/>
                <w:color w:val="0000FF"/>
                <w:kern w:val="0"/>
                <w:sz w:val="22"/>
                <w:szCs w:val="22"/>
                <w:u w:val="none"/>
                <w:lang w:val="en-US" w:eastAsia="zh-CN" w:bidi="ar"/>
              </w:rPr>
              <w:t>使用中间价下浮的评审办法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40" w:hRule="atLeast"/>
        </w:trPr>
        <w:tc>
          <w:tcPr>
            <w:tcW w:w="5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c>
          <w:tcPr>
            <w:tcW w:w="1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220kv滨江等变电站、220kv丹阳等变电站、220kv渡江等变电站智巡系统升级完善</w:t>
            </w:r>
          </w:p>
        </w:tc>
        <w:tc>
          <w:tcPr>
            <w:tcW w:w="15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数字化运维</w:t>
            </w: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1026000</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总价</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23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应答人须为中华人民共和国境内依法注册的法人或非法人组织，须具备承担所应答项目的资格条件。</w:t>
            </w:r>
          </w:p>
        </w:tc>
        <w:tc>
          <w:tcPr>
            <w:tcW w:w="12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合同签署日至2024.12.31</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一年</w:t>
            </w:r>
          </w:p>
        </w:tc>
        <w:tc>
          <w:tcPr>
            <w:tcW w:w="1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按项目进度分期付款</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FF"/>
                <w:sz w:val="22"/>
                <w:szCs w:val="22"/>
                <w:u w:val="none"/>
              </w:rPr>
            </w:pPr>
            <w:r>
              <w:rPr>
                <w:rFonts w:hint="eastAsia" w:ascii="宋体" w:hAnsi="宋体" w:eastAsia="宋体" w:cs="宋体"/>
                <w:i w:val="0"/>
                <w:iCs w:val="0"/>
                <w:color w:val="0000FF"/>
                <w:kern w:val="0"/>
                <w:sz w:val="22"/>
                <w:szCs w:val="22"/>
                <w:u w:val="none"/>
                <w:lang w:val="en-US" w:eastAsia="zh-CN" w:bidi="ar"/>
              </w:rPr>
              <w:t>使用中间价下浮的评审办法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79" w:hRule="atLeast"/>
        </w:trPr>
        <w:tc>
          <w:tcPr>
            <w:tcW w:w="5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w:t>
            </w:r>
          </w:p>
        </w:tc>
        <w:tc>
          <w:tcPr>
            <w:tcW w:w="1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2024年办公大楼网络综合布线维护</w:t>
            </w:r>
          </w:p>
        </w:tc>
        <w:tc>
          <w:tcPr>
            <w:tcW w:w="15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数字化运维</w:t>
            </w: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142710</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总价</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23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应答人须为中华人民共和国境内依法注册的法人或非法人组织，须具备承担所应答项目的资格条件。</w:t>
            </w:r>
          </w:p>
        </w:tc>
        <w:tc>
          <w:tcPr>
            <w:tcW w:w="12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合同签署日至2024.12.31</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一年</w:t>
            </w:r>
          </w:p>
        </w:tc>
        <w:tc>
          <w:tcPr>
            <w:tcW w:w="1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按项目进度分期付款</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FF"/>
                <w:sz w:val="22"/>
                <w:szCs w:val="22"/>
                <w:u w:val="none"/>
              </w:rPr>
            </w:pPr>
            <w:r>
              <w:rPr>
                <w:rFonts w:hint="eastAsia" w:ascii="宋体" w:hAnsi="宋体" w:eastAsia="宋体" w:cs="宋体"/>
                <w:i w:val="0"/>
                <w:iCs w:val="0"/>
                <w:color w:val="0000FF"/>
                <w:kern w:val="0"/>
                <w:sz w:val="22"/>
                <w:szCs w:val="22"/>
                <w:u w:val="none"/>
                <w:lang w:val="en-US" w:eastAsia="zh-CN" w:bidi="ar"/>
              </w:rPr>
              <w:t>使用中间价下浮的评审办法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52" w:hRule="atLeast"/>
        </w:trPr>
        <w:tc>
          <w:tcPr>
            <w:tcW w:w="5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w:t>
            </w:r>
          </w:p>
        </w:tc>
        <w:tc>
          <w:tcPr>
            <w:tcW w:w="1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铜能公司防恐安保治安联防看守服务</w:t>
            </w:r>
          </w:p>
        </w:tc>
        <w:tc>
          <w:tcPr>
            <w:tcW w:w="15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安全管理服务</w:t>
            </w: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99000</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总价</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23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具有劳务派遣许可证，人力资源许可证</w:t>
            </w:r>
          </w:p>
        </w:tc>
        <w:tc>
          <w:tcPr>
            <w:tcW w:w="12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中标日至2024年12月31日</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年终一次性付清</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FF"/>
                <w:sz w:val="22"/>
                <w:szCs w:val="22"/>
                <w:u w:val="none"/>
              </w:rPr>
            </w:pPr>
            <w:r>
              <w:rPr>
                <w:rFonts w:hint="eastAsia" w:ascii="宋体" w:hAnsi="宋体" w:eastAsia="宋体" w:cs="宋体"/>
                <w:i w:val="0"/>
                <w:iCs w:val="0"/>
                <w:color w:val="0000FF"/>
                <w:kern w:val="0"/>
                <w:sz w:val="22"/>
                <w:szCs w:val="22"/>
                <w:u w:val="none"/>
                <w:lang w:val="en-US" w:eastAsia="zh-CN" w:bidi="ar"/>
              </w:rPr>
              <w:t>使用中间价下浮法的评审办法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20" w:hRule="atLeast"/>
        </w:trPr>
        <w:tc>
          <w:tcPr>
            <w:tcW w:w="5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1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2024年度消防维保服务</w:t>
            </w:r>
          </w:p>
        </w:tc>
        <w:tc>
          <w:tcPr>
            <w:tcW w:w="15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消防服务</w:t>
            </w: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16000</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总价</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23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应答人需提供有效的营业执照</w:t>
            </w:r>
          </w:p>
        </w:tc>
        <w:tc>
          <w:tcPr>
            <w:tcW w:w="12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合同签订之日起一年</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按维保进度，每半年支付</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FF"/>
                <w:sz w:val="22"/>
                <w:szCs w:val="22"/>
                <w:u w:val="none"/>
              </w:rPr>
            </w:pPr>
            <w:r>
              <w:rPr>
                <w:rFonts w:hint="eastAsia" w:ascii="宋体" w:hAnsi="宋体" w:eastAsia="宋体" w:cs="宋体"/>
                <w:i w:val="0"/>
                <w:iCs w:val="0"/>
                <w:color w:val="0000FF"/>
                <w:kern w:val="0"/>
                <w:sz w:val="22"/>
                <w:szCs w:val="22"/>
                <w:u w:val="none"/>
                <w:lang w:val="en-US" w:eastAsia="zh-CN" w:bidi="ar"/>
              </w:rPr>
              <w:t>使用中间价下浮法的评审办法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14729" w:type="dxa"/>
            <w:gridSpan w:val="11"/>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b/>
                <w:bCs/>
                <w:i w:val="0"/>
                <w:iCs w:val="0"/>
                <w:color w:val="000000"/>
                <w:kern w:val="0"/>
                <w:sz w:val="24"/>
                <w:szCs w:val="24"/>
                <w:u w:val="none"/>
                <w:lang w:val="en-US" w:eastAsia="zh-CN" w:bidi="ar"/>
              </w:rPr>
              <w:t>标二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trPr>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包号</w:t>
            </w:r>
          </w:p>
        </w:tc>
        <w:tc>
          <w:tcPr>
            <w:tcW w:w="1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项目名称</w:t>
            </w:r>
          </w:p>
        </w:tc>
        <w:tc>
          <w:tcPr>
            <w:tcW w:w="15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服务类型</w:t>
            </w: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最高限价（元）</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报价方式</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税费（%）</w:t>
            </w:r>
          </w:p>
        </w:tc>
        <w:tc>
          <w:tcPr>
            <w:tcW w:w="23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专项资格要求</w:t>
            </w:r>
          </w:p>
        </w:tc>
        <w:tc>
          <w:tcPr>
            <w:tcW w:w="12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工期</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质保期</w:t>
            </w:r>
          </w:p>
        </w:tc>
        <w:tc>
          <w:tcPr>
            <w:tcW w:w="1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付款方式</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94" w:hRule="atLeast"/>
        </w:trPr>
        <w:tc>
          <w:tcPr>
            <w:tcW w:w="5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2024年输电线路工程跨越架搭拆框架</w:t>
            </w:r>
          </w:p>
        </w:tc>
        <w:tc>
          <w:tcPr>
            <w:tcW w:w="15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专业分包</w:t>
            </w: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920000</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总价</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23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具有输变电工程专业承包叁级，模板脚手架专业承包资质，提供近三年内有过类似业绩的合同扫描件</w:t>
            </w:r>
          </w:p>
        </w:tc>
        <w:tc>
          <w:tcPr>
            <w:tcW w:w="12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按照具体工程工期</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工程验收合格后，付至合同价款的60%，主合同完成结算后进行分包结算，工程完成结算审计后付至结算价的97%，剩余3%的工程余款质保期满后一次性付清。</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FF"/>
                <w:sz w:val="22"/>
                <w:szCs w:val="22"/>
                <w:u w:val="none"/>
              </w:rPr>
            </w:pPr>
            <w:r>
              <w:rPr>
                <w:rFonts w:hint="eastAsia" w:ascii="宋体" w:hAnsi="宋体" w:eastAsia="宋体" w:cs="宋体"/>
                <w:i w:val="0"/>
                <w:iCs w:val="0"/>
                <w:color w:val="0000FF"/>
                <w:kern w:val="0"/>
                <w:sz w:val="22"/>
                <w:szCs w:val="22"/>
                <w:u w:val="none"/>
                <w:lang w:val="en-US" w:eastAsia="zh-CN" w:bidi="ar"/>
              </w:rPr>
              <w:t>使用最低价的评审办法，排名前3名厂家中标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81" w:hRule="atLeast"/>
        </w:trPr>
        <w:tc>
          <w:tcPr>
            <w:tcW w:w="5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铜能公司基地、枞阳公司充电桩维修</w:t>
            </w:r>
          </w:p>
        </w:tc>
        <w:tc>
          <w:tcPr>
            <w:tcW w:w="15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非电网设备维保</w:t>
            </w: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32000</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总价</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23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具有电力设施承装（修、试）五级及以上资质</w:t>
            </w:r>
          </w:p>
        </w:tc>
        <w:tc>
          <w:tcPr>
            <w:tcW w:w="12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30天</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一年</w:t>
            </w:r>
          </w:p>
        </w:tc>
        <w:tc>
          <w:tcPr>
            <w:tcW w:w="1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工程完成验收合格后付至总工程款的95%，余款5%一年后付清</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FF"/>
                <w:sz w:val="22"/>
                <w:szCs w:val="22"/>
                <w:u w:val="none"/>
              </w:rPr>
            </w:pPr>
            <w:r>
              <w:rPr>
                <w:rFonts w:hint="eastAsia" w:ascii="宋体" w:hAnsi="宋体" w:eastAsia="宋体" w:cs="宋体"/>
                <w:i w:val="0"/>
                <w:iCs w:val="0"/>
                <w:color w:val="0000FF"/>
                <w:kern w:val="0"/>
                <w:sz w:val="22"/>
                <w:szCs w:val="22"/>
                <w:u w:val="none"/>
                <w:lang w:val="en-US" w:eastAsia="zh-CN" w:bidi="ar"/>
              </w:rPr>
              <w:t>使用最低价的评审办法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5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3</w:t>
            </w:r>
          </w:p>
        </w:tc>
        <w:tc>
          <w:tcPr>
            <w:tcW w:w="1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岩土及水文地质勘察外协</w:t>
            </w:r>
          </w:p>
        </w:tc>
        <w:tc>
          <w:tcPr>
            <w:tcW w:w="15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电网工程勘察设计</w:t>
            </w: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200005</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总价</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23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至少达到工程勘察专业资质乙级</w:t>
            </w:r>
          </w:p>
        </w:tc>
        <w:tc>
          <w:tcPr>
            <w:tcW w:w="12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自合同签订日期起2年内</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按照国家及电网公司相关政策规定</w:t>
            </w:r>
          </w:p>
        </w:tc>
        <w:tc>
          <w:tcPr>
            <w:tcW w:w="1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按每年度实际发生费用结算</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FF"/>
                <w:sz w:val="22"/>
                <w:szCs w:val="22"/>
                <w:u w:val="none"/>
              </w:rPr>
            </w:pPr>
            <w:r>
              <w:rPr>
                <w:rFonts w:hint="eastAsia" w:ascii="宋体" w:hAnsi="宋体" w:eastAsia="宋体" w:cs="宋体"/>
                <w:i w:val="0"/>
                <w:iCs w:val="0"/>
                <w:color w:val="0000FF"/>
                <w:kern w:val="0"/>
                <w:sz w:val="22"/>
                <w:szCs w:val="22"/>
                <w:u w:val="none"/>
                <w:lang w:val="en-US" w:eastAsia="zh-CN" w:bidi="ar"/>
              </w:rPr>
              <w:t>使用最低价的评审办法，该项目不收取采购代理服务费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5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4</w:t>
            </w:r>
          </w:p>
        </w:tc>
        <w:tc>
          <w:tcPr>
            <w:tcW w:w="1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铜能公司2024年度电梯维保</w:t>
            </w:r>
          </w:p>
        </w:tc>
        <w:tc>
          <w:tcPr>
            <w:tcW w:w="15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特种设备维保</w:t>
            </w: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30000</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总价</w:t>
            </w:r>
          </w:p>
        </w:tc>
        <w:tc>
          <w:tcPr>
            <w:tcW w:w="11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23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电梯安装（含修理）B级及以上</w:t>
            </w:r>
          </w:p>
        </w:tc>
        <w:tc>
          <w:tcPr>
            <w:tcW w:w="12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自合同签订生效之日起6个月</w:t>
            </w:r>
          </w:p>
        </w:tc>
        <w:tc>
          <w:tcPr>
            <w:tcW w:w="8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6个月</w:t>
            </w:r>
          </w:p>
        </w:tc>
        <w:tc>
          <w:tcPr>
            <w:tcW w:w="1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合同到期一次性付款（开具增值税专用发票）</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FF"/>
                <w:sz w:val="22"/>
                <w:szCs w:val="22"/>
                <w:u w:val="none"/>
              </w:rPr>
            </w:pPr>
            <w:r>
              <w:rPr>
                <w:rFonts w:hint="eastAsia" w:ascii="宋体" w:hAnsi="宋体" w:eastAsia="宋体" w:cs="宋体"/>
                <w:i w:val="0"/>
                <w:iCs w:val="0"/>
                <w:color w:val="0000FF"/>
                <w:kern w:val="0"/>
                <w:sz w:val="22"/>
                <w:szCs w:val="22"/>
                <w:u w:val="none"/>
                <w:lang w:val="en-US" w:eastAsia="zh-CN" w:bidi="ar"/>
              </w:rPr>
              <w:t>使用最低价的评审办法</w:t>
            </w:r>
          </w:p>
        </w:tc>
      </w:tr>
    </w:tbl>
    <w:p>
      <w:pPr>
        <w:rPr>
          <w:rFonts w:eastAsia="黑体"/>
          <w:color w:val="000000" w:themeColor="text1"/>
          <w:sz w:val="40"/>
          <w:szCs w:val="28"/>
          <w:lang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val="0"/>
        <w:spacing w:beforeLines="50" w:afterLines="50" w:line="360" w:lineRule="auto"/>
        <w:textAlignment w:val="auto"/>
        <w:rPr>
          <w:rFonts w:hint="eastAsia" w:ascii="宋体" w:hAnsi="宋体" w:eastAsia="宋体" w:cs="宋体"/>
          <w:color w:val="000000" w:themeColor="text1"/>
          <w:sz w:val="22"/>
          <w:szCs w:val="22"/>
          <w:lang w:val="en-US" w:eastAsia="zh-CN" w:bidi="ar-SA"/>
          <w14:textFill>
            <w14:solidFill>
              <w14:schemeClr w14:val="tx1"/>
            </w14:solidFill>
          </w14:textFill>
        </w:rPr>
      </w:pPr>
      <w:r>
        <w:rPr>
          <w:rFonts w:hint="eastAsia" w:ascii="宋体" w:hAnsi="宋体" w:eastAsia="宋体" w:cs="宋体"/>
          <w:color w:val="000000" w:themeColor="text1"/>
          <w:sz w:val="22"/>
          <w:szCs w:val="22"/>
          <w:lang w:val="en-US" w:eastAsia="zh-CN" w:bidi="ar-SA"/>
          <w14:textFill>
            <w14:solidFill>
              <w14:schemeClr w14:val="tx1"/>
            </w14:solidFill>
          </w14:textFill>
        </w:rPr>
        <w:t>备注：①应答人须以包为单位进行应答，即可对采购一览表中所列的所有包号进行应答，也可只对其中任意一包进行应答，但不得只对某个包中的一个或部分品目进行报价，否则应答将被否决。</w:t>
      </w:r>
    </w:p>
    <w:p>
      <w:pPr>
        <w:keepNext w:val="0"/>
        <w:keepLines w:val="0"/>
        <w:pageBreakBefore w:val="0"/>
        <w:widowControl w:val="0"/>
        <w:kinsoku/>
        <w:wordWrap/>
        <w:overflowPunct/>
        <w:topLinePunct w:val="0"/>
        <w:autoSpaceDE/>
        <w:autoSpaceDN/>
        <w:bidi w:val="0"/>
        <w:adjustRightInd w:val="0"/>
        <w:snapToGrid w:val="0"/>
        <w:spacing w:beforeLines="50" w:afterLines="50" w:line="360" w:lineRule="auto"/>
        <w:textAlignment w:val="auto"/>
        <w:rPr>
          <w:rFonts w:hint="eastAsia" w:ascii="宋体" w:hAnsi="宋体" w:eastAsia="宋体" w:cs="宋体"/>
          <w:color w:val="000000" w:themeColor="text1"/>
          <w:sz w:val="22"/>
          <w:szCs w:val="22"/>
          <w:lang w:val="en-US" w:eastAsia="zh-CN" w:bidi="ar-SA"/>
          <w14:textFill>
            <w14:solidFill>
              <w14:schemeClr w14:val="tx1"/>
            </w14:solidFill>
          </w14:textFill>
        </w:rPr>
      </w:pPr>
      <w:r>
        <w:rPr>
          <w:rFonts w:hint="eastAsia" w:ascii="宋体" w:hAnsi="宋体" w:eastAsia="宋体" w:cs="宋体"/>
          <w:color w:val="000000" w:themeColor="text1"/>
          <w:sz w:val="22"/>
          <w:szCs w:val="22"/>
          <w:lang w:val="en-US" w:eastAsia="zh-CN" w:bidi="ar-SA"/>
          <w14:textFill>
            <w14:solidFill>
              <w14:schemeClr w14:val="tx1"/>
            </w14:solidFill>
          </w14:textFill>
        </w:rPr>
        <w:t>②应答人须以包为单位编制应答文件，不同包号的项目不得做在同一份应答文件内。</w:t>
      </w:r>
    </w:p>
    <w:p>
      <w:pPr>
        <w:keepNext w:val="0"/>
        <w:keepLines w:val="0"/>
        <w:pageBreakBefore w:val="0"/>
        <w:widowControl w:val="0"/>
        <w:kinsoku/>
        <w:wordWrap/>
        <w:overflowPunct/>
        <w:topLinePunct w:val="0"/>
        <w:autoSpaceDE/>
        <w:autoSpaceDN/>
        <w:bidi w:val="0"/>
        <w:adjustRightInd w:val="0"/>
        <w:snapToGrid w:val="0"/>
        <w:spacing w:beforeLines="50" w:afterLines="50" w:line="360" w:lineRule="auto"/>
        <w:textAlignment w:val="auto"/>
        <w:rPr>
          <w:rFonts w:hint="eastAsia" w:ascii="宋体" w:hAnsi="宋体" w:eastAsia="宋体" w:cs="宋体"/>
          <w:color w:val="000000" w:themeColor="text1"/>
          <w:sz w:val="22"/>
          <w:szCs w:val="22"/>
          <w:lang w:val="en-US" w:eastAsia="zh-CN" w:bidi="ar-SA"/>
          <w14:textFill>
            <w14:solidFill>
              <w14:schemeClr w14:val="tx1"/>
            </w14:solidFill>
          </w14:textFill>
        </w:rPr>
      </w:pPr>
      <w:r>
        <w:rPr>
          <w:rFonts w:hint="eastAsia" w:ascii="宋体" w:hAnsi="宋体" w:eastAsia="宋体" w:cs="宋体"/>
          <w:color w:val="000000" w:themeColor="text1"/>
          <w:sz w:val="22"/>
          <w:szCs w:val="22"/>
          <w:lang w:val="en-US" w:eastAsia="zh-CN" w:bidi="ar-SA"/>
          <w14:textFill>
            <w14:solidFill>
              <w14:schemeClr w14:val="tx1"/>
            </w14:solidFill>
          </w14:textFill>
        </w:rPr>
        <w:t>③上表中如包含采购部分及安装部分，税率参照技术规范书要求。</w:t>
      </w:r>
    </w:p>
    <w:p>
      <w:pPr>
        <w:keepNext w:val="0"/>
        <w:keepLines w:val="0"/>
        <w:pageBreakBefore w:val="0"/>
        <w:widowControl w:val="0"/>
        <w:kinsoku/>
        <w:wordWrap/>
        <w:overflowPunct/>
        <w:topLinePunct w:val="0"/>
        <w:autoSpaceDE/>
        <w:autoSpaceDN/>
        <w:bidi w:val="0"/>
        <w:adjustRightInd w:val="0"/>
        <w:snapToGrid w:val="0"/>
        <w:spacing w:before="144" w:beforeLines="50" w:after="144" w:afterLines="50" w:line="360" w:lineRule="auto"/>
        <w:textAlignment w:val="auto"/>
        <w:rPr>
          <w:rFonts w:hint="eastAsia" w:ascii="宋体" w:hAnsi="宋体" w:eastAsia="宋体" w:cs="宋体"/>
          <w:color w:val="0000FF"/>
          <w:sz w:val="22"/>
          <w:szCs w:val="22"/>
          <w:lang w:val="en-US" w:eastAsia="zh-CN" w:bidi="ar-SA"/>
        </w:rPr>
      </w:pPr>
      <w:r>
        <w:rPr>
          <w:rFonts w:hint="eastAsia" w:ascii="宋体" w:hAnsi="宋体" w:eastAsia="宋体" w:cs="宋体"/>
          <w:color w:val="0000FF"/>
          <w:sz w:val="22"/>
          <w:szCs w:val="22"/>
          <w:lang w:val="en-US" w:eastAsia="zh-CN" w:bidi="ar-SA"/>
        </w:rPr>
        <w:t>④标一项目选用中间价下浮法评审评分标准，标二项目采用最低价评分标准。（详见评审办法前附表之四：报价评分标准）。</w:t>
      </w:r>
    </w:p>
    <w:p>
      <w:pPr>
        <w:keepNext w:val="0"/>
        <w:keepLines w:val="0"/>
        <w:pageBreakBefore w:val="0"/>
        <w:kinsoku/>
        <w:wordWrap/>
        <w:overflowPunct/>
        <w:topLinePunct w:val="0"/>
        <w:autoSpaceDE/>
        <w:autoSpaceDN/>
        <w:bidi w:val="0"/>
        <w:adjustRightInd w:val="0"/>
        <w:spacing w:before="144" w:beforeLines="50" w:after="144" w:afterLines="50" w:line="360" w:lineRule="auto"/>
        <w:jc w:val="left"/>
        <w:textAlignment w:val="auto"/>
        <w:rPr>
          <w:rFonts w:hint="eastAsia" w:ascii="宋体" w:hAnsi="宋体" w:eastAsia="宋体" w:cs="宋体"/>
          <w:color w:val="0000FF"/>
          <w:sz w:val="22"/>
          <w:szCs w:val="22"/>
          <w:lang w:val="en-US" w:eastAsia="zh-CN" w:bidi="ar-SA"/>
        </w:rPr>
      </w:pPr>
      <w:r>
        <w:rPr>
          <w:rFonts w:hint="eastAsia" w:ascii="宋体" w:hAnsi="宋体" w:eastAsia="宋体" w:cs="宋体"/>
          <w:color w:val="0000FF"/>
          <w:sz w:val="22"/>
          <w:szCs w:val="22"/>
          <w:lang w:val="en-US" w:eastAsia="zh-CN" w:bidi="ar-SA"/>
        </w:rPr>
        <w:t>⑤上表中标一包5为折扣率报价，结算以实际发生量为准。</w:t>
      </w:r>
    </w:p>
    <w:p>
      <w:pPr>
        <w:keepNext w:val="0"/>
        <w:keepLines w:val="0"/>
        <w:pageBreakBefore w:val="0"/>
        <w:kinsoku/>
        <w:wordWrap/>
        <w:overflowPunct/>
        <w:topLinePunct w:val="0"/>
        <w:autoSpaceDE/>
        <w:autoSpaceDN/>
        <w:bidi w:val="0"/>
        <w:adjustRightInd w:val="0"/>
        <w:spacing w:before="144" w:beforeLines="50" w:after="144" w:afterLines="50" w:line="360" w:lineRule="auto"/>
        <w:jc w:val="left"/>
        <w:textAlignment w:val="auto"/>
        <w:rPr>
          <w:rFonts w:hint="eastAsia" w:ascii="宋体" w:hAnsi="宋体" w:eastAsia="宋体" w:cs="宋体"/>
          <w:smallCaps w:val="0"/>
          <w:color w:val="0000FF"/>
          <w:sz w:val="22"/>
          <w:szCs w:val="22"/>
          <w:lang w:val="en-US" w:eastAsia="zh-CN" w:bidi="ar-SA"/>
        </w:rPr>
      </w:pPr>
      <w:r>
        <w:rPr>
          <w:rFonts w:hint="eastAsia" w:ascii="宋体" w:hAnsi="宋体" w:eastAsia="宋体" w:cs="宋体"/>
          <w:smallCaps w:val="0"/>
          <w:color w:val="0000FF"/>
          <w:sz w:val="22"/>
          <w:szCs w:val="22"/>
          <w:lang w:val="en-US" w:eastAsia="zh-CN" w:bidi="ar-SA"/>
        </w:rPr>
        <w:t>⑥标二包1招标代理服务费收取：物资供应部每六个月统计各服务商实际发生的采购金额（以项目部提供的订单金额为准），按照国家标准收取中标服务费（收费标准详见投标人须知前附表规定）。</w:t>
      </w:r>
    </w:p>
    <w:p>
      <w:pPr>
        <w:keepNext w:val="0"/>
        <w:keepLines w:val="0"/>
        <w:pageBreakBefore w:val="0"/>
        <w:kinsoku/>
        <w:wordWrap/>
        <w:overflowPunct/>
        <w:topLinePunct w:val="0"/>
        <w:autoSpaceDE/>
        <w:autoSpaceDN/>
        <w:bidi w:val="0"/>
        <w:adjustRightInd w:val="0"/>
        <w:spacing w:before="144" w:beforeLines="50" w:after="144" w:afterLines="50" w:line="360" w:lineRule="auto"/>
        <w:jc w:val="left"/>
        <w:textAlignment w:val="auto"/>
        <w:rPr>
          <w:rFonts w:hint="eastAsia" w:ascii="宋体" w:hAnsi="宋体" w:eastAsia="宋体" w:cs="宋体"/>
          <w:color w:val="0000FF"/>
          <w:sz w:val="22"/>
          <w:szCs w:val="22"/>
          <w:u w:val="single"/>
          <w:lang w:val="en-US" w:eastAsia="zh-CN" w:bidi="ar-SA"/>
        </w:rPr>
      </w:pPr>
    </w:p>
    <w:p>
      <w:pPr>
        <w:keepNext w:val="0"/>
        <w:keepLines w:val="0"/>
        <w:pageBreakBefore w:val="0"/>
        <w:kinsoku/>
        <w:wordWrap/>
        <w:overflowPunct/>
        <w:topLinePunct w:val="0"/>
        <w:autoSpaceDE/>
        <w:autoSpaceDN/>
        <w:bidi w:val="0"/>
        <w:adjustRightInd w:val="0"/>
        <w:spacing w:before="144" w:beforeLines="50" w:after="144" w:afterLines="50" w:line="360" w:lineRule="auto"/>
        <w:jc w:val="left"/>
        <w:textAlignment w:val="auto"/>
        <w:rPr>
          <w:rFonts w:hint="eastAsia" w:ascii="宋体" w:hAnsi="宋体" w:eastAsia="宋体" w:cs="宋体"/>
          <w:color w:val="0000FF"/>
          <w:sz w:val="22"/>
          <w:szCs w:val="22"/>
          <w:u w:val="single"/>
          <w:lang w:val="en-US" w:eastAsia="zh-CN" w:bidi="ar-SA"/>
        </w:rPr>
      </w:pPr>
      <w:r>
        <w:rPr>
          <w:rFonts w:hint="eastAsia" w:ascii="宋体" w:hAnsi="宋体" w:eastAsia="宋体" w:cs="宋体"/>
          <w:color w:val="0000FF"/>
          <w:sz w:val="22"/>
          <w:szCs w:val="22"/>
          <w:u w:val="single"/>
          <w:lang w:val="en-US" w:eastAsia="zh-CN" w:bidi="ar-SA"/>
        </w:rPr>
        <w:t>⑦上表中标二包1为框架协议采购，是指通过公开竞争性谈判，集中确定3家入围供应商，具体工作内容详见随采购文件发出的技术规范书。本批次框架采购服务期暂定1年，合同期满后，采购人进行考核，考核合格选择是否续签，或重新招标。</w:t>
      </w:r>
    </w:p>
    <w:p>
      <w:pPr>
        <w:keepNext w:val="0"/>
        <w:keepLines w:val="0"/>
        <w:pageBreakBefore w:val="0"/>
        <w:kinsoku/>
        <w:wordWrap/>
        <w:overflowPunct/>
        <w:topLinePunct w:val="0"/>
        <w:autoSpaceDE/>
        <w:autoSpaceDN/>
        <w:bidi w:val="0"/>
        <w:adjustRightInd w:val="0"/>
        <w:spacing w:before="144" w:beforeLines="50" w:after="144" w:afterLines="50" w:line="360" w:lineRule="auto"/>
        <w:jc w:val="left"/>
        <w:textAlignment w:val="auto"/>
        <w:rPr>
          <w:rFonts w:hint="eastAsia" w:ascii="宋体" w:hAnsi="宋体" w:eastAsia="宋体" w:cs="Times New Roman"/>
          <w:b w:val="0"/>
          <w:bCs w:val="0"/>
          <w:smallCaps w:val="0"/>
          <w:color w:val="0000FF"/>
          <w:sz w:val="24"/>
          <w:szCs w:val="22"/>
          <w:highlight w:val="none"/>
          <w:u w:val="single"/>
          <w:lang w:val="en-US" w:eastAsia="zh-CN" w:bidi="ar-SA"/>
        </w:rPr>
      </w:pPr>
    </w:p>
    <w:p>
      <w:pPr>
        <w:keepNext w:val="0"/>
        <w:keepLines w:val="0"/>
        <w:pageBreakBefore w:val="0"/>
        <w:kinsoku/>
        <w:wordWrap/>
        <w:overflowPunct/>
        <w:topLinePunct w:val="0"/>
        <w:autoSpaceDE/>
        <w:autoSpaceDN/>
        <w:bidi w:val="0"/>
        <w:adjustRightInd w:val="0"/>
        <w:spacing w:before="144" w:beforeLines="50" w:after="144" w:afterLines="50" w:line="360" w:lineRule="auto"/>
        <w:jc w:val="left"/>
        <w:textAlignment w:val="auto"/>
        <w:rPr>
          <w:rFonts w:hint="eastAsia" w:ascii="宋体" w:hAnsi="宋体" w:eastAsia="宋体" w:cs="Times New Roman"/>
          <w:b w:val="0"/>
          <w:bCs w:val="0"/>
          <w:smallCaps w:val="0"/>
          <w:color w:val="0000FF"/>
          <w:sz w:val="24"/>
          <w:szCs w:val="22"/>
          <w:highlight w:val="none"/>
          <w:u w:val="single"/>
          <w:lang w:val="en-US" w:eastAsia="zh-CN" w:bidi="ar-SA"/>
        </w:rPr>
      </w:pPr>
    </w:p>
    <w:p>
      <w:pPr>
        <w:keepNext w:val="0"/>
        <w:keepLines w:val="0"/>
        <w:pageBreakBefore w:val="0"/>
        <w:kinsoku/>
        <w:wordWrap/>
        <w:overflowPunct/>
        <w:topLinePunct w:val="0"/>
        <w:autoSpaceDE/>
        <w:autoSpaceDN/>
        <w:bidi w:val="0"/>
        <w:adjustRightInd w:val="0"/>
        <w:spacing w:before="144" w:beforeLines="50" w:after="144" w:afterLines="50" w:line="360" w:lineRule="auto"/>
        <w:jc w:val="left"/>
        <w:textAlignment w:val="auto"/>
        <w:rPr>
          <w:rFonts w:hint="eastAsia" w:ascii="宋体" w:hAnsi="宋体" w:eastAsia="宋体" w:cs="Times New Roman"/>
          <w:b w:val="0"/>
          <w:bCs w:val="0"/>
          <w:smallCaps w:val="0"/>
          <w:color w:val="0000FF"/>
          <w:sz w:val="24"/>
          <w:szCs w:val="22"/>
          <w:highlight w:val="none"/>
          <w:u w:val="single"/>
          <w:lang w:val="en-US" w:eastAsia="zh-CN" w:bidi="ar-SA"/>
        </w:rPr>
      </w:pPr>
      <w:r>
        <w:rPr>
          <w:rFonts w:hint="eastAsia" w:ascii="宋体" w:hAnsi="宋体" w:eastAsia="宋体" w:cs="Times New Roman"/>
          <w:b w:val="0"/>
          <w:bCs w:val="0"/>
          <w:smallCaps w:val="0"/>
          <w:color w:val="0000FF"/>
          <w:sz w:val="24"/>
          <w:szCs w:val="22"/>
          <w:highlight w:val="none"/>
          <w:u w:val="single"/>
          <w:lang w:val="en-US" w:eastAsia="zh-CN" w:bidi="ar-SA"/>
        </w:rPr>
        <w:t>关于标二包1输电线路工程跨越架搭拆框架的分配比例详见下表：</w:t>
      </w:r>
    </w:p>
    <w:tbl>
      <w:tblPr>
        <w:tblStyle w:val="9"/>
        <w:tblW w:w="8551" w:type="dxa"/>
        <w:tblInd w:w="96" w:type="dxa"/>
        <w:tblLayout w:type="fixed"/>
        <w:tblCellMar>
          <w:top w:w="0" w:type="dxa"/>
          <w:left w:w="108" w:type="dxa"/>
          <w:bottom w:w="0" w:type="dxa"/>
          <w:right w:w="108" w:type="dxa"/>
        </w:tblCellMar>
      </w:tblPr>
      <w:tblGrid>
        <w:gridCol w:w="2410"/>
        <w:gridCol w:w="1272"/>
        <w:gridCol w:w="1425"/>
        <w:gridCol w:w="1722"/>
        <w:gridCol w:w="1722"/>
      </w:tblGrid>
      <w:tr>
        <w:tblPrEx>
          <w:tblCellMar>
            <w:top w:w="0" w:type="dxa"/>
            <w:left w:w="108" w:type="dxa"/>
            <w:bottom w:w="0" w:type="dxa"/>
            <w:right w:w="108" w:type="dxa"/>
          </w:tblCellMar>
        </w:tblPrEx>
        <w:trPr>
          <w:trHeight w:val="1935" w:hRule="atLeast"/>
        </w:trPr>
        <w:tc>
          <w:tcPr>
            <w:tcW w:w="24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分包名称</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框架供应商数量</w:t>
            </w:r>
          </w:p>
        </w:tc>
        <w:tc>
          <w:tcPr>
            <w:tcW w:w="14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第一名承揽金额控制比例不低于</w:t>
            </w:r>
          </w:p>
        </w:tc>
        <w:tc>
          <w:tcPr>
            <w:tcW w:w="17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第二名承揽金额控制比例不高于</w:t>
            </w:r>
          </w:p>
        </w:tc>
        <w:tc>
          <w:tcPr>
            <w:tcW w:w="17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第三名承揽金额控制比例不高于</w:t>
            </w:r>
          </w:p>
        </w:tc>
      </w:tr>
      <w:tr>
        <w:tblPrEx>
          <w:tblCellMar>
            <w:top w:w="0" w:type="dxa"/>
            <w:left w:w="108" w:type="dxa"/>
            <w:bottom w:w="0" w:type="dxa"/>
            <w:right w:w="108" w:type="dxa"/>
          </w:tblCellMar>
        </w:tblPrEx>
        <w:trPr>
          <w:trHeight w:val="1047" w:hRule="atLeast"/>
        </w:trPr>
        <w:tc>
          <w:tcPr>
            <w:tcW w:w="24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包1输电线路工程跨越架搭拆框架</w:t>
            </w:r>
          </w:p>
        </w:tc>
        <w:tc>
          <w:tcPr>
            <w:tcW w:w="127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3家</w:t>
            </w:r>
          </w:p>
        </w:tc>
        <w:tc>
          <w:tcPr>
            <w:tcW w:w="14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50%</w:t>
            </w:r>
          </w:p>
        </w:tc>
        <w:tc>
          <w:tcPr>
            <w:tcW w:w="17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30%</w:t>
            </w:r>
          </w:p>
        </w:tc>
        <w:tc>
          <w:tcPr>
            <w:tcW w:w="17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20%</w:t>
            </w:r>
          </w:p>
        </w:tc>
      </w:tr>
    </w:tbl>
    <w:p>
      <w:pPr>
        <w:pStyle w:val="8"/>
        <w:rPr>
          <w:rFonts w:hint="eastAsia"/>
          <w:lang w:val="en-US" w:eastAsia="zh-CN"/>
        </w:rPr>
      </w:pPr>
    </w:p>
    <w:p>
      <w:pPr>
        <w:rPr>
          <w:rFonts w:hint="default" w:ascii="宋体" w:hAnsi="宋体" w:eastAsia="宋体" w:cs="宋体"/>
          <w:color w:val="000000" w:themeColor="text1"/>
          <w:sz w:val="22"/>
          <w:szCs w:val="22"/>
          <w:lang w:val="en-US" w:eastAsia="zh-CN" w:bidi="ar-SA"/>
          <w14:textFill>
            <w14:solidFill>
              <w14:schemeClr w14:val="tx1"/>
            </w14:solidFill>
          </w14:textFill>
        </w:rPr>
        <w:sectPr>
          <w:headerReference r:id="rId8" w:type="first"/>
          <w:footerReference r:id="rId10" w:type="first"/>
          <w:headerReference r:id="rId7" w:type="default"/>
          <w:footerReference r:id="rId9" w:type="default"/>
          <w:pgSz w:w="16781" w:h="11849" w:orient="landscape"/>
          <w:pgMar w:top="1803" w:right="1134" w:bottom="1803" w:left="1134" w:header="0" w:footer="839" w:gutter="0"/>
          <w:pgNumType w:fmt="decimal"/>
          <w:cols w:space="0" w:num="1"/>
          <w:titlePg/>
          <w:rtlGutter w:val="0"/>
          <w:docGrid w:linePitch="286" w:charSpace="0"/>
        </w:sectPr>
      </w:pPr>
      <w:r>
        <w:rPr>
          <w:rFonts w:hint="eastAsia" w:ascii="宋体" w:hAnsi="宋体" w:eastAsia="宋体" w:cs="Times New Roman"/>
          <w:b w:val="0"/>
          <w:bCs w:val="0"/>
          <w:smallCaps w:val="0"/>
          <w:color w:val="0000FF"/>
          <w:sz w:val="24"/>
          <w:szCs w:val="22"/>
          <w:highlight w:val="none"/>
          <w:u w:val="single"/>
          <w:lang w:val="en-US" w:eastAsia="zh-CN" w:bidi="ar-SA"/>
        </w:rPr>
        <w:br w:type="page"/>
      </w:r>
    </w:p>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rPr>
        <w:lang w:eastAsia="zh-CN" w:bidi="ar-SA"/>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8420" cy="287655"/>
              <wp:effectExtent l="0" t="0" r="0" b="0"/>
              <wp:wrapNone/>
              <wp:docPr id="1" name="文本框 2"/>
              <wp:cNvGraphicFramePr/>
              <a:graphic xmlns:a="http://schemas.openxmlformats.org/drawingml/2006/main">
                <a:graphicData uri="http://schemas.microsoft.com/office/word/2010/wordprocessingShape">
                  <wps:wsp>
                    <wps:cNvSpPr txBox="1"/>
                    <wps:spPr>
                      <a:xfrm>
                        <a:off x="0" y="0"/>
                        <a:ext cx="58420" cy="287655"/>
                      </a:xfrm>
                      <a:prstGeom prst="rect">
                        <a:avLst/>
                      </a:prstGeom>
                      <a:noFill/>
                      <a:ln>
                        <a:noFill/>
                      </a:ln>
                    </wps:spPr>
                    <wps:txbx>
                      <w:txbxContent>
                        <w:p>
                          <w:pPr>
                            <w:pStyle w:val="5"/>
                            <w:jc w:val="center"/>
                          </w:pPr>
                          <w:r>
                            <w:fldChar w:fldCharType="begin"/>
                          </w:r>
                          <w:r>
                            <w:instrText xml:space="preserve"> PAGE   \* MERGEFORMAT </w:instrText>
                          </w:r>
                          <w:r>
                            <w:fldChar w:fldCharType="separate"/>
                          </w:r>
                          <w:r>
                            <w:rPr>
                              <w:lang w:val="zh-CN"/>
                            </w:rPr>
                            <w:t>5</w:t>
                          </w:r>
                          <w:r>
                            <w:rPr>
                              <w:lang w:val="zh-CN"/>
                            </w:rPr>
                            <w:fldChar w:fldCharType="end"/>
                          </w:r>
                        </w:p>
                      </w:txbxContent>
                    </wps:txbx>
                    <wps:bodyPr wrap="none" lIns="0" tIns="0" rIns="0" bIns="0" upright="1">
                      <a:spAutoFit/>
                    </wps:bodyPr>
                  </wps:wsp>
                </a:graphicData>
              </a:graphic>
            </wp:anchor>
          </w:drawing>
        </mc:Choice>
        <mc:Fallback>
          <w:pict>
            <v:shape id="文本框 2" o:spid="_x0000_s1026" o:spt="202" type="#_x0000_t202" style="position:absolute;left:0pt;margin-top:0pt;height:22.65pt;width:4.6pt;mso-position-horizontal:center;mso-position-horizontal-relative:margin;mso-wrap-style:none;z-index:251659264;mso-width-relative:page;mso-height-relative:page;" filled="f" stroked="f" coordsize="21600,21600" o:gfxdata="UEsDBAoAAAAAAIdO4kAAAAAAAAAAAAAAAAAEAAAAZHJzL1BLAwQUAAAACACHTuJAN36Ww9EAAAAC&#10;AQAADwAAAGRycy9kb3ducmV2LnhtbE2PwU7DMBBE70j8g7VI3KjTAqWEOD1U4tIbparEbRtv4wh7&#10;Hdlumvx9DRe4rDSa0czbaj06KwYKsfOsYD4rQBA3XnfcKth/vj+sQMSErNF6JgUTRVjXtzcVltpf&#10;+IOGXWpFLuFYogKTUl9KGRtDDuPM98TZO/ngMGUZWqkDXnK5s3JRFEvpsOO8YLCnjaHme3d2Cl7G&#10;g6c+0oa+TkMTTDet7HZS6v5uXryBSDSmvzD84Gd0qDPT0Z9ZR2EV5EfS783e6wLEUcHT8yPIupL/&#10;0esrUEsDBBQAAAAIAIdO4kCb+ChmzAEAAJYDAAAOAAAAZHJzL2Uyb0RvYy54bWytU82O0zAQviPx&#10;Dpbv1G1ElypqugJVi5AQIC08gOvYjSX/yeM26QvAG3Diwp3n6nMwdtIuLJc9cHEmM5Nvvu/zZH07&#10;WEOOMoL2rqGL2ZwS6YRvtds39MvnuxcrSiBx13LjnWzoSQK93Tx/tu5DLSvfedPKSBDEQd2HhnYp&#10;hZoxEJ20HGY+SIdF5aPlCV/jnrWR94huDavm8xvW+9iG6IUEwOx2LNIJMT4F0Culhdx6cbDSpRE1&#10;SsMTSoJOB6CbwlYpKdJHpUAmYhqKSlM5cQjGu3yyzZrX+8hDp8VEgT+FwiNNlmuHQ69QW544OUT9&#10;D5TVInrwKs2Et2wUUhxBFYv5I2/uOx5k0YJWQ7iaDv8PVnw4fopEt7gJlDhu8cLP37+df/w6//xK&#10;qmxPH6DGrvuAfWl444fcOuUBk1n1oKLNT9RDsI7mnq7myiERgcnl6mWFBYGVavXqZrnMIOzh2xAh&#10;vZXekhw0NOLVFUf58T2ksfXSkkc5f6eNwTyvjfsrgZg5wzLxkWCO0rAbJtY7355QTI+33lCHS06J&#10;eefQ1LwglyBegt0lOISo9x1SWxReEF4fEpIo3PKEEXYajNdV1E2rlffhz/fS9fA7bX4D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N36Ww9EAAAACAQAADwAAAAAAAAABACAAAAAiAAAAZHJzL2Rvd25y&#10;ZXYueG1sUEsBAhQAFAAAAAgAh07iQJv4KGbMAQAAlgMAAA4AAAAAAAAAAQAgAAAAIAEAAGRycy9l&#10;Mm9Eb2MueG1sUEsFBgAAAAAGAAYAWQEAAF4FAAAAAA==&#10;">
              <v:fill on="f" focussize="0,0"/>
              <v:stroke on="f"/>
              <v:imagedata o:title=""/>
              <o:lock v:ext="edit" aspectratio="f"/>
              <v:textbox inset="0mm,0mm,0mm,0mm" style="mso-fit-shape-to-text:t;">
                <w:txbxContent>
                  <w:p>
                    <w:pPr>
                      <w:pStyle w:val="5"/>
                      <w:jc w:val="center"/>
                    </w:pPr>
                    <w:r>
                      <w:fldChar w:fldCharType="begin"/>
                    </w:r>
                    <w:r>
                      <w:instrText xml:space="preserve"> PAGE   \* MERGEFORMAT </w:instrText>
                    </w:r>
                    <w:r>
                      <w:fldChar w:fldCharType="separate"/>
                    </w:r>
                    <w:r>
                      <w:rPr>
                        <w:lang w:val="zh-CN"/>
                      </w:rPr>
                      <w:t>5</w:t>
                    </w:r>
                    <w:r>
                      <w:rPr>
                        <w:lang w:val="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3"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Ux0jMkBAACZAwAADgAAAGRycy9lMm9Eb2MueG1srVPNjtMwEL6vxDtY&#10;vlNni4SqqOkKVC1CQoC07AO4jt1Y8p88bpO+ALwBJy573+fqczB2ki4slz1wccYz42/m+2ayvhms&#10;IUcZQXvX0OtFRYl0wrfa7Rt6/+329YoSSNy13HgnG3qSQG82r67Wfajl0nfetDISBHFQ96GhXUqh&#10;ZgxEJy2HhQ/SYVD5aHnCa9yzNvIe0a1hy6p6y3of2xC9kADo3Y5BOiHGlwB6pbSQWy8OVro0okZp&#10;eEJK0OkAdFO6VUqK9EUpkImYhiLTVE4sgvYun2yz5vU+8tBpMbXAX9LCM06Wa4dFL1Bbnjg5RP0P&#10;lNUievAqLYS3bCRSFEEW19Uzbe46HmThglJDuIgO/w9WfD5+jUS3DV1S4rjFgZ9//jj/ejw/fCdv&#10;sjx9gBqz7gLmpeG9H3BpZj+gM7MeVLT5i3wIxlHc00VcOSQi8qPVcrWqMCQwNl8Qnz09DxHSB+kt&#10;yUZDI06viMqPnyCNqXNKrub8rTamTNC4vxyImT0s9z72mK007IaJ0M63J+TT4+Ab6nDPKTEfHeqa&#10;d2Q24mzsZuMQot53ZYlyPQjvDgmbKL3lCiPsVBgnVthN25VX4s97yXr6oza/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D1THSMyQEAAJkDAAAOAAAAAAAAAAEAIAAAAB4BAABkcnMvZTJvRG9j&#10;LnhtbFBLBQYAAAAABgAGAFkBAABZBQAAAAA=&#10;">
              <v:fill on="f" focussize="0,0"/>
              <v:stroke on="f"/>
              <v:imagedata o:title=""/>
              <o:lock v:ext="edit" aspectratio="f"/>
              <v:textbox inset="0mm,0mm,0mm,0mm" style="mso-fit-shape-to-text:t;">
                <w:txbxContent>
                  <w:p>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ind w:firstLine="240"/>
      <w:rPr>
        <w:sz w:val="12"/>
      </w:rPr>
    </w:pPr>
    <w:r>
      <w:rPr>
        <w:sz w:val="12"/>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pStyle w:val="5"/>
                          </w:pPr>
                          <w:r>
                            <w:fldChar w:fldCharType="begin"/>
                          </w:r>
                          <w:r>
                            <w:instrText xml:space="preserve"> PAGE  \* MERGEFORMAT </w:instrText>
                          </w:r>
                          <w:r>
                            <w:fldChar w:fldCharType="separate"/>
                          </w:r>
                          <w:r>
                            <w:t>2</w:t>
                          </w:r>
                          <w:r>
                            <w:fldChar w:fldCharType="end"/>
                          </w:r>
                        </w:p>
                      </w:txbxContent>
                    </wps:txbx>
                    <wps:bodyPr wrap="none" lIns="0" tIns="0" rIns="0" bIns="0" upright="0">
                      <a:spAutoFit/>
                    </wps:bodyPr>
                  </wps:wsp>
                </a:graphicData>
              </a:graphic>
            </wp:anchor>
          </w:drawing>
        </mc:Choice>
        <mc:Fallback>
          <w:pict>
            <v:shape id="文本框 4"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31OI9s0BAACnAwAADgAAAGRycy9lMm9Eb2MueG1srVNLbtswEN0X6B0I&#10;7mspRhEYguUghZGiQNEWSHsAmqIsAvxhhrbkC7Q36Kqb7nsun6NDSnLSdJNFNtT8+Gbe42h9M1jD&#10;jgpQe1fzq0XJmXLSN9rta/7t692bFWcYhWuE8U7V/KSQ32xev1r3oVJL33nTKGAE4rDqQ827GENV&#10;FCg7ZQUufFCOkq0HKyK5sC8aED2hW1Msy/K66D00AbxUiBTdjkk+IcJzAH3baqm2Xh6scnFEBWVE&#10;JErY6YB8k6dtWyXj57ZFFZmpOTGN+aQmZO/SWWzWotqDCJ2W0wjiOSM84WSFdtT0ArUVUbAD6P+g&#10;rJbg0bdxIb0tRiJZEWJxVT7R5r4TQWUuJDWGi+j4crDy0/ELMN3U/JozJyw9+Pnnj/OvP+ff39nb&#10;JE8fsKKq+0B1cXjnB1qaOY4UTKyHFmz6Eh9GeRL3dBFXDZHJdGm1XK1KSknKzQ7hFw/XA2B8r7xl&#10;yag50OtlUcXxI8axdC5J3Zy/08bkFzTunwBhjhGVV2C6nZiMEycrDrthorfzzYnY9bQGNXe09ZyZ&#10;D45UThszGzAbu9k4BND7Lq9U6o7h9hBppDxp6jDCEsPk0PtlrtOupQV57Oeqh/9r8x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31OI9s0BAACnAwAADgAAAAAAAAABACAAAAAeAQAAZHJzL2Uy&#10;b0RvYy54bWxQSwUGAAAAAAYABgBZAQAAXQUAAAAA&#10;">
              <v:fill on="f" focussize="0,0"/>
              <v:stroke on="f"/>
              <v:imagedata o:title=""/>
              <o:lock v:ext="edit" aspectratio="f"/>
              <v:textbox inset="0mm,0mm,0mm,0mm" style="mso-fit-shape-to-text:t;">
                <w:txbxContent>
                  <w:p>
                    <w:pPr>
                      <w:pStyle w:val="5"/>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pStyle w:val="5"/>
                          </w:pPr>
                          <w:r>
                            <w:fldChar w:fldCharType="begin"/>
                          </w:r>
                          <w:r>
                            <w:instrText xml:space="preserve"> PAGE  \* MERGEFORMAT </w:instrText>
                          </w:r>
                          <w:r>
                            <w:fldChar w:fldCharType="separate"/>
                          </w:r>
                          <w:r>
                            <w:t>6</w:t>
                          </w:r>
                          <w:r>
                            <w:fldChar w:fldCharType="end"/>
                          </w:r>
                        </w:p>
                      </w:txbxContent>
                    </wps:txbx>
                    <wps:bodyPr wrap="none" lIns="0" tIns="0" rIns="0" bIns="0" upright="0">
                      <a:spAutoFit/>
                    </wps:bodyPr>
                  </wps:wsp>
                </a:graphicData>
              </a:graphic>
            </wp:anchor>
          </w:drawing>
        </mc:Choice>
        <mc:Fallback>
          <w:pict>
            <v:shape id="文本框 5"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KbG09M0BAACoAwAADgAAAGRycy9lMm9Eb2MueG1srVPNjtMwEL4j8Q6W&#10;7zTZIlAVNV2BqkVICJCWfQDXmTSW/CeP26QvAG/AiQt3nqvPwdhJurB72cNenPnzN/N9nqyvB6PZ&#10;EQIqZ2t+tSg5Aytdo+y+5nffbl6tOMMobCO0s1DzEyC/3rx8se59BUvXOd1AYARisep9zbsYfVUU&#10;KDswAhfOg6Vk64IRkdywL5ogekI3uliW5duid6HxwUlApOh2TPIJMTwF0LWtkrB18mDAxhE1gBaR&#10;KGGnPPJNnrZtQcYvbYsQma45MY35pCZk79JZbNai2gfhOyWnEcRTRnjAyQhlqekFaiuiYIegHkEZ&#10;JYND18aFdKYYiWRFiMVV+UCb2054yFxIavQX0fH5YOXn49fAVEOb8JozKwy9+Pnnj/OvP+ff39mb&#10;pE/vsaKyW0+FcXjvBqqd40jBRHtog0lfIsQoT+qeLurCEJlMl1bL1aqklKTc7BB+cX/dB4wfwBmW&#10;jJoHer6sqjh+wjiWziWpm3U3Suv8hNr+FyDMMQJ5B6bbick4cbLisBsmejvXnIhdT3tQc0trz5n+&#10;aEnmtDKzEWZjNxsHH9S+yzuVuqN/d4g0Up40dRhhiWFy6AEz12nZ0ob86+eq+x9s8x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KbG09M0BAACoAwAADgAAAAAAAAABACAAAAAeAQAAZHJzL2Uy&#10;b0RvYy54bWxQSwUGAAAAAAYABgBZAQAAXQUAAAAA&#10;">
              <v:fill on="f" focussize="0,0"/>
              <v:stroke on="f"/>
              <v:imagedata o:title=""/>
              <o:lock v:ext="edit" aspectratio="f"/>
              <v:textbox inset="0mm,0mm,0mm,0mm" style="mso-fit-shape-to-text:t;">
                <w:txbxContent>
                  <w:p>
                    <w:pPr>
                      <w:pStyle w:val="5"/>
                    </w:pPr>
                    <w:r>
                      <w:fldChar w:fldCharType="begin"/>
                    </w:r>
                    <w:r>
                      <w:instrText xml:space="preserve"> PAGE  \* MERGEFORMAT </w:instrText>
                    </w:r>
                    <w:r>
                      <w:fldChar w:fldCharType="separate"/>
                    </w:r>
                    <w:r>
                      <w:t>6</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1"/>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1"/>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6AD860E"/>
    <w:multiLevelType w:val="singleLevel"/>
    <w:tmpl w:val="96AD860E"/>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BmYzYwMzI0YWNmMTg0MWRlNmY2NTA0MmEyZWZhZGYifQ=="/>
  </w:docVars>
  <w:rsids>
    <w:rsidRoot w:val="08DA0321"/>
    <w:rsid w:val="08DA03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ajorHAnsi" w:hAnsiTheme="majorHAnsi" w:eastAsiaTheme="majorEastAsia" w:cstheme="majorBidi"/>
      <w:sz w:val="22"/>
      <w:szCs w:val="22"/>
      <w:lang w:val="en-US" w:eastAsia="en-US" w:bidi="en-US"/>
    </w:rPr>
  </w:style>
  <w:style w:type="character" w:default="1" w:styleId="10">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szCs w:val="24"/>
    </w:rPr>
  </w:style>
  <w:style w:type="paragraph" w:styleId="3">
    <w:name w:val="Body Text Indent"/>
    <w:basedOn w:val="1"/>
    <w:next w:val="4"/>
    <w:unhideWhenUsed/>
    <w:qFormat/>
    <w:uiPriority w:val="0"/>
    <w:pPr>
      <w:spacing w:after="120"/>
      <w:ind w:left="420" w:leftChars="200"/>
    </w:pPr>
  </w:style>
  <w:style w:type="paragraph" w:styleId="4">
    <w:name w:val="envelope return"/>
    <w:basedOn w:val="1"/>
    <w:qFormat/>
    <w:uiPriority w:val="0"/>
    <w:pPr>
      <w:snapToGrid w:val="0"/>
    </w:pPr>
    <w:rPr>
      <w:rFonts w:ascii="Arial" w:hAnsi="Arial" w:cs="Arial"/>
    </w:rPr>
  </w:style>
  <w:style w:type="paragraph" w:styleId="5">
    <w:name w:val="footer"/>
    <w:basedOn w:val="1"/>
    <w:unhideWhenUsed/>
    <w:qFormat/>
    <w:uiPriority w:val="0"/>
    <w:pPr>
      <w:tabs>
        <w:tab w:val="center" w:pos="4153"/>
        <w:tab w:val="right" w:pos="8306"/>
      </w:tabs>
      <w:snapToGrid w:val="0"/>
    </w:pPr>
    <w:rPr>
      <w:sz w:val="18"/>
      <w:szCs w:val="18"/>
    </w:rPr>
  </w:style>
  <w:style w:type="paragraph" w:styleId="6">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7">
    <w:name w:val="List"/>
    <w:basedOn w:val="1"/>
    <w:qFormat/>
    <w:uiPriority w:val="0"/>
    <w:pPr>
      <w:ind w:left="200" w:hanging="200" w:hangingChars="200"/>
      <w:contextualSpacing/>
    </w:pPr>
  </w:style>
  <w:style w:type="paragraph" w:styleId="8">
    <w:name w:val="Body Text First Indent 2"/>
    <w:basedOn w:val="3"/>
    <w:next w:val="7"/>
    <w:qFormat/>
    <w:uiPriority w:val="0"/>
    <w:pPr>
      <w:ind w:left="0" w:leftChars="0" w:firstLine="420"/>
    </w:pPr>
    <w:rPr>
      <w:szCs w:val="24"/>
    </w:rPr>
  </w:style>
  <w:style w:type="paragraph" w:customStyle="1" w:styleId="11">
    <w:name w:val="正文文本2"/>
    <w:basedOn w:val="1"/>
    <w:qFormat/>
    <w:uiPriority w:val="0"/>
    <w:pPr>
      <w:autoSpaceDE w:val="0"/>
      <w:autoSpaceDN w:val="0"/>
    </w:pPr>
    <w:rPr>
      <w:rFonts w:cs="Times New Roman"/>
      <w:sz w:val="20"/>
      <w:lang w:val="zh-CN"/>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header" Target="header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0</Words>
  <Characters>0</Characters>
  <Lines>0</Lines>
  <Paragraphs>0</Paragraphs>
  <TotalTime>0</TotalTime>
  <ScaleCrop>false</ScaleCrop>
  <LinksUpToDate>false</LinksUpToDate>
  <CharactersWithSpaces>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2024-06-12T03:04:00Z</dcterms:created>
  <dc:creator>DELL</dc:creator>
  <cp:lastModifiedBy>DELL</cp:lastModifiedBy>
  <dcterms:modified xsi:type="dcterms:W3CDTF">2024-06-12T03:05:07Z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696E69B6C0924AE1AAAB6F5F5CFEF29D_11</vt:lpwstr>
  </property>
</Properties>
</file>