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63CFA">
      <w:pPr>
        <w:spacing w:before="190" w:line="362" w:lineRule="auto"/>
        <w:ind w:right="170" w:firstLine="480"/>
        <w:jc w:val="both"/>
        <w:rPr>
          <w:rFonts w:hint="eastAsia" w:ascii="宋体" w:hAnsi="宋体" w:eastAsia="宋体" w:cs="宋体"/>
          <w:b/>
          <w:bCs/>
          <w:spacing w:val="10"/>
          <w:sz w:val="24"/>
          <w:szCs w:val="24"/>
          <w:highlight w:val="none"/>
          <w:u w:val="single" w:color="auto"/>
          <w:lang w:val="en-US" w:eastAsia="zh-CN"/>
        </w:rPr>
      </w:pPr>
      <w:r>
        <w:rPr>
          <w:rFonts w:hint="eastAsia" w:ascii="宋体" w:hAnsi="宋体" w:eastAsia="宋体" w:cs="宋体"/>
          <w:b/>
          <w:bCs/>
          <w:spacing w:val="10"/>
          <w:sz w:val="24"/>
          <w:szCs w:val="24"/>
          <w:highlight w:val="none"/>
          <w:u w:val="single" w:color="auto"/>
          <w:lang w:val="en-US" w:eastAsia="zh-CN"/>
        </w:rPr>
        <w:t>招标条件</w:t>
      </w:r>
    </w:p>
    <w:p w14:paraId="35FC3E67">
      <w:pPr>
        <w:spacing w:before="190" w:line="362" w:lineRule="auto"/>
        <w:ind w:right="170" w:firstLine="480"/>
        <w:jc w:val="both"/>
        <w:rPr>
          <w:rFonts w:hint="default" w:ascii="宋体" w:hAnsi="宋体" w:eastAsia="宋体" w:cs="宋体"/>
          <w:b/>
          <w:bCs/>
          <w:spacing w:val="10"/>
          <w:sz w:val="24"/>
          <w:szCs w:val="24"/>
          <w:highlight w:val="none"/>
          <w:u w:val="single" w:color="auto"/>
          <w:lang w:val="en-US" w:eastAsia="zh-CN"/>
        </w:rPr>
      </w:pPr>
      <w:r>
        <w:rPr>
          <w:rFonts w:hint="eastAsia" w:ascii="宋体" w:hAnsi="宋体" w:eastAsia="宋体" w:cs="宋体"/>
          <w:b/>
          <w:bCs/>
          <w:spacing w:val="10"/>
          <w:sz w:val="24"/>
          <w:szCs w:val="24"/>
          <w:highlight w:val="none"/>
          <w:u w:val="single" w:color="auto"/>
          <w:lang w:val="en-US" w:eastAsia="zh-CN"/>
        </w:rPr>
        <w:t>本</w:t>
      </w:r>
      <w:bookmarkStart w:id="0" w:name="_GoBack"/>
      <w:bookmarkEnd w:id="0"/>
      <w:r>
        <w:rPr>
          <w:rFonts w:hint="eastAsia" w:ascii="宋体" w:hAnsi="宋体" w:eastAsia="宋体" w:cs="宋体"/>
          <w:b/>
          <w:bCs/>
          <w:spacing w:val="10"/>
          <w:sz w:val="24"/>
          <w:szCs w:val="24"/>
          <w:highlight w:val="none"/>
          <w:u w:val="single" w:color="auto"/>
          <w:lang w:val="en-US" w:eastAsia="zh-CN"/>
        </w:rPr>
        <w:t>招标项目G248线兰州至马关公路江果河至迭部段项目施工监理已由甘肃省交通运输厅以《甘肃省交通运输厅关于G248线江果河至迭部（含扎古录至傲子沟口段）公路项目核准的批复》（甘交许可〔2025〕244号）批准建设，初步设计已由甘肃省交通运输厅以《甘肃省交通运输厅关于G248线兰州至马关公路江果河至迭部段两阶段初步设计及概算的批复》（甘交许可〔2025〕276号）批准，项目法人为甘肃红达高速公路项目管理有限公司，建设资金来自项目资本金：出资比例20%、建设期投资补助资金：出资比例36.29%、债务性资金融资筹集:出资比例43.71%:出资比例(%):100 ，招标人为甘肃红达高速公路项目管理有限公司，批复的招标组织方式为 委托招标，招标代理机构为 湖北联投咨询管理有限公司。项目已具备招标条件，现对该项目的施工监理进行公开招标。</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C1083"/>
    <w:rsid w:val="4FCC1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2026-04-29T12:23:00Z</dcterms:created>
  <dc:creator>31435</dc:creator>
  <cp:lastModifiedBy>31435</cp:lastModifiedBy>
  <dcterms:modified xsi:type="dcterms:W3CDTF">2026-04-29T12:25:10Z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8510C6B2A9344462A9BE76F33FE888EC_11</vt:lpwstr>
  </property>
  <property fmtid="{D5CDD505-2E9C-101B-9397-08002B2CF9AE}" pid="4" name="KSOTemplateDocerSaveRecord">
    <vt:lpwstr>eyJoZGlkIjoiYWNjZmY2N2JmMDJlMDVhM2E2YmQ0MGJmMTU4MDU5YzUiLCJ1c2VySWQiOiIyMzQ2MjQ2NDgifQ==</vt:lpwstr>
  </property>
</Properties>
</file>