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hint="eastAsia" w:ascii="Times New Roman" w:hAnsi="Times New Roman" w:eastAsia="方正小标宋简体" w:cs="Times New Roman"/>
          <w:sz w:val="32"/>
          <w:lang w:val="en-US" w:eastAsia="zh-CN"/>
        </w:rPr>
      </w:pPr>
      <w:bookmarkStart w:id="0" w:name="OLE_LINK1"/>
      <w:r>
        <w:rPr>
          <w:rFonts w:ascii="Times New Roman" w:hAnsi="Times New Roman" w:eastAsia="方正小标宋简体" w:cs="Times New Roman"/>
          <w:bCs/>
          <w:kern w:val="44"/>
          <w:sz w:val="44"/>
          <w:szCs w:val="44"/>
        </w:rPr>
        <w:t>采办计划公告</w:t>
      </w:r>
    </w:p>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为便于供应商及时了解项目采办信息，现将</w:t>
      </w:r>
      <w:r>
        <w:rPr>
          <w:rFonts w:ascii="Times New Roman" w:hAnsi="Times New Roman" w:eastAsia="仿宋_GB2312" w:cs="Times New Roman"/>
          <w:sz w:val="32"/>
          <w:szCs w:val="32"/>
          <w:u w:val="single"/>
        </w:rPr>
        <w:t>（</w:t>
      </w:r>
      <w:r>
        <w:rPr>
          <w:rFonts w:hint="eastAsia" w:ascii="Times New Roman" w:hAnsi="Times New Roman" w:eastAsia="仿宋_GB2312" w:cs="Times New Roman"/>
          <w:sz w:val="32"/>
          <w:szCs w:val="32"/>
          <w:u w:val="single"/>
        </w:rPr>
        <w:t>大榭石化五期项目常减压装置4台离心泵泵头改造采办</w:t>
      </w:r>
      <w:r>
        <w:rPr>
          <w:rFonts w:ascii="Times New Roman" w:hAnsi="Times New Roman" w:eastAsia="仿宋_GB2312" w:cs="Times New Roman"/>
          <w:sz w:val="32"/>
          <w:szCs w:val="32"/>
          <w:u w:val="single"/>
        </w:rPr>
        <w:t>）</w:t>
      </w:r>
      <w:r>
        <w:rPr>
          <w:rFonts w:ascii="Times New Roman" w:hAnsi="Times New Roman" w:eastAsia="仿宋_GB2312" w:cs="Times New Roman"/>
          <w:sz w:val="32"/>
          <w:szCs w:val="32"/>
        </w:rPr>
        <w:t>的采办计划公开如下：</w:t>
      </w:r>
    </w:p>
    <w:tbl>
      <w:tblPr>
        <w:tblStyle w:val="6"/>
        <w:tblpPr w:leftFromText="180" w:rightFromText="180" w:vertAnchor="text" w:horzAnchor="page" w:tblpX="1461" w:tblpY="91"/>
        <w:tblOverlap w:val="never"/>
        <w:tblW w:w="14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861"/>
        <w:gridCol w:w="4811"/>
        <w:gridCol w:w="1754"/>
        <w:gridCol w:w="4754"/>
        <w:gridCol w:w="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2"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序号</w:t>
            </w:r>
          </w:p>
        </w:tc>
        <w:tc>
          <w:tcPr>
            <w:tcW w:w="186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采办包名称</w:t>
            </w:r>
          </w:p>
        </w:tc>
        <w:tc>
          <w:tcPr>
            <w:tcW w:w="481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采购范围与主要技术指标</w:t>
            </w:r>
          </w:p>
        </w:tc>
        <w:tc>
          <w:tcPr>
            <w:tcW w:w="1754" w:type="dxa"/>
            <w:vAlign w:val="center"/>
          </w:tcPr>
          <w:p>
            <w:pPr>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预计发标时间</w:t>
            </w:r>
          </w:p>
        </w:tc>
        <w:tc>
          <w:tcPr>
            <w:tcW w:w="4754" w:type="dxa"/>
            <w:vAlign w:val="center"/>
          </w:tcPr>
          <w:p>
            <w:pPr>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供应商资质基本要求</w:t>
            </w:r>
          </w:p>
        </w:tc>
        <w:tc>
          <w:tcPr>
            <w:tcW w:w="378"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512" w:type="dxa"/>
            <w:vAlign w:val="center"/>
          </w:tcPr>
          <w:p>
            <w:pPr>
              <w:bidi w:val="0"/>
              <w:jc w:val="center"/>
              <w:rPr>
                <w:rFonts w:hint="eastAsia"/>
                <w:lang w:val="en-US" w:eastAsia="zh-CN"/>
              </w:rPr>
            </w:pPr>
            <w:r>
              <w:rPr>
                <w:rFonts w:hint="eastAsia" w:ascii="Times New Roman" w:hAnsi="Times New Roman" w:eastAsia="仿宋" w:cs="Times New Roman"/>
                <w:kern w:val="0"/>
                <w:sz w:val="24"/>
                <w:szCs w:val="24"/>
                <w:lang w:val="en-US" w:eastAsia="zh-CN"/>
              </w:rPr>
              <w:t>1</w:t>
            </w:r>
          </w:p>
        </w:tc>
        <w:tc>
          <w:tcPr>
            <w:tcW w:w="1861" w:type="dxa"/>
            <w:vAlign w:val="center"/>
          </w:tcPr>
          <w:p>
            <w:pPr>
              <w:rPr>
                <w:rFonts w:hint="default" w:ascii="Times New Roman" w:hAnsi="Times New Roman" w:eastAsia="仿宋" w:cs="Times New Roman"/>
                <w:kern w:val="0"/>
                <w:sz w:val="24"/>
                <w:szCs w:val="24"/>
                <w:u w:val="single"/>
                <w:lang w:val="en-US" w:eastAsia="zh-CN"/>
              </w:rPr>
            </w:pPr>
            <w:r>
              <w:rPr>
                <w:rFonts w:hint="eastAsia" w:ascii="Times New Roman" w:hAnsi="Times New Roman" w:eastAsia="仿宋_GB2312" w:cs="Times New Roman"/>
                <w:sz w:val="32"/>
                <w:szCs w:val="32"/>
                <w:u w:val="single"/>
              </w:rPr>
              <w:t>大榭石化五期项目常减压装置4台离心泵泵头改造采办</w:t>
            </w:r>
          </w:p>
        </w:tc>
        <w:tc>
          <w:tcPr>
            <w:tcW w:w="4811" w:type="dxa"/>
            <w:vAlign w:val="center"/>
          </w:tcPr>
          <w:p>
            <w:pPr>
              <w:numPr>
                <w:ilvl w:val="0"/>
                <w:numId w:val="0"/>
              </w:numPr>
              <w:jc w:val="center"/>
              <w:rPr>
                <w:rFonts w:hint="eastAsia" w:ascii="Times New Roman" w:hAnsi="Times New Roman" w:eastAsia="仿宋_GB2312" w:cs="Times New Roman"/>
                <w:sz w:val="32"/>
                <w:szCs w:val="32"/>
                <w:u w:val="single"/>
              </w:rPr>
            </w:pPr>
            <w:r>
              <w:rPr>
                <w:rFonts w:hint="eastAsia" w:ascii="Times New Roman" w:hAnsi="Times New Roman" w:eastAsia="仿宋_GB2312" w:cs="Times New Roman"/>
                <w:sz w:val="32"/>
                <w:szCs w:val="32"/>
                <w:u w:val="single"/>
              </w:rPr>
              <w:t>4台离心泵泵头</w:t>
            </w:r>
            <w:r>
              <w:rPr>
                <w:rFonts w:hint="eastAsia" w:ascii="Times New Roman" w:hAnsi="Times New Roman" w:eastAsia="仿宋_GB2312" w:cs="Times New Roman"/>
                <w:sz w:val="32"/>
                <w:szCs w:val="32"/>
                <w:u w:val="single"/>
                <w:lang w:val="en-US" w:eastAsia="zh-CN"/>
              </w:rPr>
              <w:t>材质</w:t>
            </w:r>
            <w:r>
              <w:rPr>
                <w:rFonts w:hint="eastAsia" w:ascii="Times New Roman" w:hAnsi="Times New Roman" w:eastAsia="仿宋_GB2312" w:cs="Times New Roman"/>
                <w:sz w:val="32"/>
                <w:szCs w:val="32"/>
                <w:u w:val="single"/>
              </w:rPr>
              <w:t>改造</w:t>
            </w:r>
          </w:p>
          <w:p>
            <w:pPr>
              <w:numPr>
                <w:ilvl w:val="0"/>
                <w:numId w:val="0"/>
              </w:numPr>
              <w:jc w:val="center"/>
              <w:rPr>
                <w:rFonts w:hint="default" w:ascii="Times New Roman" w:hAnsi="Times New Roman" w:eastAsia="仿宋" w:cs="Times New Roman"/>
                <w:kern w:val="0"/>
                <w:sz w:val="24"/>
                <w:szCs w:val="24"/>
                <w:u w:val="single"/>
                <w:lang w:val="en-US" w:eastAsia="zh-CN"/>
              </w:rPr>
            </w:pPr>
            <w:r>
              <w:rPr>
                <w:rFonts w:hint="eastAsia" w:ascii="Times New Roman" w:hAnsi="Times New Roman" w:eastAsia="仿宋_GB2312" w:cs="Times New Roman"/>
                <w:sz w:val="32"/>
                <w:szCs w:val="32"/>
                <w:u w:val="single"/>
                <w:lang w:val="en-US" w:eastAsia="zh-CN"/>
              </w:rPr>
              <w:t>（原泵为苏尔寿，技术要求详见附件）</w:t>
            </w:r>
          </w:p>
        </w:tc>
        <w:tc>
          <w:tcPr>
            <w:tcW w:w="1754" w:type="dxa"/>
            <w:vAlign w:val="center"/>
          </w:tcPr>
          <w:p>
            <w:pPr>
              <w:jc w:val="center"/>
              <w:rPr>
                <w:rFonts w:ascii="Times New Roman" w:hAnsi="Times New Roman" w:eastAsia="仿宋" w:cs="Times New Roman"/>
                <w:kern w:val="0"/>
                <w:sz w:val="24"/>
                <w:szCs w:val="24"/>
                <w:highlight w:val="none"/>
                <w:u w:val="single"/>
              </w:rPr>
            </w:pPr>
            <w:r>
              <w:rPr>
                <w:rFonts w:hint="eastAsia" w:ascii="Times New Roman" w:hAnsi="Times New Roman" w:eastAsia="仿宋" w:cs="Times New Roman"/>
                <w:kern w:val="0"/>
                <w:sz w:val="24"/>
                <w:szCs w:val="24"/>
                <w:highlight w:val="none"/>
                <w:u w:val="none"/>
              </w:rPr>
              <w:t>202</w:t>
            </w:r>
            <w:r>
              <w:rPr>
                <w:rFonts w:hint="eastAsia" w:ascii="Times New Roman" w:hAnsi="Times New Roman" w:eastAsia="仿宋" w:cs="Times New Roman"/>
                <w:kern w:val="0"/>
                <w:sz w:val="24"/>
                <w:szCs w:val="24"/>
                <w:highlight w:val="none"/>
                <w:u w:val="none"/>
                <w:lang w:val="en-US" w:eastAsia="zh-CN"/>
              </w:rPr>
              <w:t>6</w:t>
            </w:r>
            <w:r>
              <w:rPr>
                <w:rFonts w:hint="eastAsia" w:ascii="Times New Roman" w:hAnsi="Times New Roman" w:eastAsia="仿宋" w:cs="Times New Roman"/>
                <w:kern w:val="0"/>
                <w:sz w:val="24"/>
                <w:szCs w:val="24"/>
                <w:highlight w:val="none"/>
                <w:u w:val="none"/>
              </w:rPr>
              <w:t>年</w:t>
            </w:r>
            <w:r>
              <w:rPr>
                <w:rFonts w:hint="eastAsia" w:ascii="Times New Roman" w:hAnsi="Times New Roman" w:eastAsia="仿宋" w:cs="Times New Roman"/>
                <w:kern w:val="0"/>
                <w:sz w:val="24"/>
                <w:szCs w:val="24"/>
                <w:highlight w:val="none"/>
                <w:u w:val="none"/>
                <w:lang w:val="en-US" w:eastAsia="zh-CN"/>
              </w:rPr>
              <w:t>2</w:t>
            </w:r>
            <w:r>
              <w:rPr>
                <w:rFonts w:hint="eastAsia" w:ascii="Times New Roman" w:hAnsi="Times New Roman" w:eastAsia="仿宋" w:cs="Times New Roman"/>
                <w:kern w:val="0"/>
                <w:sz w:val="24"/>
                <w:szCs w:val="24"/>
                <w:highlight w:val="none"/>
                <w:u w:val="none"/>
              </w:rPr>
              <w:t>月</w:t>
            </w:r>
          </w:p>
        </w:tc>
        <w:tc>
          <w:tcPr>
            <w:tcW w:w="4754" w:type="dxa"/>
            <w:vAlign w:val="center"/>
          </w:tcPr>
          <w:p>
            <w:pPr>
              <w:widowControl/>
              <w:numPr>
                <w:ilvl w:val="0"/>
                <w:numId w:val="1"/>
              </w:numPr>
              <w:spacing w:line="276" w:lineRule="auto"/>
              <w:jc w:val="left"/>
              <w:rPr>
                <w:rFonts w:hint="eastAsia" w:ascii="Times New Roman" w:hAnsi="Times New Roman" w:eastAsia="仿宋" w:cs="Times New Roman"/>
                <w:kern w:val="0"/>
                <w:sz w:val="24"/>
                <w:szCs w:val="24"/>
                <w:u w:val="none"/>
                <w:lang w:val="en-US" w:eastAsia="zh-CN"/>
              </w:rPr>
            </w:pPr>
            <w:r>
              <w:rPr>
                <w:rFonts w:hint="eastAsia" w:ascii="Times New Roman" w:hAnsi="Times New Roman" w:eastAsia="仿宋" w:cs="Times New Roman"/>
                <w:kern w:val="0"/>
                <w:sz w:val="24"/>
                <w:szCs w:val="24"/>
                <w:u w:val="none"/>
                <w:lang w:val="en-US" w:eastAsia="zh-CN"/>
              </w:rPr>
              <w:t>申请人须是依法登记注册的法人或其他组织，具有合法有效的营业执照、税务登记证及组织机构代码证或证照合一的营业执照或同性质证照；2.申请人主体资格和行为需符合国际公约和国家法律法规要求，产品需符合行业相关规范和标准要求；</w:t>
            </w:r>
          </w:p>
          <w:p>
            <w:pPr>
              <w:widowControl/>
              <w:numPr>
                <w:ilvl w:val="0"/>
                <w:numId w:val="1"/>
              </w:numPr>
              <w:spacing w:line="276" w:lineRule="auto"/>
              <w:ind w:left="0" w:leftChars="0" w:firstLine="0" w:firstLineChars="0"/>
              <w:jc w:val="left"/>
              <w:rPr>
                <w:rFonts w:hint="eastAsia" w:ascii="Times New Roman" w:hAnsi="Times New Roman" w:eastAsia="仿宋" w:cs="Times New Roman"/>
                <w:kern w:val="0"/>
                <w:sz w:val="24"/>
                <w:szCs w:val="24"/>
                <w:u w:val="single"/>
                <w:lang w:val="en-US" w:eastAsia="zh-CN"/>
              </w:rPr>
            </w:pPr>
            <w:r>
              <w:rPr>
                <w:rFonts w:hint="eastAsia" w:ascii="Times New Roman" w:hAnsi="Times New Roman" w:eastAsia="仿宋" w:cs="Times New Roman"/>
                <w:kern w:val="0"/>
                <w:sz w:val="24"/>
                <w:szCs w:val="24"/>
                <w:u w:val="single"/>
                <w:lang w:val="en-US" w:eastAsia="zh-CN"/>
              </w:rPr>
              <w:t>自2016年1月1日至投标截止日（以合同签订日期为准）投标人在中国境内具有1个离心泵泵头或离心泵</w:t>
            </w:r>
            <w:bookmarkStart w:id="1" w:name="_GoBack"/>
            <w:bookmarkEnd w:id="1"/>
            <w:r>
              <w:rPr>
                <w:rFonts w:hint="eastAsia" w:ascii="Times New Roman" w:hAnsi="Times New Roman" w:eastAsia="仿宋" w:cs="Times New Roman"/>
                <w:kern w:val="0"/>
                <w:sz w:val="24"/>
                <w:szCs w:val="24"/>
                <w:u w:val="single"/>
                <w:lang w:val="en-US" w:eastAsia="zh-CN"/>
              </w:rPr>
              <w:t>供货业绩，并提供业绩证明文件。</w:t>
            </w:r>
          </w:p>
          <w:p>
            <w:pPr>
              <w:widowControl/>
              <w:numPr>
                <w:ilvl w:val="0"/>
                <w:numId w:val="0"/>
              </w:numPr>
              <w:spacing w:line="276" w:lineRule="auto"/>
              <w:ind w:leftChars="0"/>
              <w:jc w:val="left"/>
              <w:rPr>
                <w:rFonts w:hint="eastAsia" w:ascii="Times New Roman" w:hAnsi="Times New Roman" w:eastAsia="仿宋" w:cs="Times New Roman"/>
                <w:kern w:val="0"/>
                <w:sz w:val="24"/>
                <w:szCs w:val="24"/>
                <w:u w:val="none"/>
                <w:lang w:val="en-US" w:eastAsia="zh-CN"/>
              </w:rPr>
            </w:pPr>
            <w:r>
              <w:rPr>
                <w:rFonts w:hint="eastAsia" w:ascii="Times New Roman" w:hAnsi="Times New Roman" w:eastAsia="仿宋" w:cs="Times New Roman"/>
                <w:kern w:val="0"/>
                <w:sz w:val="24"/>
                <w:szCs w:val="24"/>
                <w:u w:val="none"/>
                <w:lang w:val="en-US" w:eastAsia="zh-CN"/>
              </w:rPr>
              <w:t>业绩证明文件 包括但不限于：1）销售合同复印件（含相关技术附件）。投标人所提交的业绩证明文件必须至少体现以下内容：合同首页、合同签署时间、合同签署 页（应有双方盖章）、货物名称、数量、设备规格型号、技术要求及到货验收材料。如果合同内容本身不能涵盖上述信息或者无法提供到货验收证明材料的，需在投标文件中进一步提供其他支持材料的复印件（如图纸、用户证明或公开发行的信息等），以证明投标所提供的业绩满足本次招标的要求。未提交业绩证明文视为无效业绩。</w:t>
            </w:r>
          </w:p>
          <w:p>
            <w:pPr>
              <w:widowControl/>
              <w:numPr>
                <w:ilvl w:val="0"/>
                <w:numId w:val="1"/>
              </w:numPr>
              <w:spacing w:line="276" w:lineRule="auto"/>
              <w:ind w:left="0" w:leftChars="0" w:firstLine="0" w:firstLineChars="0"/>
              <w:jc w:val="left"/>
              <w:rPr>
                <w:rFonts w:hint="default" w:ascii="Times New Roman" w:hAnsi="Times New Roman" w:eastAsia="仿宋" w:cs="Times New Roman"/>
                <w:kern w:val="0"/>
                <w:sz w:val="24"/>
                <w:szCs w:val="24"/>
                <w:u w:val="none"/>
                <w:lang w:val="en-US" w:eastAsia="zh-CN"/>
              </w:rPr>
            </w:pPr>
            <w:r>
              <w:rPr>
                <w:rFonts w:hint="eastAsia" w:ascii="Times New Roman" w:hAnsi="Times New Roman" w:eastAsia="仿宋" w:cs="Times New Roman"/>
                <w:kern w:val="0"/>
                <w:sz w:val="24"/>
                <w:szCs w:val="24"/>
                <w:u w:val="none"/>
                <w:lang w:val="en-US" w:eastAsia="zh-CN"/>
              </w:rPr>
              <w:t>本项目为改造项目，除泵头以外的系统需要利旧，投标人提供的泵头要适配原系统，并满足泵各项性能参数。</w:t>
            </w:r>
          </w:p>
        </w:tc>
        <w:tc>
          <w:tcPr>
            <w:tcW w:w="378" w:type="dxa"/>
            <w:vAlign w:val="center"/>
          </w:tcPr>
          <w:p>
            <w:pPr>
              <w:rPr>
                <w:rFonts w:ascii="Times New Roman" w:hAnsi="Times New Roman" w:eastAsia="仿宋" w:cs="Times New Roman"/>
                <w:kern w:val="0"/>
                <w:sz w:val="24"/>
                <w:szCs w:val="24"/>
                <w:u w:val="single"/>
              </w:rPr>
            </w:pPr>
          </w:p>
        </w:tc>
      </w:tr>
    </w:tbl>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本次公开的采办计划是本项目采办工作的初步安排，实际采购应以相关采购公告和采购文件为准，所有提供和反馈的信息只作为项目采办参考。</w:t>
      </w:r>
    </w:p>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本次公告有效期是</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2</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日）至（</w:t>
      </w:r>
      <w:r>
        <w:rPr>
          <w:rFonts w:hint="eastAsia"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2</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12</w:t>
      </w:r>
      <w:r>
        <w:rPr>
          <w:rFonts w:ascii="Times New Roman" w:hAnsi="Times New Roman" w:eastAsia="仿宋_GB2312" w:cs="Times New Roman"/>
          <w:sz w:val="32"/>
          <w:szCs w:val="32"/>
          <w:highlight w:val="none"/>
        </w:rPr>
        <w:t>日）止。在此期间，有意参与某采办包的系统用户可</w:t>
      </w:r>
      <w:r>
        <w:rPr>
          <w:rFonts w:ascii="Times New Roman" w:hAnsi="Times New Roman" w:eastAsia="仿宋_GB2312" w:cs="Times New Roman"/>
          <w:sz w:val="32"/>
          <w:szCs w:val="32"/>
        </w:rPr>
        <w:t>在集团公司采办系统中提交反馈材料。</w:t>
      </w:r>
    </w:p>
    <w:p>
      <w:pPr>
        <w:tabs>
          <w:tab w:val="left" w:pos="993"/>
          <w:tab w:val="left" w:pos="1134"/>
          <w:tab w:val="left" w:pos="1418"/>
        </w:tabs>
        <w:spacing w:line="560" w:lineRule="exact"/>
        <w:ind w:firstLine="9920" w:firstLineChars="3100"/>
        <w:rPr>
          <w:rFonts w:ascii="Times New Roman" w:hAnsi="Times New Roman" w:eastAsia="仿宋_GB2312" w:cs="Times New Roman"/>
          <w:sz w:val="32"/>
          <w:szCs w:val="32"/>
        </w:rPr>
      </w:pPr>
      <w:r>
        <w:rPr>
          <w:rFonts w:ascii="Times New Roman" w:hAnsi="Times New Roman" w:eastAsia="仿宋_GB2312" w:cs="Times New Roman"/>
          <w:sz w:val="32"/>
          <w:szCs w:val="32"/>
        </w:rPr>
        <w:t>中海石油炼化有限责任公司</w:t>
      </w:r>
    </w:p>
    <w:p>
      <w:pPr>
        <w:tabs>
          <w:tab w:val="left" w:pos="993"/>
          <w:tab w:val="left" w:pos="1134"/>
          <w:tab w:val="left" w:pos="1418"/>
        </w:tabs>
        <w:spacing w:line="600" w:lineRule="exact"/>
        <w:ind w:right="480" w:firstLine="960" w:firstLineChars="300"/>
        <w:jc w:val="right"/>
        <w:rPr>
          <w:rFonts w:ascii="Times New Roman" w:hAnsi="Times New Roman" w:eastAsia="仿宋_GB2312" w:cs="Times New Roman"/>
          <w:b/>
          <w:sz w:val="32"/>
          <w:szCs w:val="32"/>
          <w:highlight w:val="none"/>
        </w:rPr>
      </w:pPr>
      <w:r>
        <w:rPr>
          <w:rFonts w:hint="eastAsia"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2</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 xml:space="preserve">日 </w:t>
      </w:r>
      <w:bookmarkEnd w:id="0"/>
      <w:r>
        <w:rPr>
          <w:rFonts w:ascii="Times New Roman" w:hAnsi="Times New Roman" w:eastAsia="仿宋_GB2312" w:cs="Times New Roman"/>
          <w:sz w:val="32"/>
          <w:szCs w:val="32"/>
          <w:highlight w:val="none"/>
        </w:rPr>
        <w:t xml:space="preserve"> </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7F1A15"/>
    <w:multiLevelType w:val="singleLevel"/>
    <w:tmpl w:val="F27F1A1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C300A"/>
    <w:rsid w:val="00172A27"/>
    <w:rsid w:val="002200C3"/>
    <w:rsid w:val="002E3C4A"/>
    <w:rsid w:val="004029A6"/>
    <w:rsid w:val="00AE20AB"/>
    <w:rsid w:val="00B54240"/>
    <w:rsid w:val="00B97A0B"/>
    <w:rsid w:val="00ED277A"/>
    <w:rsid w:val="00FB3E46"/>
    <w:rsid w:val="01DE13A4"/>
    <w:rsid w:val="072811CD"/>
    <w:rsid w:val="0EBD6212"/>
    <w:rsid w:val="1C3102C9"/>
    <w:rsid w:val="1CDD4E0F"/>
    <w:rsid w:val="1EBB6F64"/>
    <w:rsid w:val="2007216C"/>
    <w:rsid w:val="21822DE0"/>
    <w:rsid w:val="223A0879"/>
    <w:rsid w:val="229521F2"/>
    <w:rsid w:val="261E64BB"/>
    <w:rsid w:val="27804028"/>
    <w:rsid w:val="28723906"/>
    <w:rsid w:val="2C956FD3"/>
    <w:rsid w:val="31FB20CD"/>
    <w:rsid w:val="354B174C"/>
    <w:rsid w:val="37754125"/>
    <w:rsid w:val="419A6C65"/>
    <w:rsid w:val="43B31092"/>
    <w:rsid w:val="440D42BE"/>
    <w:rsid w:val="46FB402C"/>
    <w:rsid w:val="48136143"/>
    <w:rsid w:val="48FC3477"/>
    <w:rsid w:val="4A225112"/>
    <w:rsid w:val="4D215D90"/>
    <w:rsid w:val="4F0E51CA"/>
    <w:rsid w:val="521A1498"/>
    <w:rsid w:val="58423495"/>
    <w:rsid w:val="596F60E4"/>
    <w:rsid w:val="5D580EA8"/>
    <w:rsid w:val="5EF95C9A"/>
    <w:rsid w:val="61C04F51"/>
    <w:rsid w:val="68771769"/>
    <w:rsid w:val="6A37729E"/>
    <w:rsid w:val="6D7F5F6F"/>
    <w:rsid w:val="6DE24B79"/>
    <w:rsid w:val="6DE923D3"/>
    <w:rsid w:val="6EDA018B"/>
    <w:rsid w:val="71E252A2"/>
    <w:rsid w:val="75355831"/>
    <w:rsid w:val="77A8734A"/>
    <w:rsid w:val="7AB26687"/>
    <w:rsid w:val="7D6A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1"/>
    <w:unhideWhenUsed/>
    <w:qFormat/>
    <w:uiPriority w:val="99"/>
    <w:pPr>
      <w:tabs>
        <w:tab w:val="center" w:pos="4153"/>
        <w:tab w:val="right" w:pos="8306"/>
      </w:tabs>
      <w:snapToGrid w:val="0"/>
      <w:jc w:val="left"/>
    </w:pPr>
    <w:rPr>
      <w:sz w:val="18"/>
      <w:szCs w:val="18"/>
    </w:rPr>
  </w:style>
  <w:style w:type="paragraph" w:styleId="3">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jc w:val="left"/>
    </w:pPr>
    <w:rPr>
      <w:rFonts w:cs="Times New Roman"/>
      <w:kern w:val="0"/>
      <w:sz w:val="24"/>
    </w:rPr>
  </w:style>
  <w:style w:type="table" w:styleId="6">
    <w:name w:val="Table Grid"/>
    <w:basedOn w:val="5"/>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style>
  <w:style w:type="character" w:styleId="9">
    <w:name w:val="FollowedHyperlink"/>
    <w:basedOn w:val="7"/>
    <w:semiHidden/>
    <w:unhideWhenUsed/>
    <w:qFormat/>
    <w:uiPriority w:val="99"/>
    <w:rPr>
      <w:color w:val="333333"/>
      <w:u w:val="none"/>
    </w:rPr>
  </w:style>
  <w:style w:type="character" w:styleId="10">
    <w:name w:val="Emphasis"/>
    <w:basedOn w:val="7"/>
    <w:qFormat/>
    <w:uiPriority w:val="20"/>
  </w:style>
  <w:style w:type="character" w:styleId="11">
    <w:name w:val="HTML Definition"/>
    <w:basedOn w:val="7"/>
    <w:semiHidden/>
    <w:unhideWhenUsed/>
    <w:qFormat/>
    <w:uiPriority w:val="99"/>
  </w:style>
  <w:style w:type="character" w:styleId="12">
    <w:name w:val="HTML Typewriter"/>
    <w:basedOn w:val="7"/>
    <w:semiHidden/>
    <w:unhideWhenUsed/>
    <w:qFormat/>
    <w:uiPriority w:val="99"/>
    <w:rPr>
      <w:rFonts w:hint="default" w:ascii="monospace" w:hAnsi="monospace" w:eastAsia="monospace" w:cs="monospace"/>
      <w:sz w:val="20"/>
    </w:rPr>
  </w:style>
  <w:style w:type="character" w:styleId="13">
    <w:name w:val="HTML Acronym"/>
    <w:basedOn w:val="7"/>
    <w:semiHidden/>
    <w:unhideWhenUsed/>
    <w:qFormat/>
    <w:uiPriority w:val="99"/>
  </w:style>
  <w:style w:type="character" w:styleId="14">
    <w:name w:val="HTML Variable"/>
    <w:basedOn w:val="7"/>
    <w:semiHidden/>
    <w:unhideWhenUsed/>
    <w:qFormat/>
    <w:uiPriority w:val="99"/>
  </w:style>
  <w:style w:type="character" w:styleId="15">
    <w:name w:val="Hyperlink"/>
    <w:basedOn w:val="7"/>
    <w:semiHidden/>
    <w:unhideWhenUsed/>
    <w:qFormat/>
    <w:uiPriority w:val="99"/>
    <w:rPr>
      <w:color w:val="333333"/>
      <w:u w:val="none"/>
    </w:rPr>
  </w:style>
  <w:style w:type="character" w:styleId="16">
    <w:name w:val="HTML Code"/>
    <w:basedOn w:val="7"/>
    <w:semiHidden/>
    <w:unhideWhenUsed/>
    <w:qFormat/>
    <w:uiPriority w:val="99"/>
    <w:rPr>
      <w:rFonts w:hint="default" w:ascii="monospace" w:hAnsi="monospace" w:eastAsia="monospace" w:cs="monospace"/>
      <w:sz w:val="20"/>
    </w:rPr>
  </w:style>
  <w:style w:type="character" w:styleId="17">
    <w:name w:val="HTML Cite"/>
    <w:basedOn w:val="7"/>
    <w:semiHidden/>
    <w:unhideWhenUsed/>
    <w:qFormat/>
    <w:uiPriority w:val="99"/>
  </w:style>
  <w:style w:type="character" w:styleId="18">
    <w:name w:val="HTML Keyboard"/>
    <w:basedOn w:val="7"/>
    <w:semiHidden/>
    <w:unhideWhenUsed/>
    <w:qFormat/>
    <w:uiPriority w:val="99"/>
    <w:rPr>
      <w:rFonts w:hint="default" w:ascii="monospace" w:hAnsi="monospace" w:eastAsia="monospace" w:cs="monospace"/>
      <w:sz w:val="20"/>
    </w:rPr>
  </w:style>
  <w:style w:type="character" w:styleId="19">
    <w:name w:val="HTML Sample"/>
    <w:basedOn w:val="7"/>
    <w:semiHidden/>
    <w:unhideWhenUsed/>
    <w:qFormat/>
    <w:uiPriority w:val="99"/>
    <w:rPr>
      <w:rFonts w:ascii="monospace" w:hAnsi="monospace" w:eastAsia="monospace" w:cs="monospace"/>
    </w:rPr>
  </w:style>
  <w:style w:type="character" w:customStyle="1" w:styleId="20">
    <w:name w:val="页眉 字符"/>
    <w:basedOn w:val="7"/>
    <w:link w:val="3"/>
    <w:qFormat/>
    <w:uiPriority w:val="99"/>
    <w:rPr>
      <w:sz w:val="18"/>
      <w:szCs w:val="18"/>
    </w:rPr>
  </w:style>
  <w:style w:type="character" w:customStyle="1" w:styleId="21">
    <w:name w:val="页脚 字符"/>
    <w:basedOn w:val="7"/>
    <w:link w:val="2"/>
    <w:qFormat/>
    <w:uiPriority w:val="99"/>
    <w:rPr>
      <w:sz w:val="18"/>
      <w:szCs w:val="18"/>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HZSH</Company>
  <Pages>2</Pages>
  <Words>249</Words>
  <Characters>278</Characters>
  <Lines>34</Lines>
  <Paragraphs>21</Paragraphs>
  <TotalTime>14</TotalTime>
  <ScaleCrop>false</ScaleCrop>
  <LinksUpToDate>false</LinksUpToDate>
  <CharactersWithSpaces>506</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2021-04-29T03:47:00Z</dcterms:created>
  <dc:creator>季云峰/采办项目组/集团公司机关</dc:creator>
  <cp:lastModifiedBy>洪杏菊</cp:lastModifiedBy>
  <cp:lastPrinted>2022-07-01T03:09:00Z</cp:lastPrinted>
  <dcterms:modified xsi:type="dcterms:W3CDTF">2026-02-06T02:30:10Z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14221C7A38CF4381B747910F43E33E16</vt:lpwstr>
  </property>
</Properties>
</file>