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38D3D">
      <w:pPr>
        <w:keepNext w:val="0"/>
        <w:keepLines w:val="0"/>
        <w:widowControl/>
        <w:suppressLineNumbers w:val="0"/>
        <w:snapToGrid w:val="0"/>
        <w:jc w:val="center"/>
        <w:rPr>
          <w:rStyle w:val="5"/>
          <w:rFonts w:hint="default" w:ascii="var(--dsw-font-markdown-table-h" w:hAnsi="var(--dsw-font-markdown-table-h" w:eastAsia="var(--dsw-font-markdown-table-h" w:cs="var(--dsw-font-markdown-table-h"/>
          <w:b/>
          <w:bCs/>
          <w:i w:val="0"/>
          <w:iCs w:val="0"/>
          <w:caps w:val="0"/>
          <w:color w:val="0F1115"/>
          <w:spacing w:val="0"/>
          <w:kern w:val="0"/>
          <w:sz w:val="28"/>
          <w:szCs w:val="28"/>
          <w:lang w:val="en-US" w:eastAsia="zh-CN" w:bidi="ar"/>
        </w:rPr>
      </w:pPr>
      <w:r>
        <w:rPr>
          <w:rStyle w:val="5"/>
          <w:rFonts w:hint="default" w:ascii="var(--dsw-font-markdown-table-h" w:hAnsi="var(--dsw-font-markdown-table-h" w:eastAsia="var(--dsw-font-markdown-table-h" w:cs="var(--dsw-font-markdown-table-h"/>
          <w:b/>
          <w:bCs/>
          <w:i w:val="0"/>
          <w:iCs w:val="0"/>
          <w:caps w:val="0"/>
          <w:color w:val="0F1115"/>
          <w:spacing w:val="0"/>
          <w:kern w:val="0"/>
          <w:sz w:val="28"/>
          <w:szCs w:val="28"/>
          <w:lang w:val="en-US" w:eastAsia="zh-CN" w:bidi="ar"/>
        </w:rPr>
        <w:t>储血冰箱技术参数</w:t>
      </w:r>
    </w:p>
    <w:tbl>
      <w:tblPr>
        <w:tblStyle w:val="3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64" w:type="dxa"/>
          <w:left w:w="128" w:type="dxa"/>
          <w:bottom w:w="64" w:type="dxa"/>
          <w:right w:w="128" w:type="dxa"/>
        </w:tblCellMar>
      </w:tblPr>
      <w:tblGrid>
        <w:gridCol w:w="892"/>
        <w:gridCol w:w="7630"/>
      </w:tblGrid>
      <w:tr w14:paraId="77A9D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620" w:hRule="atLeast"/>
          <w:tblHeader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DF79A27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var(--dsw-font-markdown-table-h" w:hAnsi="var(--dsw-font-markdown-table-h" w:eastAsia="var(--dsw-font-markdown-table-h" w:cs="var(--dsw-font-markdown-table-h"/>
                <w:b/>
                <w:bCs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-h" w:hAnsi="var(--dsw-font-markdown-table-h" w:eastAsia="var(--dsw-font-markdown-table-h" w:cs="var(--dsw-font-markdown-table-h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参数类别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3686B02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-h" w:hAnsi="var(--dsw-font-markdown-table-h" w:eastAsia="var(--dsw-font-markdown-table-h" w:cs="var(--dsw-font-markdown-table-h"/>
                <w:b/>
                <w:bCs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-h" w:hAnsi="var(--dsw-font-markdown-table-h" w:eastAsia="var(--dsw-font-markdown-table-h" w:cs="var(--dsw-font-markdown-table-h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具体要求</w:t>
            </w:r>
          </w:p>
        </w:tc>
      </w:tr>
      <w:tr w14:paraId="5BDC6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8DEE12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基本要求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7EA0D1C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产品用途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：用于医院血库储存血液（全血）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var(--dsw-font-markdown-table)" w:cs="Calibri"/>
                <w:i w:val="0"/>
                <w:iCs w:val="0"/>
                <w:caps w:val="0"/>
                <w:color w:val="0F1115"/>
                <w:spacing w:val="0"/>
                <w:kern w:val="0"/>
                <w:sz w:val="32"/>
                <w:szCs w:val="32"/>
                <w:lang w:val="en-US" w:eastAsia="zh-CN" w:bidi="ar"/>
              </w:rPr>
              <w:t>*</w:t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有效容积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≥ 300L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（提供技术白皮书或产品说明书）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温度范围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2℃~6℃</w:t>
            </w:r>
          </w:p>
        </w:tc>
      </w:tr>
      <w:tr w14:paraId="5E17E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BF1CDF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温控性能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18575A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控制精度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：箱内温度恒定在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 4±1℃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温度显示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：数字显示，分辨率至少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0.1℃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，能显示上下限温度和平均温度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温度传感器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：配备不少于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个高精度数字传感器，确保箱内温度均匀性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记录功能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：可选配独立温度记录系统，能记录、打印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定义时间段数据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或导出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定义时间段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温度数据</w:t>
            </w:r>
          </w:p>
        </w:tc>
      </w:tr>
      <w:tr w14:paraId="7BDFC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71C949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制冷系统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1EC97F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Fonts w:hint="default" w:ascii="Calibri" w:hAnsi="Calibri" w:eastAsia="var(--dsw-font-markdown-table)" w:cs="Calibri"/>
                <w:i w:val="0"/>
                <w:iCs w:val="0"/>
                <w:caps w:val="0"/>
                <w:color w:val="0F1115"/>
                <w:spacing w:val="0"/>
                <w:kern w:val="0"/>
                <w:sz w:val="32"/>
                <w:szCs w:val="32"/>
                <w:lang w:val="en-US" w:eastAsia="zh-CN" w:bidi="ar"/>
              </w:rPr>
              <w:t>*</w:t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冷却方式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：风冷设计，确保箱内温度均匀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（提供技术白皮书或产品说明书）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制冷剂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：环保型制冷剂</w:t>
            </w:r>
          </w:p>
        </w:tc>
      </w:tr>
      <w:tr w14:paraId="674F9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0C79853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安全功能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55A0ED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报警系统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：必须具备声光报警，并支持远程报警功能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报警类型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：至少包括高温/低温报警、断电报警、传感器故障报警、开门报警、后备电池低电量报警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断电保护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：内置蓄电池，断电后可持续显示温度和报警至少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72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小时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机械安全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：配备机械温控器或安全运行模式，在主控系统故障时能直接控制压缩机，防止温度失控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门锁设计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：具备安全门锁</w:t>
            </w:r>
          </w:p>
        </w:tc>
      </w:tr>
      <w:tr w14:paraId="157DB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70C5602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结构与材质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B522E6D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内胆材料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：优质不锈钢，防腐抑菌，易于清洁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。自动化霜，强制除霜。</w:t>
            </w:r>
          </w:p>
          <w:p w14:paraId="02C56526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门体设计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：大视角双层电加热玻璃门，防凝露。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配备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透明塑料内门，减少开门冷量散失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- </w:t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搁架与血筐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：配备可移动式搁架和浸塑钢丝存血筐，便于血液分类存放。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标配≥5个浸塑搁架，带标签条；标配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≥15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个浸塑血袋框，可放置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≥195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袋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400ml</w:t>
            </w:r>
            <w:r>
              <w:rPr>
                <w:rFonts w:hint="eastAsia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标准血袋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移动性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：底部配备万向脚轮，便于移动，部分带锁定功能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测试孔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：箱体预留温度测定孔，方便第三方检测</w:t>
            </w:r>
          </w:p>
        </w:tc>
      </w:tr>
      <w:tr w14:paraId="4F4CF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89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405B8A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资质与售后</w:t>
            </w:r>
          </w:p>
        </w:tc>
        <w:tc>
          <w:tcPr>
            <w:tcW w:w="76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A47E72D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产品资质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：投标产品必须提供有效的医疗器械注册证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制造商资质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：制造商需具备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ISO9001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质量管理体系认证和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ISO13485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医疗器械质量管理体系认证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var(--dsw-font-markdown-table)" w:hAnsi="var(--dsw-font-markdown-table)" w:eastAsia="var(--dsw-font-markdown-table)" w:cs="var(--dsw-font-markdown-table)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售后服务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：原厂安装。整机质保不少于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年，故障响应时间不超过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小时，上门服务时间不超过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48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小时，非人为故障能在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1"/>
                <w:szCs w:val="21"/>
                <w:lang w:val="en-US" w:eastAsia="zh-CN" w:bidi="ar"/>
              </w:rPr>
              <w:t>小时内整机更换或维修</w:t>
            </w:r>
          </w:p>
        </w:tc>
      </w:tr>
    </w:tbl>
    <w:p w14:paraId="36AA40F8"/>
    <w:p w14:paraId="404E050D"/>
    <w:p w14:paraId="00CCC021"/>
    <w:p w14:paraId="609A3A1F"/>
    <w:p w14:paraId="1BC8865D"/>
    <w:p w14:paraId="11079ADF">
      <w:bookmarkStart w:id="0" w:name="_GoBack"/>
      <w:bookmarkEnd w:id="0"/>
    </w:p>
    <w:p w14:paraId="0EA93717"/>
    <w:p w14:paraId="72DD0F22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ar(--dsw-font-markdown-table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ar(--dsw-font-markdown-table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54AA1"/>
    <w:rsid w:val="07843CDE"/>
    <w:rsid w:val="099F1469"/>
    <w:rsid w:val="0AFB3ED3"/>
    <w:rsid w:val="1F37211F"/>
    <w:rsid w:val="28994C32"/>
    <w:rsid w:val="346327CA"/>
    <w:rsid w:val="53892C78"/>
    <w:rsid w:val="541224FD"/>
    <w:rsid w:val="548D5DF0"/>
    <w:rsid w:val="5A6E3D52"/>
    <w:rsid w:val="5B495558"/>
    <w:rsid w:val="5F1636E4"/>
    <w:rsid w:val="6BC54B80"/>
    <w:rsid w:val="6D7F7444"/>
    <w:rsid w:val="7C18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996</Words>
  <Characters>1073</Characters>
  <Lines>0</Lines>
  <Paragraphs>0</Paragraphs>
  <TotalTime>0</TotalTime>
  <ScaleCrop>false</ScaleCrop>
  <LinksUpToDate>false</LinksUpToDate>
  <CharactersWithSpaces>1079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2025-11-19T08:28:00Z</dcterms:created>
  <dc:creator>lintao5h</dc:creator>
  <cp:lastModifiedBy>闻忆彰</cp:lastModifiedBy>
  <cp:lastPrinted>2026-01-27T07:10:53Z</cp:lastPrinted>
  <dcterms:modified xsi:type="dcterms:W3CDTF">2026-01-27T07:10:57Z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eyJoZGlkIjoiM2NiMGNiNzY2OGFmYmViY2M3MjRkZjIyYzBmMTU1Y2QiLCJ1c2VySWQiOiI2Njg2MjgwMTUifQ==</vt:lpwstr>
  </property>
  <property fmtid="{D5CDD505-2E9C-101B-9397-08002B2CF9AE}" pid="4" name="ICV">
    <vt:lpwstr>369126B45E0045349005F3BE547B0AB2_12</vt:lpwstr>
  </property>
</Properties>
</file>