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2201E05">
      <w:pPr>
        <w:rPr>
          <w:rFonts w:hint="eastAsia" w:ascii="宋体" w:hAnsi="宋体" w:eastAsia="宋体" w:cs="宋体"/>
          <w:color w:val="auto"/>
          <w:highlight w:val="none"/>
        </w:rPr>
      </w:pPr>
    </w:p>
    <w:p w14:paraId="0DF76BBF">
      <w:pPr>
        <w:pStyle w:val="2"/>
        <w:jc w:val="center"/>
        <w:rPr>
          <w:rFonts w:hint="eastAsia" w:ascii="宋体" w:hAnsi="宋体" w:eastAsia="宋体" w:cs="宋体"/>
          <w:color w:val="auto"/>
          <w:highlight w:val="none"/>
        </w:rPr>
      </w:pPr>
      <w:r>
        <w:rPr>
          <w:rFonts w:hint="eastAsia" w:ascii="宋体" w:hAnsi="宋体" w:eastAsia="宋体" w:cs="宋体"/>
          <w:color w:val="auto"/>
          <w:highlight w:val="none"/>
        </w:rPr>
        <w:drawing>
          <wp:anchor distT="0" distB="0" distL="0" distR="0" simplePos="0" relativeHeight="251659264" behindDoc="1" locked="0" layoutInCell="1" allowOverlap="1">
            <wp:simplePos x="0" y="0"/>
            <wp:positionH relativeFrom="column">
              <wp:posOffset>4445</wp:posOffset>
            </wp:positionH>
            <wp:positionV relativeFrom="paragraph">
              <wp:posOffset>129540</wp:posOffset>
            </wp:positionV>
            <wp:extent cx="5488940" cy="2279015"/>
            <wp:effectExtent l="0" t="0" r="0" b="6985"/>
            <wp:wrapTight wrapText="bothSides">
              <wp:wrapPolygon>
                <wp:start x="7946" y="0"/>
                <wp:lineTo x="7696" y="602"/>
                <wp:lineTo x="7596" y="1204"/>
                <wp:lineTo x="7596" y="12879"/>
                <wp:lineTo x="8546" y="13481"/>
                <wp:lineTo x="10795" y="13481"/>
                <wp:lineTo x="0" y="15889"/>
                <wp:lineTo x="0" y="17333"/>
                <wp:lineTo x="10795" y="17333"/>
                <wp:lineTo x="7696" y="18296"/>
                <wp:lineTo x="7197" y="18537"/>
                <wp:lineTo x="7047" y="19740"/>
                <wp:lineTo x="6947" y="21305"/>
                <wp:lineTo x="7097" y="21425"/>
                <wp:lineTo x="7497" y="21425"/>
                <wp:lineTo x="13644" y="21425"/>
                <wp:lineTo x="14493" y="21425"/>
                <wp:lineTo x="14743" y="21305"/>
                <wp:lineTo x="14693" y="18657"/>
                <wp:lineTo x="14293" y="18416"/>
                <wp:lineTo x="10795" y="17333"/>
                <wp:lineTo x="21540" y="17333"/>
                <wp:lineTo x="21540" y="15889"/>
                <wp:lineTo x="17892" y="15166"/>
                <wp:lineTo x="16143" y="14685"/>
                <wp:lineTo x="10795" y="13481"/>
                <wp:lineTo x="12944" y="13481"/>
                <wp:lineTo x="13994" y="12879"/>
                <wp:lineTo x="13994" y="1444"/>
                <wp:lineTo x="13844" y="602"/>
                <wp:lineTo x="13594" y="0"/>
                <wp:lineTo x="7946" y="0"/>
              </wp:wrapPolygon>
            </wp:wrapTight>
            <wp:docPr id="5" name="图片 0" descr="永安A4封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永安A4封面.png"/>
                    <pic:cNvPicPr>
                      <a:picLocks noChangeAspect="1"/>
                    </pic:cNvPicPr>
                  </pic:nvPicPr>
                  <pic:blipFill>
                    <a:blip r:embed="rId26" cstate="print"/>
                    <a:stretch>
                      <a:fillRect/>
                    </a:stretch>
                  </pic:blipFill>
                  <pic:spPr>
                    <a:xfrm>
                      <a:off x="0" y="0"/>
                      <a:ext cx="5488940" cy="2279015"/>
                    </a:xfrm>
                    <a:prstGeom prst="rect">
                      <a:avLst/>
                    </a:prstGeom>
                  </pic:spPr>
                </pic:pic>
              </a:graphicData>
            </a:graphic>
          </wp:anchor>
        </w:drawing>
      </w:r>
    </w:p>
    <w:p w14:paraId="3DADF2A1">
      <w:pPr>
        <w:pStyle w:val="2"/>
        <w:jc w:val="center"/>
        <w:rPr>
          <w:rFonts w:hint="eastAsia" w:ascii="宋体" w:hAnsi="宋体" w:eastAsia="宋体" w:cs="宋体"/>
          <w:color w:val="auto"/>
          <w:highlight w:val="none"/>
        </w:rPr>
      </w:pPr>
    </w:p>
    <w:p w14:paraId="010DBE0F">
      <w:pPr>
        <w:pStyle w:val="2"/>
        <w:jc w:val="center"/>
        <w:rPr>
          <w:rFonts w:hint="eastAsia" w:ascii="宋体" w:hAnsi="宋体" w:eastAsia="宋体" w:cs="宋体"/>
          <w:color w:val="auto"/>
          <w:highlight w:val="none"/>
        </w:rPr>
      </w:pPr>
    </w:p>
    <w:p w14:paraId="5A7F7F4F">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924"/>
        <w:jc w:val="both"/>
        <w:rPr>
          <w:rFonts w:hint="eastAsia" w:ascii="宋体" w:hAnsi="宋体" w:eastAsia="宋体" w:cs="宋体"/>
          <w:b/>
          <w:color w:val="auto"/>
          <w:kern w:val="0"/>
          <w:sz w:val="84"/>
          <w:szCs w:val="84"/>
          <w:highlight w:val="none"/>
          <w:lang w:val="en-US" w:eastAsia="zh-CN"/>
        </w:rPr>
      </w:pPr>
      <w:r>
        <w:rPr>
          <w:rFonts w:hint="eastAsia" w:ascii="宋体" w:hAnsi="宋体" w:eastAsia="宋体" w:cs="宋体"/>
          <w:b/>
          <w:color w:val="auto"/>
          <w:kern w:val="0"/>
          <w:sz w:val="84"/>
          <w:szCs w:val="84"/>
          <w:highlight w:val="none"/>
          <w:lang w:val="en-US" w:eastAsia="zh-CN"/>
        </w:rPr>
        <w:t xml:space="preserve"> </w:t>
      </w:r>
    </w:p>
    <w:p w14:paraId="36EF7B8E">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924"/>
        <w:jc w:val="both"/>
        <w:rPr>
          <w:rFonts w:hint="eastAsia" w:ascii="宋体" w:hAnsi="宋体" w:eastAsia="宋体" w:cs="宋体"/>
          <w:b/>
          <w:color w:val="auto"/>
          <w:kern w:val="0"/>
          <w:sz w:val="72"/>
          <w:szCs w:val="72"/>
          <w:highlight w:val="none"/>
        </w:rPr>
      </w:pPr>
    </w:p>
    <w:p w14:paraId="2DB1A550">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924"/>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lang w:val="en-US" w:eastAsia="zh-CN"/>
        </w:rPr>
        <w:t xml:space="preserve"> </w:t>
      </w:r>
    </w:p>
    <w:p w14:paraId="0D4B4B50">
      <w:pPr>
        <w:tabs>
          <w:tab w:val="left" w:pos="720"/>
          <w:tab w:val="left" w:pos="2160"/>
          <w:tab w:val="left" w:pos="2880"/>
          <w:tab w:val="left" w:pos="3600"/>
          <w:tab w:val="left" w:pos="4320"/>
          <w:tab w:val="left" w:pos="5040"/>
          <w:tab w:val="left" w:pos="5760"/>
        </w:tabs>
        <w:autoSpaceDE w:val="0"/>
        <w:autoSpaceDN w:val="0"/>
        <w:adjustRightInd w:val="0"/>
        <w:spacing w:line="360" w:lineRule="auto"/>
        <w:ind w:right="924"/>
        <w:jc w:val="center"/>
        <w:rPr>
          <w:rFonts w:hint="eastAsia" w:ascii="宋体" w:hAnsi="宋体" w:eastAsia="宋体" w:cs="宋体"/>
          <w:b/>
          <w:color w:val="auto"/>
          <w:kern w:val="0"/>
          <w:sz w:val="72"/>
          <w:szCs w:val="72"/>
          <w:highlight w:val="none"/>
          <w:lang w:val="en-US" w:eastAsia="zh-CN"/>
        </w:rPr>
      </w:pPr>
      <w:r>
        <w:rPr>
          <w:rFonts w:hint="eastAsia" w:ascii="宋体" w:hAnsi="宋体" w:eastAsia="宋体" w:cs="宋体"/>
          <w:b/>
          <w:color w:val="auto"/>
          <w:kern w:val="0"/>
          <w:sz w:val="72"/>
          <w:szCs w:val="72"/>
          <w:highlight w:val="none"/>
          <w:lang w:val="en-US" w:eastAsia="zh-CN"/>
        </w:rPr>
        <w:t xml:space="preserve">   </w:t>
      </w:r>
      <w:r>
        <w:rPr>
          <w:rFonts w:hint="eastAsia" w:ascii="宋体" w:hAnsi="宋体" w:eastAsia="宋体" w:cs="宋体"/>
          <w:b/>
          <w:color w:val="auto"/>
          <w:kern w:val="0"/>
          <w:sz w:val="72"/>
          <w:szCs w:val="72"/>
          <w:highlight w:val="none"/>
          <w:lang w:val="en-US" w:eastAsia="zh-CN"/>
        </w:rPr>
        <w:t>竞争性磋商</w:t>
      </w:r>
      <w:r>
        <w:rPr>
          <w:rFonts w:hint="eastAsia" w:ascii="宋体" w:hAnsi="宋体" w:eastAsia="宋体" w:cs="宋体"/>
          <w:b/>
          <w:color w:val="auto"/>
          <w:kern w:val="0"/>
          <w:sz w:val="72"/>
          <w:szCs w:val="72"/>
          <w:highlight w:val="none"/>
          <w:lang w:eastAsia="zh-CN"/>
        </w:rPr>
        <w:t>文件</w:t>
      </w:r>
    </w:p>
    <w:p w14:paraId="25DBE0F0">
      <w:pPr>
        <w:spacing w:line="360" w:lineRule="auto"/>
        <w:jc w:val="center"/>
        <w:rPr>
          <w:rFonts w:hint="eastAsia" w:ascii="宋体" w:hAnsi="宋体" w:eastAsia="宋体" w:cs="宋体"/>
          <w:b/>
          <w:color w:val="auto"/>
          <w:kern w:val="0"/>
          <w:sz w:val="28"/>
          <w:szCs w:val="28"/>
          <w:highlight w:val="none"/>
          <w:lang w:val="en-US" w:eastAsia="zh-CN"/>
        </w:rPr>
      </w:pPr>
      <w:r>
        <w:rPr>
          <w:rFonts w:hint="eastAsia" w:ascii="宋体" w:hAnsi="宋体" w:eastAsia="宋体" w:cs="宋体"/>
          <w:color w:val="auto"/>
          <w:kern w:val="0"/>
          <w:sz w:val="28"/>
          <w:szCs w:val="28"/>
          <w:highlight w:val="none"/>
        </w:rPr>
        <w:t>项目编号：</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tzya2025-lq75</w:t>
      </w:r>
      <w:r>
        <w:rPr>
          <w:rFonts w:hint="eastAsia" w:ascii="宋体" w:hAnsi="宋体" w:eastAsia="宋体" w:cs="宋体"/>
          <w:color w:val="auto"/>
          <w:kern w:val="0"/>
          <w:sz w:val="28"/>
          <w:szCs w:val="28"/>
          <w:highlight w:val="none"/>
          <w:u w:val="single"/>
          <w:lang w:val="en-US" w:eastAsia="zh-CN"/>
        </w:rPr>
        <w:t xml:space="preserve"> </w:t>
      </w:r>
    </w:p>
    <w:p w14:paraId="6E4A2898">
      <w:pPr>
        <w:pStyle w:val="2"/>
        <w:jc w:val="center"/>
        <w:rPr>
          <w:rFonts w:hint="eastAsia" w:ascii="宋体" w:hAnsi="宋体" w:eastAsia="宋体" w:cs="宋体"/>
          <w:color w:val="auto"/>
          <w:highlight w:val="none"/>
        </w:rPr>
      </w:pPr>
    </w:p>
    <w:p w14:paraId="3269F134">
      <w:pPr>
        <w:pStyle w:val="2"/>
        <w:jc w:val="both"/>
        <w:rPr>
          <w:rFonts w:hint="eastAsia" w:ascii="宋体" w:hAnsi="宋体" w:eastAsia="宋体" w:cs="宋体"/>
          <w:color w:val="auto"/>
          <w:highlight w:val="none"/>
        </w:rPr>
      </w:pPr>
    </w:p>
    <w:p w14:paraId="2DF119B2">
      <w:pPr>
        <w:pStyle w:val="2"/>
        <w:jc w:val="center"/>
        <w:rPr>
          <w:rFonts w:hint="eastAsia" w:ascii="宋体" w:hAnsi="宋体" w:eastAsia="宋体" w:cs="宋体"/>
          <w:color w:val="auto"/>
          <w:highlight w:val="none"/>
        </w:rPr>
      </w:pPr>
    </w:p>
    <w:p w14:paraId="3A6669B0">
      <w:pPr>
        <w:spacing w:line="360" w:lineRule="auto"/>
        <w:ind w:left="1405" w:hanging="1405" w:hangingChars="500"/>
        <w:jc w:val="center"/>
        <w:rPr>
          <w:rFonts w:hint="eastAsia" w:ascii="宋体" w:hAnsi="宋体" w:eastAsia="宋体" w:cs="宋体"/>
          <w:color w:val="auto"/>
          <w:highlight w:val="none"/>
        </w:rPr>
      </w:pPr>
      <w:r>
        <w:rPr>
          <w:rFonts w:hint="eastAsia" w:ascii="宋体" w:hAnsi="宋体" w:eastAsia="宋体" w:cs="宋体"/>
          <w:b/>
          <w:bCs/>
          <w:color w:val="auto"/>
          <w:kern w:val="0"/>
          <w:sz w:val="28"/>
          <w:szCs w:val="28"/>
          <w:highlight w:val="none"/>
        </w:rPr>
        <w:t>采购项目：</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2026年路桥区农田灌溉用水水质调查检测、重点监管企业监督检测、二噁英监测及地下水点位水质分析采购项目</w:t>
      </w:r>
    </w:p>
    <w:p w14:paraId="13AC319B">
      <w:pPr>
        <w:spacing w:line="360" w:lineRule="auto"/>
        <w:jc w:val="center"/>
        <w:rPr>
          <w:rFonts w:hint="eastAsia" w:ascii="宋体" w:hAnsi="宋体" w:eastAsia="宋体" w:cs="宋体"/>
          <w:color w:val="auto"/>
          <w:kern w:val="0"/>
          <w:sz w:val="28"/>
          <w:szCs w:val="28"/>
          <w:highlight w:val="none"/>
          <w:u w:val="single"/>
          <w:lang w:eastAsia="zh-CN"/>
        </w:rPr>
      </w:pPr>
      <w:r>
        <w:rPr>
          <w:rFonts w:hint="eastAsia" w:ascii="宋体" w:hAnsi="宋体" w:eastAsia="宋体" w:cs="宋体"/>
          <w:b/>
          <w:bCs/>
          <w:color w:val="auto"/>
          <w:kern w:val="0"/>
          <w:sz w:val="28"/>
          <w:szCs w:val="28"/>
          <w:highlight w:val="none"/>
        </w:rPr>
        <w:t>采 购 人：</w:t>
      </w:r>
      <w:r>
        <w:rPr>
          <w:rFonts w:hint="eastAsia" w:ascii="宋体" w:hAnsi="宋体" w:eastAsia="宋体" w:cs="宋体"/>
          <w:color w:val="auto"/>
          <w:kern w:val="0"/>
          <w:sz w:val="28"/>
          <w:szCs w:val="28"/>
          <w:highlight w:val="none"/>
          <w:u w:val="single"/>
        </w:rPr>
        <w:t xml:space="preserve"> </w:t>
      </w:r>
      <w:r>
        <w:rPr>
          <w:rFonts w:hint="eastAsia" w:ascii="宋体" w:hAnsi="宋体" w:cs="宋体"/>
          <w:color w:val="auto"/>
          <w:kern w:val="0"/>
          <w:sz w:val="28"/>
          <w:szCs w:val="28"/>
          <w:highlight w:val="none"/>
          <w:u w:val="single"/>
          <w:lang w:eastAsia="zh-CN"/>
        </w:rPr>
        <w:t>台州市生态环境局路桥分局</w:t>
      </w:r>
    </w:p>
    <w:p w14:paraId="3B71EE7A">
      <w:pPr>
        <w:pStyle w:val="2"/>
        <w:rPr>
          <w:rFonts w:hint="eastAsia" w:ascii="宋体" w:hAnsi="宋体" w:eastAsia="宋体" w:cs="宋体"/>
          <w:color w:val="auto"/>
          <w:highlight w:val="none"/>
        </w:rPr>
      </w:pPr>
    </w:p>
    <w:p w14:paraId="73BF355A">
      <w:pPr>
        <w:spacing w:line="360" w:lineRule="auto"/>
        <w:ind w:firstLine="1405" w:firstLineChars="500"/>
        <w:jc w:val="both"/>
        <w:rPr>
          <w:rFonts w:hint="eastAsia" w:ascii="宋体" w:hAnsi="宋体" w:eastAsia="宋体" w:cs="宋体"/>
          <w:color w:val="auto"/>
          <w:kern w:val="0"/>
          <w:sz w:val="28"/>
          <w:szCs w:val="28"/>
          <w:highlight w:val="none"/>
        </w:rPr>
      </w:pPr>
      <w:r>
        <w:rPr>
          <w:rFonts w:hint="eastAsia" w:ascii="宋体" w:hAnsi="宋体" w:eastAsia="宋体" w:cs="宋体"/>
          <w:b/>
          <w:bCs/>
          <w:color w:val="auto"/>
          <w:kern w:val="0"/>
          <w:sz w:val="28"/>
          <w:szCs w:val="28"/>
          <w:highlight w:val="none"/>
        </w:rPr>
        <w:t>采购代理机构：</w:t>
      </w:r>
      <w:r>
        <w:rPr>
          <w:rFonts w:hint="eastAsia" w:ascii="宋体" w:hAnsi="宋体" w:eastAsia="宋体" w:cs="宋体"/>
          <w:color w:val="auto"/>
          <w:kern w:val="0"/>
          <w:sz w:val="28"/>
          <w:szCs w:val="28"/>
          <w:highlight w:val="none"/>
        </w:rPr>
        <w:t>台州永安工程咨询有限公司</w:t>
      </w:r>
    </w:p>
    <w:p w14:paraId="40240174">
      <w:pPr>
        <w:pStyle w:val="2"/>
        <w:rPr>
          <w:rFonts w:hint="eastAsia" w:ascii="宋体" w:hAnsi="宋体" w:eastAsia="宋体" w:cs="宋体"/>
          <w:color w:val="auto"/>
          <w:highlight w:val="none"/>
        </w:rPr>
      </w:pPr>
    </w:p>
    <w:p w14:paraId="7AA28E27">
      <w:pPr>
        <w:pStyle w:val="2"/>
        <w:jc w:val="center"/>
        <w:rPr>
          <w:rFonts w:hint="eastAsia" w:ascii="宋体" w:hAnsi="宋体" w:eastAsia="宋体" w:cs="宋体"/>
          <w:color w:val="auto"/>
          <w:kern w:val="0"/>
          <w:szCs w:val="21"/>
          <w:highlight w:val="none"/>
        </w:rPr>
      </w:pPr>
      <w:r>
        <w:rPr>
          <w:rFonts w:hint="eastAsia" w:ascii="宋体" w:hAnsi="宋体" w:cs="宋体"/>
          <w:color w:val="auto"/>
          <w:kern w:val="0"/>
          <w:sz w:val="28"/>
          <w:szCs w:val="28"/>
          <w:highlight w:val="none"/>
          <w:lang w:val="en-US" w:eastAsia="zh-CN" w:bidi="ar-SA"/>
        </w:rPr>
        <w:t>二○二五年十一月</w:t>
      </w:r>
    </w:p>
    <w:p w14:paraId="1CE35EE6">
      <w:pPr>
        <w:pStyle w:val="2"/>
        <w:jc w:val="center"/>
        <w:rPr>
          <w:rFonts w:hint="eastAsia" w:ascii="宋体" w:hAnsi="宋体" w:eastAsia="宋体" w:cs="宋体"/>
          <w:color w:val="auto"/>
          <w:kern w:val="0"/>
          <w:szCs w:val="21"/>
          <w:highlight w:val="none"/>
        </w:rPr>
      </w:pPr>
    </w:p>
    <w:p w14:paraId="591ACE92">
      <w:pPr>
        <w:spacing w:line="360" w:lineRule="auto"/>
        <w:jc w:val="center"/>
        <w:rPr>
          <w:rFonts w:hint="eastAsia" w:ascii="宋体" w:hAnsi="宋体" w:eastAsia="宋体" w:cs="宋体"/>
          <w:b/>
          <w:bCs/>
          <w:color w:val="auto"/>
          <w:sz w:val="36"/>
          <w:szCs w:val="36"/>
          <w:highlight w:val="none"/>
        </w:rPr>
        <w:sectPr>
          <w:headerReference r:id="rId3" w:type="default"/>
          <w:footerReference r:id="rId4" w:type="default"/>
          <w:pgSz w:w="11906" w:h="16838"/>
          <w:pgMar w:top="1440" w:right="1440" w:bottom="1440" w:left="1803" w:header="851" w:footer="992" w:gutter="0"/>
          <w:pgBorders>
            <w:top w:val="none" w:sz="0" w:space="0"/>
            <w:left w:val="none" w:sz="0" w:space="0"/>
            <w:bottom w:val="none" w:sz="0" w:space="0"/>
            <w:right w:val="none" w:sz="0" w:space="0"/>
          </w:pgBorders>
          <w:pgNumType w:fmt="decimal"/>
          <w:cols w:space="0" w:num="1"/>
          <w:docGrid w:type="lines" w:linePitch="325" w:charSpace="0"/>
        </w:sectPr>
      </w:pPr>
    </w:p>
    <w:p w14:paraId="4AC65B8E">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3A91CDDE">
      <w:pPr>
        <w:spacing w:line="360" w:lineRule="auto"/>
        <w:rPr>
          <w:rFonts w:hint="eastAsia" w:ascii="宋体" w:hAnsi="宋体" w:eastAsia="宋体" w:cs="宋体"/>
          <w:color w:val="auto"/>
          <w:sz w:val="28"/>
          <w:szCs w:val="28"/>
          <w:highlight w:val="none"/>
        </w:rPr>
      </w:pPr>
    </w:p>
    <w:p w14:paraId="1C0C6AC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964" w:hanging="601"/>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竞争性磋商公告</w:t>
      </w:r>
    </w:p>
    <w:p w14:paraId="45844A2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964" w:hanging="601"/>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供应商须知</w:t>
      </w:r>
    </w:p>
    <w:p w14:paraId="6B33335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964" w:hanging="601"/>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评审办法及评审标准</w:t>
      </w:r>
    </w:p>
    <w:p w14:paraId="00F0965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964" w:hanging="601"/>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项目需求</w:t>
      </w:r>
    </w:p>
    <w:p w14:paraId="3DA9CC8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964" w:hanging="601"/>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采购合同主要条款</w:t>
      </w:r>
    </w:p>
    <w:p w14:paraId="352578B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964" w:hanging="601"/>
        <w:textAlignment w:val="auto"/>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响应文件格式附件</w:t>
      </w:r>
    </w:p>
    <w:p w14:paraId="761F5F63">
      <w:pPr>
        <w:pStyle w:val="2"/>
        <w:jc w:val="center"/>
        <w:rPr>
          <w:rFonts w:hint="eastAsia" w:ascii="宋体" w:hAnsi="宋体" w:eastAsia="宋体" w:cs="宋体"/>
          <w:color w:val="auto"/>
          <w:highlight w:val="none"/>
        </w:rPr>
      </w:pPr>
    </w:p>
    <w:p w14:paraId="18AD9094">
      <w:pPr>
        <w:pStyle w:val="2"/>
        <w:jc w:val="center"/>
        <w:rPr>
          <w:rFonts w:hint="eastAsia" w:ascii="宋体" w:hAnsi="宋体" w:eastAsia="宋体" w:cs="宋体"/>
          <w:color w:val="auto"/>
          <w:highlight w:val="none"/>
        </w:rPr>
      </w:pPr>
    </w:p>
    <w:p w14:paraId="7774B8DA">
      <w:pPr>
        <w:pStyle w:val="2"/>
        <w:jc w:val="center"/>
        <w:rPr>
          <w:rFonts w:hint="eastAsia" w:ascii="宋体" w:hAnsi="宋体" w:eastAsia="宋体" w:cs="宋体"/>
          <w:color w:val="auto"/>
          <w:highlight w:val="none"/>
        </w:rPr>
      </w:pPr>
    </w:p>
    <w:p w14:paraId="7857A260">
      <w:pPr>
        <w:pStyle w:val="2"/>
        <w:jc w:val="center"/>
        <w:rPr>
          <w:rFonts w:hint="eastAsia" w:ascii="宋体" w:hAnsi="宋体" w:eastAsia="宋体" w:cs="宋体"/>
          <w:color w:val="auto"/>
          <w:highlight w:val="none"/>
        </w:rPr>
      </w:pPr>
    </w:p>
    <w:p w14:paraId="0EF7BF18">
      <w:pPr>
        <w:pStyle w:val="2"/>
        <w:jc w:val="center"/>
        <w:rPr>
          <w:rFonts w:hint="eastAsia" w:ascii="宋体" w:hAnsi="宋体" w:eastAsia="宋体" w:cs="宋体"/>
          <w:color w:val="auto"/>
          <w:highlight w:val="none"/>
        </w:rPr>
      </w:pPr>
    </w:p>
    <w:p w14:paraId="156F101E">
      <w:pPr>
        <w:pStyle w:val="2"/>
        <w:jc w:val="center"/>
        <w:rPr>
          <w:rFonts w:hint="eastAsia" w:ascii="宋体" w:hAnsi="宋体" w:eastAsia="宋体" w:cs="宋体"/>
          <w:color w:val="auto"/>
          <w:highlight w:val="none"/>
        </w:rPr>
      </w:pPr>
    </w:p>
    <w:p w14:paraId="6EC0781D">
      <w:pPr>
        <w:pStyle w:val="2"/>
        <w:jc w:val="center"/>
        <w:rPr>
          <w:rFonts w:hint="eastAsia" w:ascii="宋体" w:hAnsi="宋体" w:eastAsia="宋体" w:cs="宋体"/>
          <w:color w:val="auto"/>
          <w:highlight w:val="none"/>
        </w:rPr>
      </w:pPr>
    </w:p>
    <w:p w14:paraId="416D7F2C">
      <w:pPr>
        <w:pStyle w:val="2"/>
        <w:jc w:val="center"/>
        <w:rPr>
          <w:rFonts w:hint="eastAsia" w:ascii="宋体" w:hAnsi="宋体" w:eastAsia="宋体" w:cs="宋体"/>
          <w:color w:val="auto"/>
          <w:highlight w:val="none"/>
        </w:rPr>
      </w:pPr>
    </w:p>
    <w:p w14:paraId="23A159C0">
      <w:pPr>
        <w:pStyle w:val="2"/>
        <w:jc w:val="center"/>
        <w:rPr>
          <w:rFonts w:hint="eastAsia" w:ascii="宋体" w:hAnsi="宋体" w:eastAsia="宋体" w:cs="宋体"/>
          <w:color w:val="auto"/>
          <w:highlight w:val="none"/>
        </w:rPr>
      </w:pPr>
    </w:p>
    <w:p w14:paraId="777483AC">
      <w:pPr>
        <w:pStyle w:val="2"/>
        <w:jc w:val="center"/>
        <w:rPr>
          <w:rFonts w:hint="eastAsia" w:ascii="宋体" w:hAnsi="宋体" w:eastAsia="宋体" w:cs="宋体"/>
          <w:color w:val="auto"/>
          <w:highlight w:val="none"/>
        </w:rPr>
      </w:pPr>
    </w:p>
    <w:p w14:paraId="7AE234CF">
      <w:pPr>
        <w:pStyle w:val="2"/>
        <w:jc w:val="center"/>
        <w:rPr>
          <w:rFonts w:hint="eastAsia" w:ascii="宋体" w:hAnsi="宋体" w:eastAsia="宋体" w:cs="宋体"/>
          <w:color w:val="auto"/>
          <w:highlight w:val="none"/>
        </w:rPr>
      </w:pPr>
    </w:p>
    <w:p w14:paraId="7BA2C4DE">
      <w:pPr>
        <w:pStyle w:val="2"/>
        <w:jc w:val="center"/>
        <w:rPr>
          <w:rFonts w:hint="eastAsia" w:ascii="宋体" w:hAnsi="宋体" w:eastAsia="宋体" w:cs="宋体"/>
          <w:color w:val="auto"/>
          <w:highlight w:val="none"/>
        </w:rPr>
      </w:pPr>
    </w:p>
    <w:p w14:paraId="5AE49E8B">
      <w:pPr>
        <w:pStyle w:val="2"/>
        <w:jc w:val="center"/>
        <w:rPr>
          <w:rFonts w:hint="eastAsia" w:ascii="宋体" w:hAnsi="宋体" w:eastAsia="宋体" w:cs="宋体"/>
          <w:color w:val="auto"/>
          <w:highlight w:val="none"/>
        </w:rPr>
      </w:pPr>
    </w:p>
    <w:p w14:paraId="1FAC9134">
      <w:pPr>
        <w:pStyle w:val="3"/>
        <w:rPr>
          <w:rFonts w:hint="eastAsia" w:ascii="宋体" w:hAnsi="宋体" w:eastAsia="宋体" w:cs="宋体"/>
          <w:color w:val="auto"/>
          <w:highlight w:val="none"/>
        </w:rPr>
      </w:pPr>
    </w:p>
    <w:p w14:paraId="413669B7">
      <w:pPr>
        <w:pStyle w:val="3"/>
        <w:rPr>
          <w:rFonts w:hint="eastAsia" w:ascii="宋体" w:hAnsi="宋体" w:eastAsia="宋体" w:cs="宋体"/>
          <w:color w:val="auto"/>
          <w:highlight w:val="none"/>
        </w:rPr>
      </w:pPr>
    </w:p>
    <w:p w14:paraId="3E9511A9">
      <w:pPr>
        <w:pStyle w:val="3"/>
        <w:rPr>
          <w:rFonts w:hint="eastAsia" w:ascii="宋体" w:hAnsi="宋体" w:eastAsia="宋体" w:cs="宋体"/>
          <w:color w:val="auto"/>
          <w:highlight w:val="none"/>
        </w:rPr>
      </w:pPr>
    </w:p>
    <w:p w14:paraId="07C91CBC">
      <w:pPr>
        <w:pStyle w:val="2"/>
        <w:jc w:val="center"/>
        <w:rPr>
          <w:rFonts w:hint="eastAsia" w:ascii="宋体" w:hAnsi="宋体" w:eastAsia="宋体" w:cs="宋体"/>
          <w:color w:val="auto"/>
          <w:highlight w:val="none"/>
        </w:rPr>
      </w:pPr>
    </w:p>
    <w:p w14:paraId="07F083DC">
      <w:pPr>
        <w:pStyle w:val="3"/>
        <w:rPr>
          <w:rFonts w:hint="eastAsia" w:ascii="宋体" w:hAnsi="宋体" w:eastAsia="宋体" w:cs="宋体"/>
          <w:color w:val="auto"/>
          <w:highlight w:val="none"/>
        </w:rPr>
      </w:pPr>
    </w:p>
    <w:p w14:paraId="2A1642D1">
      <w:pPr>
        <w:pStyle w:val="2"/>
        <w:jc w:val="center"/>
        <w:rPr>
          <w:rFonts w:hint="eastAsia" w:ascii="宋体" w:hAnsi="宋体" w:eastAsia="宋体" w:cs="宋体"/>
          <w:color w:val="auto"/>
          <w:highlight w:val="none"/>
        </w:rPr>
      </w:pPr>
    </w:p>
    <w:p w14:paraId="774D7A05">
      <w:pPr>
        <w:tabs>
          <w:tab w:val="left" w:pos="180"/>
          <w:tab w:val="left" w:pos="360"/>
          <w:tab w:val="left" w:pos="540"/>
          <w:tab w:val="left" w:pos="8280"/>
        </w:tabs>
        <w:autoSpaceDE w:val="0"/>
        <w:autoSpaceDN w:val="0"/>
        <w:adjustRightInd w:val="0"/>
        <w:spacing w:line="360" w:lineRule="auto"/>
        <w:ind w:right="23"/>
        <w:jc w:val="center"/>
        <w:rPr>
          <w:rFonts w:hint="eastAsia" w:ascii="宋体" w:hAnsi="宋体" w:eastAsia="宋体" w:cs="宋体"/>
          <w:b/>
          <w:color w:val="auto"/>
          <w:kern w:val="0"/>
          <w:sz w:val="36"/>
          <w:szCs w:val="36"/>
          <w:highlight w:val="none"/>
        </w:rPr>
      </w:pPr>
    </w:p>
    <w:p w14:paraId="3A2E39D9">
      <w:pPr>
        <w:tabs>
          <w:tab w:val="left" w:pos="180"/>
          <w:tab w:val="left" w:pos="360"/>
          <w:tab w:val="left" w:pos="540"/>
          <w:tab w:val="left" w:pos="8280"/>
        </w:tabs>
        <w:autoSpaceDE w:val="0"/>
        <w:autoSpaceDN w:val="0"/>
        <w:adjustRightInd w:val="0"/>
        <w:spacing w:line="360" w:lineRule="auto"/>
        <w:ind w:right="23"/>
        <w:jc w:val="center"/>
        <w:rPr>
          <w:rFonts w:hint="eastAsia" w:ascii="宋体" w:hAnsi="宋体" w:eastAsia="宋体" w:cs="宋体"/>
          <w:b/>
          <w:color w:val="auto"/>
          <w:kern w:val="0"/>
          <w:sz w:val="36"/>
          <w:szCs w:val="36"/>
          <w:highlight w:val="none"/>
        </w:rPr>
      </w:pPr>
    </w:p>
    <w:p w14:paraId="23DF08CE">
      <w:pPr>
        <w:tabs>
          <w:tab w:val="left" w:pos="180"/>
          <w:tab w:val="left" w:pos="360"/>
          <w:tab w:val="left" w:pos="540"/>
          <w:tab w:val="left" w:pos="8280"/>
        </w:tabs>
        <w:autoSpaceDE w:val="0"/>
        <w:autoSpaceDN w:val="0"/>
        <w:adjustRightInd w:val="0"/>
        <w:spacing w:line="360" w:lineRule="auto"/>
        <w:ind w:right="23"/>
        <w:jc w:val="center"/>
        <w:rPr>
          <w:rFonts w:hint="eastAsia" w:ascii="宋体" w:hAnsi="宋体" w:eastAsia="宋体" w:cs="宋体"/>
          <w:b/>
          <w:color w:val="auto"/>
          <w:kern w:val="0"/>
          <w:sz w:val="36"/>
          <w:szCs w:val="36"/>
          <w:highlight w:val="none"/>
        </w:rPr>
      </w:pPr>
    </w:p>
    <w:p w14:paraId="4B8F9DC5">
      <w:pPr>
        <w:tabs>
          <w:tab w:val="left" w:pos="180"/>
          <w:tab w:val="left" w:pos="360"/>
          <w:tab w:val="left" w:pos="540"/>
          <w:tab w:val="left" w:pos="8280"/>
        </w:tabs>
        <w:autoSpaceDE w:val="0"/>
        <w:autoSpaceDN w:val="0"/>
        <w:adjustRightInd w:val="0"/>
        <w:spacing w:line="360" w:lineRule="auto"/>
        <w:ind w:right="23"/>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第一章 </w:t>
      </w:r>
      <w:r>
        <w:rPr>
          <w:rFonts w:hint="eastAsia" w:ascii="宋体" w:hAnsi="宋体" w:eastAsia="宋体" w:cs="宋体"/>
          <w:b/>
          <w:color w:val="auto"/>
          <w:kern w:val="0"/>
          <w:sz w:val="36"/>
          <w:szCs w:val="36"/>
          <w:highlight w:val="none"/>
          <w:lang w:eastAsia="zh-CN"/>
        </w:rPr>
        <w:t>竞争性磋商公告</w:t>
      </w:r>
    </w:p>
    <w:p w14:paraId="4980E63F">
      <w:pPr>
        <w:keepNext w:val="0"/>
        <w:keepLines w:val="0"/>
        <w:pageBreakBefore w:val="0"/>
        <w:kinsoku/>
        <w:wordWrap/>
        <w:overflowPunct/>
        <w:topLinePunct w:val="0"/>
        <w:bidi w:val="0"/>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参照</w:t>
      </w:r>
      <w:r>
        <w:rPr>
          <w:rFonts w:hint="eastAsia" w:ascii="宋体" w:hAnsi="宋体" w:eastAsia="宋体" w:cs="宋体"/>
          <w:color w:val="auto"/>
          <w:sz w:val="21"/>
          <w:szCs w:val="21"/>
          <w:highlight w:val="none"/>
        </w:rPr>
        <w:t>《中华人民共和国政府采购法》、《中华人民共和国政府采购法实施条例》和</w:t>
      </w:r>
      <w:r>
        <w:rPr>
          <w:rFonts w:hint="eastAsia" w:ascii="宋体" w:hAnsi="宋体" w:eastAsia="宋体" w:cs="宋体"/>
          <w:color w:val="auto"/>
          <w:sz w:val="21"/>
          <w:szCs w:val="21"/>
          <w:highlight w:val="none"/>
          <w:lang w:eastAsia="zh-CN"/>
        </w:rPr>
        <w:t>《政府采购竞争性磋商采购方式管理暂行办法》</w:t>
      </w:r>
      <w:r>
        <w:rPr>
          <w:rFonts w:hint="eastAsia" w:ascii="宋体" w:hAnsi="宋体" w:eastAsia="宋体" w:cs="宋体"/>
          <w:color w:val="auto"/>
          <w:sz w:val="21"/>
          <w:szCs w:val="21"/>
          <w:highlight w:val="none"/>
        </w:rPr>
        <w:t>等有关规定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受</w:t>
      </w:r>
      <w:r>
        <w:rPr>
          <w:rFonts w:hint="eastAsia" w:ascii="宋体" w:hAnsi="宋体" w:cs="宋体"/>
          <w:b/>
          <w:bCs/>
          <w:color w:val="auto"/>
          <w:sz w:val="21"/>
          <w:szCs w:val="21"/>
          <w:highlight w:val="none"/>
          <w:lang w:eastAsia="zh-CN"/>
        </w:rPr>
        <w:t>台州市生态环境局路桥分局</w:t>
      </w:r>
      <w:r>
        <w:rPr>
          <w:rFonts w:hint="eastAsia" w:ascii="宋体" w:hAnsi="宋体" w:eastAsia="宋体" w:cs="宋体"/>
          <w:color w:val="auto"/>
          <w:sz w:val="21"/>
          <w:szCs w:val="21"/>
          <w:highlight w:val="none"/>
        </w:rPr>
        <w:t>委托，现就其</w:t>
      </w:r>
      <w:r>
        <w:rPr>
          <w:rFonts w:hint="eastAsia" w:ascii="宋体" w:hAnsi="宋体" w:cs="宋体"/>
          <w:b/>
          <w:bCs/>
          <w:color w:val="auto"/>
          <w:sz w:val="21"/>
          <w:szCs w:val="21"/>
          <w:highlight w:val="none"/>
          <w:lang w:eastAsia="zh-CN"/>
        </w:rPr>
        <w:t>2026年路桥区农田灌溉用水水质调查检测、重点监管企业监督检测、二噁英监测及地下水点位水质分析采购项目</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竞争性</w:t>
      </w:r>
      <w:r>
        <w:rPr>
          <w:rFonts w:hint="eastAsia" w:ascii="宋体" w:hAnsi="宋体" w:eastAsia="宋体" w:cs="宋体"/>
          <w:color w:val="auto"/>
          <w:sz w:val="21"/>
          <w:szCs w:val="21"/>
          <w:highlight w:val="none"/>
          <w:lang w:val="en-US" w:eastAsia="zh-CN"/>
        </w:rPr>
        <w:t>磋商采购</w:t>
      </w:r>
      <w:r>
        <w:rPr>
          <w:rFonts w:hint="eastAsia" w:ascii="宋体" w:hAnsi="宋体" w:eastAsia="宋体" w:cs="宋体"/>
          <w:color w:val="auto"/>
          <w:sz w:val="21"/>
          <w:szCs w:val="21"/>
          <w:highlight w:val="none"/>
        </w:rPr>
        <w:t>，欢迎合格供应商前来</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p>
    <w:p w14:paraId="38C26C61">
      <w:pPr>
        <w:keepNext w:val="0"/>
        <w:keepLines w:val="0"/>
        <w:pageBreakBefore w:val="0"/>
        <w:kinsoku/>
        <w:wordWrap/>
        <w:overflowPunct/>
        <w:topLinePunct w:val="0"/>
        <w:bidi w:val="0"/>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一、项目编号：</w:t>
      </w:r>
      <w:r>
        <w:rPr>
          <w:rFonts w:hint="eastAsia" w:ascii="宋体" w:hAnsi="宋体" w:cs="宋体"/>
          <w:b/>
          <w:bCs/>
          <w:color w:val="auto"/>
          <w:sz w:val="21"/>
          <w:szCs w:val="21"/>
          <w:highlight w:val="none"/>
          <w:lang w:val="en-US" w:eastAsia="zh-CN"/>
        </w:rPr>
        <w:t>tzya2025-lq75</w:t>
      </w:r>
    </w:p>
    <w:p w14:paraId="47F53813">
      <w:pPr>
        <w:keepNext w:val="0"/>
        <w:keepLines w:val="0"/>
        <w:pageBreakBefore w:val="0"/>
        <w:kinsoku/>
        <w:wordWrap/>
        <w:overflowPunct/>
        <w:topLinePunct w:val="0"/>
        <w:bidi w:val="0"/>
        <w:spacing w:line="360" w:lineRule="auto"/>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en-US" w:eastAsia="zh-CN"/>
        </w:rPr>
        <w:t>磋商内容</w:t>
      </w:r>
      <w:r>
        <w:rPr>
          <w:rFonts w:hint="eastAsia" w:ascii="宋体" w:hAnsi="宋体" w:eastAsia="宋体" w:cs="宋体"/>
          <w:b/>
          <w:bCs/>
          <w:color w:val="auto"/>
          <w:sz w:val="21"/>
          <w:szCs w:val="21"/>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114"/>
        <w:gridCol w:w="1288"/>
        <w:gridCol w:w="706"/>
        <w:gridCol w:w="759"/>
        <w:gridCol w:w="1147"/>
        <w:gridCol w:w="848"/>
      </w:tblGrid>
      <w:tr w14:paraId="3A79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4" w:type="dxa"/>
            <w:noWrap w:val="0"/>
            <w:vAlign w:val="center"/>
          </w:tcPr>
          <w:p w14:paraId="344CAD00">
            <w:pPr>
              <w:keepNext w:val="0"/>
              <w:keepLines w:val="0"/>
              <w:pageBreakBefore w:val="0"/>
              <w:tabs>
                <w:tab w:val="left" w:pos="8280"/>
              </w:tabs>
              <w:kinsoku/>
              <w:wordWrap/>
              <w:overflowPunct/>
              <w:topLinePunct w:val="0"/>
              <w:autoSpaceDE w:val="0"/>
              <w:autoSpaceDN w:val="0"/>
              <w:bidi w:val="0"/>
              <w:adjustRightInd w:val="0"/>
              <w:ind w:right="25"/>
              <w:jc w:val="center"/>
              <w:textAlignment w:val="auto"/>
              <w:outlineLvl w:val="9"/>
              <w:rPr>
                <w:rFonts w:hint="eastAsia" w:ascii="宋体" w:hAnsi="宋体" w:eastAsia="宋体" w:cs="宋体"/>
                <w:b/>
                <w:color w:val="auto"/>
                <w:sz w:val="21"/>
                <w:szCs w:val="21"/>
                <w:highlight w:val="none"/>
              </w:rPr>
            </w:pPr>
            <w:bookmarkStart w:id="0" w:name="EBc3c9f0bc06b6413d849824fe98ba274c"/>
            <w:r>
              <w:rPr>
                <w:rFonts w:hint="eastAsia" w:ascii="宋体" w:hAnsi="宋体" w:eastAsia="宋体" w:cs="宋体"/>
                <w:b/>
                <w:color w:val="auto"/>
                <w:sz w:val="21"/>
                <w:szCs w:val="21"/>
                <w:highlight w:val="none"/>
                <w:lang w:val="en-US" w:eastAsia="zh-CN"/>
              </w:rPr>
              <w:t>序</w:t>
            </w:r>
            <w:r>
              <w:rPr>
                <w:rFonts w:hint="eastAsia" w:ascii="宋体" w:hAnsi="宋体" w:eastAsia="宋体" w:cs="宋体"/>
                <w:b/>
                <w:color w:val="auto"/>
                <w:sz w:val="21"/>
                <w:szCs w:val="21"/>
                <w:highlight w:val="none"/>
              </w:rPr>
              <w:t>号</w:t>
            </w:r>
          </w:p>
        </w:tc>
        <w:tc>
          <w:tcPr>
            <w:tcW w:w="3114" w:type="dxa"/>
            <w:noWrap w:val="0"/>
            <w:vAlign w:val="center"/>
          </w:tcPr>
          <w:p w14:paraId="4EEFBE25">
            <w:pPr>
              <w:keepNext w:val="0"/>
              <w:keepLines w:val="0"/>
              <w:pageBreakBefore w:val="0"/>
              <w:tabs>
                <w:tab w:val="left" w:pos="8280"/>
              </w:tabs>
              <w:kinsoku/>
              <w:wordWrap/>
              <w:overflowPunct/>
              <w:topLinePunct w:val="0"/>
              <w:autoSpaceDE w:val="0"/>
              <w:autoSpaceDN w:val="0"/>
              <w:bidi w:val="0"/>
              <w:adjustRightInd w:val="0"/>
              <w:ind w:right="25"/>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1288" w:type="dxa"/>
            <w:noWrap w:val="0"/>
            <w:vAlign w:val="center"/>
          </w:tcPr>
          <w:p w14:paraId="24852E4A">
            <w:pPr>
              <w:keepNext w:val="0"/>
              <w:keepLines w:val="0"/>
              <w:pageBreakBefore w:val="0"/>
              <w:tabs>
                <w:tab w:val="left" w:pos="8280"/>
              </w:tabs>
              <w:kinsoku/>
              <w:wordWrap/>
              <w:overflowPunct/>
              <w:topLinePunct w:val="0"/>
              <w:autoSpaceDE w:val="0"/>
              <w:autoSpaceDN w:val="0"/>
              <w:bidi w:val="0"/>
              <w:adjustRightInd w:val="0"/>
              <w:ind w:right="25"/>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简要技术要求</w:t>
            </w:r>
          </w:p>
        </w:tc>
        <w:tc>
          <w:tcPr>
            <w:tcW w:w="706" w:type="dxa"/>
            <w:noWrap w:val="0"/>
            <w:vAlign w:val="center"/>
          </w:tcPr>
          <w:p w14:paraId="1B46CEA4">
            <w:pPr>
              <w:keepNext w:val="0"/>
              <w:keepLines w:val="0"/>
              <w:pageBreakBefore w:val="0"/>
              <w:tabs>
                <w:tab w:val="left" w:pos="8280"/>
              </w:tabs>
              <w:kinsoku/>
              <w:wordWrap/>
              <w:overflowPunct/>
              <w:topLinePunct w:val="0"/>
              <w:autoSpaceDE w:val="0"/>
              <w:autoSpaceDN w:val="0"/>
              <w:bidi w:val="0"/>
              <w:adjustRightInd w:val="0"/>
              <w:ind w:right="25"/>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759" w:type="dxa"/>
            <w:noWrap w:val="0"/>
            <w:vAlign w:val="center"/>
          </w:tcPr>
          <w:p w14:paraId="78D8B476">
            <w:pPr>
              <w:keepNext w:val="0"/>
              <w:keepLines w:val="0"/>
              <w:pageBreakBefore w:val="0"/>
              <w:tabs>
                <w:tab w:val="left" w:pos="8280"/>
              </w:tabs>
              <w:kinsoku/>
              <w:wordWrap/>
              <w:overflowPunct/>
              <w:topLinePunct w:val="0"/>
              <w:autoSpaceDE w:val="0"/>
              <w:autoSpaceDN w:val="0"/>
              <w:bidi w:val="0"/>
              <w:adjustRightInd w:val="0"/>
              <w:ind w:right="25"/>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147" w:type="dxa"/>
            <w:noWrap w:val="0"/>
            <w:vAlign w:val="center"/>
          </w:tcPr>
          <w:p w14:paraId="45D88F29">
            <w:pPr>
              <w:keepNext w:val="0"/>
              <w:keepLines w:val="0"/>
              <w:pageBreakBefore w:val="0"/>
              <w:tabs>
                <w:tab w:val="left" w:pos="8280"/>
              </w:tabs>
              <w:kinsoku/>
              <w:wordWrap/>
              <w:overflowPunct/>
              <w:topLinePunct w:val="0"/>
              <w:autoSpaceDE w:val="0"/>
              <w:autoSpaceDN w:val="0"/>
              <w:bidi w:val="0"/>
              <w:adjustRightInd w:val="0"/>
              <w:ind w:right="25"/>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预算</w:t>
            </w:r>
          </w:p>
          <w:p w14:paraId="05BC9C42">
            <w:pPr>
              <w:keepNext w:val="0"/>
              <w:keepLines w:val="0"/>
              <w:pageBreakBefore w:val="0"/>
              <w:tabs>
                <w:tab w:val="left" w:pos="8280"/>
              </w:tabs>
              <w:kinsoku/>
              <w:wordWrap/>
              <w:overflowPunct/>
              <w:topLinePunct w:val="0"/>
              <w:autoSpaceDE w:val="0"/>
              <w:autoSpaceDN w:val="0"/>
              <w:bidi w:val="0"/>
              <w:adjustRightInd w:val="0"/>
              <w:ind w:right="25"/>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（万元）</w:t>
            </w:r>
          </w:p>
        </w:tc>
        <w:tc>
          <w:tcPr>
            <w:tcW w:w="848" w:type="dxa"/>
            <w:noWrap w:val="0"/>
            <w:vAlign w:val="center"/>
          </w:tcPr>
          <w:p w14:paraId="24A09DF0">
            <w:pPr>
              <w:keepNext w:val="0"/>
              <w:keepLines w:val="0"/>
              <w:pageBreakBefore w:val="0"/>
              <w:tabs>
                <w:tab w:val="left" w:pos="8280"/>
              </w:tabs>
              <w:kinsoku/>
              <w:wordWrap/>
              <w:overflowPunct/>
              <w:topLinePunct w:val="0"/>
              <w:autoSpaceDE w:val="0"/>
              <w:autoSpaceDN w:val="0"/>
              <w:bidi w:val="0"/>
              <w:adjustRightInd w:val="0"/>
              <w:ind w:right="25"/>
              <w:jc w:val="center"/>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备注</w:t>
            </w:r>
          </w:p>
        </w:tc>
      </w:tr>
      <w:tr w14:paraId="6AA4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74" w:type="dxa"/>
            <w:noWrap w:val="0"/>
            <w:vAlign w:val="center"/>
          </w:tcPr>
          <w:p w14:paraId="4D368EF6">
            <w:pPr>
              <w:keepNext w:val="0"/>
              <w:keepLines w:val="0"/>
              <w:pageBreakBefore w:val="0"/>
              <w:tabs>
                <w:tab w:val="left" w:pos="8280"/>
              </w:tabs>
              <w:kinsoku/>
              <w:wordWrap/>
              <w:overflowPunct/>
              <w:topLinePunct w:val="0"/>
              <w:autoSpaceDE w:val="0"/>
              <w:autoSpaceDN w:val="0"/>
              <w:bidi w:val="0"/>
              <w:adjustRightInd w:val="0"/>
              <w:ind w:right="2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114" w:type="dxa"/>
            <w:noWrap w:val="0"/>
            <w:vAlign w:val="center"/>
          </w:tcPr>
          <w:p w14:paraId="3008702E">
            <w:pPr>
              <w:keepNext w:val="0"/>
              <w:keepLines w:val="0"/>
              <w:pageBreakBefore w:val="0"/>
              <w:tabs>
                <w:tab w:val="left" w:pos="8280"/>
              </w:tabs>
              <w:kinsoku/>
              <w:wordWrap/>
              <w:overflowPunct/>
              <w:topLinePunct w:val="0"/>
              <w:autoSpaceDE w:val="0"/>
              <w:autoSpaceDN w:val="0"/>
              <w:bidi w:val="0"/>
              <w:adjustRightInd w:val="0"/>
              <w:ind w:right="25"/>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2026年路桥区农田灌溉用水水质调查检测、重点监管企业监督检测、二噁英监测及地下水点位水质分析采购项目</w:t>
            </w:r>
          </w:p>
        </w:tc>
        <w:tc>
          <w:tcPr>
            <w:tcW w:w="1288" w:type="dxa"/>
            <w:noWrap w:val="0"/>
            <w:vAlign w:val="center"/>
          </w:tcPr>
          <w:p w14:paraId="0A5C9AAD">
            <w:pPr>
              <w:keepNext w:val="0"/>
              <w:keepLines w:val="0"/>
              <w:pageBreakBefore w:val="0"/>
              <w:tabs>
                <w:tab w:val="left" w:pos="8280"/>
              </w:tabs>
              <w:kinsoku/>
              <w:wordWrap/>
              <w:overflowPunct/>
              <w:topLinePunct w:val="0"/>
              <w:autoSpaceDE w:val="0"/>
              <w:autoSpaceDN w:val="0"/>
              <w:bidi w:val="0"/>
              <w:adjustRightInd w:val="0"/>
              <w:ind w:right="2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详见项目需求</w:t>
            </w:r>
          </w:p>
        </w:tc>
        <w:tc>
          <w:tcPr>
            <w:tcW w:w="706" w:type="dxa"/>
            <w:noWrap w:val="0"/>
            <w:vAlign w:val="center"/>
          </w:tcPr>
          <w:p w14:paraId="233EC808">
            <w:pPr>
              <w:keepNext w:val="0"/>
              <w:keepLines w:val="0"/>
              <w:pageBreakBefore w:val="0"/>
              <w:tabs>
                <w:tab w:val="left" w:pos="8280"/>
              </w:tabs>
              <w:kinsoku/>
              <w:wordWrap/>
              <w:overflowPunct/>
              <w:topLinePunct w:val="0"/>
              <w:autoSpaceDE w:val="0"/>
              <w:autoSpaceDN w:val="0"/>
              <w:bidi w:val="0"/>
              <w:adjustRightInd w:val="0"/>
              <w:ind w:right="25"/>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59" w:type="dxa"/>
            <w:noWrap w:val="0"/>
            <w:vAlign w:val="center"/>
          </w:tcPr>
          <w:p w14:paraId="05A3FE21">
            <w:pPr>
              <w:keepNext w:val="0"/>
              <w:keepLines w:val="0"/>
              <w:pageBreakBefore w:val="0"/>
              <w:widowControl/>
              <w:kinsoku/>
              <w:wordWrap/>
              <w:overflowPunct/>
              <w:topLinePunct w:val="0"/>
              <w:bidi w:val="0"/>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w:t>
            </w:r>
          </w:p>
        </w:tc>
        <w:tc>
          <w:tcPr>
            <w:tcW w:w="1147" w:type="dxa"/>
            <w:noWrap w:val="0"/>
            <w:vAlign w:val="center"/>
          </w:tcPr>
          <w:p w14:paraId="32A011C1">
            <w:pPr>
              <w:keepNext w:val="0"/>
              <w:keepLines w:val="0"/>
              <w:pageBreakBefore w:val="0"/>
              <w:tabs>
                <w:tab w:val="left" w:pos="8280"/>
              </w:tabs>
              <w:kinsoku/>
              <w:wordWrap/>
              <w:overflowPunct/>
              <w:topLinePunct w:val="0"/>
              <w:autoSpaceDE w:val="0"/>
              <w:autoSpaceDN w:val="0"/>
              <w:bidi w:val="0"/>
              <w:adjustRightInd w:val="0"/>
              <w:ind w:right="25"/>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848" w:type="dxa"/>
            <w:noWrap w:val="0"/>
            <w:vAlign w:val="center"/>
          </w:tcPr>
          <w:p w14:paraId="0441B8D9">
            <w:pPr>
              <w:keepNext w:val="0"/>
              <w:keepLines w:val="0"/>
              <w:pageBreakBefore w:val="0"/>
              <w:tabs>
                <w:tab w:val="left" w:pos="8280"/>
              </w:tabs>
              <w:kinsoku/>
              <w:wordWrap/>
              <w:overflowPunct/>
              <w:topLinePunct w:val="0"/>
              <w:autoSpaceDE w:val="0"/>
              <w:autoSpaceDN w:val="0"/>
              <w:bidi w:val="0"/>
              <w:adjustRightInd w:val="0"/>
              <w:ind w:right="25"/>
              <w:jc w:val="both"/>
              <w:textAlignment w:val="auto"/>
              <w:outlineLvl w:val="9"/>
              <w:rPr>
                <w:rFonts w:hint="eastAsia" w:ascii="宋体" w:hAnsi="宋体" w:eastAsia="宋体" w:cs="宋体"/>
                <w:color w:val="auto"/>
                <w:sz w:val="21"/>
                <w:szCs w:val="21"/>
                <w:highlight w:val="none"/>
                <w:lang w:eastAsia="zh-CN"/>
              </w:rPr>
            </w:pPr>
          </w:p>
        </w:tc>
      </w:tr>
      <w:bookmarkEnd w:id="0"/>
    </w:tbl>
    <w:p w14:paraId="61C200EC">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三、合格磋商供应商的资格条件：</w:t>
      </w:r>
    </w:p>
    <w:p w14:paraId="15849CFD">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（一）符合《中华人民共和国政府采购法》第二十二条及其他法律、行政法规规定的对投标主体的要求</w:t>
      </w:r>
      <w:r>
        <w:rPr>
          <w:rFonts w:hint="eastAsia" w:ascii="宋体" w:hAnsi="宋体" w:eastAsia="宋体" w:cs="宋体"/>
          <w:b/>
          <w:color w:val="auto"/>
          <w:sz w:val="21"/>
          <w:szCs w:val="21"/>
          <w:highlight w:val="none"/>
          <w:lang w:eastAsia="zh-CN"/>
        </w:rPr>
        <w:t>；</w:t>
      </w:r>
    </w:p>
    <w:p w14:paraId="00FF1C4E">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（二）本项目供应商特定资格要求</w:t>
      </w:r>
    </w:p>
    <w:p w14:paraId="79E111AC">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cs="宋体"/>
          <w:b/>
          <w:color w:val="auto"/>
          <w:sz w:val="21"/>
          <w:szCs w:val="21"/>
          <w:highlight w:val="none"/>
          <w:shd w:val="clear" w:color="auto" w:fill="auto"/>
          <w:lang w:val="en-US" w:eastAsia="zh-CN"/>
        </w:rPr>
      </w:pPr>
      <w:r>
        <w:rPr>
          <w:rFonts w:hint="eastAsia" w:ascii="宋体" w:hAnsi="宋体" w:eastAsia="宋体" w:cs="宋体"/>
          <w:b/>
          <w:color w:val="auto"/>
          <w:sz w:val="21"/>
          <w:szCs w:val="21"/>
          <w:highlight w:val="none"/>
          <w:shd w:val="clear" w:color="auto" w:fill="auto"/>
          <w:lang w:val="en-US" w:eastAsia="zh-CN"/>
        </w:rPr>
        <w:t>1、</w:t>
      </w:r>
      <w:r>
        <w:rPr>
          <w:rFonts w:hint="eastAsia" w:ascii="宋体" w:hAnsi="宋体" w:cs="宋体"/>
          <w:b/>
          <w:color w:val="auto"/>
          <w:sz w:val="21"/>
          <w:szCs w:val="21"/>
          <w:highlight w:val="none"/>
          <w:shd w:val="clear" w:color="auto" w:fill="auto"/>
          <w:lang w:val="en-US" w:eastAsia="zh-CN"/>
        </w:rPr>
        <w:t>投标人具有有效的检验检测机构资质认定证书，且证书编号第5-6位编号须为12（代表：环境与环保）或13（代表：水质）</w:t>
      </w:r>
    </w:p>
    <w:p w14:paraId="148DDC36">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shd w:val="clear" w:color="auto" w:fill="auto"/>
          <w:lang w:val="en-US" w:eastAsia="zh-CN"/>
        </w:rPr>
        <w:t>2、</w:t>
      </w:r>
      <w:r>
        <w:rPr>
          <w:rFonts w:hint="eastAsia" w:ascii="宋体" w:hAnsi="宋体" w:eastAsia="宋体" w:cs="宋体"/>
          <w:b/>
          <w:color w:val="auto"/>
          <w:sz w:val="21"/>
          <w:szCs w:val="21"/>
          <w:highlight w:val="none"/>
          <w:shd w:val="clear" w:color="auto" w:fill="auto"/>
        </w:rPr>
        <w:t>本项</w:t>
      </w:r>
      <w:r>
        <w:rPr>
          <w:rFonts w:hint="eastAsia" w:ascii="宋体" w:hAnsi="宋体" w:eastAsia="宋体" w:cs="宋体"/>
          <w:b/>
          <w:color w:val="auto"/>
          <w:sz w:val="21"/>
          <w:szCs w:val="21"/>
          <w:highlight w:val="none"/>
        </w:rPr>
        <w:t>目不接受联合体</w:t>
      </w:r>
      <w:r>
        <w:rPr>
          <w:rFonts w:hint="eastAsia" w:ascii="宋体" w:hAnsi="宋体" w:eastAsia="宋体" w:cs="宋体"/>
          <w:b/>
          <w:color w:val="auto"/>
          <w:sz w:val="21"/>
          <w:szCs w:val="21"/>
          <w:highlight w:val="none"/>
          <w:lang w:eastAsia="zh-CN"/>
        </w:rPr>
        <w:t>磋商</w:t>
      </w:r>
      <w:r>
        <w:rPr>
          <w:rFonts w:hint="eastAsia" w:ascii="宋体" w:hAnsi="宋体" w:eastAsia="宋体" w:cs="宋体"/>
          <w:b/>
          <w:color w:val="auto"/>
          <w:sz w:val="21"/>
          <w:szCs w:val="21"/>
          <w:highlight w:val="none"/>
        </w:rPr>
        <w:t>。</w:t>
      </w:r>
    </w:p>
    <w:p w14:paraId="38F8DFBE">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文件的发售：</w:t>
      </w:r>
    </w:p>
    <w:p w14:paraId="323649D3">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发售时间：</w:t>
      </w:r>
      <w:r>
        <w:rPr>
          <w:rFonts w:hint="eastAsia" w:ascii="宋体" w:hAnsi="宋体" w:cs="宋体"/>
          <w:color w:val="auto"/>
          <w:sz w:val="21"/>
          <w:szCs w:val="21"/>
          <w:highlight w:val="none"/>
          <w:lang w:eastAsia="zh-CN"/>
        </w:rPr>
        <w:t>2025月日</w:t>
      </w:r>
      <w:r>
        <w:rPr>
          <w:rFonts w:hint="eastAsia" w:ascii="宋体" w:hAnsi="宋体" w:eastAsia="宋体" w:cs="宋体"/>
          <w:color w:val="auto"/>
          <w:sz w:val="21"/>
          <w:szCs w:val="21"/>
          <w:highlight w:val="none"/>
          <w:lang w:eastAsia="zh-CN"/>
        </w:rPr>
        <w:t>至</w:t>
      </w:r>
      <w:r>
        <w:rPr>
          <w:rFonts w:hint="eastAsia" w:ascii="宋体" w:hAnsi="宋体" w:cs="宋体"/>
          <w:color w:val="auto"/>
          <w:sz w:val="21"/>
          <w:szCs w:val="21"/>
          <w:highlight w:val="none"/>
          <w:lang w:eastAsia="zh-CN"/>
        </w:rPr>
        <w:t>2025年月日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双休日及法定节假日除外，每日上午9：30—11：30，13：30—16：30，北京时间</w:t>
      </w:r>
      <w:r>
        <w:rPr>
          <w:rFonts w:hint="eastAsia" w:ascii="宋体" w:hAnsi="宋体" w:eastAsia="宋体" w:cs="宋体"/>
          <w:color w:val="auto"/>
          <w:sz w:val="21"/>
          <w:szCs w:val="21"/>
          <w:highlight w:val="none"/>
          <w:lang w:eastAsia="zh-CN"/>
        </w:rPr>
        <w:t>）</w:t>
      </w:r>
    </w:p>
    <w:p w14:paraId="23B497B1">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发售地点：</w:t>
      </w:r>
      <w:r>
        <w:rPr>
          <w:rFonts w:hint="eastAsia" w:ascii="宋体" w:hAnsi="宋体" w:eastAsia="宋体" w:cs="宋体"/>
          <w:color w:val="auto"/>
          <w:sz w:val="21"/>
          <w:szCs w:val="21"/>
          <w:highlight w:val="none"/>
          <w:lang w:eastAsia="zh-CN"/>
        </w:rPr>
        <w:t>台州市椒江区中环世纪6幢801室（交通银行台州分行楼上）</w:t>
      </w:r>
      <w:r>
        <w:rPr>
          <w:rFonts w:hint="eastAsia" w:ascii="宋体" w:hAnsi="宋体" w:eastAsia="宋体" w:cs="宋体"/>
          <w:color w:val="auto"/>
          <w:sz w:val="21"/>
          <w:szCs w:val="21"/>
          <w:highlight w:val="none"/>
        </w:rPr>
        <w:t>。</w:t>
      </w:r>
    </w:p>
    <w:p w14:paraId="6D87C828">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标书售价：</w:t>
      </w:r>
      <w:r>
        <w:rPr>
          <w:rFonts w:hint="eastAsia" w:ascii="宋体" w:hAnsi="宋体" w:eastAsia="宋体" w:cs="宋体"/>
          <w:color w:val="auto"/>
          <w:sz w:val="21"/>
          <w:szCs w:val="21"/>
          <w:highlight w:val="none"/>
          <w:lang w:val="en-US" w:eastAsia="zh-CN"/>
        </w:rPr>
        <w:t>0元。</w:t>
      </w:r>
    </w:p>
    <w:p w14:paraId="417B1C7C">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购买标书时必须提交的资料：</w:t>
      </w:r>
    </w:p>
    <w:p w14:paraId="3BF15F8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企业法人营业执照副本（复印件加盖公章）；</w:t>
      </w:r>
    </w:p>
    <w:p w14:paraId="51E1436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法定代表人授权书原件（加盖公章）；</w:t>
      </w:r>
    </w:p>
    <w:p w14:paraId="448403E8">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报名人有效身份证件复印件；</w:t>
      </w:r>
    </w:p>
    <w:p w14:paraId="61D105E0">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）投标人</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lang w:eastAsia="zh-CN"/>
        </w:rPr>
        <w:t>有效的检验检测机构资质认定证书，且证书编号第5-6位编号须为12（代表：环境与环保）或13（代表：水质）</w:t>
      </w:r>
      <w:r>
        <w:rPr>
          <w:rFonts w:hint="eastAsia" w:ascii="宋体" w:hAnsi="宋体" w:eastAsia="宋体" w:cs="宋体"/>
          <w:color w:val="auto"/>
          <w:sz w:val="21"/>
          <w:szCs w:val="21"/>
          <w:highlight w:val="none"/>
        </w:rPr>
        <w:t>（复印件加盖公章）；</w:t>
      </w:r>
    </w:p>
    <w:p w14:paraId="29A09FA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投标供应商报名表。</w:t>
      </w:r>
    </w:p>
    <w:p w14:paraId="5AD34CEC">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、响应文件递交截止时间及磋商开始时间、地点：</w:t>
      </w:r>
    </w:p>
    <w:p w14:paraId="5875189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shd w:val="clear" w:color="auto" w:fill="auto"/>
          <w:lang w:val="en-US" w:eastAsia="zh-CN"/>
        </w:rPr>
        <w:t>将于</w:t>
      </w:r>
      <w:r>
        <w:rPr>
          <w:rFonts w:hint="eastAsia" w:ascii="宋体" w:hAnsi="宋体" w:cs="宋体"/>
          <w:color w:val="auto"/>
          <w:sz w:val="21"/>
          <w:szCs w:val="21"/>
          <w:highlight w:val="none"/>
          <w:shd w:val="clear" w:color="auto" w:fill="auto"/>
          <w:lang w:val="en-US" w:eastAsia="zh-CN"/>
        </w:rPr>
        <w:t>2025年月日</w:t>
      </w:r>
      <w:r>
        <w:rPr>
          <w:rFonts w:hint="eastAsia" w:ascii="宋体" w:hAnsi="宋体" w:eastAsia="宋体" w:cs="宋体"/>
          <w:color w:val="auto"/>
          <w:sz w:val="21"/>
          <w:szCs w:val="21"/>
          <w:highlight w:val="none"/>
          <w:shd w:val="clear" w:color="auto" w:fill="auto"/>
          <w:lang w:val="en-US" w:eastAsia="zh-CN"/>
        </w:rPr>
        <w:t>14:00整在路桥区政府采购中心（台州市路桥区财富大道999号 商城国际5楼）开始进行</w:t>
      </w:r>
      <w:r>
        <w:rPr>
          <w:rFonts w:hint="eastAsia" w:ascii="宋体" w:hAnsi="宋体" w:eastAsia="宋体" w:cs="宋体"/>
          <w:color w:val="auto"/>
          <w:sz w:val="21"/>
          <w:szCs w:val="21"/>
          <w:highlight w:val="none"/>
        </w:rPr>
        <w:t>。</w:t>
      </w:r>
      <w:r>
        <w:rPr>
          <w:rFonts w:hint="eastAsia" w:ascii="宋体" w:hAnsi="宋体" w:eastAsia="宋体" w:cs="宋体"/>
          <w:b/>
          <w:bCs/>
          <w:color w:val="auto"/>
          <w:kern w:val="2"/>
          <w:sz w:val="21"/>
          <w:szCs w:val="21"/>
          <w:highlight w:val="none"/>
          <w:shd w:val="clear" w:color="auto" w:fill="auto"/>
          <w:lang w:val="en-US" w:eastAsia="zh-CN" w:bidi="ar-SA"/>
        </w:rPr>
        <w:t>（开标通过钉钉群直播形式进行，法定代表人或授权委托代理人无须现场参加开标）</w:t>
      </w:r>
    </w:p>
    <w:p w14:paraId="3CF1D9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highlight w:val="none"/>
        </w:rPr>
        <w:t>本项目需要投标人将</w:t>
      </w:r>
      <w:r>
        <w:rPr>
          <w:rFonts w:hint="eastAsia" w:ascii="宋体" w:hAnsi="宋体" w:eastAsia="宋体" w:cs="宋体"/>
          <w:b/>
          <w:bCs/>
          <w:color w:val="auto"/>
          <w:highlight w:val="none"/>
          <w:lang w:val="en-US" w:eastAsia="zh-CN"/>
        </w:rPr>
        <w:t>磋商响应</w:t>
      </w:r>
      <w:r>
        <w:rPr>
          <w:rFonts w:hint="eastAsia" w:ascii="宋体" w:hAnsi="宋体" w:eastAsia="宋体" w:cs="宋体"/>
          <w:b/>
          <w:bCs/>
          <w:color w:val="auto"/>
          <w:highlight w:val="none"/>
        </w:rPr>
        <w:t>文件在投标截止时间前按要求密封并顺丰邮寄到台州市椒江区中环世纪6幢801室（交通银行台州分行楼上），逾期寄达或未按要求密封将被拒收。</w:t>
      </w:r>
    </w:p>
    <w:p w14:paraId="77593D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投标保证金：</w:t>
      </w:r>
    </w:p>
    <w:p w14:paraId="6F07C8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不提交，但若投标人在投标过程中存在违规行为给采购人造成损失的，须赔偿全部损失。</w:t>
      </w:r>
    </w:p>
    <w:p w14:paraId="23F769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质疑和投诉：</w:t>
      </w:r>
    </w:p>
    <w:p w14:paraId="41699516">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供应商认为采购文件使自己的权益受到损害的，可以自收到采购文件之日（发售截止日之后收到采购文件的，以发售截止日为准）或者采购文件公告期限届满之日（</w:t>
      </w:r>
      <w:r>
        <w:rPr>
          <w:rFonts w:hint="eastAsia" w:ascii="宋体" w:hAnsi="宋体" w:eastAsia="宋体" w:cs="宋体"/>
          <w:color w:val="auto"/>
          <w:sz w:val="21"/>
          <w:szCs w:val="21"/>
          <w:highlight w:val="none"/>
        </w:rPr>
        <w:t>公告发布后的第6个工作日</w:t>
      </w:r>
      <w:r>
        <w:rPr>
          <w:rFonts w:hint="eastAsia" w:ascii="宋体" w:hAnsi="宋体" w:eastAsia="宋体" w:cs="宋体"/>
          <w:bCs/>
          <w:color w:val="auto"/>
          <w:sz w:val="21"/>
          <w:szCs w:val="21"/>
          <w:highlight w:val="none"/>
        </w:rPr>
        <w:t>）起7个工作日内且应当在采购响应截止时间之前，以书面形式向采购人和采购代理机构提出质疑。质疑供应商对采购人、采购代理机构的答复不满意或者采购人、采购代理机构未在规定的时间内作出答复的，可以在答复期满后十五个工作日内向同级监督管理部门投诉。</w:t>
      </w:r>
    </w:p>
    <w:p w14:paraId="0CDEA89D">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九、联系方式：</w:t>
      </w:r>
    </w:p>
    <w:p w14:paraId="60DAE936">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采购代理机构</w:t>
      </w:r>
    </w:p>
    <w:p w14:paraId="33374689">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采购代理机构名称：</w:t>
      </w:r>
      <w:r>
        <w:rPr>
          <w:rFonts w:hint="eastAsia" w:ascii="宋体" w:hAnsi="宋体" w:eastAsia="宋体" w:cs="宋体"/>
          <w:color w:val="auto"/>
          <w:sz w:val="21"/>
          <w:szCs w:val="21"/>
          <w:highlight w:val="none"/>
          <w:lang w:eastAsia="zh-CN"/>
        </w:rPr>
        <w:t>台州永安工程咨询有限公司</w:t>
      </w:r>
    </w:p>
    <w:p w14:paraId="303B2845">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陈</w:t>
      </w:r>
      <w:r>
        <w:rPr>
          <w:rFonts w:hint="eastAsia" w:ascii="宋体" w:hAnsi="宋体" w:eastAsia="宋体" w:cs="宋体"/>
          <w:color w:val="auto"/>
          <w:sz w:val="21"/>
          <w:szCs w:val="21"/>
          <w:highlight w:val="none"/>
        </w:rPr>
        <w:t>女士</w:t>
      </w:r>
      <w:r>
        <w:rPr>
          <w:rFonts w:hint="eastAsia" w:ascii="宋体" w:hAnsi="宋体" w:eastAsia="宋体" w:cs="宋体"/>
          <w:color w:val="auto"/>
          <w:sz w:val="21"/>
          <w:szCs w:val="21"/>
          <w:highlight w:val="none"/>
          <w:lang w:val="en-US" w:eastAsia="zh-CN"/>
        </w:rPr>
        <w:t xml:space="preserve"> </w:t>
      </w:r>
    </w:p>
    <w:p w14:paraId="2AE25CA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0576-88882270，18267677445</w:t>
      </w:r>
    </w:p>
    <w:p w14:paraId="470733E7">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传真：0576-88882270；</w:t>
      </w:r>
    </w:p>
    <w:p w14:paraId="0D9A37F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质疑接收人：</w:t>
      </w:r>
      <w:r>
        <w:rPr>
          <w:rFonts w:hint="eastAsia" w:ascii="宋体" w:hAnsi="宋体" w:eastAsia="宋体" w:cs="宋体"/>
          <w:color w:val="auto"/>
          <w:sz w:val="21"/>
          <w:szCs w:val="21"/>
          <w:highlight w:val="none"/>
          <w:lang w:val="en-US" w:eastAsia="zh-CN"/>
        </w:rPr>
        <w:t>叶先生</w:t>
      </w:r>
    </w:p>
    <w:p w14:paraId="3D52554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13857637980</w:t>
      </w:r>
    </w:p>
    <w:p w14:paraId="6DE5F18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台州市椒江区中环世纪6幢801室（交通银行台州分行楼上）</w:t>
      </w:r>
    </w:p>
    <w:p w14:paraId="0106A07F">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 xml:space="preserve">采购人 </w:t>
      </w:r>
    </w:p>
    <w:p w14:paraId="763A62E7">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lang w:eastAsia="zh-CN"/>
        </w:rPr>
        <w:t>台州市生态环境局路桥分局</w:t>
      </w:r>
    </w:p>
    <w:p w14:paraId="72FF9C9A">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联系人：戴女士</w:t>
      </w:r>
    </w:p>
    <w:p w14:paraId="41260BD4">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联系电话：0576-82424907</w:t>
      </w:r>
    </w:p>
    <w:p w14:paraId="1C59E51E">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采购人地址：台州市路桥区月河北街1号洋张大楼</w:t>
      </w:r>
    </w:p>
    <w:p w14:paraId="397A6FF9">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3、同级采购监管机构</w:t>
      </w:r>
    </w:p>
    <w:p w14:paraId="3C6BEDC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名称：台州市生态环境局路桥分局</w:t>
      </w:r>
    </w:p>
    <w:p w14:paraId="214864A3">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联系人：杨先生</w:t>
      </w:r>
    </w:p>
    <w:p w14:paraId="59CAE82F">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联系电话：0576-82409160</w:t>
      </w:r>
    </w:p>
    <w:p w14:paraId="396EED4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采购人地址：台州市路桥区月河北街1号洋张大楼</w:t>
      </w:r>
    </w:p>
    <w:p w14:paraId="5913AE4B">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备注：请贵单位领取本次磋商文件后，认真阅读各项内容，进行必要的准备工作，按文件的要求详细填写和编制响应文件，并按以上确定的时间、地点准时参加投标。</w:t>
      </w:r>
    </w:p>
    <w:p w14:paraId="76BCB413">
      <w:pPr>
        <w:keepNext w:val="0"/>
        <w:keepLines w:val="0"/>
        <w:pageBreakBefore w:val="0"/>
        <w:kinsoku/>
        <w:wordWrap/>
        <w:overflowPunct/>
        <w:topLinePunct w:val="0"/>
        <w:bidi w:val="0"/>
        <w:spacing w:line="240" w:lineRule="auto"/>
        <w:jc w:val="right"/>
        <w:textAlignment w:val="auto"/>
        <w:outlineLvl w:val="9"/>
        <w:rPr>
          <w:rFonts w:hint="eastAsia" w:ascii="宋体" w:hAnsi="宋体" w:eastAsia="宋体" w:cs="宋体"/>
          <w:color w:val="auto"/>
          <w:sz w:val="21"/>
          <w:szCs w:val="21"/>
          <w:highlight w:val="none"/>
          <w:lang w:eastAsia="zh-CN"/>
        </w:rPr>
      </w:pPr>
    </w:p>
    <w:p w14:paraId="732E41CA">
      <w:pPr>
        <w:keepNext w:val="0"/>
        <w:keepLines w:val="0"/>
        <w:pageBreakBefore w:val="0"/>
        <w:kinsoku/>
        <w:wordWrap/>
        <w:overflowPunct/>
        <w:topLinePunct w:val="0"/>
        <w:bidi w:val="0"/>
        <w:spacing w:line="240" w:lineRule="auto"/>
        <w:jc w:val="righ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台州永安工程咨询有限公司</w:t>
      </w:r>
    </w:p>
    <w:p w14:paraId="6F198724">
      <w:pPr>
        <w:pStyle w:val="2"/>
        <w:keepNext w:val="0"/>
        <w:keepLines w:val="0"/>
        <w:pageBreakBefore w:val="0"/>
        <w:kinsoku/>
        <w:wordWrap/>
        <w:overflowPunct/>
        <w:topLinePunct w:val="0"/>
        <w:bidi w:val="0"/>
        <w:jc w:val="right"/>
        <w:textAlignment w:val="auto"/>
        <w:outlineLvl w:val="9"/>
        <w:rPr>
          <w:rFonts w:hint="eastAsia" w:ascii="宋体" w:hAnsi="宋体" w:eastAsia="宋体" w:cs="宋体"/>
          <w:b/>
          <w:color w:val="auto"/>
          <w:sz w:val="36"/>
          <w:szCs w:val="36"/>
          <w:highlight w:val="none"/>
          <w:lang w:val="en-US" w:eastAsia="zh-CN"/>
        </w:rPr>
        <w:sectPr>
          <w:footerReference r:id="rId6" w:type="first"/>
          <w:footerReference r:id="rId5" w:type="default"/>
          <w:footnotePr>
            <w:numRestart w:val="eachPage"/>
          </w:footnotePr>
          <w:endnotePr>
            <w:numRestart w:val="eachSect"/>
          </w:endnotePr>
          <w:pgSz w:w="11907" w:h="16840"/>
          <w:pgMar w:top="1418" w:right="1418" w:bottom="1418" w:left="1588" w:header="851" w:footer="839" w:gutter="0"/>
          <w:pgBorders>
            <w:top w:val="none" w:sz="0" w:space="0"/>
            <w:left w:val="none" w:sz="0" w:space="0"/>
            <w:bottom w:val="none" w:sz="0" w:space="0"/>
            <w:right w:val="none" w:sz="0" w:space="0"/>
          </w:pgBorders>
          <w:pgNumType w:fmt="decimal"/>
          <w:cols w:space="720" w:num="1"/>
          <w:docGrid w:linePitch="435" w:charSpace="-6554"/>
        </w:sectPr>
      </w:pPr>
      <w:r>
        <w:rPr>
          <w:rFonts w:hint="eastAsia" w:ascii="宋体" w:hAnsi="宋体" w:cs="宋体"/>
          <w:color w:val="auto"/>
          <w:sz w:val="21"/>
          <w:szCs w:val="21"/>
          <w:highlight w:val="none"/>
          <w:lang w:eastAsia="zh-CN"/>
        </w:rPr>
        <w:t>二○二五年十一月</w:t>
      </w:r>
    </w:p>
    <w:p w14:paraId="0D74288E">
      <w:pPr>
        <w:numPr>
          <w:ilvl w:val="0"/>
          <w:numId w:val="0"/>
        </w:num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val="en-US" w:eastAsia="zh-CN"/>
        </w:rPr>
        <w:t xml:space="preserve">第二章 </w:t>
      </w:r>
      <w:r>
        <w:rPr>
          <w:rFonts w:hint="eastAsia" w:ascii="宋体" w:hAnsi="宋体" w:eastAsia="宋体" w:cs="宋体"/>
          <w:b/>
          <w:color w:val="auto"/>
          <w:sz w:val="36"/>
          <w:szCs w:val="36"/>
          <w:highlight w:val="none"/>
          <w:lang w:eastAsia="zh-CN"/>
        </w:rPr>
        <w:t>供应商须知</w:t>
      </w:r>
    </w:p>
    <w:p w14:paraId="0270072D">
      <w:pPr>
        <w:keepNext w:val="0"/>
        <w:keepLines w:val="0"/>
        <w:pageBreakBefore w:val="0"/>
        <w:kinsoku/>
        <w:wordWrap/>
        <w:topLinePunct w:val="0"/>
        <w:bidi w:val="0"/>
        <w:spacing w:line="360" w:lineRule="auto"/>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前</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附</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表</w:t>
      </w:r>
    </w:p>
    <w:tbl>
      <w:tblPr>
        <w:tblStyle w:val="22"/>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088"/>
        <w:gridCol w:w="6306"/>
      </w:tblGrid>
      <w:tr w14:paraId="2BD8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0AB4752">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588032B7">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    目</w:t>
            </w:r>
          </w:p>
        </w:tc>
        <w:tc>
          <w:tcPr>
            <w:tcW w:w="6306" w:type="dxa"/>
            <w:tcBorders>
              <w:top w:val="single" w:color="auto" w:sz="4" w:space="0"/>
              <w:left w:val="single" w:color="auto" w:sz="4" w:space="0"/>
              <w:bottom w:val="single" w:color="auto" w:sz="4" w:space="0"/>
              <w:right w:val="single" w:color="auto" w:sz="4" w:space="0"/>
            </w:tcBorders>
            <w:noWrap w:val="0"/>
            <w:vAlign w:val="center"/>
          </w:tcPr>
          <w:p w14:paraId="3A2494D0">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                 容</w:t>
            </w:r>
          </w:p>
        </w:tc>
      </w:tr>
      <w:tr w14:paraId="225D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086DC0CA">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09BD5F10">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供应商特定资格要求</w:t>
            </w:r>
          </w:p>
        </w:tc>
        <w:tc>
          <w:tcPr>
            <w:tcW w:w="6306" w:type="dxa"/>
            <w:tcBorders>
              <w:top w:val="single" w:color="auto" w:sz="4" w:space="0"/>
              <w:left w:val="single" w:color="auto" w:sz="4" w:space="0"/>
              <w:bottom w:val="single" w:color="auto" w:sz="4" w:space="0"/>
              <w:right w:val="single" w:color="auto" w:sz="4" w:space="0"/>
            </w:tcBorders>
            <w:noWrap w:val="0"/>
            <w:vAlign w:val="center"/>
          </w:tcPr>
          <w:p w14:paraId="25A0BAB5">
            <w:pPr>
              <w:keepNext w:val="0"/>
              <w:keepLines w:val="0"/>
              <w:pageBreakBefore w:val="0"/>
              <w:kinsoku/>
              <w:wordWrap/>
              <w:topLinePunct w:val="0"/>
              <w:bidi w:val="0"/>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竞争性磋商公告</w:t>
            </w:r>
            <w:r>
              <w:rPr>
                <w:rFonts w:hint="eastAsia" w:ascii="宋体" w:hAnsi="宋体" w:eastAsia="宋体" w:cs="宋体"/>
                <w:color w:val="auto"/>
                <w:sz w:val="21"/>
                <w:szCs w:val="21"/>
                <w:highlight w:val="none"/>
              </w:rPr>
              <w:t>资格要求的供应商</w:t>
            </w:r>
          </w:p>
        </w:tc>
      </w:tr>
      <w:tr w14:paraId="35A5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EB4E6C7">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690CCF87">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答疑会或现场踏勘</w:t>
            </w:r>
          </w:p>
        </w:tc>
        <w:tc>
          <w:tcPr>
            <w:tcW w:w="6306" w:type="dxa"/>
            <w:tcBorders>
              <w:top w:val="single" w:color="auto" w:sz="4" w:space="0"/>
              <w:left w:val="single" w:color="auto" w:sz="4" w:space="0"/>
              <w:bottom w:val="single" w:color="auto" w:sz="4" w:space="0"/>
              <w:right w:val="single" w:color="auto" w:sz="4" w:space="0"/>
            </w:tcBorders>
            <w:noWrap w:val="0"/>
            <w:vAlign w:val="center"/>
          </w:tcPr>
          <w:p w14:paraId="5774CDF4">
            <w:pPr>
              <w:keepNext w:val="0"/>
              <w:keepLines w:val="0"/>
              <w:pageBreakBefore w:val="0"/>
              <w:kinsoku/>
              <w:wordWrap/>
              <w:topLinePunct w:val="0"/>
              <w:bidi w:val="0"/>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60AA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B2AB2D6">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4567EBBD">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磋商响应文件</w:t>
            </w:r>
            <w:r>
              <w:rPr>
                <w:rFonts w:hint="eastAsia" w:ascii="宋体" w:hAnsi="宋体" w:eastAsia="宋体" w:cs="宋体"/>
                <w:color w:val="auto"/>
                <w:sz w:val="21"/>
                <w:szCs w:val="21"/>
                <w:highlight w:val="none"/>
              </w:rPr>
              <w:t>包装要求</w:t>
            </w:r>
          </w:p>
        </w:tc>
        <w:tc>
          <w:tcPr>
            <w:tcW w:w="6306" w:type="dxa"/>
            <w:tcBorders>
              <w:top w:val="single" w:color="auto" w:sz="4" w:space="0"/>
              <w:left w:val="single" w:color="auto" w:sz="4" w:space="0"/>
              <w:bottom w:val="single" w:color="auto" w:sz="4" w:space="0"/>
              <w:right w:val="single" w:color="auto" w:sz="4" w:space="0"/>
            </w:tcBorders>
            <w:noWrap w:val="0"/>
            <w:vAlign w:val="center"/>
          </w:tcPr>
          <w:p w14:paraId="31B3985D">
            <w:pPr>
              <w:keepNext w:val="0"/>
              <w:keepLines w:val="0"/>
              <w:pageBreakBefore w:val="0"/>
              <w:kinsoku/>
              <w:wordWrap/>
              <w:topLinePunct w:val="0"/>
              <w:bidi w:val="0"/>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资格证明文件正本一份、副本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份，商务与技术文件正本一份、副本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份，报价文件正本一份、副本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份。</w:t>
            </w:r>
            <w:r>
              <w:rPr>
                <w:rFonts w:hint="eastAsia" w:ascii="宋体" w:hAnsi="宋体" w:eastAsia="宋体" w:cs="宋体"/>
                <w:color w:val="auto"/>
                <w:sz w:val="21"/>
                <w:szCs w:val="21"/>
                <w:highlight w:val="none"/>
                <w:lang w:val="en-US" w:eastAsia="zh-CN"/>
              </w:rPr>
              <w:t>各自</w:t>
            </w:r>
            <w:r>
              <w:rPr>
                <w:rFonts w:hint="eastAsia" w:ascii="宋体" w:hAnsi="宋体" w:eastAsia="宋体" w:cs="宋体"/>
                <w:color w:val="auto"/>
                <w:sz w:val="21"/>
                <w:szCs w:val="21"/>
                <w:highlight w:val="none"/>
                <w:lang w:eastAsia="zh-CN"/>
              </w:rPr>
              <w:t>密封包装。</w:t>
            </w:r>
          </w:p>
        </w:tc>
      </w:tr>
      <w:tr w14:paraId="219D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203A327E">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0B9B6BF0">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磋商响应文件有效期</w:t>
            </w:r>
          </w:p>
        </w:tc>
        <w:tc>
          <w:tcPr>
            <w:tcW w:w="6306" w:type="dxa"/>
            <w:tcBorders>
              <w:top w:val="single" w:color="auto" w:sz="4" w:space="0"/>
              <w:left w:val="single" w:color="auto" w:sz="4" w:space="0"/>
              <w:bottom w:val="single" w:color="auto" w:sz="4" w:space="0"/>
              <w:right w:val="single" w:color="auto" w:sz="4" w:space="0"/>
            </w:tcBorders>
            <w:noWrap w:val="0"/>
            <w:vAlign w:val="center"/>
          </w:tcPr>
          <w:p w14:paraId="0CD63CAE">
            <w:pPr>
              <w:keepNext w:val="0"/>
              <w:keepLines w:val="0"/>
              <w:pageBreakBefore w:val="0"/>
              <w:kinsoku/>
              <w:wordWrap/>
              <w:topLinePunct w:val="0"/>
              <w:bidi w:val="0"/>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磋商响应有效期为磋商后90天，磋商响应</w:t>
            </w:r>
            <w:r>
              <w:rPr>
                <w:rFonts w:hint="eastAsia" w:ascii="宋体" w:hAnsi="宋体" w:eastAsia="宋体" w:cs="宋体"/>
                <w:color w:val="auto"/>
                <w:kern w:val="0"/>
                <w:sz w:val="21"/>
                <w:szCs w:val="21"/>
                <w:highlight w:val="none"/>
              </w:rPr>
              <w:t>有效期从提交</w:t>
            </w:r>
            <w:r>
              <w:rPr>
                <w:rFonts w:hint="eastAsia" w:ascii="宋体" w:hAnsi="宋体" w:eastAsia="宋体" w:cs="宋体"/>
                <w:color w:val="auto"/>
                <w:sz w:val="21"/>
                <w:szCs w:val="21"/>
                <w:highlight w:val="none"/>
              </w:rPr>
              <w:t>磋商响应</w:t>
            </w:r>
            <w:r>
              <w:rPr>
                <w:rFonts w:hint="eastAsia" w:ascii="宋体" w:hAnsi="宋体" w:eastAsia="宋体" w:cs="宋体"/>
                <w:color w:val="auto"/>
                <w:kern w:val="0"/>
                <w:sz w:val="21"/>
                <w:szCs w:val="21"/>
                <w:highlight w:val="none"/>
              </w:rPr>
              <w:t>文件的截止之日起算。</w:t>
            </w:r>
          </w:p>
        </w:tc>
      </w:tr>
      <w:tr w14:paraId="6106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96E9B1A">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5AC8F8A2">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磋商响应文件递交</w:t>
            </w:r>
          </w:p>
        </w:tc>
        <w:tc>
          <w:tcPr>
            <w:tcW w:w="6306" w:type="dxa"/>
            <w:tcBorders>
              <w:top w:val="single" w:color="auto" w:sz="4" w:space="0"/>
              <w:left w:val="single" w:color="auto" w:sz="4" w:space="0"/>
              <w:bottom w:val="single" w:color="auto" w:sz="4" w:space="0"/>
              <w:right w:val="single" w:color="auto" w:sz="4" w:space="0"/>
            </w:tcBorders>
            <w:noWrap w:val="0"/>
            <w:vAlign w:val="center"/>
          </w:tcPr>
          <w:p w14:paraId="7EA71186">
            <w:pPr>
              <w:keepNext w:val="0"/>
              <w:keepLines w:val="0"/>
              <w:pageBreakBefore w:val="0"/>
              <w:kinsoku/>
              <w:wordWrap/>
              <w:topLinePunct w:val="0"/>
              <w:bidi w:val="0"/>
              <w:spacing w:line="24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截止时间：</w:t>
            </w:r>
            <w:r>
              <w:rPr>
                <w:rFonts w:hint="eastAsia" w:ascii="宋体" w:hAnsi="宋体" w:cs="宋体"/>
                <w:color w:val="auto"/>
                <w:sz w:val="21"/>
                <w:szCs w:val="21"/>
                <w:highlight w:val="none"/>
                <w:lang w:eastAsia="zh-CN"/>
              </w:rPr>
              <w:t>2025年月日</w:t>
            </w:r>
            <w:r>
              <w:rPr>
                <w:rFonts w:hint="eastAsia" w:ascii="宋体" w:hAnsi="宋体" w:eastAsia="宋体" w:cs="宋体"/>
                <w:color w:val="auto"/>
                <w:sz w:val="21"/>
                <w:szCs w:val="21"/>
                <w:highlight w:val="none"/>
                <w:lang w:eastAsia="zh-CN"/>
              </w:rPr>
              <w:t>14:00整</w:t>
            </w:r>
            <w:r>
              <w:rPr>
                <w:rFonts w:hint="eastAsia" w:ascii="宋体" w:hAnsi="宋体" w:eastAsia="宋体" w:cs="宋体"/>
                <w:color w:val="auto"/>
                <w:sz w:val="21"/>
                <w:szCs w:val="21"/>
                <w:highlight w:val="none"/>
                <w:lang w:val="en-US" w:eastAsia="zh-CN"/>
              </w:rPr>
              <w:t>（北京时间）</w:t>
            </w:r>
          </w:p>
          <w:p w14:paraId="23DE71CB">
            <w:pPr>
              <w:keepNext w:val="0"/>
              <w:keepLines w:val="0"/>
              <w:pageBreakBefore w:val="0"/>
              <w:numPr>
                <w:ilvl w:val="0"/>
                <w:numId w:val="0"/>
              </w:numPr>
              <w:kinsoku/>
              <w:wordWrap/>
              <w:overflowPunct/>
              <w:topLinePunct w:val="0"/>
              <w:bidi w:val="0"/>
              <w:spacing w:line="240" w:lineRule="auto"/>
              <w:ind w:right="-159" w:rightChars="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highlight w:val="none"/>
              </w:rPr>
              <w:t>本项目需要投标人将</w:t>
            </w:r>
            <w:r>
              <w:rPr>
                <w:rFonts w:hint="eastAsia" w:ascii="宋体" w:hAnsi="宋体" w:eastAsia="宋体" w:cs="宋体"/>
                <w:b w:val="0"/>
                <w:bCs w:val="0"/>
                <w:color w:val="auto"/>
                <w:highlight w:val="none"/>
                <w:lang w:val="en-US" w:eastAsia="zh-CN"/>
              </w:rPr>
              <w:t>磋商响应</w:t>
            </w:r>
            <w:r>
              <w:rPr>
                <w:rFonts w:hint="eastAsia" w:ascii="宋体" w:hAnsi="宋体" w:eastAsia="宋体" w:cs="宋体"/>
                <w:b w:val="0"/>
                <w:bCs w:val="0"/>
                <w:color w:val="auto"/>
                <w:highlight w:val="none"/>
              </w:rPr>
              <w:t>文件在投标截止时间前按要求密封并顺丰邮寄到台州市椒江区中环世纪6幢801室（交通银行台州分行楼上），逾期寄达或未按要求密封将被拒收。</w:t>
            </w:r>
          </w:p>
        </w:tc>
      </w:tr>
      <w:tr w14:paraId="635B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37194CA5">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73CC6496">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磋商时间及地点</w:t>
            </w:r>
          </w:p>
        </w:tc>
        <w:tc>
          <w:tcPr>
            <w:tcW w:w="6306" w:type="dxa"/>
            <w:tcBorders>
              <w:top w:val="single" w:color="auto" w:sz="4" w:space="0"/>
              <w:left w:val="single" w:color="auto" w:sz="4" w:space="0"/>
              <w:bottom w:val="single" w:color="auto" w:sz="4" w:space="0"/>
              <w:right w:val="single" w:color="auto" w:sz="4" w:space="0"/>
            </w:tcBorders>
            <w:noWrap w:val="0"/>
            <w:vAlign w:val="center"/>
          </w:tcPr>
          <w:p w14:paraId="07478156">
            <w:pPr>
              <w:keepNext w:val="0"/>
              <w:keepLines w:val="0"/>
              <w:pageBreakBefore w:val="0"/>
              <w:kinsoku/>
              <w:wordWrap/>
              <w:topLinePunct w:val="0"/>
              <w:bidi w:val="0"/>
              <w:spacing w:line="24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2025年月日</w:t>
            </w:r>
            <w:r>
              <w:rPr>
                <w:rFonts w:hint="eastAsia" w:ascii="宋体" w:hAnsi="宋体" w:eastAsia="宋体" w:cs="宋体"/>
                <w:color w:val="auto"/>
                <w:sz w:val="21"/>
                <w:szCs w:val="21"/>
                <w:highlight w:val="none"/>
                <w:lang w:eastAsia="zh-CN"/>
              </w:rPr>
              <w:t>14:00整</w:t>
            </w:r>
            <w:r>
              <w:rPr>
                <w:rFonts w:hint="eastAsia" w:ascii="宋体" w:hAnsi="宋体" w:eastAsia="宋体" w:cs="宋体"/>
                <w:color w:val="auto"/>
                <w:sz w:val="21"/>
                <w:szCs w:val="21"/>
                <w:highlight w:val="none"/>
                <w:lang w:val="en-US" w:eastAsia="zh-CN"/>
              </w:rPr>
              <w:t>（北京时间）</w:t>
            </w:r>
          </w:p>
          <w:p w14:paraId="61F847B9">
            <w:pPr>
              <w:keepNext w:val="0"/>
              <w:keepLines w:val="0"/>
              <w:pageBreakBefore w:val="0"/>
              <w:kinsoku/>
              <w:wordWrap/>
              <w:topLinePunct w:val="0"/>
              <w:bidi w:val="0"/>
              <w:spacing w:line="24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kern w:val="2"/>
                <w:sz w:val="21"/>
                <w:szCs w:val="21"/>
                <w:highlight w:val="none"/>
                <w:lang w:val="en-US" w:eastAsia="zh-CN" w:bidi="ar-SA"/>
              </w:rPr>
              <w:t>路桥区政府采购中心（台州市路桥区财富大道999号 商城国际5楼）</w:t>
            </w:r>
            <w:r>
              <w:rPr>
                <w:rFonts w:hint="eastAsia" w:ascii="宋体" w:hAnsi="宋体" w:eastAsia="宋体" w:cs="宋体"/>
                <w:b/>
                <w:bCs/>
                <w:color w:val="auto"/>
                <w:kern w:val="2"/>
                <w:sz w:val="21"/>
                <w:szCs w:val="21"/>
                <w:highlight w:val="none"/>
                <w:shd w:val="clear" w:color="auto" w:fill="auto"/>
                <w:lang w:val="en-US" w:eastAsia="zh-CN" w:bidi="ar-SA"/>
              </w:rPr>
              <w:t>（开标通过钉钉群直播形式进行，法定代表人或授权委托代理人无须现场参加开标）</w:t>
            </w:r>
          </w:p>
        </w:tc>
      </w:tr>
      <w:tr w14:paraId="6DA1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5CB9760F">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3E65D220">
            <w:pPr>
              <w:keepNext w:val="0"/>
              <w:keepLines w:val="0"/>
              <w:pageBreakBefore w:val="0"/>
              <w:kinsoku/>
              <w:wordWrap/>
              <w:topLinePunct w:val="0"/>
              <w:bidi w:val="0"/>
              <w:spacing w:line="24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保证金</w:t>
            </w:r>
          </w:p>
        </w:tc>
        <w:tc>
          <w:tcPr>
            <w:tcW w:w="6306" w:type="dxa"/>
            <w:tcBorders>
              <w:top w:val="single" w:color="auto" w:sz="4" w:space="0"/>
              <w:left w:val="single" w:color="auto" w:sz="4" w:space="0"/>
              <w:bottom w:val="single" w:color="auto" w:sz="4" w:space="0"/>
              <w:right w:val="single" w:color="auto" w:sz="4" w:space="0"/>
            </w:tcBorders>
            <w:noWrap w:val="0"/>
            <w:vAlign w:val="center"/>
          </w:tcPr>
          <w:p w14:paraId="5C67D3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不提交，但若投标人在投标过程中存在违规行为给采购人造成损失的，须赔偿全部损失。</w:t>
            </w:r>
          </w:p>
        </w:tc>
      </w:tr>
      <w:tr w14:paraId="6CFE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21761198">
            <w:pPr>
              <w:keepNext w:val="0"/>
              <w:keepLines w:val="0"/>
              <w:pageBreakBefore w:val="0"/>
              <w:kinsoku/>
              <w:wordWrap/>
              <w:topLinePunct w:val="0"/>
              <w:bidi w:val="0"/>
              <w:spacing w:line="24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1D4F5295">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6306" w:type="dxa"/>
            <w:tcBorders>
              <w:top w:val="single" w:color="auto" w:sz="4" w:space="0"/>
              <w:left w:val="single" w:color="auto" w:sz="4" w:space="0"/>
              <w:bottom w:val="single" w:color="auto" w:sz="4" w:space="0"/>
              <w:right w:val="single" w:color="auto" w:sz="4" w:space="0"/>
            </w:tcBorders>
            <w:noWrap w:val="0"/>
            <w:vAlign w:val="center"/>
          </w:tcPr>
          <w:p w14:paraId="066EFF99">
            <w:pPr>
              <w:keepNext w:val="0"/>
              <w:keepLines w:val="0"/>
              <w:pageBreakBefore w:val="0"/>
              <w:kinsoku/>
              <w:wordWrap/>
              <w:topLinePunct w:val="0"/>
              <w:bidi w:val="0"/>
              <w:spacing w:line="240" w:lineRule="auto"/>
              <w:jc w:val="left"/>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1、踏勘现场时间及地点：不组织，各投标单位根据自己需要，自行前往勘察现场和周围环境，所产生的费用由投标单位自理。2、样品：无要求；3、现场演示：</w:t>
            </w:r>
            <w:r>
              <w:rPr>
                <w:rFonts w:hint="eastAsia" w:ascii="宋体" w:hAnsi="宋体" w:eastAsia="宋体" w:cs="宋体"/>
                <w:b w:val="0"/>
                <w:bCs/>
                <w:color w:val="auto"/>
                <w:kern w:val="0"/>
                <w:sz w:val="21"/>
                <w:szCs w:val="21"/>
                <w:highlight w:val="none"/>
                <w:lang w:val="en-US" w:eastAsia="zh-CN"/>
              </w:rPr>
              <w:t>无要求</w:t>
            </w:r>
          </w:p>
        </w:tc>
      </w:tr>
      <w:tr w14:paraId="1BC9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7AE310F8">
            <w:pPr>
              <w:keepNext w:val="0"/>
              <w:keepLines w:val="0"/>
              <w:pageBreakBefore w:val="0"/>
              <w:kinsoku/>
              <w:wordWrap/>
              <w:topLinePunct w:val="0"/>
              <w:bidi w:val="0"/>
              <w:spacing w:line="24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6AA200D8">
            <w:pPr>
              <w:keepNext w:val="0"/>
              <w:keepLines w:val="0"/>
              <w:pageBreakBefore w:val="0"/>
              <w:kinsoku/>
              <w:wordWrap/>
              <w:topLinePunct w:val="0"/>
              <w:autoSpaceDE w:val="0"/>
              <w:autoSpaceDN w:val="0"/>
              <w:bidi w:val="0"/>
              <w:adjustRightInd w:val="0"/>
              <w:spacing w:line="240" w:lineRule="auto"/>
              <w:jc w:val="center"/>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实质性条款</w:t>
            </w:r>
          </w:p>
        </w:tc>
        <w:tc>
          <w:tcPr>
            <w:tcW w:w="6306" w:type="dxa"/>
            <w:tcBorders>
              <w:top w:val="single" w:color="auto" w:sz="4" w:space="0"/>
              <w:left w:val="single" w:color="auto" w:sz="4" w:space="0"/>
              <w:bottom w:val="single" w:color="auto" w:sz="4" w:space="0"/>
              <w:right w:val="single" w:color="auto" w:sz="4" w:space="0"/>
            </w:tcBorders>
            <w:noWrap w:val="0"/>
            <w:vAlign w:val="center"/>
          </w:tcPr>
          <w:p w14:paraId="4C7AB827">
            <w:pPr>
              <w:keepNext w:val="0"/>
              <w:keepLines w:val="0"/>
              <w:pageBreakBefore w:val="0"/>
              <w:kinsoku/>
              <w:wordWrap/>
              <w:topLinePunct w:val="0"/>
              <w:autoSpaceDE w:val="0"/>
              <w:autoSpaceDN w:val="0"/>
              <w:bidi w:val="0"/>
              <w:adjustRightInd w:val="0"/>
              <w:spacing w:line="240" w:lineRule="auto"/>
              <w:jc w:val="left"/>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带“</w:t>
            </w:r>
            <w:r>
              <w:rPr>
                <w:rFonts w:hint="eastAsia" w:ascii="宋体" w:hAnsi="宋体" w:eastAsia="宋体" w:cs="宋体"/>
                <w:bCs/>
                <w:color w:val="auto"/>
                <w:sz w:val="21"/>
                <w:szCs w:val="21"/>
                <w:highlight w:val="none"/>
              </w:rPr>
              <w:t>▲”的条款是实质性条款，磋商</w:t>
            </w:r>
            <w:r>
              <w:rPr>
                <w:rFonts w:hint="eastAsia" w:ascii="宋体" w:hAnsi="宋体" w:eastAsia="宋体" w:cs="宋体"/>
                <w:color w:val="auto"/>
                <w:sz w:val="21"/>
                <w:szCs w:val="21"/>
                <w:highlight w:val="none"/>
              </w:rPr>
              <w:t>响应</w:t>
            </w:r>
            <w:r>
              <w:rPr>
                <w:rFonts w:hint="eastAsia" w:ascii="宋体" w:hAnsi="宋体" w:eastAsia="宋体" w:cs="宋体"/>
                <w:bCs/>
                <w:color w:val="auto"/>
                <w:sz w:val="21"/>
                <w:szCs w:val="21"/>
                <w:highlight w:val="none"/>
              </w:rPr>
              <w:t>文件须作出实质性响应</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否则终止磋商。</w:t>
            </w:r>
          </w:p>
        </w:tc>
      </w:tr>
      <w:tr w14:paraId="2A56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62CCAFAC">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5FCBD60A">
            <w:pPr>
              <w:keepNext w:val="0"/>
              <w:keepLines w:val="0"/>
              <w:pageBreakBefore w:val="0"/>
              <w:kinsoku/>
              <w:wordWrap/>
              <w:topLinePunct w:val="0"/>
              <w:bidi w:val="0"/>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解释权</w:t>
            </w:r>
          </w:p>
        </w:tc>
        <w:tc>
          <w:tcPr>
            <w:tcW w:w="6306" w:type="dxa"/>
            <w:tcBorders>
              <w:top w:val="single" w:color="auto" w:sz="4" w:space="0"/>
              <w:left w:val="single" w:color="auto" w:sz="4" w:space="0"/>
              <w:bottom w:val="single" w:color="auto" w:sz="4" w:space="0"/>
              <w:right w:val="single" w:color="auto" w:sz="4" w:space="0"/>
            </w:tcBorders>
            <w:noWrap w:val="0"/>
            <w:vAlign w:val="center"/>
          </w:tcPr>
          <w:p w14:paraId="0F151CF9">
            <w:pPr>
              <w:keepNext w:val="0"/>
              <w:keepLines w:val="0"/>
              <w:pageBreakBefore w:val="0"/>
              <w:kinsoku/>
              <w:wordWrap/>
              <w:topLinePunct w:val="0"/>
              <w:bidi w:val="0"/>
              <w:spacing w:line="24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的解释权属于</w:t>
            </w:r>
            <w:r>
              <w:rPr>
                <w:rFonts w:hint="eastAsia" w:ascii="宋体" w:hAnsi="宋体" w:eastAsia="宋体" w:cs="宋体"/>
                <w:b/>
                <w:color w:val="auto"/>
                <w:szCs w:val="21"/>
                <w:highlight w:val="none"/>
              </w:rPr>
              <w:t>台州永安工程咨询有限公司</w:t>
            </w:r>
          </w:p>
        </w:tc>
      </w:tr>
    </w:tbl>
    <w:p w14:paraId="024759C5">
      <w:pPr>
        <w:keepNext w:val="0"/>
        <w:keepLines w:val="0"/>
        <w:pageBreakBefore w:val="0"/>
        <w:kinsoku/>
        <w:wordWrap/>
        <w:topLinePunct w:val="0"/>
        <w:bidi w:val="0"/>
        <w:spacing w:line="360" w:lineRule="auto"/>
        <w:outlineLvl w:val="9"/>
        <w:rPr>
          <w:rFonts w:hint="eastAsia" w:ascii="宋体" w:hAnsi="宋体" w:eastAsia="宋体" w:cs="宋体"/>
          <w:b/>
          <w:bCs/>
          <w:color w:val="auto"/>
          <w:sz w:val="21"/>
          <w:szCs w:val="21"/>
          <w:highlight w:val="none"/>
        </w:rPr>
      </w:pPr>
    </w:p>
    <w:p w14:paraId="7EAA09DC">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一、总则</w:t>
      </w:r>
    </w:p>
    <w:p w14:paraId="59D00639">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 适用范围</w:t>
      </w:r>
    </w:p>
    <w:p w14:paraId="52B6B9B0">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本磋商文件适用于本次项目的磋商、</w:t>
      </w:r>
      <w:r>
        <w:rPr>
          <w:rFonts w:hint="eastAsia" w:ascii="宋体" w:hAnsi="宋体" w:eastAsia="宋体" w:cs="宋体"/>
          <w:color w:val="auto"/>
          <w:sz w:val="21"/>
          <w:szCs w:val="21"/>
          <w:highlight w:val="none"/>
          <w:lang w:eastAsia="zh-CN"/>
        </w:rPr>
        <w:t>评审、确定成交供应商</w:t>
      </w:r>
      <w:r>
        <w:rPr>
          <w:rFonts w:hint="eastAsia" w:ascii="宋体" w:hAnsi="宋体" w:eastAsia="宋体" w:cs="宋体"/>
          <w:color w:val="auto"/>
          <w:sz w:val="21"/>
          <w:szCs w:val="21"/>
          <w:highlight w:val="none"/>
        </w:rPr>
        <w:t>、验收、合同履约、付款等行为（法律、法规另有规定的，从其规定）。</w:t>
      </w:r>
    </w:p>
    <w:p w14:paraId="233DBC44">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（二）定义</w:t>
      </w:r>
    </w:p>
    <w:p w14:paraId="3270BFEB">
      <w:pPr>
        <w:keepNext w:val="0"/>
        <w:keepLines w:val="0"/>
        <w:pageBreakBefore w:val="0"/>
        <w:widowControl w:val="0"/>
        <w:tabs>
          <w:tab w:val="left" w:pos="0"/>
          <w:tab w:val="left" w:pos="851"/>
        </w:tabs>
        <w:kinsoku/>
        <w:wordWrap/>
        <w:overflowPunct/>
        <w:topLinePunct w:val="0"/>
        <w:autoSpaceDE/>
        <w:autoSpaceDN/>
        <w:bidi w:val="0"/>
        <w:adjustRightInd/>
        <w:snapToGrid/>
        <w:spacing w:before="0" w:after="0" w:line="360" w:lineRule="auto"/>
        <w:ind w:left="0" w:leftChars="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b w:val="0"/>
          <w:bCs w:val="0"/>
          <w:color w:val="auto"/>
          <w:kern w:val="2"/>
          <w:sz w:val="21"/>
          <w:szCs w:val="21"/>
          <w:highlight w:val="none"/>
          <w:lang w:val="zh-CN" w:eastAsia="zh-CN" w:bidi="ar-SA"/>
        </w:rPr>
        <w:t>“采购组织机构”指采购人委托组织磋商的集中采购机构或采购代理机构。</w:t>
      </w:r>
    </w:p>
    <w:p w14:paraId="599111A0">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2、采购人：是指委托</w:t>
      </w:r>
      <w:r>
        <w:rPr>
          <w:rFonts w:hint="eastAsia" w:ascii="宋体" w:hAnsi="宋体" w:eastAsia="宋体" w:cs="宋体"/>
          <w:b w:val="0"/>
          <w:bCs w:val="0"/>
          <w:color w:val="auto"/>
          <w:kern w:val="2"/>
          <w:sz w:val="21"/>
          <w:szCs w:val="21"/>
          <w:highlight w:val="none"/>
          <w:lang w:val="zh-CN" w:eastAsia="zh-CN" w:bidi="ar-SA"/>
        </w:rPr>
        <w:t>集中采购机构或</w:t>
      </w:r>
      <w:r>
        <w:rPr>
          <w:rFonts w:hint="eastAsia" w:ascii="宋体" w:hAnsi="宋体" w:eastAsia="宋体" w:cs="宋体"/>
          <w:b w:val="0"/>
          <w:bCs w:val="0"/>
          <w:color w:val="auto"/>
          <w:kern w:val="2"/>
          <w:sz w:val="21"/>
          <w:szCs w:val="21"/>
          <w:highlight w:val="none"/>
          <w:lang w:val="en-US" w:eastAsia="zh-CN" w:bidi="ar-SA"/>
        </w:rPr>
        <w:t>采购代理机构采购本次项目的国家机关、事业单位和团体组织。</w:t>
      </w:r>
    </w:p>
    <w:p w14:paraId="632CA188">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3、磋商供应商：是指向</w:t>
      </w:r>
      <w:r>
        <w:rPr>
          <w:rFonts w:hint="eastAsia" w:ascii="宋体" w:hAnsi="宋体" w:eastAsia="宋体" w:cs="宋体"/>
          <w:b w:val="0"/>
          <w:bCs w:val="0"/>
          <w:color w:val="auto"/>
          <w:kern w:val="2"/>
          <w:sz w:val="21"/>
          <w:szCs w:val="21"/>
          <w:highlight w:val="none"/>
          <w:lang w:val="zh-CN" w:eastAsia="zh-CN" w:bidi="ar-SA"/>
        </w:rPr>
        <w:t>采购组织机构</w:t>
      </w:r>
      <w:r>
        <w:rPr>
          <w:rFonts w:hint="eastAsia" w:ascii="宋体" w:hAnsi="宋体" w:eastAsia="宋体" w:cs="宋体"/>
          <w:b w:val="0"/>
          <w:bCs w:val="0"/>
          <w:color w:val="auto"/>
          <w:kern w:val="2"/>
          <w:sz w:val="21"/>
          <w:szCs w:val="21"/>
          <w:highlight w:val="none"/>
          <w:lang w:val="en-US" w:eastAsia="zh-CN" w:bidi="ar-SA"/>
        </w:rPr>
        <w:t>提交磋商响应文件的单位或个人。</w:t>
      </w:r>
    </w:p>
    <w:p w14:paraId="4845B3B6">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4、货物：是指各种形态和种类的物品，包括原材料、燃料、设备、产品等。</w:t>
      </w:r>
    </w:p>
    <w:p w14:paraId="170F7CB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5、服务：是指除货物和工程以外的政府采购对象，包括各类专业服务、信息网络开发服务、金融保险服务、运输服务，以及维修与维护服务等。</w:t>
      </w:r>
    </w:p>
    <w:p w14:paraId="058BCABD">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6、“书面形式”包括信函、传真等。</w:t>
      </w:r>
    </w:p>
    <w:p w14:paraId="50DAD22C">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7、“▲”系指实质性要求条款。</w:t>
      </w:r>
    </w:p>
    <w:p w14:paraId="6A5BE518">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rPr>
        <w:t>费用</w:t>
      </w:r>
    </w:p>
    <w:p w14:paraId="1AA945CA">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不论磋商结果如何，供应商均应自行承担所有与磋商有关的全部费用（磋商文件有相关规定除外）。</w:t>
      </w:r>
    </w:p>
    <w:p w14:paraId="3474858E">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（四）特别说明</w:t>
      </w:r>
    </w:p>
    <w:p w14:paraId="4546386D">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1、供应商磋商所使用的资格、信誉、荣誉、业绩与企业认证必须为本法人所拥有。供应商磋商所使用的采购项目实施人员必须为本法人员工（指必须为本法人或控股公司正式员工）。</w:t>
      </w:r>
    </w:p>
    <w:p w14:paraId="2B09D57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2、供应商所标产品除磋商文件中明确规定要求“提供官网截图或相应检测报告的证明材料”以外，所有技术参数描述均以磋商响应文件为准。</w:t>
      </w:r>
      <w:r>
        <w:rPr>
          <w:rFonts w:hint="eastAsia" w:ascii="宋体" w:hAnsi="宋体" w:eastAsia="宋体" w:cs="宋体"/>
          <w:b/>
          <w:bCs/>
          <w:color w:val="auto"/>
          <w:kern w:val="2"/>
          <w:sz w:val="21"/>
          <w:szCs w:val="21"/>
          <w:highlight w:val="none"/>
          <w:lang w:val="en-US" w:eastAsia="zh-CN" w:bidi="ar-SA"/>
        </w:rPr>
        <w:t>磋商供应商对所标产品技术参数的真实性承担法律责任。</w:t>
      </w:r>
      <w:r>
        <w:rPr>
          <w:rFonts w:hint="eastAsia" w:ascii="宋体" w:hAnsi="宋体" w:eastAsia="宋体" w:cs="宋体"/>
          <w:color w:val="auto"/>
          <w:kern w:val="2"/>
          <w:sz w:val="21"/>
          <w:szCs w:val="21"/>
          <w:highlight w:val="none"/>
          <w:lang w:val="en-US" w:eastAsia="zh-CN" w:bidi="ar-SA"/>
        </w:rPr>
        <w:t>项目磋商结束后、质疑期限内，如有质疑供应商认为成交供应商所标产品、磋商响应文件技术参数与采购需求存在重大偏离、错误、甚至造假的情况，应提供具体有效的证明材料。</w:t>
      </w:r>
      <w:r>
        <w:rPr>
          <w:rFonts w:hint="eastAsia" w:ascii="宋体" w:hAnsi="宋体" w:eastAsia="宋体" w:cs="宋体"/>
          <w:color w:val="auto"/>
          <w:kern w:val="2"/>
          <w:sz w:val="21"/>
          <w:szCs w:val="21"/>
          <w:highlight w:val="none"/>
          <w:lang w:val="en-US" w:eastAsia="zh-CN" w:bidi="ar-SA"/>
        </w:rPr>
        <w:tab/>
      </w:r>
    </w:p>
    <w:p w14:paraId="302C8021">
      <w:pPr>
        <w:pStyle w:val="5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供应商在磋商活动中提供任何虚假材料，其响应无效，并报监管部门查处；成交后发现的，成交人须依照根据《中华人民共和国政府采购法》第七十七条第一款第一项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44EE8E">
      <w:pPr>
        <w:pStyle w:val="5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4、供应商不得相互串通磋商报价，不得妨碍其他供应商的公平竞争，不得损害采购人或其他供应商的合法权益，供应商不得以向采购人、磋商小组成员行贿或者采取其他不正当手段谋取成交。</w:t>
      </w:r>
    </w:p>
    <w:p w14:paraId="49642BD7">
      <w:pPr>
        <w:pStyle w:val="5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5、为采购项目提供整体设计、规范编制或者项目管理、监理、检测等服务的供应商，不得再参加该采购项目的其他采购活动。</w:t>
      </w:r>
    </w:p>
    <w:p w14:paraId="6F500F99">
      <w:pPr>
        <w:pStyle w:val="5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6、磋商响应文件格式中的表格式样可以根据项目差别做适当调整，但应当保持表格样式基本形态不变。</w:t>
      </w:r>
    </w:p>
    <w:p w14:paraId="7C35F53F">
      <w:pPr>
        <w:keepNext w:val="0"/>
        <w:keepLines w:val="0"/>
        <w:pageBreakBefore w:val="0"/>
        <w:widowControl w:val="0"/>
        <w:tabs>
          <w:tab w:val="left" w:pos="851"/>
        </w:tabs>
        <w:kinsoku/>
        <w:wordWrap/>
        <w:overflowPunct/>
        <w:topLinePunct w:val="0"/>
        <w:autoSpaceDE/>
        <w:autoSpaceDN/>
        <w:bidi w:val="0"/>
        <w:adjustRightInd/>
        <w:snapToGrid/>
        <w:spacing w:before="0" w:after="0" w:line="360" w:lineRule="auto"/>
        <w:ind w:left="0" w:leftChars="0" w:right="0" w:firstLine="420"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7、单位负责人为同一人或者存在直接控股、管理关系的不同供应商，不得参加同一合同项下的采购活动。</w:t>
      </w:r>
    </w:p>
    <w:p w14:paraId="61D98D06">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二、磋商响应文件</w:t>
      </w:r>
    </w:p>
    <w:p w14:paraId="034BCD2E">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（一）磋商响应文件的组成</w:t>
      </w:r>
    </w:p>
    <w:p w14:paraId="7491828D">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仔细阅读磋商采购文件的所有内容，按磋商采购文件的要求，详细编制磋商响应文件。【特别提示：如有要求提供资料原件的，原件另行包装，并与磋商响应文件一起提交，磋商响应截止时间后所有原件不予接收。资料原件也可以用与原件相符的公证原件替代】</w:t>
      </w:r>
    </w:p>
    <w:p w14:paraId="0DB9E87A">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▲1、资格证明内容的组成：</w:t>
      </w:r>
    </w:p>
    <w:p w14:paraId="29660C2E">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Style w:val="27"/>
          <w:rFonts w:hint="eastAsia" w:ascii="宋体" w:hAnsi="宋体" w:eastAsia="宋体" w:cs="宋体"/>
          <w:b w:val="0"/>
          <w:color w:val="auto"/>
          <w:sz w:val="21"/>
          <w:szCs w:val="21"/>
          <w:highlight w:val="none"/>
          <w:u w:val="none"/>
        </w:rPr>
      </w:pPr>
      <w:r>
        <w:rPr>
          <w:rStyle w:val="27"/>
          <w:rFonts w:hint="eastAsia" w:ascii="宋体" w:hAnsi="宋体" w:eastAsia="宋体" w:cs="宋体"/>
          <w:b w:val="0"/>
          <w:color w:val="auto"/>
          <w:sz w:val="21"/>
          <w:szCs w:val="21"/>
          <w:highlight w:val="none"/>
          <w:u w:val="none"/>
        </w:rPr>
        <w:t>（1）磋商声明书</w:t>
      </w:r>
    </w:p>
    <w:p w14:paraId="53AD789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（2）授权委托书（法定代表人亲自办理磋商响应事宜的，则无需提交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45DE0954">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（3）法人或者其他组织的营业执照等证明文件，自然人的身份证明；</w:t>
      </w:r>
    </w:p>
    <w:p w14:paraId="7267E09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）供应商认为需要说明的其他材料；</w:t>
      </w:r>
    </w:p>
    <w:p w14:paraId="7735DC5D">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2、商务与技术内容的组成：</w:t>
      </w:r>
    </w:p>
    <w:p w14:paraId="30E54124">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（1）供应商</w:t>
      </w:r>
      <w:r>
        <w:rPr>
          <w:rFonts w:hint="eastAsia" w:ascii="宋体" w:hAnsi="宋体" w:eastAsia="宋体" w:cs="宋体"/>
          <w:color w:val="auto"/>
          <w:sz w:val="21"/>
          <w:szCs w:val="21"/>
          <w:highlight w:val="none"/>
          <w:lang w:val="en-US" w:eastAsia="zh-CN"/>
        </w:rPr>
        <w:t>企业</w:t>
      </w:r>
      <w:r>
        <w:rPr>
          <w:rFonts w:hint="eastAsia" w:ascii="宋体" w:hAnsi="宋体" w:eastAsia="宋体" w:cs="宋体"/>
          <w:color w:val="auto"/>
          <w:sz w:val="21"/>
          <w:szCs w:val="21"/>
          <w:highlight w:val="none"/>
        </w:rPr>
        <w:t>情况介绍</w:t>
      </w:r>
      <w:r>
        <w:rPr>
          <w:rFonts w:hint="eastAsia" w:ascii="宋体" w:hAnsi="宋体" w:eastAsia="宋体" w:cs="宋体"/>
          <w:color w:val="auto"/>
          <w:sz w:val="21"/>
          <w:szCs w:val="21"/>
          <w:highlight w:val="none"/>
          <w:lang w:eastAsia="zh-CN"/>
        </w:rPr>
        <w:t>；</w:t>
      </w:r>
    </w:p>
    <w:p w14:paraId="3AE8A055">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（2）磋商响应方案描述：</w:t>
      </w:r>
    </w:p>
    <w:p w14:paraId="0A730A22">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A.项目需求的理解与分析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供应商对项目现状及需求的理解情况，对项目现状和需求描述的全面性、准确性、针对性，对项目重点、难点的把握，解决方案及合理化建议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C4DC31A">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B.项目组织实施方案（包括项目</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、确保项目</w:t>
      </w:r>
      <w:r>
        <w:rPr>
          <w:rFonts w:hint="eastAsia" w:ascii="宋体" w:hAnsi="宋体" w:cs="宋体"/>
          <w:color w:val="auto"/>
          <w:sz w:val="21"/>
          <w:szCs w:val="21"/>
          <w:highlight w:val="none"/>
          <w:lang w:val="en-US" w:eastAsia="zh-CN"/>
        </w:rPr>
        <w:t>实施</w:t>
      </w:r>
      <w:r>
        <w:rPr>
          <w:rFonts w:hint="eastAsia" w:ascii="宋体" w:hAnsi="宋体" w:eastAsia="宋体" w:cs="宋体"/>
          <w:color w:val="auto"/>
          <w:sz w:val="21"/>
          <w:szCs w:val="21"/>
          <w:highlight w:val="none"/>
        </w:rPr>
        <w:t>的措施或方案、项目实施进度安排、项目实施人员及项目负责人的资质、类似经验及社保证明等）。</w:t>
      </w:r>
    </w:p>
    <w:p w14:paraId="1F668C6D">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kern w:val="0"/>
          <w:sz w:val="21"/>
          <w:szCs w:val="21"/>
          <w:highlight w:val="none"/>
        </w:rPr>
        <w:t>验收方案（包括项目验收标准和验收方法等）</w:t>
      </w:r>
      <w:r>
        <w:rPr>
          <w:rFonts w:hint="eastAsia" w:ascii="宋体" w:hAnsi="宋体" w:eastAsia="宋体" w:cs="宋体"/>
          <w:color w:val="auto"/>
          <w:sz w:val="21"/>
          <w:szCs w:val="21"/>
          <w:highlight w:val="none"/>
        </w:rPr>
        <w:t>和措施；</w:t>
      </w:r>
    </w:p>
    <w:p w14:paraId="5C431810">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（3）商务及技术响应表。</w:t>
      </w:r>
    </w:p>
    <w:p w14:paraId="4BF968C3">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（4）供应商通过的质量管理和质量保证体系、环保体系、</w:t>
      </w:r>
      <w:r>
        <w:rPr>
          <w:rFonts w:hint="eastAsia" w:ascii="宋体" w:hAnsi="宋体" w:eastAsia="宋体" w:cs="宋体"/>
          <w:color w:val="auto"/>
          <w:sz w:val="21"/>
          <w:szCs w:val="21"/>
          <w:highlight w:val="none"/>
        </w:rPr>
        <w:t>自主创新相关证书、软件著作权证等与本项目相关</w:t>
      </w:r>
      <w:r>
        <w:rPr>
          <w:rFonts w:hint="eastAsia" w:ascii="宋体" w:hAnsi="宋体" w:eastAsia="宋体" w:cs="宋体"/>
          <w:color w:val="auto"/>
          <w:kern w:val="0"/>
          <w:sz w:val="21"/>
          <w:szCs w:val="21"/>
          <w:highlight w:val="none"/>
        </w:rPr>
        <w:t>的认证证书或文件；</w:t>
      </w:r>
    </w:p>
    <w:p w14:paraId="647EBF49">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（5）类似项目的成功案例（供应商类似项目实施情况一览表、合同复印件</w:t>
      </w:r>
      <w:r>
        <w:rPr>
          <w:rFonts w:hint="eastAsia" w:ascii="宋体" w:hAnsi="宋体" w:eastAsia="宋体" w:cs="宋体"/>
          <w:color w:val="auto"/>
          <w:kern w:val="0"/>
          <w:sz w:val="21"/>
          <w:szCs w:val="21"/>
          <w:highlight w:val="none"/>
          <w:lang w:eastAsia="zh-CN"/>
        </w:rPr>
        <w:t>及</w:t>
      </w:r>
      <w:r>
        <w:rPr>
          <w:rFonts w:hint="eastAsia" w:ascii="宋体" w:hAnsi="宋体" w:eastAsia="宋体" w:cs="宋体"/>
          <w:color w:val="auto"/>
          <w:kern w:val="0"/>
          <w:sz w:val="21"/>
          <w:szCs w:val="21"/>
          <w:highlight w:val="none"/>
        </w:rPr>
        <w:t>相应的发票、用户验收报告等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w:t>
      </w:r>
    </w:p>
    <w:p w14:paraId="25D420A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（6）供应商认为需要提供的其他资料（包括可能影响供应商商务与技术内容评分的各类证明材料）。</w:t>
      </w:r>
    </w:p>
    <w:p w14:paraId="46ABDAFA">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（7）售后服务描述及承诺：</w:t>
      </w:r>
    </w:p>
    <w:p w14:paraId="2BB58B55">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A.距采购人最近的服务网点详细介绍（包括地理位置、资质资格、技术力量、工作业绩、服务内容及联系电话等）。</w:t>
      </w:r>
    </w:p>
    <w:p w14:paraId="40F675D8">
      <w:pPr>
        <w:pStyle w:val="8"/>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B.针对本项目的售后服务措施及承诺（售后技术服务方案、人员配备、故障响应时间、技术培训方案等）。</w:t>
      </w:r>
    </w:p>
    <w:p w14:paraId="2D9E6AD5">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3、报价内容的组成</w:t>
      </w:r>
    </w:p>
    <w:p w14:paraId="74A5B5B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（1）报价内容由</w:t>
      </w:r>
      <w:r>
        <w:rPr>
          <w:rFonts w:hint="eastAsia" w:ascii="宋体" w:hAnsi="宋体" w:eastAsia="宋体" w:cs="宋体"/>
          <w:color w:val="auto"/>
          <w:kern w:val="0"/>
          <w:sz w:val="21"/>
          <w:szCs w:val="21"/>
          <w:highlight w:val="none"/>
          <w:lang w:val="en-US" w:eastAsia="zh-CN"/>
        </w:rPr>
        <w:t>开标</w:t>
      </w:r>
      <w:r>
        <w:rPr>
          <w:rFonts w:hint="eastAsia" w:ascii="宋体" w:hAnsi="宋体" w:eastAsia="宋体" w:cs="宋体"/>
          <w:color w:val="auto"/>
          <w:kern w:val="0"/>
          <w:sz w:val="21"/>
          <w:szCs w:val="21"/>
          <w:highlight w:val="none"/>
        </w:rPr>
        <w:t>一览表、报价明细表，以及供应商认为其他需要说明的内容组成。</w:t>
      </w:r>
    </w:p>
    <w:p w14:paraId="39D71644">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（2）此报价为供应商针对本项目报出的唯一的首次报价，包含</w:t>
      </w:r>
      <w:r>
        <w:rPr>
          <w:rFonts w:hint="eastAsia" w:ascii="宋体" w:hAnsi="宋体" w:eastAsia="宋体" w:cs="宋体"/>
          <w:color w:val="auto"/>
          <w:kern w:val="0"/>
          <w:sz w:val="21"/>
          <w:szCs w:val="21"/>
          <w:highlight w:val="none"/>
          <w:lang w:eastAsia="zh-CN"/>
        </w:rPr>
        <w:t>其他一切</w:t>
      </w:r>
      <w:r>
        <w:rPr>
          <w:rFonts w:hint="eastAsia" w:ascii="宋体" w:hAnsi="宋体" w:eastAsia="宋体" w:cs="宋体"/>
          <w:color w:val="auto"/>
          <w:kern w:val="0"/>
          <w:sz w:val="21"/>
          <w:szCs w:val="21"/>
          <w:highlight w:val="none"/>
        </w:rPr>
        <w:t>所要涉及到的费用，有选择的报价将被拒绝。</w:t>
      </w:r>
    </w:p>
    <w:p w14:paraId="7F189FB0">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投标报价为完成本项目的所有费用，包括所有人员的人工费、交通费、住宿费、伙食费、办公设施费、管理费、利润、税金、合同包含的所有风险责任等各项费用及不可预见费等所需的全部费用，全部费用已包含在投标报价中。</w:t>
      </w:r>
    </w:p>
    <w:p w14:paraId="4B88DA24">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）相关报价表需打印或用不</w:t>
      </w:r>
      <w:r>
        <w:rPr>
          <w:rFonts w:hint="eastAsia" w:ascii="宋体" w:hAnsi="宋体" w:eastAsia="宋体" w:cs="宋体"/>
          <w:color w:val="auto"/>
          <w:kern w:val="0"/>
          <w:sz w:val="21"/>
          <w:szCs w:val="21"/>
          <w:highlight w:val="none"/>
          <w:lang w:eastAsia="zh-CN"/>
        </w:rPr>
        <w:t>褪色</w:t>
      </w:r>
      <w:r>
        <w:rPr>
          <w:rFonts w:hint="eastAsia" w:ascii="宋体" w:hAnsi="宋体" w:eastAsia="宋体" w:cs="宋体"/>
          <w:color w:val="auto"/>
          <w:kern w:val="0"/>
          <w:sz w:val="21"/>
          <w:szCs w:val="21"/>
          <w:highlight w:val="none"/>
        </w:rPr>
        <w:t>的墨水填写， 磋商响应报价表不得涂改和增删，如有错漏必须修改，修改处须由同一签署人</w:t>
      </w:r>
      <w:r>
        <w:rPr>
          <w:rFonts w:hint="eastAsia" w:ascii="宋体" w:hAnsi="宋体" w:eastAsia="宋体" w:cs="宋体"/>
          <w:color w:val="auto"/>
          <w:kern w:val="0"/>
          <w:sz w:val="21"/>
          <w:szCs w:val="21"/>
          <w:highlight w:val="none"/>
          <w:lang w:eastAsia="zh-CN"/>
        </w:rPr>
        <w:t>签字</w:t>
      </w:r>
      <w:r>
        <w:rPr>
          <w:rFonts w:hint="eastAsia" w:ascii="宋体" w:hAnsi="宋体" w:eastAsia="宋体" w:cs="宋体"/>
          <w:color w:val="auto"/>
          <w:kern w:val="0"/>
          <w:sz w:val="21"/>
          <w:szCs w:val="21"/>
          <w:highlight w:val="none"/>
        </w:rPr>
        <w:t>或盖章。由于字迹模糊或表达不清引起的后果由供应商负责。</w:t>
      </w:r>
    </w:p>
    <w:p w14:paraId="23A3D324">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报价</w:t>
      </w:r>
      <w:r>
        <w:rPr>
          <w:rFonts w:hint="eastAsia" w:ascii="宋体" w:hAnsi="宋体" w:eastAsia="宋体" w:cs="宋体"/>
          <w:color w:val="auto"/>
          <w:sz w:val="21"/>
          <w:szCs w:val="21"/>
          <w:highlight w:val="none"/>
          <w:lang w:eastAsia="zh-CN"/>
        </w:rPr>
        <w:t>有关表格</w:t>
      </w:r>
      <w:r>
        <w:rPr>
          <w:rFonts w:hint="eastAsia" w:ascii="宋体" w:hAnsi="宋体" w:eastAsia="宋体" w:cs="宋体"/>
          <w:color w:val="auto"/>
          <w:sz w:val="21"/>
          <w:szCs w:val="21"/>
          <w:highlight w:val="none"/>
        </w:rPr>
        <w:t>应按磋商采购文件中相关附表格式填写。</w:t>
      </w:r>
    </w:p>
    <w:p w14:paraId="22079304">
      <w:pPr>
        <w:pStyle w:val="55"/>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highlight w:val="none"/>
          <w:lang w:val="zh-CN"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最后的磋商报价低于首次报价，除磋商内容发生实质性变更，其报价明细表（如有）中各项报价需另行明确以外，各项报价均按比例下调。</w:t>
      </w:r>
    </w:p>
    <w:p w14:paraId="3C64AC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2" w:firstLineChars="200"/>
        <w:textAlignment w:val="auto"/>
        <w:outlineLvl w:val="9"/>
        <w:rPr>
          <w:rFonts w:hint="eastAsia" w:ascii="宋体" w:hAnsi="宋体" w:eastAsia="宋体" w:cs="宋体"/>
          <w:color w:val="auto"/>
          <w:sz w:val="21"/>
          <w:szCs w:val="21"/>
          <w:highlight w:val="none"/>
          <w:lang w:val="zh-CN"/>
        </w:rPr>
      </w:pPr>
      <w:r>
        <w:rPr>
          <w:rFonts w:hint="default" w:ascii="宋体" w:hAnsi="宋体" w:eastAsia="宋体" w:cs="宋体"/>
          <w:b/>
          <w:bCs/>
          <w:color w:val="auto"/>
          <w:kern w:val="2"/>
          <w:sz w:val="21"/>
          <w:szCs w:val="21"/>
          <w:highlight w:val="none"/>
          <w:lang w:val="zh-CN" w:eastAsia="zh-CN" w:bidi="ar-SA"/>
        </w:rPr>
        <w:t>（二）</w:t>
      </w:r>
      <w:r>
        <w:rPr>
          <w:rFonts w:hint="eastAsia" w:ascii="宋体" w:hAnsi="宋体" w:eastAsia="宋体" w:cs="宋体"/>
          <w:b/>
          <w:bCs/>
          <w:color w:val="auto"/>
          <w:kern w:val="0"/>
          <w:sz w:val="21"/>
          <w:szCs w:val="21"/>
          <w:highlight w:val="none"/>
        </w:rPr>
        <w:t>磋商响应文件的制作、封装及递交要求</w:t>
      </w:r>
    </w:p>
    <w:p w14:paraId="747956CE">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1、磋商响应文件的制作要求</w:t>
      </w:r>
    </w:p>
    <w:p w14:paraId="01E373F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（1）供应商应按照磋商响应文件组成内容及项目磋商需求制作磋商响应文件，</w:t>
      </w:r>
      <w:r>
        <w:rPr>
          <w:rFonts w:hint="eastAsia" w:ascii="宋体" w:hAnsi="宋体" w:eastAsia="宋体" w:cs="宋体"/>
          <w:color w:val="auto"/>
          <w:kern w:val="0"/>
          <w:sz w:val="21"/>
          <w:szCs w:val="21"/>
          <w:highlight w:val="none"/>
        </w:rPr>
        <w:t>不按</w:t>
      </w:r>
      <w:r>
        <w:rPr>
          <w:rFonts w:hint="eastAsia" w:ascii="宋体" w:hAnsi="宋体" w:eastAsia="宋体" w:cs="宋体"/>
          <w:bCs/>
          <w:color w:val="auto"/>
          <w:sz w:val="21"/>
          <w:szCs w:val="21"/>
          <w:highlight w:val="none"/>
        </w:rPr>
        <w:t>磋商采购文件</w:t>
      </w:r>
      <w:r>
        <w:rPr>
          <w:rFonts w:hint="eastAsia" w:ascii="宋体" w:hAnsi="宋体" w:eastAsia="宋体" w:cs="宋体"/>
          <w:color w:val="auto"/>
          <w:kern w:val="0"/>
          <w:sz w:val="21"/>
          <w:szCs w:val="21"/>
          <w:highlight w:val="none"/>
        </w:rPr>
        <w:t>要求制作</w:t>
      </w:r>
      <w:r>
        <w:rPr>
          <w:rFonts w:hint="eastAsia" w:ascii="宋体" w:hAnsi="宋体" w:eastAsia="宋体" w:cs="宋体"/>
          <w:color w:val="auto"/>
          <w:sz w:val="21"/>
          <w:szCs w:val="21"/>
          <w:highlight w:val="none"/>
        </w:rPr>
        <w:t>磋商响应文件</w:t>
      </w:r>
      <w:r>
        <w:rPr>
          <w:rFonts w:hint="eastAsia" w:ascii="宋体" w:hAnsi="宋体" w:eastAsia="宋体" w:cs="宋体"/>
          <w:color w:val="auto"/>
          <w:kern w:val="0"/>
          <w:sz w:val="21"/>
          <w:szCs w:val="21"/>
          <w:highlight w:val="none"/>
        </w:rPr>
        <w:t>的将视情处理（拒收、扣分等），由此产生的责任由</w:t>
      </w:r>
      <w:r>
        <w:rPr>
          <w:rFonts w:hint="eastAsia" w:ascii="宋体" w:hAnsi="宋体" w:eastAsia="宋体" w:cs="宋体"/>
          <w:color w:val="auto"/>
          <w:sz w:val="21"/>
          <w:szCs w:val="21"/>
          <w:highlight w:val="none"/>
        </w:rPr>
        <w:t>磋商供应商</w:t>
      </w:r>
      <w:r>
        <w:rPr>
          <w:rFonts w:hint="eastAsia" w:ascii="宋体" w:hAnsi="宋体" w:eastAsia="宋体" w:cs="宋体"/>
          <w:color w:val="auto"/>
          <w:kern w:val="0"/>
          <w:sz w:val="21"/>
          <w:szCs w:val="21"/>
          <w:highlight w:val="none"/>
        </w:rPr>
        <w:t>自行承担。</w:t>
      </w:r>
    </w:p>
    <w:p w14:paraId="66AA87AA">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（2）供应商应对所提供的全部资料的真实性承担法律责任，磋商响应文件</w:t>
      </w:r>
      <w:r>
        <w:rPr>
          <w:rFonts w:hint="eastAsia" w:ascii="宋体" w:hAnsi="宋体" w:eastAsia="宋体" w:cs="宋体"/>
          <w:color w:val="auto"/>
          <w:kern w:val="0"/>
          <w:sz w:val="21"/>
          <w:szCs w:val="21"/>
          <w:highlight w:val="none"/>
          <w:lang w:val="zh-CN"/>
        </w:rPr>
        <w:t>内容中有要求盖章或签字的地方，必须加盖</w:t>
      </w:r>
      <w:r>
        <w:rPr>
          <w:rFonts w:hint="eastAsia" w:ascii="宋体" w:hAnsi="宋体" w:eastAsia="宋体" w:cs="宋体"/>
          <w:color w:val="auto"/>
          <w:sz w:val="21"/>
          <w:szCs w:val="21"/>
          <w:highlight w:val="none"/>
        </w:rPr>
        <w:t>磋商供应商</w:t>
      </w:r>
      <w:r>
        <w:rPr>
          <w:rFonts w:hint="eastAsia" w:ascii="宋体" w:hAnsi="宋体" w:eastAsia="宋体" w:cs="宋体"/>
          <w:color w:val="auto"/>
          <w:kern w:val="0"/>
          <w:sz w:val="21"/>
          <w:szCs w:val="21"/>
          <w:highlight w:val="none"/>
          <w:lang w:val="zh-CN"/>
        </w:rPr>
        <w:t>的公章以及法定代表人或全权代表的盖章或签字，其中</w:t>
      </w:r>
      <w:r>
        <w:rPr>
          <w:rFonts w:hint="eastAsia" w:ascii="宋体" w:hAnsi="宋体" w:eastAsia="宋体" w:cs="宋体"/>
          <w:color w:val="auto"/>
          <w:sz w:val="21"/>
          <w:szCs w:val="21"/>
          <w:highlight w:val="none"/>
        </w:rPr>
        <w:t>所有证书类文件提供的复印件</w:t>
      </w:r>
      <w:r>
        <w:rPr>
          <w:rFonts w:hint="eastAsia" w:ascii="宋体" w:hAnsi="宋体" w:eastAsia="宋体" w:cs="宋体"/>
          <w:color w:val="auto"/>
          <w:kern w:val="0"/>
          <w:sz w:val="21"/>
          <w:szCs w:val="21"/>
          <w:highlight w:val="none"/>
        </w:rPr>
        <w:t>必须全部加盖单位公章且</w:t>
      </w:r>
      <w:r>
        <w:rPr>
          <w:rFonts w:hint="eastAsia" w:ascii="宋体" w:hAnsi="宋体" w:eastAsia="宋体" w:cs="宋体"/>
          <w:color w:val="auto"/>
          <w:sz w:val="21"/>
          <w:szCs w:val="21"/>
          <w:highlight w:val="none"/>
        </w:rPr>
        <w:t>必须在有效期内的。</w:t>
      </w:r>
    </w:p>
    <w:p w14:paraId="3688C147">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磋商响应文件以及磋商供应商与采购组织机构就有关磋商事宜的所有来往函电，均应以中文汉语书写。除</w:t>
      </w:r>
      <w:r>
        <w:rPr>
          <w:rFonts w:hint="eastAsia" w:ascii="宋体" w:hAnsi="宋体" w:eastAsia="宋体" w:cs="宋体"/>
          <w:color w:val="auto"/>
          <w:sz w:val="21"/>
          <w:szCs w:val="21"/>
          <w:highlight w:val="none"/>
          <w:lang w:eastAsia="zh-CN"/>
        </w:rPr>
        <w:t>签字</w:t>
      </w:r>
      <w:r>
        <w:rPr>
          <w:rFonts w:hint="eastAsia" w:ascii="宋体" w:hAnsi="宋体" w:eastAsia="宋体" w:cs="宋体"/>
          <w:color w:val="auto"/>
          <w:sz w:val="21"/>
          <w:szCs w:val="21"/>
          <w:highlight w:val="none"/>
        </w:rPr>
        <w:t>、盖章、专用名称等特殊情形外，以中文汉语以外的文字表述的磋商响应文件视同未提供。</w:t>
      </w:r>
    </w:p>
    <w:p w14:paraId="1249411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（4）磋商计量单位，</w:t>
      </w:r>
      <w:r>
        <w:rPr>
          <w:rFonts w:hint="eastAsia" w:ascii="宋体" w:hAnsi="宋体" w:eastAsia="宋体" w:cs="宋体"/>
          <w:bCs/>
          <w:color w:val="auto"/>
          <w:sz w:val="21"/>
          <w:szCs w:val="21"/>
          <w:highlight w:val="none"/>
        </w:rPr>
        <w:t>磋商采购文件</w:t>
      </w:r>
      <w:r>
        <w:rPr>
          <w:rFonts w:hint="eastAsia" w:ascii="宋体" w:hAnsi="宋体" w:eastAsia="宋体" w:cs="宋体"/>
          <w:color w:val="auto"/>
          <w:sz w:val="21"/>
          <w:szCs w:val="21"/>
          <w:highlight w:val="none"/>
        </w:rPr>
        <w:t>已有明确规定的，使用</w:t>
      </w:r>
      <w:r>
        <w:rPr>
          <w:rFonts w:hint="eastAsia" w:ascii="宋体" w:hAnsi="宋体" w:eastAsia="宋体" w:cs="宋体"/>
          <w:bCs/>
          <w:color w:val="auto"/>
          <w:sz w:val="21"/>
          <w:szCs w:val="21"/>
          <w:highlight w:val="none"/>
        </w:rPr>
        <w:t>磋商采购文件</w:t>
      </w:r>
      <w:r>
        <w:rPr>
          <w:rFonts w:hint="eastAsia" w:ascii="宋体" w:hAnsi="宋体" w:eastAsia="宋体" w:cs="宋体"/>
          <w:color w:val="auto"/>
          <w:sz w:val="21"/>
          <w:szCs w:val="21"/>
          <w:highlight w:val="none"/>
        </w:rPr>
        <w:t>规定的计量单位；</w:t>
      </w:r>
      <w:r>
        <w:rPr>
          <w:rFonts w:hint="eastAsia" w:ascii="宋体" w:hAnsi="宋体" w:eastAsia="宋体" w:cs="宋体"/>
          <w:bCs/>
          <w:color w:val="auto"/>
          <w:sz w:val="21"/>
          <w:szCs w:val="21"/>
          <w:highlight w:val="none"/>
        </w:rPr>
        <w:t>磋商采购文件</w:t>
      </w:r>
      <w:r>
        <w:rPr>
          <w:rFonts w:hint="eastAsia" w:ascii="宋体" w:hAnsi="宋体" w:eastAsia="宋体" w:cs="宋体"/>
          <w:color w:val="auto"/>
          <w:sz w:val="21"/>
          <w:szCs w:val="21"/>
          <w:highlight w:val="none"/>
        </w:rPr>
        <w:t>没有规定的，应采用中华人民共和国法定计量单位（货币单位：人民币元），否则视同未响应。</w:t>
      </w:r>
    </w:p>
    <w:p w14:paraId="5EE6F827">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（5）若磋商供应商不按采购文件的要求提供资格审查材料，其风险由磋商供应商自行承担。</w:t>
      </w:r>
    </w:p>
    <w:p w14:paraId="60061543">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sz w:val="21"/>
          <w:szCs w:val="21"/>
          <w:highlight w:val="none"/>
        </w:rPr>
        <w:t>与本次磋商无关的内容请不要制作在内，确保磋商响应文件有针对性、简洁明了，同时节约纸张；磋商响应文件统一以A4纸大小双面打印并装订。</w:t>
      </w:r>
    </w:p>
    <w:p w14:paraId="7B1D54E1">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2、磋商响应文件的封装要求</w:t>
      </w:r>
    </w:p>
    <w:p w14:paraId="150D4C0B">
      <w:pPr>
        <w:pStyle w:val="51"/>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（1）磋商响应文件份数：资格证明文件、商务与技术文件、报价文件分别编制并分开单独装订成册：资格证明文件共</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份（正本一份，副本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份，封装成一袋），商务与技术文件共</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份（正本一份，副本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份，封装成一袋），报价文件共</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份（正本一份，副本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份，封装成一袋）。</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文件正本和副本如有不一致之处，以正本为准。</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文件的正本</w:t>
      </w:r>
      <w:r>
        <w:rPr>
          <w:rFonts w:hint="eastAsia" w:ascii="宋体" w:hAnsi="宋体" w:eastAsia="宋体" w:cs="宋体"/>
          <w:color w:val="auto"/>
          <w:sz w:val="21"/>
          <w:szCs w:val="21"/>
          <w:highlight w:val="none"/>
          <w:lang w:val="zh-CN"/>
        </w:rPr>
        <w:t>封面</w:t>
      </w:r>
      <w:r>
        <w:rPr>
          <w:rFonts w:hint="eastAsia" w:ascii="宋体" w:hAnsi="宋体" w:eastAsia="宋体" w:cs="宋体"/>
          <w:color w:val="auto"/>
          <w:sz w:val="21"/>
          <w:szCs w:val="21"/>
          <w:highlight w:val="none"/>
        </w:rPr>
        <w:t>需打印或用不</w:t>
      </w:r>
      <w:r>
        <w:rPr>
          <w:rFonts w:hint="eastAsia" w:ascii="宋体" w:hAnsi="宋体" w:eastAsia="宋体" w:cs="宋体"/>
          <w:color w:val="auto"/>
          <w:sz w:val="21"/>
          <w:szCs w:val="21"/>
          <w:highlight w:val="none"/>
          <w:lang w:eastAsia="zh-CN"/>
        </w:rPr>
        <w:t>褪色</w:t>
      </w:r>
      <w:r>
        <w:rPr>
          <w:rFonts w:hint="eastAsia" w:ascii="宋体" w:hAnsi="宋体" w:eastAsia="宋体" w:cs="宋体"/>
          <w:color w:val="auto"/>
          <w:sz w:val="21"/>
          <w:szCs w:val="21"/>
          <w:highlight w:val="none"/>
        </w:rPr>
        <w:t>的墨水填写，并注明“正本”字样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副本可以复印。</w:t>
      </w:r>
      <w:r>
        <w:rPr>
          <w:rFonts w:hint="eastAsia" w:ascii="宋体" w:hAnsi="宋体" w:eastAsia="宋体" w:cs="宋体"/>
          <w:color w:val="auto"/>
          <w:sz w:val="21"/>
          <w:szCs w:val="21"/>
          <w:highlight w:val="none"/>
          <w:lang w:val="zh-CN"/>
        </w:rPr>
        <w:t>磋商文件的正本封面必须注明“正本”字样，副本可以采用正本的复印件。</w:t>
      </w:r>
      <w:r>
        <w:rPr>
          <w:rFonts w:hint="eastAsia" w:ascii="宋体" w:hAnsi="宋体" w:eastAsia="宋体" w:cs="宋体"/>
          <w:color w:val="auto"/>
          <w:sz w:val="21"/>
          <w:szCs w:val="21"/>
          <w:highlight w:val="none"/>
        </w:rPr>
        <w:t>除报价文件外其余一律不准出现数字报价。如有不同标项，请按标项号分别装订，密封要求同上。</w:t>
      </w:r>
    </w:p>
    <w:p w14:paraId="1666D82A">
      <w:pPr>
        <w:pStyle w:val="51"/>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（2）所有磋商响应资料按磋商采购文件的组成所列内容及顺序装订成册，</w:t>
      </w:r>
      <w:r>
        <w:rPr>
          <w:rFonts w:hint="eastAsia" w:ascii="宋体" w:hAnsi="宋体" w:eastAsia="宋体" w:cs="宋体"/>
          <w:color w:val="auto"/>
          <w:sz w:val="21"/>
          <w:szCs w:val="21"/>
          <w:highlight w:val="none"/>
          <w:lang w:val="zh-CN"/>
        </w:rPr>
        <w:t>并逐页连续标注页码。因磋商响应文件内容不完整、编排混乱导致磋商响应文件被误读、漏读或者查找不到相关内容的责任由供应商自行承担。</w:t>
      </w:r>
    </w:p>
    <w:p w14:paraId="7DEB1A65">
      <w:pPr>
        <w:pStyle w:val="51"/>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（3）密封袋的封口处应有磋商供应商公章</w:t>
      </w:r>
      <w:r>
        <w:rPr>
          <w:rFonts w:hint="eastAsia" w:ascii="宋体" w:hAnsi="宋体" w:eastAsia="宋体" w:cs="宋体"/>
          <w:color w:val="auto"/>
          <w:sz w:val="21"/>
          <w:szCs w:val="21"/>
          <w:highlight w:val="none"/>
          <w:lang w:val="en-US" w:eastAsia="zh-CN"/>
        </w:rPr>
        <w:t>和法定代表人或</w:t>
      </w:r>
      <w:r>
        <w:rPr>
          <w:rFonts w:hint="eastAsia" w:ascii="宋体" w:hAnsi="宋体" w:eastAsia="宋体" w:cs="宋体"/>
          <w:color w:val="auto"/>
          <w:sz w:val="21"/>
          <w:szCs w:val="21"/>
          <w:highlight w:val="none"/>
        </w:rPr>
        <w:t>磋商全权代表签名。封皮上写明项目编号、标段、磋商采购项目名称、供应商名称，并注明“磋商响应文件名称”、“磋商时启封”字样，未按上述要求密封及加写标记，采购组织机构对磋商响应文件的误投和提</w:t>
      </w:r>
      <w:r>
        <w:rPr>
          <w:rFonts w:hint="eastAsia" w:ascii="宋体" w:hAnsi="宋体" w:eastAsia="宋体" w:cs="宋体"/>
          <w:color w:val="auto"/>
          <w:kern w:val="0"/>
          <w:sz w:val="21"/>
          <w:szCs w:val="21"/>
          <w:highlight w:val="none"/>
        </w:rPr>
        <w:t>前启封不负责任。</w:t>
      </w:r>
    </w:p>
    <w:p w14:paraId="69B81DF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（4）项目如分标段，各标段磋商响应文件必须分开编制，并按上述份数要求单独密封包装。</w:t>
      </w:r>
    </w:p>
    <w:p w14:paraId="2E143487">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zh-CN"/>
        </w:rPr>
        <w:t>因密封不严、标记不明而造成失密、拒收、过早启封等情况，采购组织机构概不负责。</w:t>
      </w:r>
    </w:p>
    <w:p w14:paraId="64AF7766">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、磋商响应文件的递交要求</w:t>
      </w:r>
    </w:p>
    <w:p w14:paraId="11A575C0">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b w:val="0"/>
          <w:bCs w:val="0"/>
          <w:color w:val="auto"/>
          <w:highlight w:val="none"/>
        </w:rPr>
        <w:t>本项目需要投标人将</w:t>
      </w:r>
      <w:r>
        <w:rPr>
          <w:rFonts w:hint="eastAsia" w:ascii="宋体" w:hAnsi="宋体" w:eastAsia="宋体" w:cs="宋体"/>
          <w:b w:val="0"/>
          <w:bCs w:val="0"/>
          <w:color w:val="auto"/>
          <w:highlight w:val="none"/>
          <w:lang w:val="en-US" w:eastAsia="zh-CN"/>
        </w:rPr>
        <w:t>磋商响应</w:t>
      </w:r>
      <w:r>
        <w:rPr>
          <w:rFonts w:hint="eastAsia" w:ascii="宋体" w:hAnsi="宋体" w:eastAsia="宋体" w:cs="宋体"/>
          <w:b w:val="0"/>
          <w:bCs w:val="0"/>
          <w:color w:val="auto"/>
          <w:highlight w:val="none"/>
        </w:rPr>
        <w:t>文件在投标截止时间前按要求密封并顺丰邮寄到台州市椒江区中环世纪6幢801室（交通银行台州分行楼上），逾期寄达或未按要求密封将被拒收。</w:t>
      </w:r>
    </w:p>
    <w:p w14:paraId="3AB6029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（2）如有特殊情况，采购组织机构延长截止时间和磋商时间，采购组织机构和供应商的权利和义务将受到新的截止时间和磋商时间的约束。</w:t>
      </w:r>
    </w:p>
    <w:p w14:paraId="04FBFA2E">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、磋商响应文件的补充、修改和撤回。</w:t>
      </w:r>
    </w:p>
    <w:p w14:paraId="2E25CEA0">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（1）供应商如需对上交的磋商响应文件进行补充、修改或撤回的，必须在磋商响应截止时间以前将书面的修改文件或</w:t>
      </w:r>
      <w:r>
        <w:rPr>
          <w:rFonts w:hint="eastAsia" w:ascii="宋体" w:hAnsi="宋体" w:eastAsia="宋体" w:cs="宋体"/>
          <w:color w:val="auto"/>
          <w:sz w:val="21"/>
          <w:szCs w:val="21"/>
          <w:highlight w:val="none"/>
          <w:lang w:eastAsia="zh-CN"/>
        </w:rPr>
        <w:t>撤销</w:t>
      </w:r>
      <w:r>
        <w:rPr>
          <w:rFonts w:hint="eastAsia" w:ascii="宋体" w:hAnsi="宋体" w:eastAsia="宋体" w:cs="宋体"/>
          <w:color w:val="auto"/>
          <w:sz w:val="21"/>
          <w:szCs w:val="21"/>
          <w:highlight w:val="none"/>
        </w:rPr>
        <w:t>通知送达采购组织机构。</w:t>
      </w:r>
    </w:p>
    <w:p w14:paraId="20E6E3D3">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（2）磋商响应修改文件必须密封，在密封袋上写明项目编号、标段、</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项目名称、供应商名称、并注明“修改文件”、“磋商时启封”字样，其作为磋商响应文件的</w:t>
      </w:r>
      <w:r>
        <w:rPr>
          <w:rFonts w:hint="eastAsia" w:ascii="宋体" w:hAnsi="宋体" w:eastAsia="宋体" w:cs="宋体"/>
          <w:color w:val="auto"/>
          <w:sz w:val="21"/>
          <w:szCs w:val="21"/>
          <w:highlight w:val="none"/>
          <w:lang w:eastAsia="zh-CN"/>
        </w:rPr>
        <w:t>组成部分</w:t>
      </w:r>
      <w:r>
        <w:rPr>
          <w:rFonts w:hint="eastAsia" w:ascii="宋体" w:hAnsi="宋体" w:eastAsia="宋体" w:cs="宋体"/>
          <w:color w:val="auto"/>
          <w:sz w:val="21"/>
          <w:szCs w:val="21"/>
          <w:highlight w:val="none"/>
        </w:rPr>
        <w:t>。</w:t>
      </w:r>
    </w:p>
    <w:p w14:paraId="229665DA">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）磋商响应文件的有效期</w:t>
      </w:r>
    </w:p>
    <w:p w14:paraId="7CAA6AF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1、自磋商响应截止日起90天磋商响应文件应保持有效。有效期不足的磋商响应文件将被拒绝。</w:t>
      </w:r>
    </w:p>
    <w:p w14:paraId="75A253B8">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2、在特殊情况下，采购人可与磋商供应商协商延长磋商响应文件的有效期，这种要求和答复均以书面形式进行。</w:t>
      </w:r>
    </w:p>
    <w:p w14:paraId="7171E4A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3、磋商供应商可拒绝接受延期要求。同意延长有效期的磋商供应商但不能修改磋商响应文件。  </w:t>
      </w:r>
    </w:p>
    <w:p w14:paraId="587BA274">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成交供应商的磋商响应文件自磋商之日起至合同履行完毕均应保持有效。</w:t>
      </w:r>
    </w:p>
    <w:p w14:paraId="413191D7">
      <w:pPr>
        <w:keepNext w:val="0"/>
        <w:keepLines w:val="0"/>
        <w:pageBreakBefore w:val="0"/>
        <w:widowControl w:val="0"/>
        <w:tabs>
          <w:tab w:val="left" w:pos="1418"/>
        </w:tabs>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磋商</w:t>
      </w:r>
    </w:p>
    <w:p w14:paraId="7E49B0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磋商委员会或磋商小组</w:t>
      </w:r>
    </w:p>
    <w:p w14:paraId="08D9F8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磋商委员会或磋商小组（以下简称磋商委员会）成员由</w:t>
      </w:r>
      <w:r>
        <w:rPr>
          <w:rFonts w:hint="eastAsia" w:ascii="宋体" w:hAnsi="宋体" w:eastAsia="宋体" w:cs="宋体"/>
          <w:b w:val="0"/>
          <w:bCs/>
          <w:color w:val="auto"/>
          <w:sz w:val="21"/>
          <w:szCs w:val="21"/>
          <w:highlight w:val="none"/>
          <w:lang w:val="en-US" w:eastAsia="zh-CN"/>
        </w:rPr>
        <w:t>招标单位</w:t>
      </w:r>
      <w:r>
        <w:rPr>
          <w:rFonts w:hint="eastAsia" w:ascii="宋体" w:hAnsi="宋体" w:eastAsia="宋体" w:cs="宋体"/>
          <w:b w:val="0"/>
          <w:bCs/>
          <w:color w:val="auto"/>
          <w:sz w:val="21"/>
          <w:szCs w:val="21"/>
          <w:highlight w:val="none"/>
        </w:rPr>
        <w:t xml:space="preserve">负责组织，对具备实质性响应的投标文件进行评估和比较。评标委员会由招标人的代表、专家和其他有关方面的代表组成。 </w:t>
      </w:r>
    </w:p>
    <w:p w14:paraId="0CE67848">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磋商委员会由采购人代表和评审专家共3人及以上单数组成，其中评审专家人数不得少于磋商小组成员总数的2/3。采购人代表不得以评审专家身份参加本部门或本单位采购项目的评审。采购代理机构人员不得参加本机构代理的采购项目的评审。</w:t>
      </w:r>
    </w:p>
    <w:p w14:paraId="0A536A90">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磋商程序</w:t>
      </w:r>
    </w:p>
    <w:p w14:paraId="6233A41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1、采购组织机构将在“磋商公告”规定的时间和地点进行磋商，磋商采购会议由采购组织机构工作人员主持，所有供应商均应准时参加磋商采购会议。</w:t>
      </w:r>
    </w:p>
    <w:p w14:paraId="538BA2DC">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2、采购组织机构工作人员接收磋商响应文件并登记，</w:t>
      </w:r>
      <w:r>
        <w:rPr>
          <w:rFonts w:hint="eastAsia" w:ascii="宋体" w:hAnsi="宋体" w:eastAsia="宋体" w:cs="宋体"/>
          <w:color w:val="auto"/>
          <w:sz w:val="21"/>
          <w:szCs w:val="21"/>
          <w:highlight w:val="none"/>
          <w:lang w:eastAsia="zh-CN"/>
        </w:rPr>
        <w:t>并由供应商代表对递交记录情况进行钉钉确认</w:t>
      </w:r>
      <w:r>
        <w:rPr>
          <w:rFonts w:hint="eastAsia" w:ascii="宋体" w:hAnsi="宋体" w:eastAsia="宋体" w:cs="宋体"/>
          <w:color w:val="auto"/>
          <w:sz w:val="21"/>
          <w:szCs w:val="21"/>
          <w:highlight w:val="none"/>
        </w:rPr>
        <w:t>。</w:t>
      </w:r>
    </w:p>
    <w:p w14:paraId="660AC47F">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、主持人宣布磋商</w:t>
      </w:r>
      <w:r>
        <w:rPr>
          <w:rFonts w:hint="eastAsia" w:ascii="宋体" w:hAnsi="宋体" w:eastAsia="宋体" w:cs="宋体"/>
          <w:color w:val="auto"/>
          <w:sz w:val="21"/>
          <w:szCs w:val="21"/>
          <w:highlight w:val="none"/>
          <w:lang w:eastAsia="zh-CN"/>
        </w:rPr>
        <w:t>采购会议开始</w:t>
      </w:r>
      <w:r>
        <w:rPr>
          <w:rFonts w:hint="eastAsia" w:ascii="宋体" w:hAnsi="宋体" w:eastAsia="宋体" w:cs="宋体"/>
          <w:color w:val="auto"/>
          <w:sz w:val="21"/>
          <w:szCs w:val="21"/>
          <w:highlight w:val="none"/>
        </w:rPr>
        <w:t>，介绍磋商现场的人员情况，宣读提交磋商响应文件的供应商名单、磋商纪律、应当回避的情形等注意事项。</w:t>
      </w:r>
    </w:p>
    <w:p w14:paraId="27C53372">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、提请供应商代表查验磋商响应文件密封情况。 </w:t>
      </w:r>
    </w:p>
    <w:p w14:paraId="52AE2893">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、主持人按磋商响应供应商签到的先后顺序当场拆封磋商文件，并送至评审场所。</w:t>
      </w:r>
    </w:p>
    <w:p w14:paraId="2542494D">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、磋商小组必须按照客观、公正、审慎的原则，根据磋商文件规定的评审程序、评审方法和评审标准进行独立评审。未实质性响应磋商文件的响应文件按无效响应处理，磋商小组应当告知提交响应文件的供应商。</w:t>
      </w:r>
    </w:p>
    <w:p w14:paraId="53CD2000">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对响应文件的初审</w:t>
      </w:r>
    </w:p>
    <w:p w14:paraId="7DECEFA8">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A.资格性检查：依据法律法规和磋商文件的规定，对响应文件中的资格条件进行审查，以确定磋商供应商是否具备投标资格。</w:t>
      </w:r>
    </w:p>
    <w:p w14:paraId="69714DC8">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B.符合性检查：详细评标之前，磋商小组依据磋商文件的规定，对响应文件是否满足</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的实质性要求进行审查，以确定响应文件是否有效。</w:t>
      </w:r>
    </w:p>
    <w:p w14:paraId="5B094F56">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初审合格的供应商进入下一步的磋商活动</w:t>
      </w:r>
      <w:r>
        <w:rPr>
          <w:rFonts w:hint="eastAsia" w:ascii="宋体" w:hAnsi="宋体" w:eastAsia="宋体" w:cs="宋体"/>
          <w:color w:val="auto"/>
          <w:szCs w:val="21"/>
          <w:highlight w:val="none"/>
          <w:lang w:eastAsia="zh-CN"/>
        </w:rPr>
        <w:t>。</w:t>
      </w:r>
    </w:p>
    <w:p w14:paraId="39BC3351">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 w:val="21"/>
          <w:szCs w:val="21"/>
          <w:highlight w:val="none"/>
        </w:rPr>
        <w:t>磋商小组所有成员集中与单一供应商分别进行磋商，并给予所有参加磋商的供应商平等的磋商机会。</w:t>
      </w:r>
    </w:p>
    <w:p w14:paraId="2DE9643A">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04224DC3">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、磋商文件能够详细列明采购标的的技术、服务要求的，磋商结束后，磋商小组将要求所有实质性响应的供应商在规定时间内提交最后报价，最终报价不得高于首次报价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最后报价是供应商响应文件的有效组成部分。 </w:t>
      </w:r>
    </w:p>
    <w:p w14:paraId="2EE6A35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、经磋商确定最终采购需求和提交最后报价的供应商后，由磋商小组采用综合评分法对提交最后报价的供应商的响应文件和最后报价进行综合评分。</w:t>
      </w:r>
    </w:p>
    <w:p w14:paraId="0FDEC053">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、磋商小组根据综合评分情况，按照评审得分由高到低顺序确定成交</w:t>
      </w:r>
      <w:r>
        <w:rPr>
          <w:rFonts w:hint="eastAsia" w:ascii="宋体" w:hAnsi="宋体" w:eastAsia="宋体" w:cs="宋体"/>
          <w:color w:val="auto"/>
          <w:sz w:val="21"/>
          <w:szCs w:val="21"/>
          <w:highlight w:val="none"/>
          <w:lang w:val="en-US" w:eastAsia="zh-CN"/>
        </w:rPr>
        <w:t>候选</w:t>
      </w:r>
      <w:r>
        <w:rPr>
          <w:rFonts w:hint="eastAsia" w:ascii="宋体" w:hAnsi="宋体" w:eastAsia="宋体" w:cs="宋体"/>
          <w:color w:val="auto"/>
          <w:sz w:val="21"/>
          <w:szCs w:val="21"/>
          <w:highlight w:val="none"/>
        </w:rPr>
        <w:t>供应商，编写评审报告。</w:t>
      </w:r>
    </w:p>
    <w:p w14:paraId="4256A5ED">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、采购组织机构对磋商小组</w:t>
      </w:r>
      <w:r>
        <w:rPr>
          <w:rFonts w:hint="eastAsia" w:ascii="宋体" w:hAnsi="宋体" w:eastAsia="宋体" w:cs="宋体"/>
          <w:color w:val="auto"/>
          <w:sz w:val="21"/>
          <w:szCs w:val="21"/>
          <w:highlight w:val="none"/>
          <w:lang w:eastAsia="zh-CN"/>
        </w:rPr>
        <w:t>专家成员</w:t>
      </w:r>
      <w:r>
        <w:rPr>
          <w:rFonts w:hint="eastAsia" w:ascii="宋体" w:hAnsi="宋体" w:eastAsia="宋体" w:cs="宋体"/>
          <w:color w:val="auto"/>
          <w:sz w:val="21"/>
          <w:szCs w:val="21"/>
          <w:highlight w:val="none"/>
        </w:rPr>
        <w:t>进行评价；</w:t>
      </w:r>
    </w:p>
    <w:p w14:paraId="120223BD">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、主持人到磋商采购会现场宣布磋商结果（含技术得分、最</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rPr>
        <w:t>报价、报价得分及总得分），磋商采购会议结束。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p>
    <w:p w14:paraId="1FCA1DC4">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）澄清问题的形式</w:t>
      </w:r>
    </w:p>
    <w:p w14:paraId="63D3447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磋商供应商的澄清、说明或者补正应当采</w:t>
      </w:r>
      <w:r>
        <w:rPr>
          <w:rFonts w:hint="eastAsia" w:ascii="宋体" w:hAnsi="宋体" w:eastAsia="宋体" w:cs="宋体"/>
          <w:b w:val="0"/>
          <w:bCs w:val="0"/>
          <w:color w:val="auto"/>
          <w:sz w:val="21"/>
          <w:szCs w:val="21"/>
          <w:highlight w:val="none"/>
        </w:rPr>
        <w:t>用书面形式，并加盖公章，或者由法定代理人或其授权的代表签字，并不得超出磋商响应文件的范围或者改变磋商响应文件的实质性内容。</w:t>
      </w:r>
    </w:p>
    <w:p w14:paraId="7F5078B4">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）错误修正</w:t>
      </w:r>
    </w:p>
    <w:p w14:paraId="0F6576F7">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磋商响应文件报价出现前后不一致的，除</w:t>
      </w:r>
      <w:r>
        <w:rPr>
          <w:rFonts w:hint="eastAsia" w:ascii="宋体" w:hAnsi="宋体" w:eastAsia="宋体" w:cs="宋体"/>
          <w:bCs/>
          <w:color w:val="auto"/>
          <w:sz w:val="21"/>
          <w:szCs w:val="21"/>
          <w:highlight w:val="none"/>
          <w:lang w:eastAsia="zh-CN"/>
        </w:rPr>
        <w:t>采购文件</w:t>
      </w:r>
      <w:r>
        <w:rPr>
          <w:rFonts w:hint="eastAsia" w:ascii="宋体" w:hAnsi="宋体" w:eastAsia="宋体" w:cs="宋体"/>
          <w:color w:val="auto"/>
          <w:sz w:val="21"/>
          <w:szCs w:val="21"/>
          <w:highlight w:val="none"/>
        </w:rPr>
        <w:t>另有规定外，按照下列规定修正：</w:t>
      </w:r>
    </w:p>
    <w:p w14:paraId="6AB46174">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1、磋商响应文件中</w:t>
      </w:r>
      <w:bookmarkStart w:id="1" w:name="_Hlk61427222"/>
      <w:r>
        <w:rPr>
          <w:rFonts w:hint="eastAsia" w:ascii="宋体" w:hAnsi="宋体" w:eastAsia="宋体" w:cs="宋体"/>
          <w:color w:val="auto"/>
          <w:sz w:val="21"/>
          <w:szCs w:val="21"/>
          <w:highlight w:val="none"/>
        </w:rPr>
        <w:t>开标一览表</w:t>
      </w:r>
      <w:bookmarkEnd w:id="1"/>
      <w:r>
        <w:rPr>
          <w:rFonts w:hint="eastAsia" w:ascii="宋体" w:hAnsi="宋体" w:eastAsia="宋体" w:cs="宋体"/>
          <w:color w:val="auto"/>
          <w:sz w:val="21"/>
          <w:szCs w:val="21"/>
          <w:highlight w:val="none"/>
        </w:rPr>
        <w:t>内容与磋商响应文件中相应内容不一致的，以</w:t>
      </w:r>
      <w:r>
        <w:rPr>
          <w:rFonts w:hint="eastAsia" w:ascii="宋体" w:hAnsi="宋体" w:eastAsia="宋体" w:cs="宋体"/>
          <w:color w:val="auto"/>
          <w:sz w:val="21"/>
          <w:szCs w:val="21"/>
          <w:highlight w:val="none"/>
          <w:lang w:val="en-US" w:eastAsia="zh-CN"/>
        </w:rPr>
        <w:t>开标</w:t>
      </w:r>
      <w:r>
        <w:rPr>
          <w:rFonts w:hint="eastAsia" w:ascii="宋体" w:hAnsi="宋体" w:eastAsia="宋体" w:cs="宋体"/>
          <w:color w:val="auto"/>
          <w:sz w:val="21"/>
          <w:szCs w:val="21"/>
          <w:highlight w:val="none"/>
        </w:rPr>
        <w:t>一览表为准；</w:t>
      </w:r>
    </w:p>
    <w:p w14:paraId="6B1FC87D">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2、大写金额和小写金额不一致的，以大写金额为准；</w:t>
      </w:r>
    </w:p>
    <w:p w14:paraId="1E10073E">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3、单价金额小数点或者百分比有明显错位的，以</w:t>
      </w:r>
      <w:r>
        <w:rPr>
          <w:rFonts w:hint="eastAsia" w:ascii="宋体" w:hAnsi="宋体" w:eastAsia="宋体" w:cs="宋体"/>
          <w:color w:val="auto"/>
          <w:sz w:val="21"/>
          <w:szCs w:val="21"/>
          <w:highlight w:val="none"/>
          <w:lang w:val="en-US" w:eastAsia="zh-CN"/>
        </w:rPr>
        <w:t>开标</w:t>
      </w:r>
      <w:r>
        <w:rPr>
          <w:rFonts w:hint="eastAsia" w:ascii="宋体" w:hAnsi="宋体" w:eastAsia="宋体" w:cs="宋体"/>
          <w:color w:val="auto"/>
          <w:sz w:val="21"/>
          <w:szCs w:val="21"/>
          <w:highlight w:val="none"/>
        </w:rPr>
        <w:t>一览表的总价为准，并修改单价；</w:t>
      </w:r>
    </w:p>
    <w:p w14:paraId="498C9717">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4、总价金额与按单价汇总金额不一致的，以单价金额计算结果为准。</w:t>
      </w:r>
    </w:p>
    <w:p w14:paraId="0519A539">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前款规定的顺序修正。修正应当采用书面形式，并加盖公章，或者由法定代表人或其授权的代表签字。修正后的报价经磋商供应商确认后产生约束力，磋商供应商不确认的，将终止磋商。</w:t>
      </w:r>
    </w:p>
    <w:p w14:paraId="73D83AB2">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磋商供应商存在下列情况之一的，响应无效，终止磋商</w:t>
      </w:r>
    </w:p>
    <w:p w14:paraId="03BC125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磋商响应文件中的报价货物</w:t>
      </w:r>
      <w:r>
        <w:rPr>
          <w:rFonts w:hint="eastAsia" w:ascii="宋体" w:hAnsi="宋体" w:eastAsia="宋体" w:cs="宋体"/>
          <w:color w:val="auto"/>
          <w:kern w:val="0"/>
          <w:sz w:val="21"/>
          <w:szCs w:val="21"/>
          <w:highlight w:val="none"/>
          <w:lang w:eastAsia="zh-CN"/>
        </w:rPr>
        <w:t>跟</w:t>
      </w:r>
      <w:r>
        <w:rPr>
          <w:rFonts w:hint="eastAsia" w:ascii="宋体" w:hAnsi="宋体" w:eastAsia="宋体" w:cs="宋体"/>
          <w:color w:val="auto"/>
          <w:kern w:val="0"/>
          <w:sz w:val="21"/>
          <w:szCs w:val="21"/>
          <w:highlight w:val="none"/>
        </w:rPr>
        <w:t>商务与技术内容中</w:t>
      </w:r>
      <w:r>
        <w:rPr>
          <w:rFonts w:hint="eastAsia" w:ascii="宋体" w:hAnsi="宋体" w:eastAsia="宋体" w:cs="宋体"/>
          <w:color w:val="auto"/>
          <w:kern w:val="0"/>
          <w:sz w:val="21"/>
          <w:szCs w:val="21"/>
          <w:highlight w:val="none"/>
          <w:lang w:eastAsia="zh-CN"/>
        </w:rPr>
        <w:t>的供应</w:t>
      </w:r>
      <w:r>
        <w:rPr>
          <w:rFonts w:hint="eastAsia" w:ascii="宋体" w:hAnsi="宋体" w:eastAsia="宋体" w:cs="宋体"/>
          <w:color w:val="auto"/>
          <w:kern w:val="0"/>
          <w:sz w:val="21"/>
          <w:szCs w:val="21"/>
          <w:highlight w:val="none"/>
        </w:rPr>
        <w:t>货物出现重大偏差的；</w:t>
      </w:r>
    </w:p>
    <w:p w14:paraId="53A44D0E">
      <w:pPr>
        <w:pStyle w:val="19"/>
        <w:keepNext w:val="0"/>
        <w:keepLines w:val="0"/>
        <w:pageBreakBefore w:val="0"/>
        <w:widowControl w:val="0"/>
        <w:tabs>
          <w:tab w:val="left" w:pos="7380"/>
        </w:tabs>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、不具备磋商采购文件中规定的资格要求的。</w:t>
      </w:r>
    </w:p>
    <w:p w14:paraId="50BE068E">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、磋商响应文件含有采购人不能接受的附加条件的。</w:t>
      </w:r>
    </w:p>
    <w:p w14:paraId="6F63B7B4">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sz w:val="21"/>
          <w:szCs w:val="21"/>
          <w:highlight w:val="none"/>
        </w:rPr>
        <w:t>、供应商代表人未能出具身份证明或与法定代表人授权委托人身份不符的；</w:t>
      </w:r>
    </w:p>
    <w:p w14:paraId="74F6A634">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与其终止磋商。</w:t>
      </w:r>
    </w:p>
    <w:p w14:paraId="68FD02F2">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、报价超过磋商采购文件中规定的预算金额/最高限价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除磋商内容发生实质性变更外</w:t>
      </w:r>
      <w:r>
        <w:rPr>
          <w:rFonts w:hint="eastAsia" w:ascii="宋体" w:hAnsi="宋体" w:eastAsia="宋体" w:cs="宋体"/>
          <w:color w:val="auto"/>
          <w:sz w:val="21"/>
          <w:szCs w:val="21"/>
          <w:highlight w:val="none"/>
          <w:lang w:val="en-US" w:eastAsia="zh-CN"/>
        </w:rPr>
        <w:t>最终报价高于首次报价的</w:t>
      </w:r>
      <w:r>
        <w:rPr>
          <w:rFonts w:hint="eastAsia" w:ascii="宋体" w:hAnsi="宋体" w:eastAsia="宋体" w:cs="宋体"/>
          <w:color w:val="auto"/>
          <w:sz w:val="21"/>
          <w:szCs w:val="21"/>
          <w:highlight w:val="none"/>
        </w:rPr>
        <w:t>。</w:t>
      </w:r>
    </w:p>
    <w:p w14:paraId="64B0EED7">
      <w:pPr>
        <w:keepNext w:val="0"/>
        <w:keepLines w:val="0"/>
        <w:pageBreakBefore w:val="0"/>
        <w:widowControl w:val="0"/>
        <w:tabs>
          <w:tab w:val="left" w:pos="1898"/>
        </w:tabs>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、磋商参数未如实填写，完全复制粘贴磋商采购参数的。</w:t>
      </w:r>
    </w:p>
    <w:p w14:paraId="23EEEA2D">
      <w:pPr>
        <w:keepNext w:val="0"/>
        <w:keepLines w:val="0"/>
        <w:pageBreakBefore w:val="0"/>
        <w:widowControl w:val="0"/>
        <w:tabs>
          <w:tab w:val="left" w:pos="1898"/>
        </w:tabs>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、磋商响应文件提供虚假材料的。</w:t>
      </w:r>
    </w:p>
    <w:p w14:paraId="7981E1CD">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、不同供应商的磋商响应文件由同一单位或者个人编制；</w:t>
      </w:r>
    </w:p>
    <w:p w14:paraId="6AC1032E">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、不同供应商委托同一单位或者个人办理磋商事宜；</w:t>
      </w:r>
    </w:p>
    <w:p w14:paraId="1F7CA29B">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、不同供应商的磋商响应文件载明的项目管理成员或者联系人员为同一人；</w:t>
      </w:r>
    </w:p>
    <w:p w14:paraId="31AD580E">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、不同供应商的磋商响应文件异常一致或者报价呈规律性差异；</w:t>
      </w:r>
    </w:p>
    <w:p w14:paraId="3F63F188">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、不同供应商的磋商响应文件相互混装；</w:t>
      </w:r>
    </w:p>
    <w:p w14:paraId="52DEA7C0">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、不符合法律、法规和磋商采购文件中规定的其他实质性要求的（磋商采购文件中打“▲”内容及被拒绝的条款）。</w:t>
      </w:r>
    </w:p>
    <w:p w14:paraId="3315C991">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六</w:t>
      </w:r>
      <w:r>
        <w:rPr>
          <w:rFonts w:hint="eastAsia" w:ascii="宋体" w:hAnsi="宋体" w:eastAsia="宋体" w:cs="宋体"/>
          <w:b/>
          <w:color w:val="auto"/>
          <w:kern w:val="0"/>
          <w:sz w:val="21"/>
          <w:szCs w:val="21"/>
          <w:highlight w:val="none"/>
        </w:rPr>
        <w:t>）有下列情况之一的，本次磋商终止</w:t>
      </w:r>
    </w:p>
    <w:p w14:paraId="1AB82C91">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1、出现影响采购公正的违法、违规行为的；</w:t>
      </w:r>
    </w:p>
    <w:p w14:paraId="4DFA6A8C">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2、磋商小组发现磋商文件存在歧义、重大缺陷导致评审工作无法进行，或者磋商文件内容违反国家有关强制性规定的； </w:t>
      </w:r>
    </w:p>
    <w:p w14:paraId="0E4745A7">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3、因重大变故，采购任务取消的；</w:t>
      </w:r>
    </w:p>
    <w:p w14:paraId="6C746490">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4、法律、法规和磋商文件规定的其他导致评审结果无效的。</w:t>
      </w:r>
    </w:p>
    <w:p w14:paraId="3D0D839E">
      <w:pPr>
        <w:keepNext w:val="0"/>
        <w:keepLines w:val="0"/>
        <w:pageBreakBefore w:val="0"/>
        <w:widowControl w:val="0"/>
        <w:tabs>
          <w:tab w:val="left" w:pos="720"/>
          <w:tab w:val="left" w:pos="1260"/>
          <w:tab w:val="left" w:pos="2160"/>
          <w:tab w:val="left" w:pos="2880"/>
          <w:tab w:val="left" w:pos="3600"/>
          <w:tab w:val="left" w:pos="4320"/>
          <w:tab w:val="left" w:pos="5040"/>
          <w:tab w:val="left" w:pos="5760"/>
          <w:tab w:val="left" w:pos="8280"/>
        </w:tabs>
        <w:kinsoku/>
        <w:wordWrap/>
        <w:overflowPunct/>
        <w:topLinePunct w:val="0"/>
        <w:autoSpaceDE/>
        <w:autoSpaceDN/>
        <w:bidi w:val="0"/>
        <w:adjustRightInd/>
        <w:snapToGrid/>
        <w:spacing w:line="360" w:lineRule="auto"/>
        <w:ind w:left="0" w:leftChars="0" w:right="0" w:firstLine="422" w:firstLineChars="200"/>
        <w:jc w:val="left"/>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lang w:val="en-US" w:eastAsia="zh-CN"/>
        </w:rPr>
        <w:t>七</w:t>
      </w:r>
      <w:r>
        <w:rPr>
          <w:rFonts w:hint="eastAsia" w:ascii="宋体" w:hAnsi="宋体" w:eastAsia="宋体" w:cs="宋体"/>
          <w:b/>
          <w:color w:val="auto"/>
          <w:kern w:val="0"/>
          <w:sz w:val="21"/>
          <w:szCs w:val="21"/>
          <w:highlight w:val="none"/>
        </w:rPr>
        <w:t>）磋商原则和方法</w:t>
      </w:r>
    </w:p>
    <w:p w14:paraId="4E2F9F15">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原则。磋商小组必须公平、公正、客观，不带任何倾向性和启发性；不得向外界透露任何与评审有关的内容；任何单位和个人不得干扰、影响评审的正常进行；磋商小组及有关工作人员不得私下与磋商供应商接触。</w:t>
      </w:r>
    </w:p>
    <w:p w14:paraId="440B7726">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2、磋商办法。具体磋商内容及评分标准等详见《第</w:t>
      </w:r>
      <w:r>
        <w:rPr>
          <w:rFonts w:hint="eastAsia" w:ascii="宋体" w:hAnsi="宋体" w:eastAsia="宋体" w:cs="宋体"/>
          <w:color w:val="auto"/>
          <w:sz w:val="21"/>
          <w:szCs w:val="21"/>
          <w:highlight w:val="none"/>
          <w:lang w:eastAsia="zh-CN"/>
        </w:rPr>
        <w:t>三章</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办法</w:t>
      </w:r>
      <w:r>
        <w:rPr>
          <w:rFonts w:hint="eastAsia" w:ascii="宋体" w:hAnsi="宋体" w:eastAsia="宋体" w:cs="宋体"/>
          <w:color w:val="auto"/>
          <w:sz w:val="21"/>
          <w:szCs w:val="21"/>
          <w:highlight w:val="none"/>
        </w:rPr>
        <w:t>及评分标准》。</w:t>
      </w:r>
    </w:p>
    <w:p w14:paraId="2D038C60">
      <w:pPr>
        <w:pStyle w:val="11"/>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）评审过程的监控</w:t>
      </w:r>
    </w:p>
    <w:p w14:paraId="190B83AB">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本项目评审过程实行全程录音、录像监控，采购监管部门</w:t>
      </w:r>
      <w:r>
        <w:rPr>
          <w:rFonts w:hint="eastAsia" w:ascii="宋体" w:hAnsi="宋体" w:eastAsia="宋体" w:cs="宋体"/>
          <w:color w:val="auto"/>
          <w:sz w:val="21"/>
          <w:szCs w:val="21"/>
          <w:highlight w:val="none"/>
          <w:lang w:eastAsia="zh-CN"/>
        </w:rPr>
        <w:t>视情</w:t>
      </w:r>
      <w:r>
        <w:rPr>
          <w:rFonts w:hint="eastAsia" w:ascii="宋体" w:hAnsi="宋体" w:eastAsia="宋体" w:cs="宋体"/>
          <w:color w:val="auto"/>
          <w:sz w:val="21"/>
          <w:szCs w:val="21"/>
          <w:highlight w:val="none"/>
        </w:rPr>
        <w:t>进行现场监督，供应商在评审过程中所进行的试图影响评审结果的不公正活动，可能导致其被拒绝磋商。</w:t>
      </w:r>
    </w:p>
    <w:p w14:paraId="5C82AD79">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、磋商结果确定</w:t>
      </w:r>
    </w:p>
    <w:p w14:paraId="5DE853E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1、确定成交供应商。磋商小组根据</w:t>
      </w:r>
      <w:r>
        <w:rPr>
          <w:rFonts w:hint="eastAsia" w:ascii="宋体" w:hAnsi="宋体" w:eastAsia="宋体" w:cs="宋体"/>
          <w:color w:val="auto"/>
          <w:sz w:val="21"/>
          <w:szCs w:val="21"/>
          <w:highlight w:val="none"/>
          <w:lang w:val="en-US" w:eastAsia="zh-CN"/>
        </w:rPr>
        <w:t>评标结果</w:t>
      </w:r>
      <w:r>
        <w:rPr>
          <w:rFonts w:hint="eastAsia" w:ascii="宋体" w:hAnsi="宋体" w:eastAsia="宋体" w:cs="宋体"/>
          <w:color w:val="auto"/>
          <w:sz w:val="21"/>
          <w:szCs w:val="21"/>
          <w:highlight w:val="none"/>
        </w:rPr>
        <w:t>推荐成交候选供应商或直接确定成交供应商。其中推荐成交候选供应商的，采购组织机构在评审结束之日起2个工作日内将评审报告送交采购人，采购人自收到评审报告之日起5个工作日内在评审报告推荐的成交候选人中按顺序确定成交供应商。</w:t>
      </w:r>
    </w:p>
    <w:p w14:paraId="0A38C24B">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2、发布成交结果公告。采购组织机构应当在成交供应商确定后2个工作日内，在省级以上财政部门指定的政府采购信息发布媒体及相关网站上公告成交结果，并将磋商文件随同公告。</w:t>
      </w:r>
    </w:p>
    <w:p w14:paraId="11CE08FB">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3、发出成交通知书。采购组织机构在发布成交结果同时，向成交供应商发出成交通知书。</w:t>
      </w:r>
    </w:p>
    <w:p w14:paraId="6B096B7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中标人在中标之后领取通知书之前，应向招标代理机构交纳招标代理服务费。若中标人未在约定时间内支付招标代理服务费，从逾期之日起按日利率千分之一承担违约金。若中标人未按上述规定办理，需承担招标代理机构为实现债权的所有费用（包括但不限于律师费、催讨车旅费、保全担保费等）</w:t>
      </w:r>
      <w:r>
        <w:rPr>
          <w:rFonts w:hint="eastAsia" w:ascii="宋体" w:hAnsi="宋体" w:cs="宋体"/>
          <w:color w:val="auto"/>
          <w:kern w:val="0"/>
          <w:sz w:val="21"/>
          <w:szCs w:val="21"/>
          <w:highlight w:val="none"/>
          <w:lang w:val="en-US" w:eastAsia="zh-CN"/>
        </w:rPr>
        <w:t>。</w:t>
      </w:r>
    </w:p>
    <w:p w14:paraId="34DD5272">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sz w:val="21"/>
          <w:szCs w:val="21"/>
          <w:highlight w:val="none"/>
        </w:rPr>
        <w:t>招标代理费：</w:t>
      </w:r>
      <w:r>
        <w:rPr>
          <w:rFonts w:hint="eastAsia" w:ascii="宋体" w:hAnsi="宋体" w:eastAsia="宋体" w:cs="宋体"/>
          <w:color w:val="auto"/>
          <w:szCs w:val="21"/>
          <w:highlight w:val="none"/>
        </w:rPr>
        <w:t>按照中标通知书确定的中标金额，</w:t>
      </w:r>
      <w:r>
        <w:rPr>
          <w:rFonts w:hint="eastAsia" w:ascii="宋体" w:hAnsi="宋体" w:eastAsia="宋体" w:cs="宋体"/>
          <w:color w:val="auto"/>
          <w:szCs w:val="21"/>
          <w:highlight w:val="none"/>
          <w:lang w:val="en-US" w:eastAsia="zh-CN"/>
        </w:rPr>
        <w:t>按下附表收费标准，采用差额累进算法</w:t>
      </w:r>
      <w:r>
        <w:rPr>
          <w:rFonts w:hint="eastAsia" w:ascii="宋体" w:hAnsi="宋体" w:eastAsia="宋体" w:cs="宋体"/>
          <w:color w:val="auto"/>
          <w:szCs w:val="21"/>
          <w:highlight w:val="none"/>
        </w:rPr>
        <w:t>向中标单位收取代理服务费。</w:t>
      </w:r>
      <w:r>
        <w:rPr>
          <w:rFonts w:hint="eastAsia" w:ascii="宋体" w:hAnsi="宋体" w:eastAsia="宋体" w:cs="宋体"/>
          <w:color w:val="auto"/>
          <w:sz w:val="21"/>
          <w:szCs w:val="21"/>
          <w:highlight w:val="none"/>
        </w:rPr>
        <w:t>代理服务费结算不足</w:t>
      </w:r>
      <w:r>
        <w:rPr>
          <w:rFonts w:hint="eastAsia" w:ascii="宋体" w:hAnsi="宋体" w:eastAsia="宋体" w:cs="宋体"/>
          <w:color w:val="auto"/>
          <w:sz w:val="21"/>
          <w:szCs w:val="21"/>
          <w:highlight w:val="none"/>
          <w:lang w:val="en-US" w:eastAsia="zh-CN"/>
        </w:rPr>
        <w:t>陆仟元</w:t>
      </w:r>
      <w:r>
        <w:rPr>
          <w:rFonts w:hint="eastAsia" w:ascii="宋体" w:hAnsi="宋体" w:eastAsia="宋体" w:cs="宋体"/>
          <w:color w:val="auto"/>
          <w:sz w:val="21"/>
          <w:szCs w:val="21"/>
          <w:highlight w:val="none"/>
        </w:rPr>
        <w:t>的，按定额</w:t>
      </w:r>
      <w:r>
        <w:rPr>
          <w:rFonts w:hint="eastAsia" w:ascii="宋体" w:hAnsi="宋体" w:eastAsia="宋体" w:cs="宋体"/>
          <w:color w:val="auto"/>
          <w:sz w:val="21"/>
          <w:szCs w:val="21"/>
          <w:highlight w:val="none"/>
          <w:lang w:val="en-US" w:eastAsia="zh-CN"/>
        </w:rPr>
        <w:t>陆仟元</w:t>
      </w:r>
      <w:r>
        <w:rPr>
          <w:rFonts w:hint="eastAsia" w:ascii="宋体" w:hAnsi="宋体" w:eastAsia="宋体" w:cs="宋体"/>
          <w:color w:val="auto"/>
          <w:sz w:val="21"/>
          <w:szCs w:val="21"/>
          <w:highlight w:val="none"/>
        </w:rPr>
        <w:t>收取。该费用中标方须在领取中标通知书时一次性付清。（单位名称：台州永安工程咨询有限公司；人民币账号：530125998900015；开户行：台州银行黄岩工业园区支行）</w:t>
      </w:r>
    </w:p>
    <w:p w14:paraId="66697896">
      <w:pPr>
        <w:keepNext w:val="0"/>
        <w:keepLines w:val="0"/>
        <w:pageBreakBefore w:val="0"/>
        <w:kinsoku/>
        <w:wordWrap/>
        <w:topLinePunct w:val="0"/>
        <w:bidi w:val="0"/>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附表：招标代理服务收费标准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2067"/>
      </w:tblGrid>
      <w:tr w14:paraId="1410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2556" w:type="dxa"/>
          </w:tcPr>
          <w:p w14:paraId="6BE0236C">
            <w:pPr>
              <w:keepNext w:val="0"/>
              <w:keepLines w:val="0"/>
              <w:pageBreakBefore w:val="0"/>
              <w:kinsoku/>
              <w:wordWrap/>
              <w:topLinePunct w:val="0"/>
              <w:bidi w:val="0"/>
              <w:ind w:firstLine="1470" w:firstLineChars="700"/>
              <w:outlineLvl w:val="9"/>
              <w:rPr>
                <w:rFonts w:hint="eastAsia" w:ascii="宋体" w:hAnsi="宋体" w:eastAsia="宋体" w:cs="宋体"/>
                <w:b/>
                <w:color w:val="auto"/>
                <w:szCs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-58420</wp:posOffset>
                      </wp:positionH>
                      <wp:positionV relativeFrom="paragraph">
                        <wp:posOffset>21590</wp:posOffset>
                      </wp:positionV>
                      <wp:extent cx="1619250" cy="725170"/>
                      <wp:effectExtent l="1905" t="4445" r="17145" b="13335"/>
                      <wp:wrapNone/>
                      <wp:docPr id="6" name="直接连接符 6"/>
                      <wp:cNvGraphicFramePr/>
                      <a:graphic xmlns:a="http://schemas.openxmlformats.org/drawingml/2006/main">
                        <a:graphicData uri="http://schemas.microsoft.com/office/word/2010/wordprocessingShape">
                          <wps:wsp>
                            <wps:cNvCnPr/>
                            <wps:spPr>
                              <a:xfrm flipH="1" flipV="1">
                                <a:off x="999490" y="935355"/>
                                <a:ext cx="1619250" cy="7251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4.6pt;margin-top:1.7pt;height:57.1pt;width:127.5pt;z-index:251666432;mso-width-relative:page;mso-height-relative:page;" filled="f" stroked="t" coordsize="21600,21600" o:gfxdata="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fnlX1AAAAAgBAAAPAAAAAAAAAAEAIAAAACIA&#10;AABkcnMvZG93bnJldi54bWxQSwECFAAUAAAACACHTuJAWpXT7g0CAAD2AwAADgAAAAAAAAABACAA&#10;AAAjAQAAZHJzL2Uyb0RvYy54bWxQSwUGAAAAAAYABgBZAQAAogUAAAAA&#10;">
                      <v:fill on="f" focussize="0,0"/>
                      <v:stroke color="#000000 [3200]" joinstyle="round"/>
                      <v:imagedata o:title=""/>
                      <o:lock v:ext="edit" aspectratio="f"/>
                    </v:lin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645160</wp:posOffset>
                      </wp:positionH>
                      <wp:positionV relativeFrom="paragraph">
                        <wp:posOffset>0</wp:posOffset>
                      </wp:positionV>
                      <wp:extent cx="922655" cy="739775"/>
                      <wp:effectExtent l="3175" t="3810" r="7620" b="18415"/>
                      <wp:wrapNone/>
                      <wp:docPr id="7" name="直接连接符 7"/>
                      <wp:cNvGraphicFramePr/>
                      <a:graphic xmlns:a="http://schemas.openxmlformats.org/drawingml/2006/main">
                        <a:graphicData uri="http://schemas.microsoft.com/office/word/2010/wordprocessingShape">
                          <wps:wsp>
                            <wps:cNvCnPr/>
                            <wps:spPr>
                              <a:xfrm>
                                <a:off x="1812925" y="964565"/>
                                <a:ext cx="922655" cy="739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0.8pt;margin-top:0pt;height:58.25pt;width:72.65pt;z-index:251665408;mso-width-relative:page;mso-height-relative:page;" filled="f" stroked="t" coordsize="21600,21600" o:gfxdata="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4BhXtUAAAAIAQAADwAAAAAAAAABACAAAAAiAAAAZHJzL2Rvd25y&#10;ZXYueG1sUEsBAhQAFAAAAAgAh07iQN4Qf+4BAgAA4gMAAA4AAAAAAAAAAQAgAAAAJAEAAGRycy9l&#10;Mm9Eb2MueG1sUEsFBgAAAAAGAAYAWQEAAJcFAAAAAA==&#10;">
                      <v:fill on="f" focussize="0,0"/>
                      <v:stroke color="#000000 [3200]" joinstyle="round"/>
                      <v:imagedata o:title=""/>
                      <o:lock v:ext="edit" aspectratio="f"/>
                    </v:line>
                  </w:pict>
                </mc:Fallback>
              </mc:AlternateContent>
            </w:r>
            <w:r>
              <w:rPr>
                <w:rFonts w:hint="eastAsia" w:ascii="宋体" w:hAnsi="宋体" w:eastAsia="宋体" w:cs="宋体"/>
                <w:b/>
                <w:color w:val="auto"/>
                <w:szCs w:val="21"/>
                <w:highlight w:val="none"/>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5HTftUAAAAJAQAADwAAAAAAAAABACAAAAAiAAAAZHJzL2Rvd25yZXYueG1sUEsBAhQAFAAAAAgA&#10;h07iQCx4TKvvAQAA5AMAAA4AAAAAAAAAAQAgAAAAJA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b/>
                <w:color w:val="auto"/>
                <w:szCs w:val="21"/>
                <w:highlight w:val="none"/>
              </w:rPr>
              <w:t>服务</w:t>
            </w:r>
          </w:p>
          <w:p w14:paraId="5EF7F4C7">
            <w:pPr>
              <w:keepNext w:val="0"/>
              <w:keepLines w:val="0"/>
              <w:pageBreakBefore w:val="0"/>
              <w:kinsoku/>
              <w:wordWrap/>
              <w:topLinePunct w:val="0"/>
              <w:bidi w:val="0"/>
              <w:ind w:firstLine="1054" w:firstLineChars="5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费　　类型</w:t>
            </w:r>
          </w:p>
          <w:p w14:paraId="53590DCE">
            <w:pPr>
              <w:keepNext w:val="0"/>
              <w:keepLines w:val="0"/>
              <w:pageBreakBefore w:val="0"/>
              <w:kinsoku/>
              <w:wordWrap/>
              <w:topLinePunct w:val="0"/>
              <w:bidi w:val="0"/>
              <w:ind w:firstLine="1476" w:firstLineChars="7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率</w:t>
            </w:r>
          </w:p>
          <w:p w14:paraId="26DA1E76">
            <w:pPr>
              <w:keepNext w:val="0"/>
              <w:keepLines w:val="0"/>
              <w:pageBreakBefore w:val="0"/>
              <w:kinsoku/>
              <w:wordWrap/>
              <w:topLinePunct w:val="0"/>
              <w:bidi w:val="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中标金额（万元）</w:t>
            </w:r>
          </w:p>
        </w:tc>
        <w:tc>
          <w:tcPr>
            <w:tcW w:w="2067" w:type="dxa"/>
            <w:vAlign w:val="center"/>
          </w:tcPr>
          <w:p w14:paraId="6B0407DF">
            <w:pPr>
              <w:keepNext w:val="0"/>
              <w:keepLines w:val="0"/>
              <w:pageBreakBefore w:val="0"/>
              <w:kinsoku/>
              <w:wordWrap/>
              <w:topLinePunct w:val="0"/>
              <w:bidi w:val="0"/>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服务招标</w:t>
            </w:r>
          </w:p>
        </w:tc>
      </w:tr>
      <w:tr w14:paraId="1F36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556" w:type="dxa"/>
          </w:tcPr>
          <w:p w14:paraId="1D75DFCF">
            <w:pPr>
              <w:keepNext w:val="0"/>
              <w:keepLines w:val="0"/>
              <w:pageBreakBefore w:val="0"/>
              <w:kinsoku/>
              <w:wordWrap/>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2067" w:type="dxa"/>
          </w:tcPr>
          <w:p w14:paraId="727A83B1">
            <w:pPr>
              <w:keepNext w:val="0"/>
              <w:keepLines w:val="0"/>
              <w:pageBreakBefore w:val="0"/>
              <w:kinsoku/>
              <w:wordWrap/>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r>
      <w:tr w14:paraId="5E50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556" w:type="dxa"/>
          </w:tcPr>
          <w:p w14:paraId="54B9712E">
            <w:pPr>
              <w:keepNext w:val="0"/>
              <w:keepLines w:val="0"/>
              <w:pageBreakBefore w:val="0"/>
              <w:kinsoku/>
              <w:wordWrap/>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2067" w:type="dxa"/>
          </w:tcPr>
          <w:p w14:paraId="5D41C0C4">
            <w:pPr>
              <w:keepNext w:val="0"/>
              <w:keepLines w:val="0"/>
              <w:pageBreakBefore w:val="0"/>
              <w:kinsoku/>
              <w:wordWrap/>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r>
      <w:tr w14:paraId="7D96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556" w:type="dxa"/>
          </w:tcPr>
          <w:p w14:paraId="00F344EE">
            <w:pPr>
              <w:keepNext w:val="0"/>
              <w:keepLines w:val="0"/>
              <w:pageBreakBefore w:val="0"/>
              <w:kinsoku/>
              <w:wordWrap/>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2067" w:type="dxa"/>
          </w:tcPr>
          <w:p w14:paraId="2617AE75">
            <w:pPr>
              <w:keepNext w:val="0"/>
              <w:keepLines w:val="0"/>
              <w:pageBreakBefore w:val="0"/>
              <w:kinsoku/>
              <w:wordWrap/>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0.45%</w:t>
            </w:r>
          </w:p>
        </w:tc>
      </w:tr>
      <w:tr w14:paraId="6C87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556" w:type="dxa"/>
          </w:tcPr>
          <w:p w14:paraId="41444697">
            <w:pPr>
              <w:keepNext w:val="0"/>
              <w:keepLines w:val="0"/>
              <w:pageBreakBefore w:val="0"/>
              <w:kinsoku/>
              <w:wordWrap/>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2067" w:type="dxa"/>
          </w:tcPr>
          <w:p w14:paraId="56E15D95">
            <w:pPr>
              <w:keepNext w:val="0"/>
              <w:keepLines w:val="0"/>
              <w:pageBreakBefore w:val="0"/>
              <w:kinsoku/>
              <w:wordWrap/>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r>
      <w:tr w14:paraId="0EAE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556" w:type="dxa"/>
          </w:tcPr>
          <w:p w14:paraId="421A9056">
            <w:pPr>
              <w:keepNext w:val="0"/>
              <w:keepLines w:val="0"/>
              <w:pageBreakBefore w:val="0"/>
              <w:kinsoku/>
              <w:wordWrap/>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2067" w:type="dxa"/>
          </w:tcPr>
          <w:p w14:paraId="7B800F2C">
            <w:pPr>
              <w:keepNext w:val="0"/>
              <w:keepLines w:val="0"/>
              <w:pageBreakBefore w:val="0"/>
              <w:kinsoku/>
              <w:wordWrap/>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0.1%</w:t>
            </w:r>
          </w:p>
        </w:tc>
      </w:tr>
      <w:tr w14:paraId="2CF6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556" w:type="dxa"/>
          </w:tcPr>
          <w:p w14:paraId="27F51692">
            <w:pPr>
              <w:keepNext w:val="0"/>
              <w:keepLines w:val="0"/>
              <w:pageBreakBefore w:val="0"/>
              <w:kinsoku/>
              <w:wordWrap/>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10000-100000</w:t>
            </w:r>
          </w:p>
        </w:tc>
        <w:tc>
          <w:tcPr>
            <w:tcW w:w="2067" w:type="dxa"/>
          </w:tcPr>
          <w:p w14:paraId="73AC7BBF">
            <w:pPr>
              <w:keepNext w:val="0"/>
              <w:keepLines w:val="0"/>
              <w:pageBreakBefore w:val="0"/>
              <w:kinsoku/>
              <w:wordWrap/>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14:paraId="4A4C3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556" w:type="dxa"/>
          </w:tcPr>
          <w:p w14:paraId="4F303248">
            <w:pPr>
              <w:keepNext w:val="0"/>
              <w:keepLines w:val="0"/>
              <w:pageBreakBefore w:val="0"/>
              <w:kinsoku/>
              <w:wordWrap/>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100000以上</w:t>
            </w:r>
          </w:p>
        </w:tc>
        <w:tc>
          <w:tcPr>
            <w:tcW w:w="2067" w:type="dxa"/>
          </w:tcPr>
          <w:p w14:paraId="1E56E838">
            <w:pPr>
              <w:keepNext w:val="0"/>
              <w:keepLines w:val="0"/>
              <w:pageBreakBefore w:val="0"/>
              <w:kinsoku/>
              <w:wordWrap/>
              <w:topLinePunct w:val="0"/>
              <w:bidi w:val="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0.01%</w:t>
            </w:r>
          </w:p>
        </w:tc>
      </w:tr>
    </w:tbl>
    <w:p w14:paraId="333D572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en-US" w:eastAsia="zh-CN"/>
        </w:rPr>
        <w:t>五</w:t>
      </w:r>
      <w:r>
        <w:rPr>
          <w:rFonts w:hint="eastAsia" w:ascii="宋体" w:hAnsi="宋体" w:eastAsia="宋体" w:cs="宋体"/>
          <w:b/>
          <w:color w:val="auto"/>
          <w:kern w:val="0"/>
          <w:sz w:val="21"/>
          <w:szCs w:val="21"/>
          <w:highlight w:val="none"/>
        </w:rPr>
        <w:t>、合同签订</w:t>
      </w:r>
    </w:p>
    <w:p w14:paraId="3C59A9EA">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1、采购人应当自成交通知书发出之日起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个工作日内，按照磋商采购文件确定的合同文本以及采购标的、规格型号、采购金额、采购数量和服务要求等事项签订采购合同。</w:t>
      </w:r>
    </w:p>
    <w:p w14:paraId="403B6451">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不得向成交供应商提出超出磋商文件以外的任何要求作为签订合同的条件，不得与成交供应商订立背离磋商文件确定的合同文本以及采购标的、规格型号、采购金额、采购数量和服务要求等实质性内容的协议。</w:t>
      </w:r>
    </w:p>
    <w:p w14:paraId="11F23F67">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3、成交供应商无故拖延、拒签合同的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取消成交资格。</w:t>
      </w:r>
    </w:p>
    <w:p w14:paraId="52301874">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4、成交供应商拒绝与采购人签订合同的，采购人可以按照评审报告推荐的成交候选供应商名单排序，确定下一候选供应商为成交供应商，也可以重新开展采购活动。</w:t>
      </w:r>
    </w:p>
    <w:p w14:paraId="555F45B3">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5、询问或者质疑事项可能影响成交结果的，采购人应当暂停签订合同，已经签订合同的，应当中止履行合同（成交结果的质疑期为成交结果公告期限届满之日起七个工作日）。</w:t>
      </w:r>
    </w:p>
    <w:p w14:paraId="04267375">
      <w:pPr>
        <w:spacing w:line="360" w:lineRule="auto"/>
        <w:jc w:val="center"/>
        <w:outlineLvl w:val="0"/>
        <w:rPr>
          <w:rFonts w:hint="eastAsia" w:ascii="宋体" w:hAnsi="宋体" w:eastAsia="宋体" w:cs="宋体"/>
          <w:b/>
          <w:color w:val="auto"/>
          <w:sz w:val="36"/>
          <w:szCs w:val="36"/>
          <w:highlight w:val="none"/>
        </w:rPr>
        <w:sectPr>
          <w:footnotePr>
            <w:numRestart w:val="eachPage"/>
          </w:footnotePr>
          <w:endnotePr>
            <w:numRestart w:val="eachSect"/>
          </w:endnotePr>
          <w:pgSz w:w="11907" w:h="16840"/>
          <w:pgMar w:top="1418" w:right="1418" w:bottom="1418" w:left="1588" w:header="851" w:footer="839" w:gutter="0"/>
          <w:pgBorders>
            <w:top w:val="none" w:sz="0" w:space="0"/>
            <w:left w:val="none" w:sz="0" w:space="0"/>
            <w:bottom w:val="none" w:sz="0" w:space="0"/>
            <w:right w:val="none" w:sz="0" w:space="0"/>
          </w:pgBorders>
          <w:pgNumType w:fmt="decimal"/>
          <w:cols w:space="720" w:num="1"/>
          <w:docGrid w:linePitch="435" w:charSpace="-6554"/>
        </w:sectPr>
      </w:pPr>
    </w:p>
    <w:p w14:paraId="3D652D16">
      <w:pPr>
        <w:spacing w:line="360" w:lineRule="auto"/>
        <w:jc w:val="center"/>
        <w:outlineLvl w:val="0"/>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 xml:space="preserve">第三章 </w:t>
      </w:r>
      <w:r>
        <w:rPr>
          <w:rFonts w:hint="eastAsia" w:ascii="宋体" w:hAnsi="宋体" w:eastAsia="宋体" w:cs="宋体"/>
          <w:b/>
          <w:color w:val="auto"/>
          <w:sz w:val="36"/>
          <w:szCs w:val="36"/>
          <w:highlight w:val="none"/>
          <w:lang w:eastAsia="zh-CN"/>
        </w:rPr>
        <w:t>评审办法及评审标准</w:t>
      </w:r>
    </w:p>
    <w:p w14:paraId="304A621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b/>
          <w:i/>
          <w:color w:val="auto"/>
          <w:kern w:val="0"/>
          <w:sz w:val="21"/>
          <w:szCs w:val="21"/>
          <w:highlight w:val="none"/>
        </w:rPr>
      </w:pPr>
      <w:r>
        <w:rPr>
          <w:rFonts w:hint="eastAsia" w:ascii="宋体" w:hAnsi="宋体" w:eastAsia="宋体" w:cs="宋体"/>
          <w:color w:val="auto"/>
          <w:kern w:val="0"/>
          <w:sz w:val="21"/>
          <w:szCs w:val="21"/>
          <w:highlight w:val="none"/>
        </w:rPr>
        <w:t>一、采购组织机构将组织</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0"/>
          <w:sz w:val="21"/>
          <w:szCs w:val="21"/>
          <w:highlight w:val="none"/>
        </w:rPr>
        <w:t>，对</w:t>
      </w: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提供的</w:t>
      </w:r>
      <w:r>
        <w:rPr>
          <w:rFonts w:hint="eastAsia" w:ascii="宋体" w:hAnsi="宋体" w:eastAsia="宋体" w:cs="宋体"/>
          <w:color w:val="auto"/>
          <w:sz w:val="21"/>
          <w:szCs w:val="21"/>
          <w:highlight w:val="none"/>
        </w:rPr>
        <w:t>磋商响应文件</w:t>
      </w:r>
      <w:r>
        <w:rPr>
          <w:rFonts w:hint="eastAsia" w:ascii="宋体" w:hAnsi="宋体" w:eastAsia="宋体" w:cs="宋体"/>
          <w:color w:val="auto"/>
          <w:kern w:val="0"/>
          <w:sz w:val="21"/>
          <w:szCs w:val="21"/>
          <w:highlight w:val="none"/>
        </w:rPr>
        <w:t xml:space="preserve">进行综合评审。   </w:t>
      </w:r>
    </w:p>
    <w:p w14:paraId="0CDBE391">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二、本次磋商项目的评审方法为</w:t>
      </w:r>
      <w:r>
        <w:rPr>
          <w:rFonts w:hint="eastAsia" w:ascii="宋体" w:hAnsi="宋体" w:eastAsia="宋体" w:cs="宋体"/>
          <w:b/>
          <w:color w:val="auto"/>
          <w:kern w:val="0"/>
          <w:sz w:val="21"/>
          <w:szCs w:val="21"/>
          <w:highlight w:val="none"/>
        </w:rPr>
        <w:t>综合评分法</w:t>
      </w:r>
      <w:r>
        <w:rPr>
          <w:rFonts w:hint="eastAsia" w:ascii="宋体" w:hAnsi="宋体" w:eastAsia="宋体" w:cs="宋体"/>
          <w:color w:val="auto"/>
          <w:kern w:val="0"/>
          <w:sz w:val="21"/>
          <w:szCs w:val="21"/>
          <w:highlight w:val="none"/>
        </w:rPr>
        <w:t>，总计100分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其中</w:t>
      </w:r>
      <w:r>
        <w:rPr>
          <w:rFonts w:hint="eastAsia" w:ascii="宋体" w:hAnsi="宋体" w:eastAsia="宋体" w:cs="宋体"/>
          <w:color w:val="auto"/>
          <w:sz w:val="21"/>
          <w:szCs w:val="21"/>
          <w:highlight w:val="none"/>
          <w:lang w:val="zh-CN"/>
        </w:rPr>
        <w:t>商务技术分值</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zh-CN"/>
        </w:rPr>
        <w:t>分，投标报价分值</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评审标准按评分细化条款及分值进行评审。</w:t>
      </w:r>
    </w:p>
    <w:p w14:paraId="747A4BE8">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（一）商务技术文件中的客观分由</w:t>
      </w:r>
      <w:r>
        <w:rPr>
          <w:rFonts w:hint="eastAsia" w:ascii="宋体" w:hAnsi="宋体" w:eastAsia="宋体" w:cs="宋体"/>
          <w:color w:val="auto"/>
          <w:sz w:val="21"/>
          <w:szCs w:val="21"/>
          <w:highlight w:val="none"/>
        </w:rPr>
        <w:t>磋商小组</w:t>
      </w:r>
      <w:r>
        <w:rPr>
          <w:rFonts w:hint="eastAsia" w:ascii="宋体" w:hAnsi="宋体" w:eastAsia="宋体" w:cs="宋体"/>
          <w:bCs/>
          <w:color w:val="auto"/>
          <w:sz w:val="21"/>
          <w:szCs w:val="21"/>
          <w:highlight w:val="none"/>
          <w:lang w:val="zh-CN"/>
        </w:rPr>
        <w:t>讨论后统一打分；其余在规定的分值内单独评定打分</w:t>
      </w:r>
      <w:r>
        <w:rPr>
          <w:rFonts w:hint="eastAsia" w:ascii="宋体" w:hAnsi="宋体" w:eastAsia="宋体" w:cs="宋体"/>
          <w:color w:val="auto"/>
          <w:sz w:val="21"/>
          <w:szCs w:val="21"/>
          <w:highlight w:val="none"/>
        </w:rPr>
        <w:t>（小数点后保留1位）</w:t>
      </w:r>
      <w:r>
        <w:rPr>
          <w:rFonts w:hint="eastAsia" w:ascii="宋体" w:hAnsi="宋体" w:eastAsia="宋体" w:cs="宋体"/>
          <w:bCs/>
          <w:color w:val="auto"/>
          <w:sz w:val="21"/>
          <w:szCs w:val="21"/>
          <w:highlight w:val="none"/>
          <w:lang w:val="zh-CN"/>
        </w:rPr>
        <w:t>。</w:t>
      </w:r>
    </w:p>
    <w:p w14:paraId="2B16492E">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bCs/>
          <w:color w:val="auto"/>
          <w:sz w:val="21"/>
          <w:szCs w:val="21"/>
          <w:highlight w:val="none"/>
          <w:shd w:val="clear" w:color="FFFFFF" w:fill="D9D9D9"/>
          <w:lang w:val="zh-CN"/>
        </w:rPr>
      </w:pPr>
      <w:r>
        <w:rPr>
          <w:rFonts w:hint="eastAsia" w:ascii="宋体" w:hAnsi="宋体" w:eastAsia="宋体" w:cs="宋体"/>
          <w:bCs/>
          <w:color w:val="auto"/>
          <w:sz w:val="21"/>
          <w:szCs w:val="21"/>
          <w:highlight w:val="none"/>
          <w:lang w:val="zh-CN"/>
        </w:rPr>
        <w:t>（二）各磋商供应商商务技术文件</w:t>
      </w:r>
      <w:r>
        <w:rPr>
          <w:rFonts w:hint="eastAsia" w:ascii="宋体" w:hAnsi="宋体" w:eastAsia="宋体" w:cs="宋体"/>
          <w:color w:val="auto"/>
          <w:kern w:val="0"/>
          <w:sz w:val="21"/>
          <w:szCs w:val="21"/>
          <w:highlight w:val="none"/>
          <w:lang w:val="zh-CN"/>
        </w:rPr>
        <w:t>得分按照</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0"/>
          <w:sz w:val="21"/>
          <w:szCs w:val="21"/>
          <w:highlight w:val="none"/>
          <w:lang w:val="zh-CN"/>
        </w:rPr>
        <w:t>成</w:t>
      </w:r>
      <w:r>
        <w:rPr>
          <w:rFonts w:hint="eastAsia" w:ascii="宋体" w:hAnsi="宋体" w:eastAsia="宋体" w:cs="宋体"/>
          <w:bCs/>
          <w:color w:val="auto"/>
          <w:sz w:val="21"/>
          <w:szCs w:val="21"/>
          <w:highlight w:val="none"/>
          <w:lang w:val="zh-CN"/>
        </w:rPr>
        <w:t>员的独立评分结果汇总后的算术平均分计算</w:t>
      </w:r>
      <w:r>
        <w:rPr>
          <w:rFonts w:hint="eastAsia" w:ascii="宋体" w:hAnsi="宋体" w:eastAsia="宋体" w:cs="宋体"/>
          <w:color w:val="auto"/>
          <w:sz w:val="21"/>
          <w:szCs w:val="21"/>
          <w:highlight w:val="none"/>
        </w:rPr>
        <w:t>（小数点后保留2位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四舍五入</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zh-CN"/>
        </w:rPr>
        <w:t>，计算公式为：</w:t>
      </w:r>
    </w:p>
    <w:p w14:paraId="1DDCC61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bCs/>
          <w:color w:val="auto"/>
          <w:sz w:val="21"/>
          <w:szCs w:val="21"/>
          <w:highlight w:val="none"/>
          <w:shd w:val="clear" w:color="FFFFFF" w:fill="D9D9D9"/>
          <w:lang w:val="zh-CN"/>
        </w:rPr>
      </w:pPr>
      <w:r>
        <w:rPr>
          <w:rFonts w:hint="eastAsia" w:ascii="宋体" w:hAnsi="宋体" w:eastAsia="宋体" w:cs="宋体"/>
          <w:color w:val="auto"/>
          <w:sz w:val="21"/>
          <w:szCs w:val="21"/>
          <w:highlight w:val="none"/>
        </w:rPr>
        <w:t>商务技术文件得分</w:t>
      </w:r>
      <w:r>
        <w:rPr>
          <w:rFonts w:hint="eastAsia" w:ascii="宋体" w:hAnsi="宋体" w:eastAsia="宋体" w:cs="宋体"/>
          <w:bCs/>
          <w:color w:val="auto"/>
          <w:sz w:val="21"/>
          <w:szCs w:val="21"/>
          <w:highlight w:val="none"/>
          <w:lang w:val="zh-CN"/>
        </w:rPr>
        <w:t>=</w:t>
      </w:r>
      <w:r>
        <w:rPr>
          <w:rFonts w:hint="eastAsia" w:ascii="宋体" w:hAnsi="宋体" w:eastAsia="宋体" w:cs="宋体"/>
          <w:color w:val="auto"/>
          <w:sz w:val="21"/>
          <w:szCs w:val="21"/>
          <w:highlight w:val="none"/>
        </w:rPr>
        <w:t>磋商小组</w:t>
      </w:r>
      <w:r>
        <w:rPr>
          <w:rFonts w:hint="eastAsia" w:ascii="宋体" w:hAnsi="宋体" w:eastAsia="宋体" w:cs="宋体"/>
          <w:bCs/>
          <w:color w:val="auto"/>
          <w:sz w:val="21"/>
          <w:szCs w:val="21"/>
          <w:highlight w:val="none"/>
          <w:lang w:val="zh-CN"/>
        </w:rPr>
        <w:t>所有成员评分合计数/</w:t>
      </w:r>
      <w:r>
        <w:rPr>
          <w:rFonts w:hint="eastAsia" w:ascii="宋体" w:hAnsi="宋体" w:eastAsia="宋体" w:cs="宋体"/>
          <w:color w:val="auto"/>
          <w:sz w:val="21"/>
          <w:szCs w:val="21"/>
          <w:highlight w:val="none"/>
        </w:rPr>
        <w:t>磋商小组</w:t>
      </w:r>
      <w:r>
        <w:rPr>
          <w:rFonts w:hint="eastAsia" w:ascii="宋体" w:hAnsi="宋体" w:eastAsia="宋体" w:cs="宋体"/>
          <w:bCs/>
          <w:color w:val="auto"/>
          <w:sz w:val="21"/>
          <w:szCs w:val="21"/>
          <w:highlight w:val="none"/>
          <w:lang w:val="zh-CN"/>
        </w:rPr>
        <w:t>组成人员数。</w:t>
      </w:r>
    </w:p>
    <w:p w14:paraId="53F20D7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bCs/>
          <w:color w:val="auto"/>
          <w:sz w:val="21"/>
          <w:szCs w:val="21"/>
          <w:highlight w:val="none"/>
          <w:lang w:val="zh-CN"/>
        </w:rPr>
        <w:t>（三）</w:t>
      </w:r>
      <w:r>
        <w:rPr>
          <w:rFonts w:hint="eastAsia" w:ascii="宋体" w:hAnsi="宋体" w:eastAsia="宋体" w:cs="宋体"/>
          <w:color w:val="auto"/>
          <w:sz w:val="21"/>
          <w:szCs w:val="21"/>
          <w:highlight w:val="none"/>
          <w:u w:val="single"/>
        </w:rPr>
        <w:t>综合评分法中的价格分统一</w:t>
      </w:r>
      <w:r>
        <w:rPr>
          <w:rFonts w:hint="eastAsia" w:ascii="宋体" w:hAnsi="宋体" w:eastAsia="宋体" w:cs="宋体"/>
          <w:color w:val="auto"/>
          <w:sz w:val="21"/>
          <w:szCs w:val="21"/>
          <w:highlight w:val="none"/>
          <w:lang w:val="zh-CN"/>
        </w:rPr>
        <w:t>采用低价优先法计算</w:t>
      </w:r>
      <w:r>
        <w:rPr>
          <w:rFonts w:hint="eastAsia" w:ascii="宋体" w:hAnsi="宋体" w:eastAsia="宋体" w:cs="宋体"/>
          <w:color w:val="auto"/>
          <w:sz w:val="21"/>
          <w:szCs w:val="21"/>
          <w:highlight w:val="none"/>
        </w:rPr>
        <w:t>（小数点后保留2位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四舍五入</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，即满足磋商文件要求且最后报价最低的供应商的价格作为磋商基准价，其报价得满分。其他供应商的价格分统一按照下列公式计算：</w:t>
      </w:r>
    </w:p>
    <w:p w14:paraId="1622513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磋商报价得分=(</w:t>
      </w:r>
      <w:r>
        <w:rPr>
          <w:rFonts w:hint="eastAsia" w:ascii="宋体" w:hAnsi="宋体" w:eastAsia="宋体" w:cs="宋体"/>
          <w:color w:val="auto"/>
          <w:sz w:val="21"/>
          <w:szCs w:val="21"/>
          <w:highlight w:val="none"/>
          <w:u w:val="single"/>
          <w:lang w:val="zh-CN"/>
        </w:rPr>
        <w:t>磋商基准价</w:t>
      </w:r>
      <w:r>
        <w:rPr>
          <w:rFonts w:hint="eastAsia" w:ascii="宋体" w:hAnsi="宋体" w:eastAsia="宋体" w:cs="宋体"/>
          <w:color w:val="auto"/>
          <w:sz w:val="21"/>
          <w:szCs w:val="21"/>
          <w:highlight w:val="none"/>
          <w:u w:val="single"/>
        </w:rPr>
        <w:t>／最后磋商报价)×</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×100 。</w:t>
      </w:r>
    </w:p>
    <w:p w14:paraId="50023582">
      <w:pPr>
        <w:keepNext w:val="0"/>
        <w:keepLines w:val="0"/>
        <w:pageBreakBefore w:val="0"/>
        <w:widowControl w:val="0"/>
        <w:kinsoku/>
        <w:wordWrap/>
        <w:overflowPunct/>
        <w:topLinePunct w:val="0"/>
        <w:autoSpaceDE/>
        <w:autoSpaceDN/>
        <w:bidi w:val="0"/>
        <w:adjustRightInd/>
        <w:snapToGrid/>
        <w:spacing w:line="360" w:lineRule="auto"/>
        <w:ind w:left="0" w:leftChars="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经评审专家统一认定明显低价有可能影响产品质量或者不能诚信履约的做无效标处理。</w:t>
      </w:r>
    </w:p>
    <w:p w14:paraId="58B331E4">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bCs/>
          <w:color w:val="auto"/>
          <w:sz w:val="21"/>
          <w:szCs w:val="21"/>
          <w:highlight w:val="none"/>
          <w:shd w:val="clear" w:color="FFFFFF" w:fill="D9D9D9"/>
          <w:lang w:val="zh-CN"/>
        </w:rPr>
      </w:pPr>
      <w:r>
        <w:rPr>
          <w:rFonts w:hint="eastAsia" w:ascii="宋体" w:hAnsi="宋体" w:eastAsia="宋体" w:cs="宋体"/>
          <w:color w:val="auto"/>
          <w:sz w:val="21"/>
          <w:szCs w:val="21"/>
          <w:highlight w:val="none"/>
          <w:lang w:val="zh-CN"/>
        </w:rPr>
        <w:t>（四）</w:t>
      </w:r>
      <w:r>
        <w:rPr>
          <w:rFonts w:hint="eastAsia" w:ascii="宋体" w:hAnsi="宋体" w:eastAsia="宋体" w:cs="宋体"/>
          <w:bCs/>
          <w:color w:val="auto"/>
          <w:sz w:val="21"/>
          <w:szCs w:val="21"/>
          <w:highlight w:val="none"/>
          <w:lang w:val="zh-CN"/>
        </w:rPr>
        <w:t>磋商供应商</w:t>
      </w:r>
      <w:r>
        <w:rPr>
          <w:rFonts w:hint="eastAsia" w:ascii="宋体" w:hAnsi="宋体" w:eastAsia="宋体" w:cs="宋体"/>
          <w:color w:val="auto"/>
          <w:sz w:val="21"/>
          <w:szCs w:val="21"/>
          <w:highlight w:val="none"/>
          <w:lang w:val="zh-CN"/>
        </w:rPr>
        <w:t>综合得分＝商务技术文件得分＋投标报价得分。</w:t>
      </w:r>
    </w:p>
    <w:p w14:paraId="5BC0670F">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三、在最大限度地满足磋商文件实质性要求前提下，</w:t>
      </w:r>
      <w:r>
        <w:rPr>
          <w:rFonts w:hint="eastAsia" w:ascii="宋体" w:hAnsi="宋体" w:eastAsia="宋体" w:cs="宋体"/>
          <w:color w:val="auto"/>
          <w:sz w:val="21"/>
          <w:szCs w:val="21"/>
          <w:highlight w:val="none"/>
        </w:rPr>
        <w:t>磋商小组</w:t>
      </w:r>
      <w:r>
        <w:rPr>
          <w:rFonts w:hint="eastAsia" w:ascii="宋体" w:hAnsi="宋体" w:eastAsia="宋体" w:cs="宋体"/>
          <w:color w:val="auto"/>
          <w:sz w:val="21"/>
          <w:szCs w:val="21"/>
          <w:highlight w:val="none"/>
          <w:lang w:val="zh-CN"/>
        </w:rPr>
        <w:t>按照磋商文件中规定的各项因素进行综合评审后，以评审总得分最高的供应商为第一成交候选供应商，评审总得分次高的供应商为第二成交候选供应商，评审总得分第三高的为第三成交候选供应商。</w:t>
      </w:r>
    </w:p>
    <w:p w14:paraId="451B2229">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四、如综合得分相同，最后报价低者为先；如综合得分且最后报价相同的，以</w:t>
      </w:r>
      <w:r>
        <w:rPr>
          <w:rFonts w:hint="eastAsia" w:ascii="宋体" w:hAnsi="宋体" w:eastAsia="宋体" w:cs="宋体"/>
          <w:color w:val="auto"/>
          <w:sz w:val="21"/>
          <w:szCs w:val="21"/>
          <w:highlight w:val="none"/>
          <w:lang w:val="en-US" w:eastAsia="zh-CN"/>
        </w:rPr>
        <w:t>商务分</w:t>
      </w:r>
      <w:r>
        <w:rPr>
          <w:rFonts w:hint="eastAsia" w:ascii="宋体" w:hAnsi="宋体" w:eastAsia="宋体" w:cs="宋体"/>
          <w:color w:val="auto"/>
          <w:sz w:val="21"/>
          <w:szCs w:val="21"/>
          <w:highlight w:val="none"/>
          <w:lang w:val="zh-CN"/>
        </w:rPr>
        <w:t>得分较高者为先。</w:t>
      </w:r>
    </w:p>
    <w:p w14:paraId="01FC95D5">
      <w:pPr>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五</w:t>
      </w:r>
      <w:r>
        <w:rPr>
          <w:rFonts w:hint="eastAsia" w:ascii="宋体" w:hAnsi="宋体" w:eastAsia="宋体" w:cs="宋体"/>
          <w:color w:val="auto"/>
          <w:kern w:val="0"/>
          <w:sz w:val="21"/>
          <w:szCs w:val="21"/>
          <w:highlight w:val="none"/>
        </w:rPr>
        <w:t>、本次评分具体分值细化条款如下表：</w:t>
      </w:r>
    </w:p>
    <w:p w14:paraId="78F18A52">
      <w:pPr>
        <w:spacing w:line="300" w:lineRule="exact"/>
        <w:ind w:firstLine="422" w:firstLineChars="20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评标打分标准</w:t>
      </w:r>
    </w:p>
    <w:tbl>
      <w:tblPr>
        <w:tblStyle w:val="22"/>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240"/>
        <w:gridCol w:w="6559"/>
        <w:gridCol w:w="716"/>
      </w:tblGrid>
      <w:tr w14:paraId="5F3D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1" w:type="dxa"/>
            <w:gridSpan w:val="2"/>
            <w:noWrap w:val="0"/>
            <w:vAlign w:val="center"/>
          </w:tcPr>
          <w:p w14:paraId="6742666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评标因素</w:t>
            </w:r>
          </w:p>
        </w:tc>
        <w:tc>
          <w:tcPr>
            <w:tcW w:w="6559" w:type="dxa"/>
            <w:noWrap w:val="0"/>
            <w:vAlign w:val="center"/>
          </w:tcPr>
          <w:p w14:paraId="5F574B9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716" w:type="dxa"/>
            <w:noWrap w:val="0"/>
            <w:vAlign w:val="center"/>
          </w:tcPr>
          <w:p w14:paraId="2C1095B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14:paraId="665B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restart"/>
            <w:noWrap w:val="0"/>
            <w:vAlign w:val="center"/>
          </w:tcPr>
          <w:p w14:paraId="7081398E">
            <w:pPr>
              <w:keepNext w:val="0"/>
              <w:keepLines w:val="0"/>
              <w:pageBreakBefore w:val="0"/>
              <w:widowControl/>
              <w:kinsoku/>
              <w:wordWrap/>
              <w:overflowPunct/>
              <w:topLinePunct w:val="0"/>
              <w:bidi w:val="0"/>
              <w:adjustRightInd w:val="0"/>
              <w:snapToGrid w:val="0"/>
              <w:spacing w:line="240" w:lineRule="auto"/>
              <w:ind w:left="0" w:firstLine="0" w:firstLineChars="0"/>
              <w:rPr>
                <w:rFonts w:hint="eastAsia" w:ascii="宋体" w:hAnsi="宋体" w:eastAsia="宋体" w:cs="宋体"/>
                <w:color w:val="auto"/>
                <w:sz w:val="21"/>
                <w:szCs w:val="21"/>
                <w:highlight w:val="none"/>
              </w:rPr>
            </w:pPr>
          </w:p>
          <w:p w14:paraId="59C52F0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p w14:paraId="41239E7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p w14:paraId="30D160FD">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商务分</w:t>
            </w:r>
          </w:p>
          <w:p w14:paraId="101D5B23">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1240" w:type="dxa"/>
            <w:noWrap w:val="0"/>
            <w:vAlign w:val="center"/>
          </w:tcPr>
          <w:p w14:paraId="06EEE47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企业</w:t>
            </w:r>
            <w:r>
              <w:rPr>
                <w:rFonts w:hint="eastAsia" w:ascii="宋体" w:hAnsi="宋体" w:eastAsia="宋体" w:cs="宋体"/>
                <w:color w:val="auto"/>
                <w:sz w:val="21"/>
                <w:szCs w:val="21"/>
                <w:highlight w:val="none"/>
                <w:lang w:val="en-US" w:eastAsia="zh-CN"/>
              </w:rPr>
              <w:t>认证证书</w:t>
            </w:r>
          </w:p>
        </w:tc>
        <w:tc>
          <w:tcPr>
            <w:tcW w:w="6559" w:type="dxa"/>
            <w:noWrap w:val="0"/>
            <w:vAlign w:val="center"/>
          </w:tcPr>
          <w:p w14:paraId="025AC754">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投标人具有有效期内的质量管理体系、环境管理体系、职业健康安全管理体系认证证书，每具有1项证书得1分，最高得3分。</w:t>
            </w:r>
          </w:p>
          <w:p w14:paraId="64E06E62">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（须提供有效的证书复印件并加盖投标人公章编入投标文件中，未提供的不得分）</w:t>
            </w:r>
          </w:p>
        </w:tc>
        <w:tc>
          <w:tcPr>
            <w:tcW w:w="716" w:type="dxa"/>
            <w:noWrap w:val="0"/>
            <w:vAlign w:val="center"/>
          </w:tcPr>
          <w:p w14:paraId="5213BA3A">
            <w:pPr>
              <w:pStyle w:val="11"/>
              <w:keepNext w:val="0"/>
              <w:keepLines w:val="0"/>
              <w:pageBreakBefore w:val="0"/>
              <w:widowControl/>
              <w:kinsoku/>
              <w:wordWrap/>
              <w:overflowPunct/>
              <w:topLinePunct w:val="0"/>
              <w:bidi w:val="0"/>
              <w:spacing w:line="240" w:lineRule="auto"/>
              <w:ind w:left="0" w:firstLine="0" w:firstLineChars="0"/>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p>
        </w:tc>
      </w:tr>
      <w:tr w14:paraId="712D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noWrap w:val="0"/>
            <w:vAlign w:val="center"/>
          </w:tcPr>
          <w:p w14:paraId="792CCB3A">
            <w:pPr>
              <w:keepNext w:val="0"/>
              <w:keepLines w:val="0"/>
              <w:pageBreakBefore w:val="0"/>
              <w:widowControl/>
              <w:kinsoku/>
              <w:wordWrap/>
              <w:overflowPunct/>
              <w:topLinePunct w:val="0"/>
              <w:autoSpaceDE w:val="0"/>
              <w:autoSpaceDN w:val="0"/>
              <w:bidi w:val="0"/>
              <w:adjustRightInd w:val="0"/>
              <w:spacing w:line="240" w:lineRule="auto"/>
              <w:ind w:left="0" w:firstLine="0" w:firstLineChars="0"/>
              <w:jc w:val="center"/>
              <w:rPr>
                <w:rFonts w:hint="eastAsia" w:ascii="宋体" w:hAnsi="宋体" w:eastAsia="宋体" w:cs="宋体"/>
                <w:color w:val="auto"/>
                <w:sz w:val="21"/>
                <w:szCs w:val="21"/>
                <w:highlight w:val="none"/>
              </w:rPr>
            </w:pPr>
          </w:p>
        </w:tc>
        <w:tc>
          <w:tcPr>
            <w:tcW w:w="1240" w:type="dxa"/>
            <w:noWrap w:val="0"/>
            <w:vAlign w:val="center"/>
          </w:tcPr>
          <w:p w14:paraId="7D4A09AA">
            <w:pPr>
              <w:keepNext w:val="0"/>
              <w:keepLines w:val="0"/>
              <w:pageBreakBefore w:val="0"/>
              <w:widowControl/>
              <w:kinsoku/>
              <w:wordWrap/>
              <w:overflowPunct/>
              <w:topLinePunct w:val="0"/>
              <w:autoSpaceDE w:val="0"/>
              <w:autoSpaceDN w:val="0"/>
              <w:bidi w:val="0"/>
              <w:adjustRightInd w:val="0"/>
              <w:spacing w:line="240" w:lineRule="auto"/>
              <w:ind w:left="0" w:firstLine="0" w:firstLine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承接经验</w:t>
            </w:r>
          </w:p>
        </w:tc>
        <w:tc>
          <w:tcPr>
            <w:tcW w:w="6559" w:type="dxa"/>
            <w:noWrap w:val="0"/>
            <w:vAlign w:val="center"/>
          </w:tcPr>
          <w:p w14:paraId="46806E75">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投标人</w:t>
            </w:r>
            <w:r>
              <w:rPr>
                <w:rFonts w:hint="eastAsia" w:ascii="宋体" w:hAnsi="宋体" w:eastAsia="宋体" w:cs="宋体"/>
                <w:color w:val="auto"/>
                <w:kern w:val="2"/>
                <w:sz w:val="21"/>
                <w:szCs w:val="21"/>
                <w:highlight w:val="none"/>
                <w:lang w:val="en-US" w:eastAsia="zh-CN"/>
              </w:rPr>
              <w:t>自</w:t>
            </w:r>
            <w:r>
              <w:rPr>
                <w:rFonts w:hint="eastAsia" w:ascii="宋体" w:hAnsi="宋体" w:eastAsia="宋体" w:cs="宋体"/>
                <w:color w:val="auto"/>
                <w:kern w:val="2"/>
                <w:sz w:val="21"/>
                <w:szCs w:val="21"/>
                <w:highlight w:val="none"/>
              </w:rPr>
              <w:t>20</w:t>
            </w:r>
            <w:r>
              <w:rPr>
                <w:rFonts w:hint="eastAsia" w:ascii="宋体" w:hAnsi="宋体" w:eastAsia="宋体" w:cs="宋体"/>
                <w:color w:val="auto"/>
                <w:kern w:val="2"/>
                <w:sz w:val="21"/>
                <w:szCs w:val="21"/>
                <w:highlight w:val="none"/>
                <w:lang w:val="en-US" w:eastAsia="zh-CN"/>
              </w:rPr>
              <w:t>2</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年1月1日以来（以合同签订时间为准）</w:t>
            </w:r>
            <w:r>
              <w:rPr>
                <w:rFonts w:hint="eastAsia" w:hAnsi="宋体" w:cs="宋体"/>
                <w:color w:val="auto"/>
                <w:kern w:val="2"/>
                <w:sz w:val="21"/>
                <w:szCs w:val="21"/>
                <w:highlight w:val="none"/>
                <w:lang w:val="en-US" w:eastAsia="zh-CN"/>
              </w:rPr>
              <w:t>承接过类似</w:t>
            </w:r>
            <w:r>
              <w:rPr>
                <w:rFonts w:hint="eastAsia" w:ascii="宋体" w:hAnsi="宋体" w:eastAsia="宋体" w:cs="宋体"/>
                <w:color w:val="auto"/>
                <w:sz w:val="21"/>
                <w:szCs w:val="21"/>
                <w:highlight w:val="none"/>
                <w:lang w:val="en-US" w:eastAsia="zh-CN"/>
              </w:rPr>
              <w:t>重点排污企业的检测、地表水和地下水的检测项目</w:t>
            </w:r>
            <w:r>
              <w:rPr>
                <w:rFonts w:hint="eastAsia" w:ascii="宋体" w:hAnsi="宋体" w:eastAsia="宋体" w:cs="宋体"/>
                <w:i w:val="0"/>
                <w:iCs w:val="0"/>
                <w:color w:val="auto"/>
                <w:kern w:val="0"/>
                <w:sz w:val="21"/>
                <w:szCs w:val="21"/>
                <w:highlight w:val="none"/>
                <w:u w:val="none"/>
                <w:lang w:val="en-US" w:eastAsia="zh-CN" w:bidi="ar"/>
              </w:rPr>
              <w:t>业绩的</w:t>
            </w:r>
            <w:r>
              <w:rPr>
                <w:rFonts w:hint="eastAsia" w:ascii="宋体" w:hAnsi="宋体" w:eastAsia="宋体" w:cs="宋体"/>
                <w:color w:val="auto"/>
                <w:kern w:val="2"/>
                <w:sz w:val="21"/>
                <w:szCs w:val="21"/>
                <w:highlight w:val="none"/>
              </w:rPr>
              <w:t>，每提供1项得</w:t>
            </w:r>
            <w:r>
              <w:rPr>
                <w:rFonts w:hint="eastAsia" w:hAnsi="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rPr>
              <w:t>分，最高得</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r>
              <w:rPr>
                <w:rFonts w:hint="eastAsia" w:ascii="宋体" w:hAnsi="宋体" w:eastAsia="宋体" w:cs="宋体"/>
                <w:color w:val="auto"/>
                <w:sz w:val="21"/>
                <w:szCs w:val="21"/>
                <w:highlight w:val="none"/>
                <w:lang w:val="en-US" w:eastAsia="zh-CN"/>
              </w:rPr>
              <w:t>。</w:t>
            </w:r>
          </w:p>
          <w:p w14:paraId="45C45A14">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（须提供相应合同</w:t>
            </w:r>
            <w:r>
              <w:rPr>
                <w:rFonts w:hint="eastAsia" w:ascii="宋体" w:hAnsi="宋体" w:eastAsia="宋体" w:cs="宋体"/>
                <w:b/>
                <w:bCs/>
                <w:snapToGrid w:val="0"/>
                <w:color w:val="auto"/>
                <w:kern w:val="0"/>
                <w:sz w:val="21"/>
                <w:szCs w:val="21"/>
                <w:highlight w:val="none"/>
                <w:lang w:val="en-US" w:eastAsia="zh-CN"/>
              </w:rPr>
              <w:t>（或委托书）</w:t>
            </w:r>
            <w:r>
              <w:rPr>
                <w:rFonts w:hint="eastAsia" w:ascii="宋体" w:hAnsi="宋体" w:eastAsia="宋体" w:cs="宋体"/>
                <w:b/>
                <w:bCs/>
                <w:color w:val="auto"/>
                <w:sz w:val="21"/>
                <w:szCs w:val="21"/>
                <w:highlight w:val="none"/>
                <w:lang w:val="en-US" w:eastAsia="zh-CN"/>
              </w:rPr>
              <w:t>复印件并加盖投标人公章编入投标文件中，未提供的不得分）</w:t>
            </w:r>
          </w:p>
        </w:tc>
        <w:tc>
          <w:tcPr>
            <w:tcW w:w="716" w:type="dxa"/>
            <w:noWrap w:val="0"/>
            <w:vAlign w:val="center"/>
          </w:tcPr>
          <w:p w14:paraId="3B5AA789">
            <w:pPr>
              <w:keepNext w:val="0"/>
              <w:keepLines w:val="0"/>
              <w:pageBreakBefore w:val="0"/>
              <w:widowControl/>
              <w:kinsoku/>
              <w:wordWrap/>
              <w:overflowPunct/>
              <w:topLinePunct w:val="0"/>
              <w:bidi w:val="0"/>
              <w:spacing w:line="240" w:lineRule="auto"/>
              <w:ind w:left="0"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r>
      <w:tr w14:paraId="2EDD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1021" w:type="dxa"/>
            <w:vMerge w:val="continue"/>
            <w:noWrap w:val="0"/>
            <w:vAlign w:val="center"/>
          </w:tcPr>
          <w:p w14:paraId="636DC5D2">
            <w:pPr>
              <w:keepNext w:val="0"/>
              <w:keepLines w:val="0"/>
              <w:pageBreakBefore w:val="0"/>
              <w:widowControl/>
              <w:kinsoku/>
              <w:wordWrap/>
              <w:overflowPunct/>
              <w:topLinePunct w:val="0"/>
              <w:autoSpaceDE w:val="0"/>
              <w:autoSpaceDN w:val="0"/>
              <w:bidi w:val="0"/>
              <w:adjustRightInd w:val="0"/>
              <w:spacing w:line="240" w:lineRule="auto"/>
              <w:ind w:left="0" w:firstLine="0" w:firstLineChars="0"/>
              <w:jc w:val="center"/>
              <w:rPr>
                <w:rFonts w:hint="eastAsia" w:ascii="宋体" w:hAnsi="宋体" w:eastAsia="宋体" w:cs="宋体"/>
                <w:color w:val="auto"/>
                <w:sz w:val="21"/>
                <w:szCs w:val="21"/>
                <w:highlight w:val="none"/>
              </w:rPr>
            </w:pPr>
          </w:p>
        </w:tc>
        <w:tc>
          <w:tcPr>
            <w:tcW w:w="1240" w:type="dxa"/>
            <w:noWrap w:val="0"/>
            <w:vAlign w:val="center"/>
          </w:tcPr>
          <w:p w14:paraId="37B995FD">
            <w:pPr>
              <w:keepNext w:val="0"/>
              <w:keepLines w:val="0"/>
              <w:pageBreakBefore w:val="0"/>
              <w:widowControl/>
              <w:kinsoku/>
              <w:wordWrap/>
              <w:overflowPunct/>
              <w:topLinePunct w:val="0"/>
              <w:autoSpaceDE w:val="0"/>
              <w:autoSpaceDN w:val="0"/>
              <w:bidi w:val="0"/>
              <w:adjustRightInd w:val="0"/>
              <w:spacing w:line="240" w:lineRule="auto"/>
              <w:ind w:left="0" w:firstLine="0" w:firstLine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项目组</w:t>
            </w:r>
            <w:r>
              <w:rPr>
                <w:rFonts w:hint="eastAsia" w:ascii="宋体" w:hAnsi="宋体" w:cs="宋体"/>
                <w:color w:val="auto"/>
                <w:spacing w:val="-4"/>
                <w:sz w:val="21"/>
                <w:szCs w:val="21"/>
                <w:highlight w:val="none"/>
                <w:lang w:val="en-US" w:eastAsia="zh-CN"/>
              </w:rPr>
              <w:t>人</w:t>
            </w:r>
            <w:r>
              <w:rPr>
                <w:rFonts w:hint="eastAsia" w:ascii="宋体" w:hAnsi="宋体" w:eastAsia="宋体" w:cs="宋体"/>
                <w:color w:val="auto"/>
                <w:spacing w:val="-4"/>
                <w:sz w:val="21"/>
                <w:szCs w:val="21"/>
                <w:highlight w:val="none"/>
              </w:rPr>
              <w:t>员</w:t>
            </w:r>
          </w:p>
        </w:tc>
        <w:tc>
          <w:tcPr>
            <w:tcW w:w="6559" w:type="dxa"/>
            <w:noWrap w:val="0"/>
            <w:vAlign w:val="center"/>
          </w:tcPr>
          <w:p w14:paraId="735EC6C4">
            <w:pPr>
              <w:pStyle w:val="8"/>
              <w:keepNext w:val="0"/>
              <w:keepLines w:val="0"/>
              <w:pageBreakBefore w:val="0"/>
              <w:widowControl/>
              <w:kinsoku/>
              <w:wordWrap/>
              <w:overflowPunct/>
              <w:topLinePunct w:val="0"/>
              <w:bidi w:val="0"/>
              <w:spacing w:line="240" w:lineRule="auto"/>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项目组成员</w:t>
            </w:r>
            <w:r>
              <w:rPr>
                <w:rFonts w:hint="eastAsia" w:ascii="宋体" w:hAnsi="宋体" w:eastAsia="宋体" w:cs="宋体"/>
                <w:color w:val="auto"/>
                <w:kern w:val="0"/>
                <w:sz w:val="21"/>
                <w:szCs w:val="21"/>
                <w:highlight w:val="none"/>
                <w:lang w:val="en-US" w:eastAsia="zh-CN"/>
              </w:rPr>
              <w:t>具有“生态环保类</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“生态环保类”指环境科学与工程（或环境工程、环境科学）、地理环境与污染控制、水质科学与技术、给水排水工程（或给排水科学与工程）等专业</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专业</w:t>
            </w:r>
            <w:r>
              <w:rPr>
                <w:rFonts w:hint="eastAsia" w:ascii="宋体" w:hAnsi="宋体" w:eastAsia="宋体" w:cs="宋体"/>
                <w:color w:val="auto"/>
                <w:kern w:val="0"/>
                <w:sz w:val="21"/>
                <w:szCs w:val="21"/>
                <w:highlight w:val="none"/>
              </w:rPr>
              <w:t>技术职称</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sz w:val="21"/>
                <w:szCs w:val="21"/>
                <w:highlight w:val="none"/>
                <w:lang w:val="en-US" w:eastAsia="zh-CN"/>
              </w:rPr>
              <w:t>中级及以上职称的每人得1分，助理工程师每人得0.5分。最高得5分</w:t>
            </w:r>
            <w:r>
              <w:rPr>
                <w:rFonts w:hint="eastAsia" w:ascii="宋体" w:hAnsi="宋体" w:eastAsia="宋体" w:cs="宋体"/>
                <w:color w:val="auto"/>
                <w:kern w:val="0"/>
                <w:sz w:val="21"/>
                <w:szCs w:val="21"/>
                <w:highlight w:val="none"/>
                <w:lang w:val="en-US" w:eastAsia="zh-CN"/>
              </w:rPr>
              <w:t>。</w:t>
            </w:r>
          </w:p>
          <w:p w14:paraId="4B397312">
            <w:pPr>
              <w:pStyle w:val="8"/>
              <w:keepNext w:val="0"/>
              <w:keepLines w:val="0"/>
              <w:pageBreakBefore w:val="0"/>
              <w:widowControl/>
              <w:kinsoku/>
              <w:wordWrap/>
              <w:overflowPunct/>
              <w:topLinePunct w:val="0"/>
              <w:bidi w:val="0"/>
              <w:spacing w:line="240" w:lineRule="auto"/>
              <w:ind w:left="0" w:firstLine="0" w:firstLine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（须提供职称证书复印件及投标截止时间前连续3个月内在投标人单位的社保缴费证明并加盖投标人公章编入投标文件中，未提供或提供不全的不得分）</w:t>
            </w:r>
          </w:p>
        </w:tc>
        <w:tc>
          <w:tcPr>
            <w:tcW w:w="716" w:type="dxa"/>
            <w:noWrap w:val="0"/>
            <w:vAlign w:val="center"/>
          </w:tcPr>
          <w:p w14:paraId="5F438973">
            <w:pPr>
              <w:keepNext w:val="0"/>
              <w:keepLines w:val="0"/>
              <w:pageBreakBefore w:val="0"/>
              <w:widowControl/>
              <w:kinsoku/>
              <w:wordWrap/>
              <w:overflowPunct/>
              <w:topLinePunct w:val="0"/>
              <w:bidi w:val="0"/>
              <w:spacing w:line="240" w:lineRule="auto"/>
              <w:ind w:lef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r>
      <w:tr w14:paraId="41ED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noWrap w:val="0"/>
            <w:vAlign w:val="center"/>
          </w:tcPr>
          <w:p w14:paraId="28F113D7">
            <w:pPr>
              <w:keepNext w:val="0"/>
              <w:keepLines w:val="0"/>
              <w:pageBreakBefore w:val="0"/>
              <w:widowControl/>
              <w:kinsoku/>
              <w:wordWrap/>
              <w:overflowPunct/>
              <w:topLinePunct w:val="0"/>
              <w:autoSpaceDE w:val="0"/>
              <w:autoSpaceDN w:val="0"/>
              <w:bidi w:val="0"/>
              <w:adjustRightInd w:val="0"/>
              <w:spacing w:line="240" w:lineRule="auto"/>
              <w:ind w:left="0" w:firstLine="0" w:firstLineChars="0"/>
              <w:jc w:val="center"/>
              <w:rPr>
                <w:rFonts w:hint="eastAsia" w:ascii="宋体" w:hAnsi="宋体" w:eastAsia="宋体" w:cs="宋体"/>
                <w:color w:val="auto"/>
                <w:sz w:val="21"/>
                <w:szCs w:val="21"/>
                <w:highlight w:val="none"/>
              </w:rPr>
            </w:pPr>
          </w:p>
        </w:tc>
        <w:tc>
          <w:tcPr>
            <w:tcW w:w="1240" w:type="dxa"/>
            <w:vMerge w:val="restart"/>
            <w:noWrap w:val="0"/>
            <w:vAlign w:val="center"/>
          </w:tcPr>
          <w:p w14:paraId="01B1F004">
            <w:pPr>
              <w:pStyle w:val="11"/>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snapToGrid w:val="0"/>
                <w:color w:val="auto"/>
                <w:kern w:val="0"/>
                <w:sz w:val="21"/>
                <w:szCs w:val="21"/>
                <w:highlight w:val="none"/>
                <w:lang w:val="en-US" w:eastAsia="zh-CN"/>
              </w:rPr>
              <w:t>实验室</w:t>
            </w:r>
            <w:r>
              <w:rPr>
                <w:rFonts w:hint="eastAsia" w:ascii="宋体" w:hAnsi="宋体" w:eastAsia="宋体" w:cs="宋体"/>
                <w:snapToGrid w:val="0"/>
                <w:color w:val="auto"/>
                <w:kern w:val="0"/>
                <w:sz w:val="21"/>
                <w:szCs w:val="21"/>
                <w:highlight w:val="none"/>
              </w:rPr>
              <w:t>配备</w:t>
            </w:r>
          </w:p>
        </w:tc>
        <w:tc>
          <w:tcPr>
            <w:tcW w:w="6559" w:type="dxa"/>
            <w:noWrap w:val="0"/>
            <w:vAlign w:val="center"/>
          </w:tcPr>
          <w:p w14:paraId="1A3EDC0B">
            <w:pPr>
              <w:pStyle w:val="11"/>
              <w:numPr>
                <w:ilvl w:val="0"/>
                <w:numId w:val="2"/>
              </w:numPr>
              <w:snapToGrid w:val="0"/>
              <w:spacing w:line="24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投标人为本项目配备有电感耦合等离子体发射光谱仪、离子色谱仪、气相色谱仪、石墨炉/火焰原子吸收光谱仪、原子荧光光度计、气相质谱分析仪，每个得0.5分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最高得</w:t>
            </w:r>
            <w:r>
              <w:rPr>
                <w:rFonts w:hint="eastAsia" w:ascii="宋体" w:hAnsi="宋体" w:eastAsia="宋体" w:cs="宋体"/>
                <w:color w:val="auto"/>
                <w:sz w:val="21"/>
                <w:szCs w:val="21"/>
                <w:highlight w:val="none"/>
              </w:rPr>
              <w:t>3分。</w:t>
            </w:r>
          </w:p>
          <w:p w14:paraId="0E83E03B">
            <w:pPr>
              <w:pStyle w:val="8"/>
              <w:keepNext w:val="0"/>
              <w:keepLines w:val="0"/>
              <w:pageBreakBefore w:val="0"/>
              <w:widowControl/>
              <w:kinsoku/>
              <w:wordWrap/>
              <w:overflowPunct/>
              <w:topLinePunct w:val="0"/>
              <w:bidi w:val="0"/>
              <w:spacing w:line="240" w:lineRule="auto"/>
              <w:ind w:left="0" w:leftChars="0" w:firstLine="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（自有设备须提供购置发票的</w:t>
            </w:r>
            <w:r>
              <w:rPr>
                <w:rFonts w:hint="eastAsia" w:ascii="宋体" w:hAnsi="宋体" w:cs="宋体"/>
                <w:b/>
                <w:bCs/>
                <w:color w:val="auto"/>
                <w:sz w:val="21"/>
                <w:szCs w:val="21"/>
                <w:highlight w:val="none"/>
                <w:lang w:val="en-US" w:eastAsia="zh-CN"/>
              </w:rPr>
              <w:t>复印</w:t>
            </w:r>
            <w:r>
              <w:rPr>
                <w:rFonts w:hint="eastAsia" w:ascii="宋体" w:hAnsi="宋体" w:eastAsia="宋体" w:cs="宋体"/>
                <w:b/>
                <w:bCs/>
                <w:color w:val="auto"/>
                <w:sz w:val="21"/>
                <w:szCs w:val="21"/>
                <w:highlight w:val="none"/>
                <w:lang w:val="en-US" w:eastAsia="zh-CN"/>
              </w:rPr>
              <w:t>件加盖投标人公章编入投标文件中；租赁设备须提供购置发票、租赁合同的</w:t>
            </w:r>
            <w:r>
              <w:rPr>
                <w:rFonts w:hint="eastAsia" w:ascii="宋体" w:hAnsi="宋体" w:cs="宋体"/>
                <w:b/>
                <w:bCs/>
                <w:color w:val="auto"/>
                <w:sz w:val="21"/>
                <w:szCs w:val="21"/>
                <w:highlight w:val="none"/>
                <w:lang w:val="en-US" w:eastAsia="zh-CN"/>
              </w:rPr>
              <w:t>复印</w:t>
            </w:r>
            <w:r>
              <w:rPr>
                <w:rFonts w:hint="eastAsia" w:ascii="宋体" w:hAnsi="宋体" w:eastAsia="宋体" w:cs="宋体"/>
                <w:b/>
                <w:bCs/>
                <w:color w:val="auto"/>
                <w:sz w:val="21"/>
                <w:szCs w:val="21"/>
                <w:highlight w:val="none"/>
                <w:lang w:val="en-US" w:eastAsia="zh-CN"/>
              </w:rPr>
              <w:t>件加盖投标人公章编入投标文件中。未提供或提供不全的不得分）</w:t>
            </w:r>
          </w:p>
        </w:tc>
        <w:tc>
          <w:tcPr>
            <w:tcW w:w="716" w:type="dxa"/>
            <w:noWrap w:val="0"/>
            <w:vAlign w:val="center"/>
          </w:tcPr>
          <w:p w14:paraId="16BC322C">
            <w:pPr>
              <w:keepNext w:val="0"/>
              <w:keepLines w:val="0"/>
              <w:pageBreakBefore w:val="0"/>
              <w:widowControl/>
              <w:kinsoku/>
              <w:wordWrap/>
              <w:overflowPunct/>
              <w:topLinePunct w:val="0"/>
              <w:bidi w:val="0"/>
              <w:spacing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r>
      <w:tr w14:paraId="1DFA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noWrap w:val="0"/>
            <w:vAlign w:val="center"/>
          </w:tcPr>
          <w:p w14:paraId="7D234786">
            <w:pPr>
              <w:keepNext w:val="0"/>
              <w:keepLines w:val="0"/>
              <w:pageBreakBefore w:val="0"/>
              <w:widowControl/>
              <w:kinsoku/>
              <w:wordWrap/>
              <w:overflowPunct/>
              <w:topLinePunct w:val="0"/>
              <w:autoSpaceDE w:val="0"/>
              <w:autoSpaceDN w:val="0"/>
              <w:bidi w:val="0"/>
              <w:adjustRightInd w:val="0"/>
              <w:spacing w:line="240" w:lineRule="auto"/>
              <w:ind w:left="0" w:firstLine="0" w:firstLineChars="0"/>
              <w:jc w:val="center"/>
              <w:rPr>
                <w:rFonts w:hint="eastAsia" w:ascii="宋体" w:hAnsi="宋体" w:eastAsia="宋体" w:cs="宋体"/>
                <w:color w:val="auto"/>
                <w:sz w:val="21"/>
                <w:szCs w:val="21"/>
                <w:highlight w:val="none"/>
              </w:rPr>
            </w:pPr>
          </w:p>
        </w:tc>
        <w:tc>
          <w:tcPr>
            <w:tcW w:w="1240" w:type="dxa"/>
            <w:vMerge w:val="continue"/>
            <w:noWrap w:val="0"/>
            <w:vAlign w:val="center"/>
          </w:tcPr>
          <w:p w14:paraId="3ADAE467">
            <w:pPr>
              <w:pStyle w:val="11"/>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宋体" w:hAnsi="宋体" w:eastAsia="宋体" w:cs="宋体"/>
                <w:color w:val="auto"/>
                <w:spacing w:val="-4"/>
                <w:sz w:val="21"/>
                <w:szCs w:val="21"/>
                <w:highlight w:val="none"/>
              </w:rPr>
            </w:pPr>
          </w:p>
        </w:tc>
        <w:tc>
          <w:tcPr>
            <w:tcW w:w="6559" w:type="dxa"/>
            <w:noWrap w:val="0"/>
            <w:vAlign w:val="center"/>
          </w:tcPr>
          <w:p w14:paraId="459228FE">
            <w:pPr>
              <w:autoSpaceDE w:val="0"/>
              <w:autoSpaceDN w:val="0"/>
              <w:adjustRightIn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14:ligatures w14:val="none"/>
              </w:rPr>
              <w:t>根据</w:t>
            </w:r>
            <w:r>
              <w:rPr>
                <w:rFonts w:hint="eastAsia" w:ascii="宋体" w:hAnsi="宋体" w:eastAsia="宋体" w:cs="宋体"/>
                <w:color w:val="auto"/>
                <w:sz w:val="21"/>
                <w:szCs w:val="21"/>
                <w:highlight w:val="none"/>
                <w:lang w:val="en-US" w:eastAsia="zh-CN"/>
              </w:rPr>
              <w:t>投标人为本项目配备的其他相关设备、工器具的齐全性、功能性</w:t>
            </w:r>
            <w:r>
              <w:rPr>
                <w:rFonts w:hint="eastAsia" w:ascii="宋体" w:hAnsi="宋体" w:eastAsia="宋体" w:cs="宋体"/>
                <w:color w:val="auto"/>
                <w:szCs w:val="21"/>
                <w:highlight w:val="none"/>
                <w:lang w:val="en-US" w:eastAsia="zh-CN"/>
              </w:rPr>
              <w:t>进行打分。</w:t>
            </w:r>
          </w:p>
          <w:p w14:paraId="50E91CD5">
            <w:pPr>
              <w:autoSpaceDE w:val="0"/>
              <w:autoSpaceDN w:val="0"/>
              <w:adjustRightInd w:val="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检测仪器设备先进且能满足检测精度等要求，功能丰富，数量充足，能有效保障检测服务质量的得1.0-2.0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48E3B659">
            <w:pPr>
              <w:autoSpaceDE w:val="0"/>
              <w:autoSpaceDN w:val="0"/>
              <w:adjustRightInd w:val="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检测仪器设备基本能满足要求</w:t>
            </w:r>
            <w:r>
              <w:rPr>
                <w:rFonts w:hint="eastAsia" w:ascii="宋体" w:hAnsi="宋体" w:eastAsia="宋体" w:cs="宋体"/>
                <w:color w:val="auto"/>
                <w:szCs w:val="21"/>
                <w:highlight w:val="none"/>
              </w:rPr>
              <w:t>的得</w:t>
            </w:r>
            <w:r>
              <w:rPr>
                <w:rFonts w:hint="eastAsia" w:ascii="宋体" w:hAnsi="宋体" w:eastAsia="宋体" w:cs="宋体"/>
                <w:color w:val="auto"/>
                <w:spacing w:val="-4"/>
                <w:szCs w:val="21"/>
                <w:highlight w:val="none"/>
              </w:rPr>
              <w:t>0.1-</w:t>
            </w:r>
            <w:r>
              <w:rPr>
                <w:rFonts w:hint="eastAsia" w:ascii="宋体" w:hAnsi="宋体" w:cs="宋体"/>
                <w:color w:val="auto"/>
                <w:spacing w:val="-4"/>
                <w:szCs w:val="21"/>
                <w:highlight w:val="none"/>
                <w:lang w:val="en-US" w:eastAsia="zh-CN"/>
              </w:rPr>
              <w:t>0</w:t>
            </w:r>
            <w:r>
              <w:rPr>
                <w:rFonts w:hint="eastAsia" w:ascii="宋体" w:hAnsi="宋体" w:eastAsia="宋体" w:cs="宋体"/>
                <w:color w:val="auto"/>
                <w:spacing w:val="-4"/>
                <w:szCs w:val="21"/>
                <w:highlight w:val="none"/>
                <w:lang w:val="en-US" w:eastAsia="zh-CN"/>
              </w:rPr>
              <w:t>.9</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6170959B">
            <w:pPr>
              <w:keepNext w:val="0"/>
              <w:keepLines w:val="0"/>
              <w:pageBreakBefore w:val="0"/>
              <w:kinsoku/>
              <w:wordWrap/>
              <w:overflowPunct/>
              <w:topLinePunct w:val="0"/>
              <w:autoSpaceDE w:val="0"/>
              <w:autoSpaceDN w:val="0"/>
              <w:bidi w:val="0"/>
              <w:adjustRightInd w:val="0"/>
              <w:spacing w:beforeAutospacing="0" w:afterAutospacing="0" w:line="240" w:lineRule="auto"/>
              <w:ind w:left="0" w:leftChars="0"/>
              <w:jc w:val="lef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未提及此项不得分。</w:t>
            </w:r>
          </w:p>
        </w:tc>
        <w:tc>
          <w:tcPr>
            <w:tcW w:w="716" w:type="dxa"/>
            <w:noWrap w:val="0"/>
            <w:vAlign w:val="center"/>
          </w:tcPr>
          <w:p w14:paraId="055E5ADB">
            <w:pPr>
              <w:pStyle w:val="11"/>
              <w:keepLines w:val="0"/>
              <w:pageBreakBefore w:val="0"/>
              <w:kinsoku/>
              <w:wordWrap/>
              <w:overflowPunct/>
              <w:topLinePunct w:val="0"/>
              <w:bidi w:val="0"/>
              <w:snapToGrid w:val="0"/>
              <w:spacing w:beforeAutospacing="0" w:afterAutospacing="0" w:line="240" w:lineRule="auto"/>
              <w:ind w:left="0" w:leftChars="0"/>
              <w:jc w:val="center"/>
              <w:textAlignment w:val="auto"/>
              <w:rPr>
                <w:rFonts w:hint="default" w:ascii="宋体" w:hAnsi="宋体" w:cs="宋体"/>
                <w:color w:val="auto"/>
                <w:sz w:val="21"/>
                <w:szCs w:val="21"/>
                <w:highlight w:val="none"/>
                <w:lang w:val="en-US" w:eastAsia="zh-CN"/>
              </w:rPr>
            </w:pPr>
            <w:r>
              <w:rPr>
                <w:rFonts w:hint="eastAsia" w:hAnsi="宋体" w:cs="宋体"/>
                <w:color w:val="auto"/>
                <w:kern w:val="2"/>
                <w:sz w:val="21"/>
                <w:szCs w:val="21"/>
                <w:highlight w:val="none"/>
                <w:lang w:val="en-US" w:eastAsia="zh-CN" w:bidi="ar-SA"/>
              </w:rPr>
              <w:t>2</w:t>
            </w:r>
          </w:p>
        </w:tc>
      </w:tr>
      <w:tr w14:paraId="455D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restart"/>
            <w:noWrap w:val="0"/>
            <w:vAlign w:val="center"/>
          </w:tcPr>
          <w:p w14:paraId="6F660EDD">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技术分</w:t>
            </w:r>
          </w:p>
          <w:p w14:paraId="3A84766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color w:val="auto"/>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rPr>
              <w:t>分）</w:t>
            </w:r>
          </w:p>
        </w:tc>
        <w:tc>
          <w:tcPr>
            <w:tcW w:w="1240" w:type="dxa"/>
            <w:noWrap w:val="0"/>
            <w:vAlign w:val="center"/>
          </w:tcPr>
          <w:p w14:paraId="34956199">
            <w:pPr>
              <w:pStyle w:val="11"/>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总体方案</w:t>
            </w:r>
          </w:p>
        </w:tc>
        <w:tc>
          <w:tcPr>
            <w:tcW w:w="6559" w:type="dxa"/>
            <w:noWrap w:val="0"/>
            <w:vAlign w:val="center"/>
          </w:tcPr>
          <w:p w14:paraId="7F0A2565">
            <w:pPr>
              <w:keepNext w:val="0"/>
              <w:keepLines w:val="0"/>
              <w:pageBreakBefore w:val="0"/>
              <w:widowControl/>
              <w:suppressLineNumbers w:val="0"/>
              <w:tabs>
                <w:tab w:val="left" w:pos="78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根据投标人针对本项目制定的总体方案进行打分。</w:t>
            </w:r>
          </w:p>
          <w:p w14:paraId="766D2A98">
            <w:pPr>
              <w:keepNext w:val="0"/>
              <w:keepLines w:val="0"/>
              <w:pageBreakBefore w:val="0"/>
              <w:widowControl/>
              <w:suppressLineNumbers w:val="0"/>
              <w:tabs>
                <w:tab w:val="left" w:pos="78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1.方案要点明确，阐述具体，针对性、合理性、操作性较强的得6.7-10.0分</w:t>
            </w:r>
            <w:r>
              <w:rPr>
                <w:rFonts w:hint="eastAsia" w:ascii="宋体" w:hAnsi="宋体" w:cs="宋体"/>
                <w:color w:val="auto"/>
                <w:sz w:val="21"/>
                <w:szCs w:val="21"/>
                <w:highlight w:val="none"/>
                <w:lang w:val="en-US" w:eastAsia="zh-CN"/>
              </w:rPr>
              <w:t>；</w:t>
            </w:r>
          </w:p>
          <w:p w14:paraId="34FA9A76">
            <w:pPr>
              <w:keepNext w:val="0"/>
              <w:keepLines w:val="0"/>
              <w:pageBreakBefore w:val="0"/>
              <w:widowControl/>
              <w:suppressLineNumbers w:val="0"/>
              <w:tabs>
                <w:tab w:val="left" w:pos="78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2.方案要点明确、阐述具体，但针对性、合理性、操作有缺陷的得3.3-6.6分</w:t>
            </w:r>
            <w:r>
              <w:rPr>
                <w:rFonts w:hint="eastAsia" w:ascii="宋体" w:hAnsi="宋体" w:cs="宋体"/>
                <w:color w:val="auto"/>
                <w:sz w:val="21"/>
                <w:szCs w:val="21"/>
                <w:highlight w:val="none"/>
                <w:lang w:val="en-US" w:eastAsia="zh-CN"/>
              </w:rPr>
              <w:t>；</w:t>
            </w:r>
          </w:p>
          <w:p w14:paraId="57718D1C">
            <w:pPr>
              <w:keepNext w:val="0"/>
              <w:keepLines w:val="0"/>
              <w:pageBreakBefore w:val="0"/>
              <w:widowControl/>
              <w:suppressLineNumbers w:val="0"/>
              <w:tabs>
                <w:tab w:val="left" w:pos="78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3.有方案要点，但阐述不够具体，针对性、合理性、操作性较差的得0.1-3.2分</w:t>
            </w:r>
            <w:r>
              <w:rPr>
                <w:rFonts w:hint="eastAsia" w:ascii="宋体" w:hAnsi="宋体" w:cs="宋体"/>
                <w:color w:val="auto"/>
                <w:sz w:val="21"/>
                <w:szCs w:val="21"/>
                <w:highlight w:val="none"/>
                <w:lang w:val="en-US" w:eastAsia="zh-CN"/>
              </w:rPr>
              <w:t>；</w:t>
            </w:r>
          </w:p>
          <w:p w14:paraId="069843E8">
            <w:pPr>
              <w:keepNext w:val="0"/>
              <w:keepLines w:val="0"/>
              <w:pageBreakBefore w:val="0"/>
              <w:widowControl/>
              <w:suppressLineNumbers w:val="0"/>
              <w:tabs>
                <w:tab w:val="left" w:pos="78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4.未提及此项不得分。</w:t>
            </w:r>
          </w:p>
        </w:tc>
        <w:tc>
          <w:tcPr>
            <w:tcW w:w="716" w:type="dxa"/>
            <w:noWrap w:val="0"/>
            <w:vAlign w:val="center"/>
          </w:tcPr>
          <w:p w14:paraId="78B6D706">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10</w:t>
            </w:r>
          </w:p>
        </w:tc>
      </w:tr>
      <w:tr w14:paraId="41D3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noWrap w:val="0"/>
            <w:vAlign w:val="center"/>
          </w:tcPr>
          <w:p w14:paraId="455BE92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tc>
        <w:tc>
          <w:tcPr>
            <w:tcW w:w="1240" w:type="dxa"/>
            <w:shd w:val="clear" w:color="auto" w:fill="auto"/>
            <w:noWrap w:val="0"/>
            <w:vAlign w:val="center"/>
          </w:tcPr>
          <w:p w14:paraId="5F5503BB">
            <w:pPr>
              <w:pStyle w:val="11"/>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质控措施</w:t>
            </w:r>
          </w:p>
        </w:tc>
        <w:tc>
          <w:tcPr>
            <w:tcW w:w="6559" w:type="dxa"/>
            <w:shd w:val="clear" w:color="auto" w:fill="auto"/>
            <w:noWrap w:val="0"/>
            <w:vAlign w:val="center"/>
          </w:tcPr>
          <w:p w14:paraId="0FF5F072">
            <w:pPr>
              <w:keepNext w:val="0"/>
              <w:keepLines w:val="0"/>
              <w:pageBreakBefore w:val="0"/>
              <w:widowControl/>
              <w:suppressLineNumbers w:val="0"/>
              <w:tabs>
                <w:tab w:val="left" w:pos="78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根据投标人针对本项目制定的质控措施进行打分。</w:t>
            </w:r>
          </w:p>
          <w:p w14:paraId="3B270CF3">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1.质控措施内容明确、具体，措施完善，原始记录齐全</w:t>
            </w:r>
            <w:r>
              <w:rPr>
                <w:rFonts w:hint="eastAsia" w:hAnsi="宋体" w:cs="宋体"/>
                <w:color w:val="auto"/>
                <w:sz w:val="21"/>
                <w:szCs w:val="21"/>
                <w:highlight w:val="none"/>
                <w:lang w:val="en-US" w:eastAsia="zh-CN"/>
              </w:rPr>
              <w:t>的得6.7-10.0分；</w:t>
            </w:r>
          </w:p>
          <w:p w14:paraId="7A9A48A6">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2.质控措施尚可，但提供的原始记录不够齐全的得3.3-6.6分</w:t>
            </w:r>
            <w:r>
              <w:rPr>
                <w:rFonts w:hint="eastAsia" w:ascii="宋体" w:hAnsi="宋体" w:cs="宋体"/>
                <w:color w:val="auto"/>
                <w:sz w:val="21"/>
                <w:szCs w:val="21"/>
                <w:highlight w:val="none"/>
                <w:lang w:val="en-US" w:eastAsia="zh-CN"/>
              </w:rPr>
              <w:t>；</w:t>
            </w:r>
          </w:p>
          <w:p w14:paraId="0D98AE74">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3.质量措施简略，未有提供原始记录证明的得0.1-3.2分</w:t>
            </w:r>
            <w:r>
              <w:rPr>
                <w:rFonts w:hint="eastAsia" w:ascii="宋体" w:hAnsi="宋体" w:cs="宋体"/>
                <w:color w:val="auto"/>
                <w:sz w:val="21"/>
                <w:szCs w:val="21"/>
                <w:highlight w:val="none"/>
                <w:lang w:val="en-US" w:eastAsia="zh-CN"/>
              </w:rPr>
              <w:t>；</w:t>
            </w:r>
          </w:p>
          <w:p w14:paraId="10C3C77F">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4.未提及此项不得分。</w:t>
            </w:r>
          </w:p>
          <w:p w14:paraId="7EAF372D">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注：原始记录指</w:t>
            </w:r>
            <w:ins w:id="0" w:author="崽崽" w:date="2025-11-05T14:49:33Z">
              <w:r>
                <w:rPr>
                  <w:rFonts w:hint="eastAsia" w:hAnsi="宋体" w:cs="宋体"/>
                  <w:b/>
                  <w:bCs/>
                  <w:color w:val="auto"/>
                  <w:sz w:val="21"/>
                  <w:szCs w:val="21"/>
                  <w:highlight w:val="none"/>
                  <w:lang w:val="en-US" w:eastAsia="zh-CN"/>
                </w:rPr>
                <w:t>2025年</w:t>
              </w:r>
            </w:ins>
            <w:r>
              <w:rPr>
                <w:rFonts w:hint="eastAsia" w:ascii="宋体" w:hAnsi="宋体" w:eastAsia="宋体" w:cs="宋体"/>
                <w:b/>
                <w:bCs/>
                <w:color w:val="auto"/>
                <w:sz w:val="21"/>
                <w:szCs w:val="21"/>
                <w:highlight w:val="none"/>
                <w:lang w:val="en-US" w:eastAsia="zh-CN"/>
              </w:rPr>
              <w:t>试剂购买记录和实验室使用记录。</w:t>
            </w:r>
          </w:p>
        </w:tc>
        <w:tc>
          <w:tcPr>
            <w:tcW w:w="716" w:type="dxa"/>
            <w:shd w:val="clear" w:color="auto" w:fill="auto"/>
            <w:noWrap w:val="0"/>
            <w:vAlign w:val="center"/>
          </w:tcPr>
          <w:p w14:paraId="4DDCF593">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10</w:t>
            </w:r>
          </w:p>
        </w:tc>
      </w:tr>
      <w:tr w14:paraId="2832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noWrap w:val="0"/>
            <w:vAlign w:val="center"/>
          </w:tcPr>
          <w:p w14:paraId="37FC733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tc>
        <w:tc>
          <w:tcPr>
            <w:tcW w:w="1240" w:type="dxa"/>
            <w:shd w:val="clear" w:color="auto" w:fill="auto"/>
            <w:noWrap w:val="0"/>
            <w:vAlign w:val="center"/>
          </w:tcPr>
          <w:p w14:paraId="7161B685">
            <w:pPr>
              <w:pStyle w:val="11"/>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检</w:t>
            </w:r>
            <w:r>
              <w:rPr>
                <w:rFonts w:hint="eastAsia" w:ascii="宋体" w:hAnsi="宋体" w:eastAsia="宋体" w:cs="宋体"/>
                <w:snapToGrid w:val="0"/>
                <w:color w:val="auto"/>
                <w:kern w:val="0"/>
                <w:sz w:val="21"/>
                <w:szCs w:val="21"/>
                <w:highlight w:val="none"/>
              </w:rPr>
              <w:t>测</w:t>
            </w:r>
            <w:r>
              <w:rPr>
                <w:rFonts w:hint="eastAsia" w:hAnsi="宋体" w:cs="宋体"/>
                <w:snapToGrid w:val="0"/>
                <w:color w:val="auto"/>
                <w:kern w:val="0"/>
                <w:sz w:val="21"/>
                <w:szCs w:val="21"/>
                <w:highlight w:val="none"/>
                <w:lang w:val="en-US" w:eastAsia="zh-CN"/>
              </w:rPr>
              <w:t>重难点分析</w:t>
            </w:r>
          </w:p>
        </w:tc>
        <w:tc>
          <w:tcPr>
            <w:tcW w:w="6559" w:type="dxa"/>
            <w:shd w:val="clear" w:color="auto" w:fill="auto"/>
            <w:noWrap w:val="0"/>
            <w:vAlign w:val="center"/>
          </w:tcPr>
          <w:p w14:paraId="1BA7AA98">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根据投标人</w:t>
            </w:r>
            <w:r>
              <w:rPr>
                <w:rFonts w:hint="eastAsia" w:ascii="宋体" w:hAnsi="宋体" w:eastAsia="宋体" w:cs="宋体"/>
                <w:color w:val="auto"/>
                <w:sz w:val="21"/>
                <w:szCs w:val="21"/>
                <w:highlight w:val="none"/>
                <w:lang w:val="en-US" w:eastAsia="zh-CN"/>
              </w:rPr>
              <w:t>在遵照规定的检测方法的基础上，对本项目检测的重难点梳理、分析</w:t>
            </w:r>
            <w:r>
              <w:rPr>
                <w:rFonts w:hint="eastAsia" w:hAnsi="宋体" w:cs="宋体"/>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w:t>
            </w:r>
          </w:p>
          <w:p w14:paraId="672D457E">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1.重难点突出，措施切实、有针对性</w:t>
            </w:r>
            <w:r>
              <w:rPr>
                <w:rFonts w:hint="eastAsia" w:hAnsi="宋体" w:cs="宋体"/>
                <w:color w:val="auto"/>
                <w:sz w:val="21"/>
                <w:szCs w:val="21"/>
                <w:highlight w:val="none"/>
                <w:lang w:val="en-US" w:eastAsia="zh-CN"/>
              </w:rPr>
              <w:t>的得6.7-10.0分；</w:t>
            </w:r>
          </w:p>
          <w:p w14:paraId="271904C1">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2.难重点内容尚有，尚能切合实际，措施有一定针对性，但有缺陷的得3.3-6.6分</w:t>
            </w:r>
            <w:r>
              <w:rPr>
                <w:rFonts w:hint="eastAsia" w:ascii="宋体" w:hAnsi="宋体" w:cs="宋体"/>
                <w:color w:val="auto"/>
                <w:sz w:val="21"/>
                <w:szCs w:val="21"/>
                <w:highlight w:val="none"/>
                <w:lang w:val="en-US" w:eastAsia="zh-CN"/>
              </w:rPr>
              <w:t>；</w:t>
            </w:r>
          </w:p>
          <w:p w14:paraId="70BFC21E">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3.难重点内容尚有，但针对性不强，可采纳内容很少的得0.1-3.2分</w:t>
            </w:r>
            <w:r>
              <w:rPr>
                <w:rFonts w:hint="eastAsia" w:ascii="宋体" w:hAnsi="宋体" w:cs="宋体"/>
                <w:color w:val="auto"/>
                <w:sz w:val="21"/>
                <w:szCs w:val="21"/>
                <w:highlight w:val="none"/>
                <w:lang w:val="en-US" w:eastAsia="zh-CN"/>
              </w:rPr>
              <w:t>；</w:t>
            </w:r>
          </w:p>
          <w:p w14:paraId="64DCD8D0">
            <w:pPr>
              <w:widowControl/>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4.未提及此项不得分。</w:t>
            </w:r>
          </w:p>
        </w:tc>
        <w:tc>
          <w:tcPr>
            <w:tcW w:w="716" w:type="dxa"/>
            <w:shd w:val="clear" w:color="auto" w:fill="auto"/>
            <w:noWrap w:val="0"/>
            <w:vAlign w:val="center"/>
          </w:tcPr>
          <w:p w14:paraId="3A4F014D">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10</w:t>
            </w:r>
          </w:p>
        </w:tc>
      </w:tr>
      <w:tr w14:paraId="4664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noWrap w:val="0"/>
            <w:vAlign w:val="center"/>
          </w:tcPr>
          <w:p w14:paraId="401F989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tc>
        <w:tc>
          <w:tcPr>
            <w:tcW w:w="1240" w:type="dxa"/>
            <w:shd w:val="clear" w:color="auto" w:fill="auto"/>
            <w:noWrap w:val="0"/>
            <w:vAlign w:val="center"/>
          </w:tcPr>
          <w:p w14:paraId="42AD8566">
            <w:pPr>
              <w:pStyle w:val="11"/>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检测报告</w:t>
            </w:r>
          </w:p>
        </w:tc>
        <w:tc>
          <w:tcPr>
            <w:tcW w:w="6559" w:type="dxa"/>
            <w:shd w:val="clear" w:color="auto" w:fill="auto"/>
            <w:noWrap w:val="0"/>
            <w:vAlign w:val="center"/>
          </w:tcPr>
          <w:p w14:paraId="20CCEC80">
            <w:pPr>
              <w:autoSpaceDE w:val="0"/>
              <w:autoSpaceDN w:val="0"/>
              <w:adjustRightIn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根据投标人提供的检测报告提交方案进行打分。</w:t>
            </w:r>
          </w:p>
          <w:p w14:paraId="02900AF8">
            <w:pPr>
              <w:autoSpaceDE w:val="0"/>
              <w:autoSpaceDN w:val="0"/>
              <w:adjustRightIn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1.检测报告提交方案科学合理，整体框架内容完整、条理清晰、报告格式规范且对本项目有针对性的得6.7-</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.0分；</w:t>
            </w:r>
          </w:p>
          <w:p w14:paraId="3D3AE9BA">
            <w:pPr>
              <w:autoSpaceDE w:val="0"/>
              <w:autoSpaceDN w:val="0"/>
              <w:adjustRightInd w:val="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2.检测报告提交方案框架合理，报告格式基本符合要求的得3.3-6.6分；</w:t>
            </w:r>
          </w:p>
          <w:p w14:paraId="6B014B5E">
            <w:pPr>
              <w:autoSpaceDE w:val="0"/>
              <w:autoSpaceDN w:val="0"/>
              <w:adjustRightIn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3.检测报告提交方案缺乏科学性和合理性，缺乏对本项目的针对性的得0.1-3.2分；</w:t>
            </w:r>
          </w:p>
          <w:p w14:paraId="13259533">
            <w:pPr>
              <w:autoSpaceDE w:val="0"/>
              <w:autoSpaceDN w:val="0"/>
              <w:adjustRightIn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4.未提及此项不得分。</w:t>
            </w:r>
          </w:p>
        </w:tc>
        <w:tc>
          <w:tcPr>
            <w:tcW w:w="716" w:type="dxa"/>
            <w:shd w:val="clear" w:color="auto" w:fill="auto"/>
            <w:noWrap w:val="0"/>
            <w:vAlign w:val="center"/>
          </w:tcPr>
          <w:p w14:paraId="5C92FEA2">
            <w:pPr>
              <w:keepNext w:val="0"/>
              <w:keepLines w:val="0"/>
              <w:pageBreakBefore w:val="0"/>
              <w:kinsoku/>
              <w:wordWrap/>
              <w:overflowPunct/>
              <w:topLinePunct w:val="0"/>
              <w:autoSpaceDE w:val="0"/>
              <w:autoSpaceDN w:val="0"/>
              <w:bidi w:val="0"/>
              <w:adjustRightInd w:val="0"/>
              <w:spacing w:beforeAutospacing="0" w:afterAutospacing="0" w:line="240" w:lineRule="auto"/>
              <w:ind w:left="0" w:leftChars="0"/>
              <w:jc w:val="center"/>
              <w:textAlignment w:val="auto"/>
              <w:rPr>
                <w:rFonts w:hint="default" w:ascii="宋体" w:hAnsi="宋体" w:cs="宋体"/>
                <w:color w:val="auto"/>
                <w:sz w:val="21"/>
                <w:szCs w:val="21"/>
                <w:highlight w:val="none"/>
                <w:vertAlign w:val="baseline"/>
                <w:lang w:val="en-US" w:eastAsia="zh-CN"/>
              </w:rPr>
            </w:pPr>
            <w:r>
              <w:rPr>
                <w:rFonts w:hint="eastAsia" w:ascii="宋体" w:hAnsi="宋体" w:cs="宋体"/>
                <w:b w:val="0"/>
                <w:bCs w:val="0"/>
                <w:color w:val="auto"/>
                <w:kern w:val="2"/>
                <w:sz w:val="21"/>
                <w:szCs w:val="21"/>
                <w:highlight w:val="none"/>
                <w:lang w:val="en-US" w:eastAsia="zh-CN" w:bidi="ar-SA"/>
              </w:rPr>
              <w:t>10</w:t>
            </w:r>
          </w:p>
        </w:tc>
      </w:tr>
      <w:tr w14:paraId="1075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021" w:type="dxa"/>
            <w:vMerge w:val="continue"/>
            <w:noWrap w:val="0"/>
            <w:vAlign w:val="center"/>
          </w:tcPr>
          <w:p w14:paraId="7D736041">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tc>
        <w:tc>
          <w:tcPr>
            <w:tcW w:w="1240" w:type="dxa"/>
            <w:shd w:val="clear" w:color="auto" w:fill="auto"/>
            <w:noWrap w:val="0"/>
            <w:vAlign w:val="center"/>
          </w:tcPr>
          <w:p w14:paraId="38063EA7">
            <w:pPr>
              <w:pStyle w:val="11"/>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应急检测方案</w:t>
            </w:r>
          </w:p>
        </w:tc>
        <w:tc>
          <w:tcPr>
            <w:tcW w:w="6559" w:type="dxa"/>
            <w:shd w:val="clear" w:color="auto" w:fill="auto"/>
            <w:noWrap w:val="0"/>
            <w:vAlign w:val="center"/>
          </w:tcPr>
          <w:p w14:paraId="37F6F598">
            <w:pPr>
              <w:keepNext w:val="0"/>
              <w:keepLines w:val="0"/>
              <w:pageBreakBefore w:val="0"/>
              <w:kinsoku/>
              <w:wordWrap/>
              <w:overflowPunct/>
              <w:topLinePunct w:val="0"/>
              <w:bidi w:val="0"/>
              <w:spacing w:beforeAutospacing="0" w:afterAutospacing="0" w:line="240" w:lineRule="auto"/>
              <w:ind w:left="0"/>
              <w:jc w:val="left"/>
              <w:textAlignment w:val="auto"/>
              <w:outlineLvl w:val="9"/>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根据投标人针对后续实际项目实施中可能遇到的紧急事件、异常处理等是否具有详细完善的应急响应制度、实施保障方案进行打分。</w:t>
            </w:r>
          </w:p>
          <w:p w14:paraId="1EF84180">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1.思路清晰，亮点、特点明显。且切合实际，有实质性作用的得6.7-10.0分；</w:t>
            </w:r>
          </w:p>
          <w:p w14:paraId="456E1620">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2.思路清晰，基本切合实际，但没有亮点，合理性、可行性尚可的得3.3-6.6分； </w:t>
            </w:r>
          </w:p>
          <w:p w14:paraId="438220E0">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3.思路混乱，方案空洞，实质性内容缺乏，合理性、可行很少的得0.1-3.2分； </w:t>
            </w:r>
          </w:p>
          <w:p w14:paraId="3D257DB7">
            <w:pPr>
              <w:keepNext w:val="0"/>
              <w:keepLines w:val="0"/>
              <w:pageBreakBefore w:val="0"/>
              <w:widowControl/>
              <w:suppressLineNumbers w:val="0"/>
              <w:tabs>
                <w:tab w:val="left" w:pos="78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4.未提及此项不得分。</w:t>
            </w:r>
          </w:p>
        </w:tc>
        <w:tc>
          <w:tcPr>
            <w:tcW w:w="716" w:type="dxa"/>
            <w:shd w:val="clear" w:color="auto" w:fill="auto"/>
            <w:noWrap w:val="0"/>
            <w:vAlign w:val="center"/>
          </w:tcPr>
          <w:p w14:paraId="58094749">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w:t>
            </w:r>
          </w:p>
        </w:tc>
      </w:tr>
      <w:tr w14:paraId="77AA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noWrap w:val="0"/>
            <w:vAlign w:val="center"/>
          </w:tcPr>
          <w:p w14:paraId="5F05A00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tc>
        <w:tc>
          <w:tcPr>
            <w:tcW w:w="1240" w:type="dxa"/>
            <w:shd w:val="clear" w:color="auto" w:fill="auto"/>
            <w:noWrap w:val="0"/>
            <w:vAlign w:val="center"/>
          </w:tcPr>
          <w:p w14:paraId="097486FD">
            <w:pPr>
              <w:keepLines w:val="0"/>
              <w:pageBreakBefore w:val="0"/>
              <w:kinsoku/>
              <w:wordWrap/>
              <w:overflowPunct/>
              <w:topLinePunct w:val="0"/>
              <w:bidi w:val="0"/>
              <w:spacing w:beforeAutospacing="0" w:afterAutospacing="0" w:line="240" w:lineRule="auto"/>
              <w:ind w:left="0" w:left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检测时效性</w:t>
            </w:r>
          </w:p>
        </w:tc>
        <w:tc>
          <w:tcPr>
            <w:tcW w:w="6559" w:type="dxa"/>
            <w:shd w:val="clear" w:color="auto" w:fill="auto"/>
            <w:noWrap w:val="0"/>
            <w:vAlign w:val="center"/>
          </w:tcPr>
          <w:p w14:paraId="3D99DCB0">
            <w:pPr>
              <w:jc w:val="left"/>
              <w:rPr>
                <w:rFonts w:hint="default" w:ascii="宋体" w:hAnsi="宋体" w:eastAsia="宋体" w:cs="宋体"/>
                <w:b w:val="0"/>
                <w:bCs/>
                <w:color w:val="auto"/>
                <w:szCs w:val="21"/>
                <w:highlight w:val="none"/>
                <w:lang w:val="en-US" w:bidi="zh-CN"/>
              </w:rPr>
            </w:pPr>
            <w:r>
              <w:rPr>
                <w:rFonts w:hint="eastAsia" w:ascii="宋体" w:hAnsi="宋体" w:eastAsia="宋体" w:cs="宋体"/>
                <w:bCs/>
                <w:color w:val="auto"/>
                <w:szCs w:val="21"/>
                <w:highlight w:val="none"/>
                <w:lang w:val="en-US" w:bidi="zh-CN"/>
              </w:rPr>
              <w:t>根据投标人针对本项目提供的</w:t>
            </w:r>
            <w:r>
              <w:rPr>
                <w:rFonts w:hint="eastAsia" w:ascii="宋体" w:hAnsi="宋体" w:eastAsia="宋体" w:cs="宋体"/>
                <w:b/>
                <w:bCs w:val="0"/>
                <w:color w:val="auto"/>
                <w:szCs w:val="21"/>
                <w:highlight w:val="none"/>
                <w:lang w:val="zh-CN" w:bidi="zh-CN"/>
              </w:rPr>
              <w:t>保证检测工作进度的方案和措施</w:t>
            </w:r>
            <w:r>
              <w:rPr>
                <w:rFonts w:hint="eastAsia" w:ascii="宋体" w:hAnsi="宋体" w:eastAsia="宋体" w:cs="宋体"/>
                <w:b w:val="0"/>
                <w:bCs/>
                <w:color w:val="auto"/>
                <w:szCs w:val="21"/>
                <w:highlight w:val="none"/>
                <w:lang w:val="en-US" w:bidi="zh-CN"/>
              </w:rPr>
              <w:t>进行打分。</w:t>
            </w:r>
          </w:p>
          <w:p w14:paraId="465A837F">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1.检测实验室与检测地距离合理，能有效检测、保证数据准确</w:t>
            </w:r>
            <w:r>
              <w:rPr>
                <w:rFonts w:hint="eastAsia" w:ascii="宋体" w:hAnsi="宋体" w:eastAsia="宋体" w:cs="宋体"/>
                <w:bCs/>
                <w:color w:val="auto"/>
                <w:szCs w:val="21"/>
                <w:highlight w:val="none"/>
                <w:lang w:val="zh-CN" w:bidi="zh-CN"/>
              </w:rPr>
              <w:t>的得</w:t>
            </w:r>
            <w:r>
              <w:rPr>
                <w:rFonts w:hint="eastAsia" w:ascii="宋体" w:hAnsi="宋体" w:eastAsia="宋体" w:cs="宋体"/>
                <w:color w:val="auto"/>
                <w:sz w:val="21"/>
                <w:szCs w:val="21"/>
                <w:highlight w:val="none"/>
                <w:lang w:val="en-US" w:eastAsia="zh-CN"/>
              </w:rPr>
              <w:t>6.7-10.0分</w:t>
            </w:r>
            <w:r>
              <w:rPr>
                <w:rFonts w:hint="eastAsia" w:ascii="宋体" w:hAnsi="宋体" w:eastAsia="宋体" w:cs="宋体"/>
                <w:color w:val="auto"/>
                <w:szCs w:val="21"/>
                <w:highlight w:val="none"/>
              </w:rPr>
              <w:t>；</w:t>
            </w:r>
          </w:p>
          <w:p w14:paraId="05BEC692">
            <w:pPr>
              <w:jc w:val="left"/>
              <w:rPr>
                <w:rFonts w:hint="default" w:ascii="宋体" w:hAnsi="宋体" w:eastAsia="宋体" w:cs="宋体"/>
                <w:color w:val="auto"/>
                <w:szCs w:val="21"/>
                <w:highlight w:val="none"/>
                <w:lang w:val="en-US" w:eastAsia="zh-CN"/>
                <w14:ligatures w14:val="none"/>
              </w:rPr>
            </w:pPr>
            <w:r>
              <w:rPr>
                <w:rFonts w:hint="eastAsia" w:ascii="宋体" w:hAnsi="宋体" w:eastAsia="宋体" w:cs="宋体"/>
                <w:color w:val="auto"/>
                <w:sz w:val="21"/>
                <w:szCs w:val="21"/>
                <w:highlight w:val="none"/>
                <w:lang w:val="en-US" w:eastAsia="zh-CN"/>
              </w:rPr>
              <w:t>2.检测实验室与检测地距离尚合理，基本能有效检测、保证数据准确</w:t>
            </w:r>
            <w:r>
              <w:rPr>
                <w:rFonts w:hint="eastAsia" w:ascii="宋体" w:hAnsi="宋体" w:eastAsia="宋体" w:cs="宋体"/>
                <w:color w:val="auto"/>
                <w:szCs w:val="21"/>
                <w:highlight w:val="none"/>
                <w:lang w:val="en-US" w:eastAsia="zh-CN"/>
                <w14:ligatures w14:val="none"/>
              </w:rPr>
              <w:t>的得</w:t>
            </w:r>
            <w:r>
              <w:rPr>
                <w:rFonts w:hint="eastAsia" w:ascii="宋体" w:hAnsi="宋体" w:eastAsia="宋体" w:cs="宋体"/>
                <w:color w:val="auto"/>
                <w:sz w:val="21"/>
                <w:szCs w:val="21"/>
                <w:highlight w:val="none"/>
                <w:lang w:val="en-US" w:eastAsia="zh-CN"/>
              </w:rPr>
              <w:t>3.3-6.6分</w:t>
            </w:r>
            <w:r>
              <w:rPr>
                <w:rFonts w:hint="eastAsia" w:ascii="宋体" w:hAnsi="宋体" w:eastAsia="宋体" w:cs="宋体"/>
                <w:color w:val="auto"/>
                <w:szCs w:val="21"/>
                <w:highlight w:val="none"/>
                <w:lang w:val="en-US" w:eastAsia="zh-CN"/>
                <w14:ligatures w14:val="none"/>
              </w:rPr>
              <w:t>；</w:t>
            </w:r>
          </w:p>
          <w:p w14:paraId="0F8D2051">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3.检测实验室与检测地距离较远，有效检测难度大、数据准确保证差</w:t>
            </w:r>
            <w:r>
              <w:rPr>
                <w:rFonts w:hint="eastAsia" w:ascii="宋体" w:hAnsi="宋体" w:eastAsia="宋体" w:cs="宋体"/>
                <w:color w:val="auto"/>
                <w:szCs w:val="21"/>
                <w:highlight w:val="none"/>
                <w:lang w:val="en-US" w:eastAsia="zh-CN"/>
                <w14:ligatures w14:val="none"/>
              </w:rPr>
              <w:t>的</w:t>
            </w:r>
            <w:r>
              <w:rPr>
                <w:rFonts w:hint="eastAsia" w:ascii="宋体" w:hAnsi="宋体" w:eastAsia="宋体" w:cs="宋体"/>
                <w:color w:val="auto"/>
                <w:szCs w:val="21"/>
                <w:highlight w:val="none"/>
                <w:lang w:val="zh-CN"/>
                <w14:ligatures w14:val="none"/>
              </w:rPr>
              <w:t>得</w:t>
            </w:r>
            <w:r>
              <w:rPr>
                <w:rFonts w:hint="eastAsia" w:ascii="宋体" w:hAnsi="宋体" w:eastAsia="宋体" w:cs="宋体"/>
                <w:color w:val="auto"/>
                <w:sz w:val="21"/>
                <w:szCs w:val="21"/>
                <w:highlight w:val="none"/>
                <w:lang w:val="en-US" w:eastAsia="zh-CN"/>
              </w:rPr>
              <w:t>0.1-3.2分</w:t>
            </w:r>
            <w:r>
              <w:rPr>
                <w:rFonts w:hint="eastAsia" w:ascii="宋体" w:hAnsi="宋体" w:eastAsia="宋体" w:cs="宋体"/>
                <w:color w:val="auto"/>
                <w:szCs w:val="21"/>
                <w:highlight w:val="none"/>
                <w:lang w:val="zh-CN"/>
                <w14:ligatures w14:val="none"/>
              </w:rPr>
              <w:t>；</w:t>
            </w:r>
          </w:p>
          <w:p w14:paraId="470074DA">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4.未提及此项不得分。</w:t>
            </w:r>
          </w:p>
          <w:p w14:paraId="17A2C24B">
            <w:pPr>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注：以检验检测机构资质认定证书的地址为检测实验室地址。</w:t>
            </w:r>
          </w:p>
          <w:p w14:paraId="3D7EE402">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（须提供检验检测机构资质认定证书复印件并加盖投标人公章编入投标文件中，未提供的不得分）</w:t>
            </w:r>
          </w:p>
        </w:tc>
        <w:tc>
          <w:tcPr>
            <w:tcW w:w="716" w:type="dxa"/>
            <w:shd w:val="clear" w:color="auto" w:fill="auto"/>
            <w:noWrap w:val="0"/>
            <w:vAlign w:val="center"/>
          </w:tcPr>
          <w:p w14:paraId="0767E5CA">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10</w:t>
            </w:r>
          </w:p>
        </w:tc>
      </w:tr>
      <w:tr w14:paraId="0819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noWrap w:val="0"/>
            <w:vAlign w:val="center"/>
          </w:tcPr>
          <w:p w14:paraId="6BC8BC7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tc>
        <w:tc>
          <w:tcPr>
            <w:tcW w:w="1240" w:type="dxa"/>
            <w:shd w:val="clear" w:color="auto" w:fill="auto"/>
            <w:noWrap w:val="0"/>
            <w:vAlign w:val="center"/>
          </w:tcPr>
          <w:p w14:paraId="66338F69">
            <w:pPr>
              <w:snapToGrid w:val="0"/>
              <w:spacing w:line="24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服务承诺</w:t>
            </w:r>
          </w:p>
        </w:tc>
        <w:tc>
          <w:tcPr>
            <w:tcW w:w="6559" w:type="dxa"/>
            <w:shd w:val="clear" w:color="auto" w:fill="auto"/>
            <w:noWrap w:val="0"/>
            <w:vAlign w:val="center"/>
          </w:tcPr>
          <w:p w14:paraId="313D50FD">
            <w:pPr>
              <w:widowControl/>
              <w:spacing w:line="24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pacing w:val="-4"/>
                <w:szCs w:val="21"/>
                <w:highlight w:val="none"/>
              </w:rPr>
              <w:t>投标人承诺</w:t>
            </w:r>
            <w:r>
              <w:rPr>
                <w:rFonts w:hint="eastAsia" w:ascii="宋体" w:hAnsi="宋体" w:eastAsia="宋体" w:cs="宋体"/>
                <w:snapToGrid w:val="0"/>
                <w:color w:val="auto"/>
                <w:kern w:val="0"/>
                <w:sz w:val="21"/>
                <w:szCs w:val="21"/>
                <w:highlight w:val="none"/>
                <w:lang w:val="en-US" w:eastAsia="zh-CN"/>
              </w:rPr>
              <w:t>接到检测任务后48小时内（含）安排采样、7天内（含）</w:t>
            </w:r>
            <w:r>
              <w:rPr>
                <w:rFonts w:hint="eastAsia" w:ascii="宋体" w:hAnsi="宋体" w:eastAsia="宋体" w:cs="宋体"/>
                <w:color w:val="auto"/>
                <w:sz w:val="21"/>
                <w:szCs w:val="21"/>
                <w:highlight w:val="none"/>
                <w:lang w:val="en-US" w:eastAsia="zh-CN"/>
              </w:rPr>
              <w:t>出检测报告（二噁英除外</w:t>
            </w:r>
            <w:r>
              <w:rPr>
                <w:rFonts w:hint="eastAsia" w:ascii="宋体" w:hAnsi="宋体" w:eastAsia="宋体" w:cs="宋体"/>
                <w:snapToGrid w:val="0"/>
                <w:color w:val="auto"/>
                <w:kern w:val="0"/>
                <w:sz w:val="21"/>
                <w:szCs w:val="21"/>
                <w:highlight w:val="none"/>
                <w:lang w:val="en-US" w:eastAsia="zh-CN"/>
              </w:rPr>
              <w:t>）的得5分；</w:t>
            </w:r>
          </w:p>
          <w:p w14:paraId="6414047F">
            <w:pPr>
              <w:widowControl/>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接到检测任务后超过48小时内（含）安排采样、7天内（含）出检测报告（二噁英除外）</w:t>
            </w:r>
            <w:r>
              <w:rPr>
                <w:rFonts w:hint="eastAsia" w:ascii="宋体" w:hAnsi="宋体" w:eastAsia="宋体" w:cs="宋体"/>
                <w:color w:val="auto"/>
                <w:spacing w:val="-4"/>
                <w:szCs w:val="21"/>
                <w:highlight w:val="none"/>
              </w:rPr>
              <w:t>的或未提及此项不得分。</w:t>
            </w:r>
          </w:p>
        </w:tc>
        <w:tc>
          <w:tcPr>
            <w:tcW w:w="716" w:type="dxa"/>
            <w:shd w:val="clear" w:color="auto" w:fill="auto"/>
            <w:noWrap w:val="0"/>
            <w:vAlign w:val="center"/>
          </w:tcPr>
          <w:p w14:paraId="6905E117">
            <w:pPr>
              <w:tabs>
                <w:tab w:val="left" w:pos="780"/>
              </w:tabs>
              <w:autoSpaceDE w:val="0"/>
              <w:autoSpaceDN w:val="0"/>
              <w:adjustRightIn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w:t>
            </w:r>
          </w:p>
        </w:tc>
      </w:tr>
      <w:tr w14:paraId="4F21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1" w:type="dxa"/>
            <w:gridSpan w:val="2"/>
            <w:noWrap w:val="0"/>
            <w:vAlign w:val="center"/>
          </w:tcPr>
          <w:p w14:paraId="573B85F6">
            <w:pPr>
              <w:keepLines w:val="0"/>
              <w:pageBreakBefore w:val="0"/>
              <w:kinsoku/>
              <w:wordWrap/>
              <w:overflowPunct/>
              <w:topLinePunct w:val="0"/>
              <w:bidi w:val="0"/>
              <w:spacing w:beforeAutospacing="0" w:afterAutospacing="0" w:line="240" w:lineRule="auto"/>
              <w:ind w:left="0"/>
              <w:jc w:val="center"/>
              <w:textAlignment w:val="auto"/>
              <w:rPr>
                <w:rStyle w:val="57"/>
                <w:rFonts w:hint="eastAsia" w:ascii="宋体" w:hAnsi="宋体" w:eastAsia="宋体" w:cs="宋体"/>
                <w:color w:val="auto"/>
                <w:kern w:val="0"/>
                <w:sz w:val="21"/>
                <w:szCs w:val="21"/>
                <w:highlight w:val="none"/>
              </w:rPr>
            </w:pPr>
            <w:r>
              <w:rPr>
                <w:rStyle w:val="57"/>
                <w:rFonts w:hint="eastAsia" w:ascii="宋体" w:hAnsi="宋体" w:eastAsia="宋体" w:cs="宋体"/>
                <w:color w:val="auto"/>
                <w:kern w:val="0"/>
                <w:sz w:val="21"/>
                <w:szCs w:val="21"/>
                <w:highlight w:val="none"/>
              </w:rPr>
              <w:t>价格</w:t>
            </w:r>
          </w:p>
          <w:p w14:paraId="5EBD34B7">
            <w:pPr>
              <w:keepLines w:val="0"/>
              <w:pageBreakBefore w:val="0"/>
              <w:kinsoku/>
              <w:wordWrap/>
              <w:overflowPunct/>
              <w:topLinePunct w:val="0"/>
              <w:bidi w:val="0"/>
              <w:spacing w:beforeAutospacing="0" w:afterAutospacing="0" w:line="240" w:lineRule="auto"/>
              <w:ind w:left="0" w:leftChars="0"/>
              <w:jc w:val="center"/>
              <w:textAlignment w:val="auto"/>
              <w:rPr>
                <w:rFonts w:hint="eastAsia" w:ascii="宋体" w:hAnsi="宋体" w:eastAsia="宋体" w:cs="宋体"/>
                <w:color w:val="auto"/>
                <w:szCs w:val="21"/>
                <w:highlight w:val="none"/>
                <w:lang w:val="en-US" w:eastAsia="zh-CN"/>
              </w:rPr>
            </w:pPr>
            <w:r>
              <w:rPr>
                <w:rStyle w:val="57"/>
                <w:rFonts w:hint="eastAsia" w:ascii="宋体" w:hAnsi="宋体" w:eastAsia="宋体" w:cs="宋体"/>
                <w:color w:val="auto"/>
                <w:kern w:val="0"/>
                <w:sz w:val="21"/>
                <w:szCs w:val="21"/>
                <w:highlight w:val="none"/>
              </w:rPr>
              <w:t>（20分）</w:t>
            </w:r>
          </w:p>
        </w:tc>
        <w:tc>
          <w:tcPr>
            <w:tcW w:w="6559" w:type="dxa"/>
            <w:shd w:val="clear" w:color="auto" w:fill="auto"/>
            <w:noWrap w:val="0"/>
            <w:vAlign w:val="center"/>
          </w:tcPr>
          <w:p w14:paraId="265A5CFD">
            <w:pPr>
              <w:keepLines w:val="0"/>
              <w:pageBreakBefore w:val="0"/>
              <w:kinsoku/>
              <w:wordWrap/>
              <w:overflowPunct/>
              <w:topLinePunct w:val="0"/>
              <w:bidi w:val="0"/>
              <w:spacing w:beforeAutospacing="0" w:afterAutospacing="0" w:line="240" w:lineRule="auto"/>
              <w:ind w:left="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取投标合格供应商的投标最终报价最低价</w:t>
            </w:r>
            <w:r>
              <w:rPr>
                <w:rFonts w:hint="eastAsia" w:ascii="宋体" w:hAnsi="宋体" w:eastAsia="宋体" w:cs="宋体"/>
                <w:color w:val="auto"/>
                <w:sz w:val="21"/>
                <w:szCs w:val="21"/>
                <w:highlight w:val="none"/>
                <w:lang w:val="zh-CN"/>
              </w:rPr>
              <w:t>为评标基准价，</w:t>
            </w:r>
            <w:r>
              <w:rPr>
                <w:rFonts w:hint="eastAsia" w:ascii="宋体" w:hAnsi="宋体" w:eastAsia="宋体" w:cs="宋体"/>
                <w:color w:val="auto"/>
                <w:sz w:val="21"/>
                <w:szCs w:val="21"/>
                <w:highlight w:val="none"/>
              </w:rPr>
              <w:t>基准价为20分</w:t>
            </w:r>
            <w:r>
              <w:rPr>
                <w:rFonts w:hint="eastAsia" w:ascii="宋体" w:hAnsi="宋体" w:eastAsia="宋体" w:cs="宋体"/>
                <w:color w:val="auto"/>
                <w:sz w:val="21"/>
                <w:szCs w:val="21"/>
                <w:highlight w:val="none"/>
                <w:lang w:val="zh-CN"/>
              </w:rPr>
              <w:t>。</w:t>
            </w:r>
          </w:p>
          <w:p w14:paraId="1E3898B0">
            <w:pPr>
              <w:keepLines w:val="0"/>
              <w:pageBreakBefore w:val="0"/>
              <w:kinsoku/>
              <w:wordWrap/>
              <w:overflowPunct/>
              <w:topLinePunct w:val="0"/>
              <w:bidi w:val="0"/>
              <w:spacing w:beforeAutospacing="0" w:afterAutospacing="0" w:line="240" w:lineRule="auto"/>
              <w:ind w:left="0" w:leftChars="0"/>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zh-CN"/>
              </w:rPr>
              <w:t>投标报价得分=(评标基准价／投标报价)×</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zh-CN"/>
              </w:rPr>
              <w:t>%×100 。（</w:t>
            </w:r>
            <w:r>
              <w:rPr>
                <w:rFonts w:hint="eastAsia" w:ascii="宋体" w:hAnsi="宋体" w:eastAsia="宋体" w:cs="宋体"/>
                <w:color w:val="auto"/>
                <w:sz w:val="21"/>
                <w:szCs w:val="21"/>
                <w:highlight w:val="none"/>
              </w:rPr>
              <w:t>小数点后保留2位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四舍五入</w:t>
            </w:r>
            <w:r>
              <w:rPr>
                <w:rFonts w:hint="eastAsia" w:ascii="宋体" w:hAnsi="宋体" w:eastAsia="宋体" w:cs="宋体"/>
                <w:color w:val="auto"/>
                <w:sz w:val="21"/>
                <w:szCs w:val="21"/>
                <w:highlight w:val="none"/>
                <w:lang w:val="zh-CN"/>
              </w:rPr>
              <w:t>）。</w:t>
            </w:r>
          </w:p>
        </w:tc>
        <w:tc>
          <w:tcPr>
            <w:tcW w:w="716" w:type="dxa"/>
            <w:shd w:val="clear" w:color="auto" w:fill="auto"/>
            <w:noWrap w:val="0"/>
            <w:vAlign w:val="center"/>
          </w:tcPr>
          <w:p w14:paraId="32DBEF95">
            <w:pPr>
              <w:keepLines w:val="0"/>
              <w:pageBreakBefore w:val="0"/>
              <w:kinsoku/>
              <w:wordWrap/>
              <w:overflowPunct/>
              <w:topLinePunct w:val="0"/>
              <w:bidi w:val="0"/>
              <w:adjustRightInd w:val="0"/>
              <w:snapToGrid w:val="0"/>
              <w:spacing w:beforeAutospacing="0" w:afterAutospacing="0" w:line="240" w:lineRule="auto"/>
              <w:ind w:left="0" w:left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20</w:t>
            </w:r>
          </w:p>
        </w:tc>
      </w:tr>
    </w:tbl>
    <w:p w14:paraId="560D73E5">
      <w:pPr>
        <w:pStyle w:val="2"/>
        <w:rPr>
          <w:rFonts w:hint="eastAsia" w:ascii="宋体" w:hAnsi="宋体" w:eastAsia="宋体" w:cs="宋体"/>
          <w:color w:val="auto"/>
          <w:highlight w:val="none"/>
        </w:rPr>
      </w:pPr>
    </w:p>
    <w:p w14:paraId="35F175BD">
      <w:pPr>
        <w:spacing w:line="360" w:lineRule="auto"/>
        <w:ind w:firstLine="420" w:firstLineChars="200"/>
        <w:rPr>
          <w:rFonts w:hint="eastAsia" w:ascii="宋体" w:hAnsi="宋体" w:eastAsia="宋体" w:cs="宋体"/>
          <w:color w:val="auto"/>
          <w:sz w:val="21"/>
          <w:szCs w:val="21"/>
          <w:highlight w:val="none"/>
          <w:lang w:val="zh-CN"/>
        </w:rPr>
      </w:pPr>
    </w:p>
    <w:p w14:paraId="11595545">
      <w:pPr>
        <w:spacing w:line="360" w:lineRule="auto"/>
        <w:jc w:val="center"/>
        <w:rPr>
          <w:rFonts w:hint="eastAsia" w:ascii="宋体" w:hAnsi="宋体" w:eastAsia="宋体" w:cs="宋体"/>
          <w:b/>
          <w:color w:val="auto"/>
          <w:sz w:val="36"/>
          <w:szCs w:val="36"/>
          <w:highlight w:val="none"/>
        </w:rPr>
      </w:pPr>
    </w:p>
    <w:p w14:paraId="224E9061">
      <w:pPr>
        <w:spacing w:line="360" w:lineRule="auto"/>
        <w:jc w:val="center"/>
        <w:rPr>
          <w:rFonts w:hint="eastAsia" w:ascii="宋体" w:hAnsi="宋体" w:eastAsia="宋体" w:cs="宋体"/>
          <w:b/>
          <w:color w:val="auto"/>
          <w:sz w:val="36"/>
          <w:szCs w:val="36"/>
          <w:highlight w:val="none"/>
        </w:rPr>
      </w:pPr>
    </w:p>
    <w:p w14:paraId="1B16F792">
      <w:pPr>
        <w:spacing w:line="360" w:lineRule="auto"/>
        <w:jc w:val="center"/>
        <w:rPr>
          <w:rFonts w:hint="eastAsia" w:ascii="宋体" w:hAnsi="宋体" w:eastAsia="宋体" w:cs="宋体"/>
          <w:b/>
          <w:color w:val="auto"/>
          <w:sz w:val="36"/>
          <w:szCs w:val="36"/>
          <w:highlight w:val="none"/>
        </w:rPr>
      </w:pPr>
    </w:p>
    <w:p w14:paraId="0253C5BD">
      <w:pPr>
        <w:spacing w:line="360" w:lineRule="auto"/>
        <w:jc w:val="center"/>
        <w:rPr>
          <w:rFonts w:hint="eastAsia" w:ascii="宋体" w:hAnsi="宋体" w:eastAsia="宋体" w:cs="宋体"/>
          <w:b/>
          <w:color w:val="auto"/>
          <w:sz w:val="36"/>
          <w:szCs w:val="36"/>
          <w:highlight w:val="none"/>
        </w:rPr>
      </w:pPr>
    </w:p>
    <w:p w14:paraId="77691DB2">
      <w:pPr>
        <w:spacing w:line="360" w:lineRule="auto"/>
        <w:jc w:val="center"/>
        <w:rPr>
          <w:rFonts w:hint="eastAsia" w:ascii="宋体" w:hAnsi="宋体" w:eastAsia="宋体" w:cs="宋体"/>
          <w:b/>
          <w:color w:val="auto"/>
          <w:sz w:val="36"/>
          <w:szCs w:val="36"/>
          <w:highlight w:val="none"/>
        </w:rPr>
      </w:pPr>
    </w:p>
    <w:p w14:paraId="39F84953">
      <w:pPr>
        <w:spacing w:line="360" w:lineRule="auto"/>
        <w:jc w:val="center"/>
        <w:rPr>
          <w:rFonts w:hint="eastAsia" w:ascii="宋体" w:hAnsi="宋体" w:eastAsia="宋体" w:cs="宋体"/>
          <w:b/>
          <w:color w:val="auto"/>
          <w:sz w:val="36"/>
          <w:szCs w:val="36"/>
          <w:highlight w:val="none"/>
        </w:rPr>
      </w:pPr>
    </w:p>
    <w:p w14:paraId="148D136A">
      <w:pPr>
        <w:spacing w:line="360" w:lineRule="auto"/>
        <w:jc w:val="center"/>
        <w:outlineLvl w:val="0"/>
        <w:rPr>
          <w:rFonts w:hint="eastAsia" w:ascii="宋体" w:hAnsi="宋体" w:eastAsia="宋体" w:cs="宋体"/>
          <w:b/>
          <w:color w:val="auto"/>
          <w:sz w:val="36"/>
          <w:szCs w:val="36"/>
          <w:highlight w:val="none"/>
        </w:rPr>
        <w:sectPr>
          <w:footnotePr>
            <w:numRestart w:val="eachPage"/>
          </w:footnotePr>
          <w:endnotePr>
            <w:numRestart w:val="eachSect"/>
          </w:endnotePr>
          <w:pgSz w:w="11907" w:h="16840"/>
          <w:pgMar w:top="1418" w:right="1418" w:bottom="1418" w:left="1588" w:header="851" w:footer="839" w:gutter="0"/>
          <w:pgBorders>
            <w:top w:val="none" w:sz="0" w:space="0"/>
            <w:left w:val="none" w:sz="0" w:space="0"/>
            <w:bottom w:val="none" w:sz="0" w:space="0"/>
            <w:right w:val="none" w:sz="0" w:space="0"/>
          </w:pgBorders>
          <w:pgNumType w:fmt="decimal"/>
          <w:cols w:space="720" w:num="1"/>
          <w:docGrid w:linePitch="435" w:charSpace="-6554"/>
        </w:sectPr>
      </w:pPr>
    </w:p>
    <w:p w14:paraId="717ED4D0">
      <w:pPr>
        <w:spacing w:line="360" w:lineRule="auto"/>
        <w:jc w:val="center"/>
        <w:outlineLvl w:val="0"/>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 xml:space="preserve">第四章 </w:t>
      </w:r>
      <w:r>
        <w:rPr>
          <w:rFonts w:hint="eastAsia" w:ascii="宋体" w:hAnsi="宋体" w:eastAsia="宋体" w:cs="宋体"/>
          <w:b/>
          <w:color w:val="auto"/>
          <w:sz w:val="36"/>
          <w:szCs w:val="36"/>
          <w:highlight w:val="none"/>
          <w:lang w:eastAsia="zh-CN"/>
        </w:rPr>
        <w:t>项目需求</w:t>
      </w:r>
    </w:p>
    <w:p w14:paraId="2C0C4EEE">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jc w:val="left"/>
        <w:textAlignment w:val="auto"/>
        <w:rPr>
          <w:rFonts w:hint="eastAsia" w:ascii="宋体" w:hAnsi="宋体" w:eastAsia="宋体" w:cs="宋体"/>
          <w:b w:val="0"/>
          <w:bCs w:val="0"/>
          <w:snapToGrid w:val="0"/>
          <w:color w:val="auto"/>
          <w:sz w:val="21"/>
          <w:szCs w:val="21"/>
          <w:highlight w:val="none"/>
        </w:rPr>
      </w:pPr>
      <w:r>
        <w:rPr>
          <w:rFonts w:hint="eastAsia" w:ascii="宋体" w:hAnsi="宋体" w:eastAsia="宋体" w:cs="宋体"/>
          <w:b/>
          <w:bCs/>
          <w:snapToGrid w:val="0"/>
          <w:color w:val="auto"/>
          <w:sz w:val="21"/>
          <w:szCs w:val="21"/>
          <w:highlight w:val="none"/>
        </w:rPr>
        <w:t>一、项目背景</w:t>
      </w:r>
    </w:p>
    <w:p w14:paraId="4395D597">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eastAsia="zh-CN"/>
        </w:rPr>
        <w:t>根据</w:t>
      </w:r>
      <w:r>
        <w:rPr>
          <w:rFonts w:hint="eastAsia" w:ascii="宋体" w:hAnsi="宋体" w:eastAsia="宋体" w:cs="宋体"/>
          <w:snapToGrid w:val="0"/>
          <w:color w:val="auto"/>
          <w:kern w:val="0"/>
          <w:sz w:val="21"/>
          <w:szCs w:val="21"/>
          <w:highlight w:val="none"/>
          <w:lang w:eastAsia="zh-CN"/>
        </w:rPr>
        <w:t xml:space="preserve"> </w:t>
      </w:r>
      <w:r>
        <w:rPr>
          <w:rFonts w:hint="eastAsia" w:ascii="宋体" w:hAnsi="宋体" w:cs="宋体"/>
          <w:snapToGrid w:val="0"/>
          <w:color w:val="auto"/>
          <w:kern w:val="0"/>
          <w:sz w:val="21"/>
          <w:szCs w:val="21"/>
          <w:highlight w:val="none"/>
          <w:lang w:eastAsia="zh-CN"/>
        </w:rPr>
        <w:t>2026年路桥区农田灌溉用水水质调查检测、重点监管企业监督检测、二噁英监测及地下水点位水质分析采购项目</w:t>
      </w:r>
      <w:r>
        <w:rPr>
          <w:rFonts w:hint="eastAsia" w:ascii="宋体" w:hAnsi="宋体" w:eastAsia="宋体" w:cs="宋体"/>
          <w:snapToGrid w:val="0"/>
          <w:color w:val="auto"/>
          <w:sz w:val="21"/>
          <w:szCs w:val="21"/>
          <w:highlight w:val="none"/>
          <w:lang w:eastAsia="zh-CN"/>
        </w:rPr>
        <w:t>的需要</w:t>
      </w: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val="en-US" w:eastAsia="zh-CN"/>
        </w:rPr>
        <w:t>进行水和废水、企业废气、地下水的检测。</w:t>
      </w:r>
    </w:p>
    <w:p w14:paraId="599ADE2A">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jc w:val="left"/>
        <w:textAlignment w:val="auto"/>
        <w:outlineLvl w:val="1"/>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二、项目内容</w:t>
      </w:r>
    </w:p>
    <w:tbl>
      <w:tblPr>
        <w:tblStyle w:val="22"/>
        <w:tblW w:w="51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1718"/>
        <w:gridCol w:w="3306"/>
        <w:gridCol w:w="999"/>
        <w:gridCol w:w="1082"/>
      </w:tblGrid>
      <w:tr w14:paraId="1ED7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73" w:type="pct"/>
            <w:noWrap w:val="0"/>
            <w:vAlign w:val="center"/>
          </w:tcPr>
          <w:p w14:paraId="6878AEF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类别</w:t>
            </w:r>
          </w:p>
        </w:tc>
        <w:tc>
          <w:tcPr>
            <w:tcW w:w="973" w:type="pct"/>
            <w:noWrap w:val="0"/>
            <w:vAlign w:val="center"/>
          </w:tcPr>
          <w:p w14:paraId="3BE555B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检测内容</w:t>
            </w:r>
          </w:p>
        </w:tc>
        <w:tc>
          <w:tcPr>
            <w:tcW w:w="1873" w:type="pct"/>
            <w:noWrap w:val="0"/>
            <w:vAlign w:val="center"/>
          </w:tcPr>
          <w:p w14:paraId="3F9DB7F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项目指标</w:t>
            </w:r>
          </w:p>
        </w:tc>
        <w:tc>
          <w:tcPr>
            <w:tcW w:w="566" w:type="pct"/>
            <w:noWrap w:val="0"/>
            <w:vAlign w:val="center"/>
          </w:tcPr>
          <w:p w14:paraId="5C87CCB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点位数</w:t>
            </w:r>
          </w:p>
        </w:tc>
        <w:tc>
          <w:tcPr>
            <w:tcW w:w="613" w:type="pct"/>
            <w:noWrap w:val="0"/>
            <w:vAlign w:val="center"/>
          </w:tcPr>
          <w:p w14:paraId="4D16600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周期</w:t>
            </w:r>
          </w:p>
        </w:tc>
      </w:tr>
      <w:tr w14:paraId="54C8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73" w:type="pct"/>
            <w:vMerge w:val="restart"/>
            <w:noWrap w:val="0"/>
            <w:vAlign w:val="center"/>
          </w:tcPr>
          <w:p w14:paraId="237C73A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color w:val="auto"/>
                <w:kern w:val="0"/>
                <w:szCs w:val="21"/>
                <w:highlight w:val="none"/>
                <w:lang w:val="en-US" w:eastAsia="zh-CN"/>
              </w:rPr>
              <w:t>其他检测项目</w:t>
            </w:r>
          </w:p>
        </w:tc>
        <w:tc>
          <w:tcPr>
            <w:tcW w:w="973" w:type="pct"/>
            <w:noWrap w:val="0"/>
            <w:vAlign w:val="center"/>
          </w:tcPr>
          <w:p w14:paraId="34BFCAC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 xml:space="preserve">台州市路桥中科成污水净化有限公司 </w:t>
            </w:r>
          </w:p>
        </w:tc>
        <w:tc>
          <w:tcPr>
            <w:tcW w:w="1873" w:type="pct"/>
            <w:noWrap w:val="0"/>
            <w:vAlign w:val="center"/>
          </w:tcPr>
          <w:p w14:paraId="07817CB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废水：总铅、总镉、烷基汞、粪大肠菌群</w:t>
            </w:r>
          </w:p>
        </w:tc>
        <w:tc>
          <w:tcPr>
            <w:tcW w:w="566" w:type="pct"/>
            <w:noWrap w:val="0"/>
            <w:vAlign w:val="center"/>
          </w:tcPr>
          <w:p w14:paraId="04C87C0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8</w:t>
            </w:r>
          </w:p>
        </w:tc>
        <w:tc>
          <w:tcPr>
            <w:tcW w:w="613" w:type="pct"/>
            <w:noWrap w:val="0"/>
            <w:vAlign w:val="center"/>
          </w:tcPr>
          <w:p w14:paraId="0ECC673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r>
      <w:tr w14:paraId="0F8B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73" w:type="pct"/>
            <w:vMerge w:val="continue"/>
            <w:noWrap w:val="0"/>
            <w:vAlign w:val="center"/>
          </w:tcPr>
          <w:p w14:paraId="77B582A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973" w:type="pct"/>
            <w:noWrap w:val="0"/>
            <w:vAlign w:val="center"/>
          </w:tcPr>
          <w:p w14:paraId="0E294F0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台州市路桥北控水务有限公司</w:t>
            </w:r>
          </w:p>
        </w:tc>
        <w:tc>
          <w:tcPr>
            <w:tcW w:w="1873" w:type="pct"/>
            <w:noWrap w:val="0"/>
            <w:vAlign w:val="center"/>
          </w:tcPr>
          <w:p w14:paraId="629EE10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废水：总铅、总镉、烷基汞、粪大肠菌群</w:t>
            </w:r>
          </w:p>
        </w:tc>
        <w:tc>
          <w:tcPr>
            <w:tcW w:w="566" w:type="pct"/>
            <w:noWrap w:val="0"/>
            <w:vAlign w:val="center"/>
          </w:tcPr>
          <w:p w14:paraId="76925CA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613" w:type="pct"/>
            <w:noWrap w:val="0"/>
            <w:vAlign w:val="center"/>
          </w:tcPr>
          <w:p w14:paraId="2D3B399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1</w:t>
            </w:r>
          </w:p>
        </w:tc>
      </w:tr>
      <w:tr w14:paraId="3456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73" w:type="pct"/>
            <w:vMerge w:val="continue"/>
            <w:noWrap w:val="0"/>
            <w:vAlign w:val="center"/>
          </w:tcPr>
          <w:p w14:paraId="6F0D37F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973" w:type="pct"/>
            <w:vMerge w:val="restart"/>
            <w:noWrap w:val="0"/>
            <w:vAlign w:val="center"/>
          </w:tcPr>
          <w:p w14:paraId="09D87AA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台州市路桥区环卫园林服务中心</w:t>
            </w:r>
          </w:p>
        </w:tc>
        <w:tc>
          <w:tcPr>
            <w:tcW w:w="1873" w:type="pct"/>
            <w:noWrap w:val="0"/>
            <w:vAlign w:val="center"/>
          </w:tcPr>
          <w:p w14:paraId="5C3AAAC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废水：总铅、总镉、粪大肠菌群</w:t>
            </w:r>
          </w:p>
        </w:tc>
        <w:tc>
          <w:tcPr>
            <w:tcW w:w="566" w:type="pct"/>
            <w:noWrap w:val="0"/>
            <w:vAlign w:val="center"/>
          </w:tcPr>
          <w:p w14:paraId="57E9066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613" w:type="pct"/>
            <w:noWrap w:val="0"/>
            <w:vAlign w:val="center"/>
          </w:tcPr>
          <w:p w14:paraId="6EC2C4F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r>
      <w:tr w14:paraId="1C9F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73" w:type="pct"/>
            <w:vMerge w:val="continue"/>
            <w:noWrap w:val="0"/>
            <w:vAlign w:val="center"/>
          </w:tcPr>
          <w:p w14:paraId="3C92DAC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973" w:type="pct"/>
            <w:vMerge w:val="continue"/>
            <w:noWrap w:val="0"/>
            <w:vAlign w:val="center"/>
          </w:tcPr>
          <w:p w14:paraId="0ACA051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873" w:type="pct"/>
            <w:noWrap w:val="0"/>
            <w:vAlign w:val="center"/>
          </w:tcPr>
          <w:p w14:paraId="0D56112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地下水：总硬度、溶解性总固体、粪大肠菌群</w:t>
            </w:r>
          </w:p>
        </w:tc>
        <w:tc>
          <w:tcPr>
            <w:tcW w:w="566" w:type="pct"/>
            <w:noWrap w:val="0"/>
            <w:vAlign w:val="center"/>
          </w:tcPr>
          <w:p w14:paraId="21F61BC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613" w:type="pct"/>
            <w:noWrap w:val="0"/>
            <w:vAlign w:val="center"/>
          </w:tcPr>
          <w:p w14:paraId="18D23C7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1</w:t>
            </w:r>
          </w:p>
        </w:tc>
      </w:tr>
      <w:tr w14:paraId="5211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3" w:type="pct"/>
            <w:vMerge w:val="continue"/>
            <w:noWrap w:val="0"/>
            <w:vAlign w:val="center"/>
          </w:tcPr>
          <w:p w14:paraId="5620CAA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973" w:type="pct"/>
            <w:vMerge w:val="continue"/>
            <w:noWrap w:val="0"/>
            <w:vAlign w:val="center"/>
          </w:tcPr>
          <w:p w14:paraId="077E9D3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873" w:type="pct"/>
            <w:noWrap w:val="0"/>
            <w:vAlign w:val="center"/>
          </w:tcPr>
          <w:p w14:paraId="3F00A66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废气：恶臭</w:t>
            </w:r>
          </w:p>
        </w:tc>
        <w:tc>
          <w:tcPr>
            <w:tcW w:w="566" w:type="pct"/>
            <w:noWrap w:val="0"/>
            <w:vAlign w:val="center"/>
          </w:tcPr>
          <w:p w14:paraId="197163D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613" w:type="pct"/>
            <w:noWrap w:val="0"/>
            <w:vAlign w:val="center"/>
          </w:tcPr>
          <w:p w14:paraId="7BF2824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r>
      <w:tr w14:paraId="46AD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73" w:type="pct"/>
            <w:vMerge w:val="continue"/>
            <w:noWrap w:val="0"/>
            <w:vAlign w:val="center"/>
          </w:tcPr>
          <w:p w14:paraId="348EEB1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973" w:type="pct"/>
            <w:vMerge w:val="restart"/>
            <w:noWrap w:val="0"/>
            <w:vAlign w:val="center"/>
          </w:tcPr>
          <w:p w14:paraId="254C34D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台州旺能再生资源利用有限公司</w:t>
            </w:r>
          </w:p>
        </w:tc>
        <w:tc>
          <w:tcPr>
            <w:tcW w:w="1873" w:type="pct"/>
            <w:noWrap w:val="0"/>
            <w:vAlign w:val="center"/>
          </w:tcPr>
          <w:p w14:paraId="39FF3AE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废水：总铅、总镉、粪大肠菌群</w:t>
            </w:r>
          </w:p>
        </w:tc>
        <w:tc>
          <w:tcPr>
            <w:tcW w:w="566" w:type="pct"/>
            <w:noWrap w:val="0"/>
            <w:vAlign w:val="center"/>
          </w:tcPr>
          <w:p w14:paraId="1D6EDD5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8</w:t>
            </w:r>
          </w:p>
        </w:tc>
        <w:tc>
          <w:tcPr>
            <w:tcW w:w="613" w:type="pct"/>
            <w:noWrap w:val="0"/>
            <w:vAlign w:val="center"/>
          </w:tcPr>
          <w:p w14:paraId="52A8CA2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r>
      <w:tr w14:paraId="5D32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73" w:type="pct"/>
            <w:vMerge w:val="continue"/>
            <w:noWrap w:val="0"/>
            <w:vAlign w:val="center"/>
          </w:tcPr>
          <w:p w14:paraId="2E2FFDC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973" w:type="pct"/>
            <w:vMerge w:val="continue"/>
            <w:noWrap w:val="0"/>
            <w:vAlign w:val="center"/>
          </w:tcPr>
          <w:p w14:paraId="054A8E9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873" w:type="pct"/>
            <w:noWrap w:val="0"/>
            <w:vAlign w:val="center"/>
          </w:tcPr>
          <w:p w14:paraId="45F8103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废气：汞、铊</w:t>
            </w:r>
          </w:p>
        </w:tc>
        <w:tc>
          <w:tcPr>
            <w:tcW w:w="566" w:type="pct"/>
            <w:noWrap w:val="0"/>
            <w:vAlign w:val="center"/>
          </w:tcPr>
          <w:p w14:paraId="62085E3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w:t>
            </w:r>
          </w:p>
        </w:tc>
        <w:tc>
          <w:tcPr>
            <w:tcW w:w="613" w:type="pct"/>
            <w:noWrap w:val="0"/>
            <w:vAlign w:val="center"/>
          </w:tcPr>
          <w:p w14:paraId="5072CA4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r>
      <w:tr w14:paraId="3511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73" w:type="pct"/>
            <w:vMerge w:val="continue"/>
            <w:noWrap w:val="0"/>
            <w:vAlign w:val="center"/>
          </w:tcPr>
          <w:p w14:paraId="5EE5927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973" w:type="pct"/>
            <w:vMerge w:val="continue"/>
            <w:noWrap w:val="0"/>
            <w:vAlign w:val="center"/>
          </w:tcPr>
          <w:p w14:paraId="3ABD0AB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873" w:type="pct"/>
            <w:noWrap w:val="0"/>
            <w:vAlign w:val="center"/>
          </w:tcPr>
          <w:p w14:paraId="42B3F83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固废：热灼减率</w:t>
            </w:r>
          </w:p>
        </w:tc>
        <w:tc>
          <w:tcPr>
            <w:tcW w:w="566" w:type="pct"/>
            <w:noWrap w:val="0"/>
            <w:vAlign w:val="center"/>
          </w:tcPr>
          <w:p w14:paraId="2E3B634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w:t>
            </w:r>
          </w:p>
        </w:tc>
        <w:tc>
          <w:tcPr>
            <w:tcW w:w="613" w:type="pct"/>
            <w:noWrap w:val="0"/>
            <w:vAlign w:val="center"/>
          </w:tcPr>
          <w:p w14:paraId="09A22E0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r>
      <w:tr w14:paraId="6E27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73" w:type="pct"/>
            <w:vMerge w:val="continue"/>
            <w:noWrap w:val="0"/>
            <w:vAlign w:val="center"/>
          </w:tcPr>
          <w:p w14:paraId="1021C5F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973" w:type="pct"/>
            <w:noWrap w:val="0"/>
            <w:vAlign w:val="center"/>
          </w:tcPr>
          <w:p w14:paraId="17EDBE4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路桥区农田灌溉用水水质监测</w:t>
            </w:r>
          </w:p>
        </w:tc>
        <w:tc>
          <w:tcPr>
            <w:tcW w:w="1873" w:type="pct"/>
            <w:noWrap w:val="0"/>
            <w:vAlign w:val="center"/>
          </w:tcPr>
          <w:p w14:paraId="6B5844F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地表水：蛔虫卵数、苯胺、三氯乙醛、丙烯醛、氯苯、1，2-二氯苯、1,4二氯苯、硝基苯</w:t>
            </w:r>
          </w:p>
        </w:tc>
        <w:tc>
          <w:tcPr>
            <w:tcW w:w="566" w:type="pct"/>
            <w:noWrap w:val="0"/>
            <w:vAlign w:val="center"/>
          </w:tcPr>
          <w:p w14:paraId="2876AE5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613" w:type="pct"/>
            <w:noWrap w:val="0"/>
            <w:vAlign w:val="center"/>
          </w:tcPr>
          <w:p w14:paraId="416FB58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w:t>
            </w:r>
          </w:p>
        </w:tc>
      </w:tr>
      <w:tr w14:paraId="2E5E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973" w:type="pct"/>
            <w:vMerge w:val="continue"/>
            <w:noWrap w:val="0"/>
            <w:vAlign w:val="center"/>
          </w:tcPr>
          <w:p w14:paraId="4772098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973" w:type="pct"/>
            <w:vMerge w:val="restart"/>
            <w:noWrap w:val="0"/>
            <w:vAlign w:val="center"/>
          </w:tcPr>
          <w:p w14:paraId="3A691CE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地下水</w:t>
            </w:r>
          </w:p>
        </w:tc>
        <w:tc>
          <w:tcPr>
            <w:tcW w:w="1873" w:type="pct"/>
            <w:noWrap w:val="0"/>
            <w:vAlign w:val="center"/>
          </w:tcPr>
          <w:p w14:paraId="0A7E2B5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碘化物</w:t>
            </w:r>
          </w:p>
        </w:tc>
        <w:tc>
          <w:tcPr>
            <w:tcW w:w="566" w:type="pct"/>
            <w:noWrap w:val="0"/>
            <w:vAlign w:val="center"/>
          </w:tcPr>
          <w:p w14:paraId="44C154B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613" w:type="pct"/>
            <w:noWrap w:val="0"/>
            <w:vAlign w:val="center"/>
          </w:tcPr>
          <w:p w14:paraId="15FB852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r>
      <w:tr w14:paraId="7C81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73" w:type="pct"/>
            <w:vMerge w:val="continue"/>
            <w:noWrap w:val="0"/>
            <w:vAlign w:val="center"/>
          </w:tcPr>
          <w:p w14:paraId="57D08F1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973" w:type="pct"/>
            <w:vMerge w:val="continue"/>
            <w:noWrap w:val="0"/>
            <w:vAlign w:val="center"/>
          </w:tcPr>
          <w:p w14:paraId="7792A79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873" w:type="pct"/>
            <w:noWrap w:val="0"/>
            <w:vAlign w:val="center"/>
          </w:tcPr>
          <w:p w14:paraId="4C8F4DD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氨氮、铅、铍、锑、镍、钴、银、钡、锰、铁、铜、锌、铝、钠、镉</w:t>
            </w:r>
          </w:p>
        </w:tc>
        <w:tc>
          <w:tcPr>
            <w:tcW w:w="566" w:type="pct"/>
            <w:noWrap w:val="0"/>
            <w:vAlign w:val="center"/>
          </w:tcPr>
          <w:p w14:paraId="786F6D0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613" w:type="pct"/>
            <w:noWrap w:val="0"/>
            <w:vAlign w:val="center"/>
          </w:tcPr>
          <w:p w14:paraId="1B03EE1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r>
      <w:tr w14:paraId="669C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73" w:type="pct"/>
            <w:vMerge w:val="continue"/>
            <w:noWrap w:val="0"/>
            <w:vAlign w:val="center"/>
          </w:tcPr>
          <w:p w14:paraId="4253461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973" w:type="pct"/>
            <w:vMerge w:val="continue"/>
            <w:noWrap w:val="0"/>
            <w:vAlign w:val="center"/>
          </w:tcPr>
          <w:p w14:paraId="720BD6F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873" w:type="pct"/>
            <w:noWrap w:val="0"/>
            <w:vAlign w:val="center"/>
          </w:tcPr>
          <w:p w14:paraId="4E14A6D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三氯甲烷、四氯化碳、苯、甲苯、二氯甲烷、1,2-二氯乙烷、氯乙烯、氯苯、乙苯、二甲苯、苯乙烯</w:t>
            </w:r>
          </w:p>
        </w:tc>
        <w:tc>
          <w:tcPr>
            <w:tcW w:w="566" w:type="pct"/>
            <w:noWrap w:val="0"/>
            <w:vAlign w:val="center"/>
          </w:tcPr>
          <w:p w14:paraId="072F6B8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613" w:type="pct"/>
            <w:noWrap w:val="0"/>
            <w:vAlign w:val="center"/>
          </w:tcPr>
          <w:p w14:paraId="7F8F7CC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r>
      <w:tr w14:paraId="4E95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73" w:type="pct"/>
            <w:vMerge w:val="continue"/>
            <w:noWrap w:val="0"/>
            <w:vAlign w:val="center"/>
          </w:tcPr>
          <w:p w14:paraId="6FA186C6">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973" w:type="pct"/>
            <w:vMerge w:val="continue"/>
            <w:noWrap w:val="0"/>
            <w:vAlign w:val="center"/>
          </w:tcPr>
          <w:p w14:paraId="34F2829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873" w:type="pct"/>
            <w:noWrap w:val="0"/>
            <w:vAlign w:val="center"/>
          </w:tcPr>
          <w:p w14:paraId="6D20F47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2,4-二硝基甲苯、2,6-二硝基甲苯</w:t>
            </w:r>
          </w:p>
        </w:tc>
        <w:tc>
          <w:tcPr>
            <w:tcW w:w="566" w:type="pct"/>
            <w:noWrap w:val="0"/>
            <w:vAlign w:val="center"/>
          </w:tcPr>
          <w:p w14:paraId="2C49098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613" w:type="pct"/>
            <w:noWrap w:val="0"/>
            <w:vAlign w:val="center"/>
          </w:tcPr>
          <w:p w14:paraId="03B7871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r>
      <w:tr w14:paraId="3285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73" w:type="pct"/>
            <w:vMerge w:val="continue"/>
            <w:noWrap w:val="0"/>
            <w:vAlign w:val="center"/>
          </w:tcPr>
          <w:p w14:paraId="6212F22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973" w:type="pct"/>
            <w:vMerge w:val="continue"/>
            <w:noWrap w:val="0"/>
            <w:vAlign w:val="center"/>
          </w:tcPr>
          <w:p w14:paraId="6E85799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873" w:type="pct"/>
            <w:noWrap w:val="0"/>
            <w:vAlign w:val="center"/>
          </w:tcPr>
          <w:p w14:paraId="1094D9A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苯并[a]芘</w:t>
            </w:r>
          </w:p>
        </w:tc>
        <w:tc>
          <w:tcPr>
            <w:tcW w:w="566" w:type="pct"/>
            <w:noWrap w:val="0"/>
            <w:vAlign w:val="center"/>
          </w:tcPr>
          <w:p w14:paraId="0AB3993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613" w:type="pct"/>
            <w:noWrap w:val="0"/>
            <w:vAlign w:val="center"/>
          </w:tcPr>
          <w:p w14:paraId="2DAB7E7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r>
      <w:tr w14:paraId="29CA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73" w:type="pct"/>
            <w:vMerge w:val="continue"/>
            <w:noWrap w:val="0"/>
            <w:vAlign w:val="center"/>
          </w:tcPr>
          <w:p w14:paraId="20FDCAA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973" w:type="pct"/>
            <w:vMerge w:val="continue"/>
            <w:noWrap w:val="0"/>
            <w:vAlign w:val="center"/>
          </w:tcPr>
          <w:p w14:paraId="11D8BF0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873" w:type="pct"/>
            <w:noWrap w:val="0"/>
            <w:vAlign w:val="center"/>
          </w:tcPr>
          <w:p w14:paraId="1F6E71A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五氯酚、乐果</w:t>
            </w:r>
          </w:p>
        </w:tc>
        <w:tc>
          <w:tcPr>
            <w:tcW w:w="566" w:type="pct"/>
            <w:noWrap w:val="0"/>
            <w:vAlign w:val="center"/>
          </w:tcPr>
          <w:p w14:paraId="2730755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613" w:type="pct"/>
            <w:noWrap w:val="0"/>
            <w:vAlign w:val="center"/>
          </w:tcPr>
          <w:p w14:paraId="7067744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r>
      <w:tr w14:paraId="0A94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73" w:type="pct"/>
            <w:vMerge w:val="continue"/>
            <w:noWrap w:val="0"/>
            <w:vAlign w:val="center"/>
          </w:tcPr>
          <w:p w14:paraId="2378B98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973" w:type="pct"/>
            <w:vMerge w:val="continue"/>
            <w:noWrap w:val="0"/>
            <w:vAlign w:val="center"/>
          </w:tcPr>
          <w:p w14:paraId="7D12111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873" w:type="pct"/>
            <w:noWrap w:val="0"/>
            <w:vAlign w:val="center"/>
          </w:tcPr>
          <w:p w14:paraId="0D6F6D8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仿宋"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pH、硫酸盐、氯化物、铁、锰、铜、锌、铝、挥发性酚类 （以苯酚计）、阴离子表面活性剂、耗氧量（</w:t>
            </w:r>
            <w:r>
              <w:rPr>
                <w:rFonts w:hint="default" w:ascii="宋体" w:hAnsi="宋体" w:eastAsia="宋体" w:cs="宋体"/>
                <w:i w:val="0"/>
                <w:iCs w:val="0"/>
                <w:color w:val="auto"/>
                <w:kern w:val="0"/>
                <w:sz w:val="21"/>
                <w:szCs w:val="21"/>
                <w:highlight w:val="none"/>
                <w:u w:val="none"/>
                <w:lang w:val="en-US" w:eastAsia="zh-CN"/>
              </w:rPr>
              <w:t>CODMn</w:t>
            </w:r>
            <w:r>
              <w:rPr>
                <w:rFonts w:hint="eastAsia" w:ascii="宋体" w:hAnsi="宋体" w:eastAsia="宋体" w:cs="宋体"/>
                <w:i w:val="0"/>
                <w:iCs w:val="0"/>
                <w:color w:val="auto"/>
                <w:kern w:val="0"/>
                <w:sz w:val="21"/>
                <w:szCs w:val="21"/>
                <w:highlight w:val="none"/>
                <w:u w:val="none"/>
                <w:lang w:val="en-US" w:eastAsia="zh-CN"/>
              </w:rPr>
              <w:t xml:space="preserve">法，以 </w:t>
            </w:r>
            <w:r>
              <w:rPr>
                <w:rFonts w:hint="default" w:ascii="宋体" w:hAnsi="宋体" w:eastAsia="宋体" w:cs="宋体"/>
                <w:i w:val="0"/>
                <w:iCs w:val="0"/>
                <w:color w:val="auto"/>
                <w:kern w:val="0"/>
                <w:sz w:val="21"/>
                <w:szCs w:val="21"/>
                <w:highlight w:val="none"/>
                <w:u w:val="none"/>
                <w:lang w:val="en-US" w:eastAsia="zh-CN"/>
              </w:rPr>
              <w:t>O2</w:t>
            </w:r>
            <w:r>
              <w:rPr>
                <w:rFonts w:hint="eastAsia" w:ascii="宋体" w:hAnsi="宋体" w:eastAsia="宋体" w:cs="宋体"/>
                <w:i w:val="0"/>
                <w:iCs w:val="0"/>
                <w:color w:val="auto"/>
                <w:kern w:val="0"/>
                <w:sz w:val="21"/>
                <w:szCs w:val="21"/>
                <w:highlight w:val="none"/>
                <w:u w:val="none"/>
                <w:lang w:val="en-US" w:eastAsia="zh-CN"/>
              </w:rPr>
              <w:t xml:space="preserve">计）、氨氮（以 </w:t>
            </w:r>
            <w:r>
              <w:rPr>
                <w:rFonts w:hint="default" w:ascii="宋体" w:hAnsi="宋体" w:eastAsia="宋体" w:cs="宋体"/>
                <w:i w:val="0"/>
                <w:iCs w:val="0"/>
                <w:color w:val="auto"/>
                <w:kern w:val="0"/>
                <w:sz w:val="21"/>
                <w:szCs w:val="21"/>
                <w:highlight w:val="none"/>
                <w:u w:val="none"/>
                <w:lang w:val="en-US" w:eastAsia="zh-CN"/>
              </w:rPr>
              <w:t xml:space="preserve">N </w:t>
            </w:r>
            <w:r>
              <w:rPr>
                <w:rFonts w:hint="eastAsia" w:ascii="宋体" w:hAnsi="宋体" w:eastAsia="宋体" w:cs="宋体"/>
                <w:i w:val="0"/>
                <w:iCs w:val="0"/>
                <w:color w:val="auto"/>
                <w:kern w:val="0"/>
                <w:sz w:val="21"/>
                <w:szCs w:val="21"/>
                <w:highlight w:val="none"/>
                <w:u w:val="none"/>
                <w:lang w:val="en-US" w:eastAsia="zh-CN"/>
              </w:rPr>
              <w:t xml:space="preserve">计）、硫化物、钠、亚硝酸盐（以 </w:t>
            </w:r>
            <w:r>
              <w:rPr>
                <w:rFonts w:hint="default" w:ascii="宋体" w:hAnsi="宋体" w:eastAsia="宋体" w:cs="宋体"/>
                <w:i w:val="0"/>
                <w:iCs w:val="0"/>
                <w:color w:val="auto"/>
                <w:kern w:val="0"/>
                <w:sz w:val="21"/>
                <w:szCs w:val="21"/>
                <w:highlight w:val="none"/>
                <w:u w:val="none"/>
                <w:lang w:val="en-US" w:eastAsia="zh-CN"/>
              </w:rPr>
              <w:t xml:space="preserve">N </w:t>
            </w:r>
            <w:r>
              <w:rPr>
                <w:rFonts w:hint="eastAsia" w:ascii="宋体" w:hAnsi="宋体" w:eastAsia="宋体" w:cs="宋体"/>
                <w:i w:val="0"/>
                <w:iCs w:val="0"/>
                <w:color w:val="auto"/>
                <w:kern w:val="0"/>
                <w:sz w:val="21"/>
                <w:szCs w:val="21"/>
                <w:highlight w:val="none"/>
                <w:u w:val="none"/>
                <w:lang w:val="en-US" w:eastAsia="zh-CN"/>
              </w:rPr>
              <w:t xml:space="preserve">计）、硝酸盐（以 </w:t>
            </w:r>
            <w:r>
              <w:rPr>
                <w:rFonts w:hint="default" w:ascii="宋体" w:hAnsi="宋体" w:eastAsia="宋体" w:cs="宋体"/>
                <w:i w:val="0"/>
                <w:iCs w:val="0"/>
                <w:color w:val="auto"/>
                <w:kern w:val="0"/>
                <w:sz w:val="21"/>
                <w:szCs w:val="21"/>
                <w:highlight w:val="none"/>
                <w:u w:val="none"/>
                <w:lang w:val="en-US" w:eastAsia="zh-CN"/>
              </w:rPr>
              <w:t xml:space="preserve">N </w:t>
            </w:r>
            <w:r>
              <w:rPr>
                <w:rFonts w:hint="eastAsia" w:ascii="宋体" w:hAnsi="宋体" w:eastAsia="宋体" w:cs="宋体"/>
                <w:i w:val="0"/>
                <w:iCs w:val="0"/>
                <w:color w:val="auto"/>
                <w:kern w:val="0"/>
                <w:sz w:val="21"/>
                <w:szCs w:val="21"/>
                <w:highlight w:val="none"/>
                <w:u w:val="none"/>
                <w:lang w:val="en-US" w:eastAsia="zh-CN"/>
              </w:rPr>
              <w:t xml:space="preserve">计）、氰化物、氟化物、碘化物、汞、砷、硒、镉、铬（六价）、铅、三氯甲烷、四氯化碳、苯、甲苯、色（铂钴色度单位）、嗅和味、浑浊度/NTU、肉眼可见物、 总硬度（以 </w:t>
            </w:r>
            <w:r>
              <w:rPr>
                <w:rFonts w:hint="default" w:ascii="宋体" w:hAnsi="宋体" w:eastAsia="宋体" w:cs="宋体"/>
                <w:i w:val="0"/>
                <w:iCs w:val="0"/>
                <w:color w:val="auto"/>
                <w:kern w:val="0"/>
                <w:sz w:val="21"/>
                <w:szCs w:val="21"/>
                <w:highlight w:val="none"/>
                <w:u w:val="none"/>
                <w:lang w:val="en-US" w:eastAsia="zh-CN"/>
              </w:rPr>
              <w:t>CaCO3</w:t>
            </w:r>
            <w:r>
              <w:rPr>
                <w:rFonts w:hint="eastAsia" w:ascii="宋体" w:hAnsi="宋体" w:eastAsia="宋体" w:cs="宋体"/>
                <w:i w:val="0"/>
                <w:iCs w:val="0"/>
                <w:color w:val="auto"/>
                <w:kern w:val="0"/>
                <w:sz w:val="21"/>
                <w:szCs w:val="21"/>
                <w:highlight w:val="none"/>
                <w:u w:val="none"/>
                <w:lang w:val="en-US" w:eastAsia="zh-CN"/>
              </w:rPr>
              <w:t>计）、溶解性总固体、钾、钙、镁、重碳酸根、碳酸根、游离二氧化碳和总氮</w:t>
            </w:r>
          </w:p>
        </w:tc>
        <w:tc>
          <w:tcPr>
            <w:tcW w:w="566" w:type="pct"/>
            <w:noWrap w:val="0"/>
            <w:vAlign w:val="center"/>
          </w:tcPr>
          <w:p w14:paraId="41AD288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1</w:t>
            </w:r>
          </w:p>
        </w:tc>
        <w:tc>
          <w:tcPr>
            <w:tcW w:w="613" w:type="pct"/>
            <w:noWrap w:val="0"/>
            <w:vAlign w:val="center"/>
          </w:tcPr>
          <w:p w14:paraId="3E01859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6</w:t>
            </w:r>
          </w:p>
        </w:tc>
      </w:tr>
      <w:tr w14:paraId="133D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73" w:type="pct"/>
            <w:vMerge w:val="continue"/>
            <w:noWrap w:val="0"/>
            <w:vAlign w:val="center"/>
          </w:tcPr>
          <w:p w14:paraId="1A6D4459">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973" w:type="pct"/>
            <w:noWrap w:val="0"/>
            <w:vAlign w:val="center"/>
          </w:tcPr>
          <w:p w14:paraId="4E61E9D8">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其他项目</w:t>
            </w:r>
          </w:p>
        </w:tc>
        <w:tc>
          <w:tcPr>
            <w:tcW w:w="1873" w:type="pct"/>
            <w:noWrap w:val="0"/>
            <w:vAlign w:val="center"/>
          </w:tcPr>
          <w:p w14:paraId="0CB1F63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地表水：粪大肠菌群</w:t>
            </w:r>
          </w:p>
        </w:tc>
        <w:tc>
          <w:tcPr>
            <w:tcW w:w="566" w:type="pct"/>
            <w:noWrap w:val="0"/>
            <w:vAlign w:val="center"/>
          </w:tcPr>
          <w:p w14:paraId="1BDB0A1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4</w:t>
            </w:r>
          </w:p>
        </w:tc>
        <w:tc>
          <w:tcPr>
            <w:tcW w:w="613" w:type="pct"/>
            <w:noWrap w:val="0"/>
            <w:vAlign w:val="center"/>
          </w:tcPr>
          <w:p w14:paraId="5012FA6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2</w:t>
            </w:r>
          </w:p>
        </w:tc>
      </w:tr>
      <w:tr w14:paraId="3CE5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73" w:type="pct"/>
            <w:noWrap w:val="0"/>
            <w:vAlign w:val="center"/>
          </w:tcPr>
          <w:p w14:paraId="765D66A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auto"/>
                <w:sz w:val="21"/>
                <w:szCs w:val="21"/>
                <w:highlight w:val="none"/>
                <w:u w:val="none"/>
                <w:lang w:val="en-US" w:eastAsia="zh-CN"/>
              </w:rPr>
            </w:pPr>
            <w:r>
              <w:rPr>
                <w:rFonts w:ascii="宋体" w:hAnsi="宋体" w:eastAsia="宋体" w:cs="宋体"/>
                <w:b/>
                <w:bCs/>
                <w:color w:val="auto"/>
                <w:kern w:val="0"/>
                <w:szCs w:val="21"/>
                <w:highlight w:val="none"/>
                <w:lang w:val="en-US" w:eastAsia="zh-CN"/>
              </w:rPr>
              <w:t>二噁英</w:t>
            </w:r>
            <w:r>
              <w:rPr>
                <w:rFonts w:hint="eastAsia" w:ascii="宋体" w:hAnsi="宋体" w:eastAsia="宋体" w:cs="宋体"/>
                <w:b/>
                <w:bCs/>
                <w:color w:val="auto"/>
                <w:kern w:val="0"/>
                <w:szCs w:val="21"/>
                <w:highlight w:val="none"/>
                <w:lang w:val="en-US" w:eastAsia="zh-CN"/>
              </w:rPr>
              <w:t>检测项目</w:t>
            </w:r>
          </w:p>
        </w:tc>
        <w:tc>
          <w:tcPr>
            <w:tcW w:w="973" w:type="pct"/>
            <w:noWrap w:val="0"/>
            <w:vAlign w:val="center"/>
          </w:tcPr>
          <w:p w14:paraId="765D7186">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其他项目</w:t>
            </w:r>
          </w:p>
        </w:tc>
        <w:tc>
          <w:tcPr>
            <w:tcW w:w="1873" w:type="pct"/>
            <w:noWrap w:val="0"/>
            <w:vAlign w:val="center"/>
          </w:tcPr>
          <w:p w14:paraId="7C9CB2B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废气：二噁英</w:t>
            </w:r>
          </w:p>
        </w:tc>
        <w:tc>
          <w:tcPr>
            <w:tcW w:w="566" w:type="pct"/>
            <w:noWrap w:val="0"/>
            <w:vAlign w:val="center"/>
          </w:tcPr>
          <w:p w14:paraId="2B7F231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15</w:t>
            </w:r>
          </w:p>
        </w:tc>
        <w:tc>
          <w:tcPr>
            <w:tcW w:w="613" w:type="pct"/>
            <w:noWrap w:val="0"/>
            <w:vAlign w:val="center"/>
          </w:tcPr>
          <w:p w14:paraId="6DAAF38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r>
    </w:tbl>
    <w:p w14:paraId="42DFCB6E">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422" w:firstLineChars="200"/>
        <w:jc w:val="left"/>
        <w:textAlignment w:val="auto"/>
        <w:outlineLvl w:val="1"/>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测试方法参考</w:t>
      </w:r>
    </w:p>
    <w:tbl>
      <w:tblPr>
        <w:tblStyle w:val="22"/>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022"/>
        <w:gridCol w:w="1405"/>
        <w:gridCol w:w="6596"/>
      </w:tblGrid>
      <w:tr w14:paraId="6CDA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blHeader/>
          <w:jc w:val="center"/>
        </w:trPr>
        <w:tc>
          <w:tcPr>
            <w:tcW w:w="779" w:type="dxa"/>
            <w:noWrap/>
            <w:vAlign w:val="center"/>
          </w:tcPr>
          <w:p w14:paraId="73BEC991">
            <w:pPr>
              <w:keepNext w:val="0"/>
              <w:keepLines w:val="0"/>
              <w:widowControl/>
              <w:suppressLineNumbers w:val="0"/>
              <w:spacing w:line="240" w:lineRule="auto"/>
              <w:ind w:left="0" w:firstLine="0" w:firstLineChars="0"/>
              <w:jc w:val="center"/>
              <w:textAlignment w:val="center"/>
              <w:rPr>
                <w:rStyle w:val="56"/>
                <w:rFonts w:hint="eastAsia" w:ascii="宋体" w:hAnsi="宋体" w:eastAsia="宋体" w:cs="宋体"/>
                <w:b/>
                <w:bCs/>
                <w:color w:val="auto"/>
                <w:sz w:val="21"/>
                <w:szCs w:val="21"/>
                <w:highlight w:val="none"/>
                <w:lang w:val="en-US" w:eastAsia="zh-CN"/>
              </w:rPr>
            </w:pPr>
            <w:r>
              <w:rPr>
                <w:rStyle w:val="56"/>
                <w:rFonts w:hint="eastAsia" w:ascii="宋体" w:hAnsi="宋体" w:eastAsia="宋体" w:cs="宋体"/>
                <w:b/>
                <w:bCs/>
                <w:color w:val="auto"/>
                <w:sz w:val="21"/>
                <w:szCs w:val="21"/>
                <w:highlight w:val="none"/>
                <w:lang w:val="en-US" w:eastAsia="zh-CN"/>
              </w:rPr>
              <w:t>序号</w:t>
            </w:r>
          </w:p>
        </w:tc>
        <w:tc>
          <w:tcPr>
            <w:tcW w:w="1022" w:type="dxa"/>
            <w:noWrap/>
            <w:vAlign w:val="center"/>
          </w:tcPr>
          <w:p w14:paraId="6211F778">
            <w:pPr>
              <w:keepNext w:val="0"/>
              <w:keepLines w:val="0"/>
              <w:widowControl/>
              <w:suppressLineNumbers w:val="0"/>
              <w:spacing w:line="240" w:lineRule="auto"/>
              <w:ind w:left="0" w:firstLine="0" w:firstLineChars="0"/>
              <w:jc w:val="center"/>
              <w:textAlignment w:val="center"/>
              <w:rPr>
                <w:rStyle w:val="56"/>
                <w:rFonts w:hint="eastAsia" w:ascii="宋体" w:hAnsi="宋体" w:eastAsia="宋体" w:cs="宋体"/>
                <w:b/>
                <w:bCs/>
                <w:color w:val="auto"/>
                <w:sz w:val="21"/>
                <w:szCs w:val="21"/>
                <w:highlight w:val="none"/>
                <w:lang w:val="en-US" w:eastAsia="zh-CN"/>
              </w:rPr>
            </w:pPr>
            <w:r>
              <w:rPr>
                <w:rStyle w:val="56"/>
                <w:rFonts w:hint="eastAsia" w:ascii="宋体" w:hAnsi="宋体" w:eastAsia="宋体" w:cs="宋体"/>
                <w:b/>
                <w:bCs/>
                <w:color w:val="auto"/>
                <w:sz w:val="21"/>
                <w:szCs w:val="21"/>
                <w:highlight w:val="none"/>
                <w:lang w:val="en-US" w:eastAsia="zh-CN"/>
              </w:rPr>
              <w:t>类型</w:t>
            </w:r>
          </w:p>
        </w:tc>
        <w:tc>
          <w:tcPr>
            <w:tcW w:w="1405" w:type="dxa"/>
            <w:noWrap/>
            <w:vAlign w:val="center"/>
          </w:tcPr>
          <w:p w14:paraId="52B81713">
            <w:pPr>
              <w:keepNext w:val="0"/>
              <w:keepLines w:val="0"/>
              <w:widowControl/>
              <w:suppressLineNumbers w:val="0"/>
              <w:spacing w:line="240" w:lineRule="auto"/>
              <w:ind w:left="0" w:firstLine="0" w:firstLineChars="0"/>
              <w:jc w:val="center"/>
              <w:textAlignment w:val="center"/>
              <w:rPr>
                <w:rStyle w:val="56"/>
                <w:rFonts w:hint="eastAsia" w:ascii="宋体" w:hAnsi="宋体" w:eastAsia="宋体" w:cs="宋体"/>
                <w:b/>
                <w:bCs/>
                <w:color w:val="auto"/>
                <w:sz w:val="21"/>
                <w:szCs w:val="21"/>
                <w:highlight w:val="none"/>
                <w:lang w:val="en-US" w:eastAsia="zh-CN"/>
              </w:rPr>
            </w:pPr>
            <w:r>
              <w:rPr>
                <w:rStyle w:val="56"/>
                <w:rFonts w:hint="eastAsia" w:ascii="宋体" w:hAnsi="宋体" w:eastAsia="宋体" w:cs="宋体"/>
                <w:b/>
                <w:bCs/>
                <w:color w:val="auto"/>
                <w:sz w:val="21"/>
                <w:szCs w:val="21"/>
                <w:highlight w:val="none"/>
                <w:lang w:val="en-US" w:eastAsia="zh-CN"/>
              </w:rPr>
              <w:t>项目</w:t>
            </w:r>
          </w:p>
        </w:tc>
        <w:tc>
          <w:tcPr>
            <w:tcW w:w="6596" w:type="dxa"/>
            <w:noWrap w:val="0"/>
            <w:vAlign w:val="center"/>
          </w:tcPr>
          <w:p w14:paraId="0A627D48">
            <w:pPr>
              <w:keepNext w:val="0"/>
              <w:keepLines w:val="0"/>
              <w:widowControl/>
              <w:suppressLineNumbers w:val="0"/>
              <w:spacing w:line="240" w:lineRule="auto"/>
              <w:jc w:val="center"/>
              <w:textAlignment w:val="center"/>
              <w:rPr>
                <w:rStyle w:val="56"/>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sz w:val="21"/>
                <w:szCs w:val="21"/>
                <w:highlight w:val="none"/>
              </w:rPr>
              <w:t>检测依据的标准（方法）名称及编号（含年号）</w:t>
            </w:r>
          </w:p>
        </w:tc>
      </w:tr>
      <w:tr w14:paraId="0C9A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9" w:type="dxa"/>
            <w:noWrap/>
            <w:vAlign w:val="center"/>
          </w:tcPr>
          <w:p w14:paraId="18298911">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022" w:type="dxa"/>
            <w:vMerge w:val="restart"/>
            <w:noWrap/>
            <w:vAlign w:val="center"/>
          </w:tcPr>
          <w:p w14:paraId="7E4FE386">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Style w:val="56"/>
                <w:rFonts w:hint="eastAsia" w:ascii="宋体" w:hAnsi="宋体" w:eastAsia="宋体" w:cs="宋体"/>
                <w:color w:val="auto"/>
                <w:sz w:val="21"/>
                <w:szCs w:val="21"/>
                <w:highlight w:val="none"/>
                <w:lang w:val="en-US" w:eastAsia="zh-CN"/>
              </w:rPr>
              <w:t>废水</w:t>
            </w:r>
          </w:p>
        </w:tc>
        <w:tc>
          <w:tcPr>
            <w:tcW w:w="1405" w:type="dxa"/>
            <w:noWrap/>
            <w:vAlign w:val="center"/>
          </w:tcPr>
          <w:p w14:paraId="76E7C0F5">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总铅</w:t>
            </w:r>
          </w:p>
        </w:tc>
        <w:tc>
          <w:tcPr>
            <w:tcW w:w="6596" w:type="dxa"/>
            <w:noWrap w:val="0"/>
            <w:vAlign w:val="center"/>
          </w:tcPr>
          <w:p w14:paraId="683D90EF">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水质 65种元素的测定 电感耦合等离子体质谱法 HJ 700-2014</w:t>
            </w:r>
          </w:p>
        </w:tc>
      </w:tr>
      <w:tr w14:paraId="2C4C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9" w:type="dxa"/>
            <w:noWrap/>
            <w:vAlign w:val="center"/>
          </w:tcPr>
          <w:p w14:paraId="341F3057">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1022" w:type="dxa"/>
            <w:vMerge w:val="continue"/>
            <w:noWrap/>
            <w:vAlign w:val="center"/>
          </w:tcPr>
          <w:p w14:paraId="09916E95">
            <w:pPr>
              <w:spacing w:line="240" w:lineRule="auto"/>
              <w:rPr>
                <w:rFonts w:hint="eastAsia" w:ascii="宋体" w:hAnsi="宋体" w:eastAsia="宋体" w:cs="宋体"/>
                <w:color w:val="auto"/>
                <w:sz w:val="21"/>
                <w:szCs w:val="21"/>
                <w:highlight w:val="none"/>
              </w:rPr>
            </w:pPr>
          </w:p>
        </w:tc>
        <w:tc>
          <w:tcPr>
            <w:tcW w:w="1405" w:type="dxa"/>
            <w:noWrap/>
            <w:vAlign w:val="center"/>
          </w:tcPr>
          <w:p w14:paraId="305D1670">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总镉</w:t>
            </w:r>
          </w:p>
        </w:tc>
        <w:tc>
          <w:tcPr>
            <w:tcW w:w="6596" w:type="dxa"/>
            <w:noWrap w:val="0"/>
            <w:vAlign w:val="center"/>
          </w:tcPr>
          <w:p w14:paraId="7CF82710">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水质 65种元素的测定 电感耦合等离子体质谱法 HJ 700-2014</w:t>
            </w:r>
          </w:p>
        </w:tc>
      </w:tr>
      <w:tr w14:paraId="055F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9" w:type="dxa"/>
            <w:noWrap/>
            <w:vAlign w:val="center"/>
          </w:tcPr>
          <w:p w14:paraId="4BDA6BCD">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1022" w:type="dxa"/>
            <w:vMerge w:val="continue"/>
            <w:noWrap/>
            <w:vAlign w:val="center"/>
          </w:tcPr>
          <w:p w14:paraId="7BC27389">
            <w:pPr>
              <w:spacing w:line="240" w:lineRule="auto"/>
              <w:rPr>
                <w:rFonts w:hint="eastAsia" w:ascii="宋体" w:hAnsi="宋体" w:eastAsia="宋体" w:cs="宋体"/>
                <w:color w:val="auto"/>
                <w:sz w:val="21"/>
                <w:szCs w:val="21"/>
                <w:highlight w:val="none"/>
              </w:rPr>
            </w:pPr>
          </w:p>
        </w:tc>
        <w:tc>
          <w:tcPr>
            <w:tcW w:w="1405" w:type="dxa"/>
            <w:noWrap/>
            <w:vAlign w:val="center"/>
          </w:tcPr>
          <w:p w14:paraId="1ABD4949">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烷基汞</w:t>
            </w:r>
          </w:p>
        </w:tc>
        <w:tc>
          <w:tcPr>
            <w:tcW w:w="6596" w:type="dxa"/>
            <w:noWrap w:val="0"/>
            <w:vAlign w:val="center"/>
          </w:tcPr>
          <w:p w14:paraId="50A26247">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水质 烷基汞的测定 吹扫捕集/气相色谱-冷原子荧光光谱法     </w:t>
            </w:r>
          </w:p>
          <w:p w14:paraId="52CA4134">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HJ 977-2018</w:t>
            </w:r>
          </w:p>
        </w:tc>
      </w:tr>
      <w:tr w14:paraId="2804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9" w:type="dxa"/>
            <w:noWrap/>
            <w:vAlign w:val="center"/>
          </w:tcPr>
          <w:p w14:paraId="5755B963">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w:t>
            </w:r>
          </w:p>
        </w:tc>
        <w:tc>
          <w:tcPr>
            <w:tcW w:w="1022" w:type="dxa"/>
            <w:vMerge w:val="continue"/>
            <w:noWrap/>
            <w:vAlign w:val="center"/>
          </w:tcPr>
          <w:p w14:paraId="4C692ED4">
            <w:pPr>
              <w:spacing w:line="240" w:lineRule="auto"/>
              <w:rPr>
                <w:rFonts w:hint="eastAsia" w:ascii="宋体" w:hAnsi="宋体" w:eastAsia="宋体" w:cs="宋体"/>
                <w:color w:val="auto"/>
                <w:sz w:val="21"/>
                <w:szCs w:val="21"/>
                <w:highlight w:val="none"/>
              </w:rPr>
            </w:pPr>
          </w:p>
        </w:tc>
        <w:tc>
          <w:tcPr>
            <w:tcW w:w="1405" w:type="dxa"/>
            <w:noWrap/>
            <w:vAlign w:val="center"/>
          </w:tcPr>
          <w:p w14:paraId="017A0537">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粪大肠菌群</w:t>
            </w:r>
          </w:p>
        </w:tc>
        <w:tc>
          <w:tcPr>
            <w:tcW w:w="6596" w:type="dxa"/>
            <w:noWrap w:val="0"/>
            <w:vAlign w:val="center"/>
          </w:tcPr>
          <w:p w14:paraId="19838DF3">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水质  粪大肠菌群的测定 多管发酵法 HJ 347.2-2018</w:t>
            </w:r>
          </w:p>
        </w:tc>
      </w:tr>
      <w:tr w14:paraId="2657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9" w:type="dxa"/>
            <w:noWrap/>
            <w:vAlign w:val="center"/>
          </w:tcPr>
          <w:p w14:paraId="3EE2F5C4">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w:t>
            </w:r>
          </w:p>
        </w:tc>
        <w:tc>
          <w:tcPr>
            <w:tcW w:w="1022" w:type="dxa"/>
            <w:noWrap/>
            <w:vAlign w:val="center"/>
          </w:tcPr>
          <w:p w14:paraId="17EA5E57">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Style w:val="56"/>
                <w:rFonts w:hint="eastAsia" w:ascii="宋体" w:hAnsi="宋体" w:eastAsia="宋体" w:cs="宋体"/>
                <w:color w:val="auto"/>
                <w:sz w:val="21"/>
                <w:szCs w:val="21"/>
                <w:highlight w:val="none"/>
                <w:lang w:val="en-US" w:eastAsia="zh-CN"/>
              </w:rPr>
              <w:t>废气</w:t>
            </w:r>
          </w:p>
        </w:tc>
        <w:tc>
          <w:tcPr>
            <w:tcW w:w="1405" w:type="dxa"/>
            <w:noWrap/>
            <w:vAlign w:val="center"/>
          </w:tcPr>
          <w:p w14:paraId="3C8E774F">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恶臭</w:t>
            </w:r>
          </w:p>
        </w:tc>
        <w:tc>
          <w:tcPr>
            <w:tcW w:w="6596" w:type="dxa"/>
            <w:noWrap w:val="0"/>
            <w:vAlign w:val="center"/>
          </w:tcPr>
          <w:p w14:paraId="5B6D30C3">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环境空气和废气 臭气的测定 三点比较式臭袋法（HJ 1262—2022）</w:t>
            </w:r>
          </w:p>
        </w:tc>
      </w:tr>
      <w:tr w14:paraId="7121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9" w:type="dxa"/>
            <w:noWrap/>
            <w:vAlign w:val="center"/>
          </w:tcPr>
          <w:p w14:paraId="1E8D7DB1">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1022" w:type="dxa"/>
            <w:vMerge w:val="restart"/>
            <w:noWrap/>
            <w:vAlign w:val="center"/>
          </w:tcPr>
          <w:p w14:paraId="390647D6">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Style w:val="56"/>
                <w:rFonts w:hint="eastAsia" w:ascii="宋体" w:hAnsi="宋体" w:eastAsia="宋体" w:cs="宋体"/>
                <w:color w:val="auto"/>
                <w:sz w:val="21"/>
                <w:szCs w:val="21"/>
                <w:highlight w:val="none"/>
                <w:lang w:val="en-US" w:eastAsia="zh-CN"/>
              </w:rPr>
              <w:t>地表水</w:t>
            </w:r>
          </w:p>
        </w:tc>
        <w:tc>
          <w:tcPr>
            <w:tcW w:w="1405" w:type="dxa"/>
            <w:noWrap/>
            <w:vAlign w:val="center"/>
          </w:tcPr>
          <w:p w14:paraId="46BDE604">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蛔虫卵数</w:t>
            </w:r>
          </w:p>
        </w:tc>
        <w:tc>
          <w:tcPr>
            <w:tcW w:w="6596" w:type="dxa"/>
            <w:noWrap w:val="0"/>
            <w:vAlign w:val="center"/>
          </w:tcPr>
          <w:p w14:paraId="6A7B180C">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蛔虫卵的测定 沉淀集卵法 HJ 775-2015</w:t>
            </w:r>
          </w:p>
        </w:tc>
      </w:tr>
      <w:tr w14:paraId="6A27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9" w:type="dxa"/>
            <w:noWrap/>
            <w:vAlign w:val="center"/>
          </w:tcPr>
          <w:p w14:paraId="2FB48F7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7</w:t>
            </w:r>
          </w:p>
        </w:tc>
        <w:tc>
          <w:tcPr>
            <w:tcW w:w="1022" w:type="dxa"/>
            <w:vMerge w:val="continue"/>
            <w:noWrap/>
            <w:vAlign w:val="center"/>
          </w:tcPr>
          <w:p w14:paraId="50E4A3DE">
            <w:pPr>
              <w:keepNext w:val="0"/>
              <w:keepLines w:val="0"/>
              <w:widowControl/>
              <w:suppressLineNumbers w:val="0"/>
              <w:spacing w:line="240" w:lineRule="auto"/>
              <w:ind w:left="0" w:firstLine="0" w:firstLineChars="0"/>
              <w:jc w:val="center"/>
              <w:textAlignment w:val="center"/>
              <w:rPr>
                <w:rStyle w:val="56"/>
                <w:rFonts w:hint="eastAsia" w:ascii="宋体" w:hAnsi="宋体" w:eastAsia="宋体" w:cs="宋体"/>
                <w:color w:val="auto"/>
                <w:sz w:val="21"/>
                <w:szCs w:val="21"/>
                <w:highlight w:val="none"/>
                <w:lang w:val="en-US" w:eastAsia="zh-CN"/>
              </w:rPr>
            </w:pPr>
          </w:p>
        </w:tc>
        <w:tc>
          <w:tcPr>
            <w:tcW w:w="1405" w:type="dxa"/>
            <w:noWrap/>
            <w:vAlign w:val="center"/>
          </w:tcPr>
          <w:p w14:paraId="0220A39F">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粪大肠菌群</w:t>
            </w:r>
          </w:p>
        </w:tc>
        <w:tc>
          <w:tcPr>
            <w:tcW w:w="6596" w:type="dxa"/>
            <w:noWrap w:val="0"/>
            <w:vAlign w:val="center"/>
          </w:tcPr>
          <w:p w14:paraId="2F5A7D62">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粪大肠菌群的测定 多管发酵法 H 347.2-2018</w:t>
            </w:r>
          </w:p>
        </w:tc>
      </w:tr>
      <w:tr w14:paraId="09BB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9" w:type="dxa"/>
            <w:noWrap/>
            <w:vAlign w:val="center"/>
          </w:tcPr>
          <w:p w14:paraId="467A007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8</w:t>
            </w:r>
          </w:p>
        </w:tc>
        <w:tc>
          <w:tcPr>
            <w:tcW w:w="1022" w:type="dxa"/>
            <w:vMerge w:val="continue"/>
            <w:noWrap/>
            <w:vAlign w:val="center"/>
          </w:tcPr>
          <w:p w14:paraId="7ADC14C0">
            <w:pPr>
              <w:spacing w:line="240" w:lineRule="auto"/>
              <w:rPr>
                <w:rFonts w:hint="eastAsia" w:ascii="宋体" w:hAnsi="宋体" w:eastAsia="宋体" w:cs="宋体"/>
                <w:color w:val="auto"/>
                <w:sz w:val="21"/>
                <w:szCs w:val="21"/>
                <w:highlight w:val="none"/>
              </w:rPr>
            </w:pPr>
          </w:p>
        </w:tc>
        <w:tc>
          <w:tcPr>
            <w:tcW w:w="1405" w:type="dxa"/>
            <w:noWrap/>
            <w:vAlign w:val="center"/>
          </w:tcPr>
          <w:p w14:paraId="6C81C0BA">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苯胺</w:t>
            </w:r>
          </w:p>
        </w:tc>
        <w:tc>
          <w:tcPr>
            <w:tcW w:w="6596" w:type="dxa"/>
            <w:noWrap w:val="0"/>
            <w:vAlign w:val="center"/>
          </w:tcPr>
          <w:p w14:paraId="5419E664">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水质  苯胺类化合物的测定 N-（1-萘基）乙二胺偶氮分光光度法 </w:t>
            </w:r>
          </w:p>
          <w:p w14:paraId="3358913E">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GB/T 11889-1989</w:t>
            </w:r>
          </w:p>
        </w:tc>
      </w:tr>
      <w:tr w14:paraId="3C2B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9" w:type="dxa"/>
            <w:noWrap/>
            <w:vAlign w:val="center"/>
          </w:tcPr>
          <w:p w14:paraId="32AAE00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9</w:t>
            </w:r>
          </w:p>
        </w:tc>
        <w:tc>
          <w:tcPr>
            <w:tcW w:w="1022" w:type="dxa"/>
            <w:vMerge w:val="continue"/>
            <w:noWrap/>
            <w:vAlign w:val="center"/>
          </w:tcPr>
          <w:p w14:paraId="13CF5932">
            <w:pPr>
              <w:spacing w:line="240" w:lineRule="auto"/>
              <w:rPr>
                <w:rFonts w:hint="eastAsia" w:ascii="宋体" w:hAnsi="宋体" w:eastAsia="宋体" w:cs="宋体"/>
                <w:color w:val="auto"/>
                <w:sz w:val="21"/>
                <w:szCs w:val="21"/>
                <w:highlight w:val="none"/>
              </w:rPr>
            </w:pPr>
          </w:p>
        </w:tc>
        <w:tc>
          <w:tcPr>
            <w:tcW w:w="1405" w:type="dxa"/>
            <w:noWrap/>
            <w:vAlign w:val="center"/>
          </w:tcPr>
          <w:p w14:paraId="4AA952D2">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三氯乙醛</w:t>
            </w:r>
          </w:p>
        </w:tc>
        <w:tc>
          <w:tcPr>
            <w:tcW w:w="6596" w:type="dxa"/>
            <w:noWrap w:val="0"/>
            <w:vAlign w:val="center"/>
          </w:tcPr>
          <w:p w14:paraId="2C399253">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三氯乙醛的测定 吡唑啉酮分光光度法 HJ/T 50-1999</w:t>
            </w:r>
          </w:p>
        </w:tc>
      </w:tr>
      <w:tr w14:paraId="6BAE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9" w:type="dxa"/>
            <w:noWrap/>
            <w:vAlign w:val="center"/>
          </w:tcPr>
          <w:p w14:paraId="3CC3A9F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10</w:t>
            </w:r>
          </w:p>
        </w:tc>
        <w:tc>
          <w:tcPr>
            <w:tcW w:w="1022" w:type="dxa"/>
            <w:vMerge w:val="continue"/>
            <w:noWrap/>
            <w:vAlign w:val="center"/>
          </w:tcPr>
          <w:p w14:paraId="6EA0CE83">
            <w:pPr>
              <w:spacing w:line="240" w:lineRule="auto"/>
              <w:rPr>
                <w:rFonts w:hint="eastAsia" w:ascii="宋体" w:hAnsi="宋体" w:eastAsia="宋体" w:cs="宋体"/>
                <w:color w:val="auto"/>
                <w:sz w:val="21"/>
                <w:szCs w:val="21"/>
                <w:highlight w:val="none"/>
              </w:rPr>
            </w:pPr>
          </w:p>
        </w:tc>
        <w:tc>
          <w:tcPr>
            <w:tcW w:w="1405" w:type="dxa"/>
            <w:noWrap/>
            <w:vAlign w:val="center"/>
          </w:tcPr>
          <w:p w14:paraId="0ADCA534">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丙烯醛</w:t>
            </w:r>
          </w:p>
        </w:tc>
        <w:tc>
          <w:tcPr>
            <w:tcW w:w="6596" w:type="dxa"/>
            <w:noWrap w:val="0"/>
            <w:vAlign w:val="center"/>
          </w:tcPr>
          <w:p w14:paraId="7CCC3A42">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水质 丙烯腈和丙烯醛的测定 吹扫捕集/气相色谱法 HJ 806-2016</w:t>
            </w:r>
          </w:p>
        </w:tc>
      </w:tr>
      <w:tr w14:paraId="0E48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9" w:type="dxa"/>
            <w:noWrap/>
            <w:vAlign w:val="center"/>
          </w:tcPr>
          <w:p w14:paraId="1EE2B3C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11</w:t>
            </w:r>
          </w:p>
        </w:tc>
        <w:tc>
          <w:tcPr>
            <w:tcW w:w="1022" w:type="dxa"/>
            <w:vMerge w:val="continue"/>
            <w:noWrap/>
            <w:vAlign w:val="center"/>
          </w:tcPr>
          <w:p w14:paraId="0DB371D2">
            <w:pPr>
              <w:spacing w:line="240" w:lineRule="auto"/>
              <w:rPr>
                <w:rFonts w:hint="eastAsia" w:ascii="宋体" w:hAnsi="宋体" w:eastAsia="宋体" w:cs="宋体"/>
                <w:color w:val="auto"/>
                <w:sz w:val="21"/>
                <w:szCs w:val="21"/>
                <w:highlight w:val="none"/>
              </w:rPr>
            </w:pPr>
          </w:p>
        </w:tc>
        <w:tc>
          <w:tcPr>
            <w:tcW w:w="1405" w:type="dxa"/>
            <w:noWrap/>
            <w:vAlign w:val="center"/>
          </w:tcPr>
          <w:p w14:paraId="28E86F79">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氯苯</w:t>
            </w:r>
          </w:p>
        </w:tc>
        <w:tc>
          <w:tcPr>
            <w:tcW w:w="6596" w:type="dxa"/>
            <w:noWrap w:val="0"/>
            <w:vAlign w:val="center"/>
          </w:tcPr>
          <w:p w14:paraId="74BE0A7C">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水质 挥发性有机物的测定 吹扫捕集/气相色谱-质谱法                HJ 639-2012</w:t>
            </w:r>
          </w:p>
        </w:tc>
      </w:tr>
      <w:tr w14:paraId="2F3F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9" w:type="dxa"/>
            <w:noWrap/>
            <w:vAlign w:val="center"/>
          </w:tcPr>
          <w:p w14:paraId="11050827">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12</w:t>
            </w:r>
          </w:p>
        </w:tc>
        <w:tc>
          <w:tcPr>
            <w:tcW w:w="1022" w:type="dxa"/>
            <w:vMerge w:val="continue"/>
            <w:noWrap/>
            <w:vAlign w:val="center"/>
          </w:tcPr>
          <w:p w14:paraId="3F31D9D6">
            <w:pPr>
              <w:spacing w:line="240" w:lineRule="auto"/>
              <w:rPr>
                <w:rFonts w:hint="eastAsia" w:ascii="宋体" w:hAnsi="宋体" w:eastAsia="宋体" w:cs="宋体"/>
                <w:color w:val="auto"/>
                <w:sz w:val="21"/>
                <w:szCs w:val="21"/>
                <w:highlight w:val="none"/>
              </w:rPr>
            </w:pPr>
          </w:p>
        </w:tc>
        <w:tc>
          <w:tcPr>
            <w:tcW w:w="1405" w:type="dxa"/>
            <w:noWrap/>
            <w:vAlign w:val="center"/>
          </w:tcPr>
          <w:p w14:paraId="4947E223">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1，2-二氯苯、1,4二氯苯</w:t>
            </w:r>
          </w:p>
        </w:tc>
        <w:tc>
          <w:tcPr>
            <w:tcW w:w="6596" w:type="dxa"/>
            <w:noWrap w:val="0"/>
            <w:vAlign w:val="center"/>
          </w:tcPr>
          <w:p w14:paraId="43E6C683">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水质 挥发性有机物的测定 吹扫捕集/气相色谱-质谱法          </w:t>
            </w:r>
          </w:p>
          <w:p w14:paraId="210055D2">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HJ 639-2012</w:t>
            </w:r>
          </w:p>
        </w:tc>
      </w:tr>
      <w:tr w14:paraId="6868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noWrap/>
            <w:vAlign w:val="center"/>
          </w:tcPr>
          <w:p w14:paraId="749C6D49">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13</w:t>
            </w:r>
          </w:p>
        </w:tc>
        <w:tc>
          <w:tcPr>
            <w:tcW w:w="1022" w:type="dxa"/>
            <w:vMerge w:val="continue"/>
            <w:noWrap/>
            <w:vAlign w:val="center"/>
          </w:tcPr>
          <w:p w14:paraId="38B90B7C">
            <w:pPr>
              <w:spacing w:line="240" w:lineRule="auto"/>
              <w:rPr>
                <w:rFonts w:hint="eastAsia" w:ascii="宋体" w:hAnsi="宋体" w:eastAsia="宋体" w:cs="宋体"/>
                <w:color w:val="auto"/>
                <w:sz w:val="21"/>
                <w:szCs w:val="21"/>
                <w:highlight w:val="none"/>
              </w:rPr>
            </w:pPr>
          </w:p>
        </w:tc>
        <w:tc>
          <w:tcPr>
            <w:tcW w:w="1405" w:type="dxa"/>
            <w:noWrap/>
            <w:vAlign w:val="center"/>
          </w:tcPr>
          <w:p w14:paraId="7A27AA25">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硝基苯</w:t>
            </w:r>
          </w:p>
        </w:tc>
        <w:tc>
          <w:tcPr>
            <w:tcW w:w="6596" w:type="dxa"/>
            <w:noWrap w:val="0"/>
            <w:vAlign w:val="center"/>
          </w:tcPr>
          <w:p w14:paraId="10CB3110">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水质 硝基苯类化合物的测定 液液萃取/固相萃取-气相色谱法     </w:t>
            </w:r>
          </w:p>
          <w:p w14:paraId="2B622BD6">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HJ 648-2013</w:t>
            </w:r>
          </w:p>
        </w:tc>
      </w:tr>
      <w:tr w14:paraId="074D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noWrap/>
            <w:vAlign w:val="center"/>
          </w:tcPr>
          <w:p w14:paraId="6D3E1F0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14</w:t>
            </w:r>
          </w:p>
        </w:tc>
        <w:tc>
          <w:tcPr>
            <w:tcW w:w="1022" w:type="dxa"/>
            <w:vMerge w:val="restart"/>
            <w:noWrap/>
            <w:vAlign w:val="center"/>
          </w:tcPr>
          <w:p w14:paraId="38AA8F06">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rPr>
            </w:pPr>
            <w:r>
              <w:rPr>
                <w:rStyle w:val="56"/>
                <w:rFonts w:hint="eastAsia" w:ascii="宋体" w:hAnsi="宋体" w:eastAsia="宋体" w:cs="宋体"/>
                <w:color w:val="auto"/>
                <w:sz w:val="21"/>
                <w:szCs w:val="21"/>
                <w:highlight w:val="none"/>
                <w:lang w:val="en-US" w:eastAsia="zh-CN"/>
              </w:rPr>
              <w:t>地下水</w:t>
            </w:r>
          </w:p>
        </w:tc>
        <w:tc>
          <w:tcPr>
            <w:tcW w:w="1405" w:type="dxa"/>
            <w:noWrap/>
            <w:vAlign w:val="center"/>
          </w:tcPr>
          <w:p w14:paraId="1A8ED2C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粪大肠菌群</w:t>
            </w:r>
          </w:p>
        </w:tc>
        <w:tc>
          <w:tcPr>
            <w:tcW w:w="6596" w:type="dxa"/>
            <w:noWrap w:val="0"/>
            <w:vAlign w:val="center"/>
          </w:tcPr>
          <w:p w14:paraId="6E6B79E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水质 粪大肠菌群的测定 多管发酵法 HJ/T 347.2-2018</w:t>
            </w:r>
          </w:p>
        </w:tc>
      </w:tr>
      <w:tr w14:paraId="770AC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noWrap/>
            <w:vAlign w:val="center"/>
          </w:tcPr>
          <w:p w14:paraId="057D341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15</w:t>
            </w:r>
          </w:p>
        </w:tc>
        <w:tc>
          <w:tcPr>
            <w:tcW w:w="1022" w:type="dxa"/>
            <w:vMerge w:val="continue"/>
            <w:noWrap/>
            <w:vAlign w:val="center"/>
          </w:tcPr>
          <w:p w14:paraId="2451856F">
            <w:pPr>
              <w:spacing w:line="240" w:lineRule="auto"/>
              <w:rPr>
                <w:rFonts w:hint="eastAsia" w:ascii="宋体" w:hAnsi="宋体" w:eastAsia="宋体" w:cs="宋体"/>
                <w:color w:val="auto"/>
                <w:sz w:val="21"/>
                <w:szCs w:val="21"/>
                <w:highlight w:val="none"/>
              </w:rPr>
            </w:pPr>
          </w:p>
        </w:tc>
        <w:tc>
          <w:tcPr>
            <w:tcW w:w="1405" w:type="dxa"/>
            <w:noWrap/>
            <w:vAlign w:val="center"/>
          </w:tcPr>
          <w:p w14:paraId="3923A7F4">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二氯甲烷</w:t>
            </w:r>
          </w:p>
        </w:tc>
        <w:tc>
          <w:tcPr>
            <w:tcW w:w="6596" w:type="dxa"/>
            <w:noWrap w:val="0"/>
            <w:vAlign w:val="center"/>
          </w:tcPr>
          <w:p w14:paraId="49F27012">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挥发性有机物的测定 吹扫捕集/气相色谱-质谱法HJ 639-2012</w:t>
            </w:r>
          </w:p>
        </w:tc>
      </w:tr>
      <w:tr w14:paraId="6C32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noWrap/>
            <w:vAlign w:val="center"/>
          </w:tcPr>
          <w:p w14:paraId="1F15971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16</w:t>
            </w:r>
          </w:p>
        </w:tc>
        <w:tc>
          <w:tcPr>
            <w:tcW w:w="1022" w:type="dxa"/>
            <w:vMerge w:val="continue"/>
            <w:noWrap/>
            <w:vAlign w:val="center"/>
          </w:tcPr>
          <w:p w14:paraId="346A397D">
            <w:pPr>
              <w:spacing w:line="240" w:lineRule="auto"/>
              <w:rPr>
                <w:rFonts w:hint="eastAsia" w:ascii="宋体" w:hAnsi="宋体" w:eastAsia="宋体" w:cs="宋体"/>
                <w:color w:val="auto"/>
                <w:sz w:val="21"/>
                <w:szCs w:val="21"/>
                <w:highlight w:val="none"/>
              </w:rPr>
            </w:pPr>
          </w:p>
        </w:tc>
        <w:tc>
          <w:tcPr>
            <w:tcW w:w="1405" w:type="dxa"/>
            <w:noWrap/>
            <w:vAlign w:val="center"/>
          </w:tcPr>
          <w:p w14:paraId="22D8CE1D">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1,2-二氯乙烷</w:t>
            </w:r>
          </w:p>
        </w:tc>
        <w:tc>
          <w:tcPr>
            <w:tcW w:w="6596" w:type="dxa"/>
            <w:noWrap w:val="0"/>
            <w:vAlign w:val="center"/>
          </w:tcPr>
          <w:p w14:paraId="07677950">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水质 挥发性有机物的测定 吹扫捕集/气相色谱-质谱法HJ 639-2012 </w:t>
            </w:r>
          </w:p>
        </w:tc>
      </w:tr>
      <w:tr w14:paraId="4E74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noWrap/>
            <w:vAlign w:val="center"/>
          </w:tcPr>
          <w:p w14:paraId="7A6D5040">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17</w:t>
            </w:r>
          </w:p>
        </w:tc>
        <w:tc>
          <w:tcPr>
            <w:tcW w:w="1022" w:type="dxa"/>
            <w:vMerge w:val="continue"/>
            <w:noWrap/>
            <w:vAlign w:val="center"/>
          </w:tcPr>
          <w:p w14:paraId="1AFFB775">
            <w:pPr>
              <w:spacing w:line="240" w:lineRule="auto"/>
              <w:rPr>
                <w:rFonts w:hint="eastAsia" w:ascii="宋体" w:hAnsi="宋体" w:eastAsia="宋体" w:cs="宋体"/>
                <w:color w:val="auto"/>
                <w:sz w:val="21"/>
                <w:szCs w:val="21"/>
                <w:highlight w:val="none"/>
              </w:rPr>
            </w:pPr>
          </w:p>
        </w:tc>
        <w:tc>
          <w:tcPr>
            <w:tcW w:w="1405" w:type="dxa"/>
            <w:noWrap/>
            <w:vAlign w:val="center"/>
          </w:tcPr>
          <w:p w14:paraId="05D67327">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氯乙烯</w:t>
            </w:r>
          </w:p>
        </w:tc>
        <w:tc>
          <w:tcPr>
            <w:tcW w:w="6596" w:type="dxa"/>
            <w:noWrap w:val="0"/>
            <w:vAlign w:val="center"/>
          </w:tcPr>
          <w:p w14:paraId="42F9BF63">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水质 挥发性有机物的测定 吹扫捕集/气相色谱-质谱法HJ 639-2012 </w:t>
            </w:r>
          </w:p>
        </w:tc>
      </w:tr>
      <w:tr w14:paraId="2897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79" w:type="dxa"/>
            <w:noWrap/>
            <w:vAlign w:val="center"/>
          </w:tcPr>
          <w:p w14:paraId="0DEF76E4">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18</w:t>
            </w:r>
          </w:p>
        </w:tc>
        <w:tc>
          <w:tcPr>
            <w:tcW w:w="1022" w:type="dxa"/>
            <w:vMerge w:val="continue"/>
            <w:noWrap/>
            <w:vAlign w:val="center"/>
          </w:tcPr>
          <w:p w14:paraId="4377FBF5">
            <w:pPr>
              <w:spacing w:line="240" w:lineRule="auto"/>
              <w:rPr>
                <w:rFonts w:hint="eastAsia" w:ascii="宋体" w:hAnsi="宋体" w:eastAsia="宋体" w:cs="宋体"/>
                <w:color w:val="auto"/>
                <w:sz w:val="21"/>
                <w:szCs w:val="21"/>
                <w:highlight w:val="none"/>
              </w:rPr>
            </w:pPr>
          </w:p>
        </w:tc>
        <w:tc>
          <w:tcPr>
            <w:tcW w:w="1405" w:type="dxa"/>
            <w:noWrap/>
            <w:vAlign w:val="center"/>
          </w:tcPr>
          <w:p w14:paraId="08D74A8C">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氯苯</w:t>
            </w:r>
          </w:p>
        </w:tc>
        <w:tc>
          <w:tcPr>
            <w:tcW w:w="6596" w:type="dxa"/>
            <w:noWrap w:val="0"/>
            <w:vAlign w:val="center"/>
          </w:tcPr>
          <w:p w14:paraId="7ADC4EBD">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水质 挥发性有机物的测定 吹扫捕集/气相色谱-质谱法HJ 639-2012 </w:t>
            </w:r>
          </w:p>
        </w:tc>
      </w:tr>
      <w:tr w14:paraId="45B7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79" w:type="dxa"/>
            <w:noWrap/>
            <w:vAlign w:val="center"/>
          </w:tcPr>
          <w:p w14:paraId="7E2FF3AB">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19</w:t>
            </w:r>
          </w:p>
        </w:tc>
        <w:tc>
          <w:tcPr>
            <w:tcW w:w="1022" w:type="dxa"/>
            <w:vMerge w:val="continue"/>
            <w:noWrap/>
            <w:vAlign w:val="center"/>
          </w:tcPr>
          <w:p w14:paraId="2EB7D8C6">
            <w:pPr>
              <w:spacing w:line="240" w:lineRule="auto"/>
              <w:rPr>
                <w:rFonts w:hint="eastAsia" w:ascii="宋体" w:hAnsi="宋体" w:eastAsia="宋体" w:cs="宋体"/>
                <w:color w:val="auto"/>
                <w:sz w:val="21"/>
                <w:szCs w:val="21"/>
                <w:highlight w:val="none"/>
              </w:rPr>
            </w:pPr>
          </w:p>
        </w:tc>
        <w:tc>
          <w:tcPr>
            <w:tcW w:w="1405" w:type="dxa"/>
            <w:noWrap/>
            <w:vAlign w:val="center"/>
          </w:tcPr>
          <w:p w14:paraId="4C328D5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乙苯</w:t>
            </w:r>
          </w:p>
        </w:tc>
        <w:tc>
          <w:tcPr>
            <w:tcW w:w="6596" w:type="dxa"/>
            <w:noWrap w:val="0"/>
            <w:vAlign w:val="center"/>
          </w:tcPr>
          <w:p w14:paraId="00E4903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 xml:space="preserve">水质 挥发性有机物的测定 吹扫捕集/气相色谱-质谱法HJ 639-2012 </w:t>
            </w:r>
          </w:p>
        </w:tc>
      </w:tr>
      <w:tr w14:paraId="2DFE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79" w:type="dxa"/>
            <w:noWrap/>
            <w:vAlign w:val="center"/>
          </w:tcPr>
          <w:p w14:paraId="4ECE18D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20</w:t>
            </w:r>
          </w:p>
        </w:tc>
        <w:tc>
          <w:tcPr>
            <w:tcW w:w="1022" w:type="dxa"/>
            <w:vMerge w:val="continue"/>
            <w:noWrap/>
            <w:vAlign w:val="center"/>
          </w:tcPr>
          <w:p w14:paraId="54766B29">
            <w:pPr>
              <w:spacing w:line="240" w:lineRule="auto"/>
              <w:rPr>
                <w:rFonts w:hint="eastAsia" w:ascii="宋体" w:hAnsi="宋体" w:eastAsia="宋体" w:cs="宋体"/>
                <w:color w:val="auto"/>
                <w:sz w:val="21"/>
                <w:szCs w:val="21"/>
                <w:highlight w:val="none"/>
              </w:rPr>
            </w:pPr>
          </w:p>
        </w:tc>
        <w:tc>
          <w:tcPr>
            <w:tcW w:w="1405" w:type="dxa"/>
            <w:noWrap/>
            <w:vAlign w:val="center"/>
          </w:tcPr>
          <w:p w14:paraId="4EF37B2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二甲苯</w:t>
            </w:r>
          </w:p>
        </w:tc>
        <w:tc>
          <w:tcPr>
            <w:tcW w:w="6596" w:type="dxa"/>
            <w:noWrap w:val="0"/>
            <w:vAlign w:val="center"/>
          </w:tcPr>
          <w:p w14:paraId="48B0C52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 xml:space="preserve">水质 挥发性有机物的测定 吹扫捕集/气相色谱-质谱法HJ 639-2012 </w:t>
            </w:r>
          </w:p>
        </w:tc>
      </w:tr>
      <w:tr w14:paraId="3476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79" w:type="dxa"/>
            <w:noWrap/>
            <w:vAlign w:val="center"/>
          </w:tcPr>
          <w:p w14:paraId="79F79CE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21</w:t>
            </w:r>
          </w:p>
        </w:tc>
        <w:tc>
          <w:tcPr>
            <w:tcW w:w="1022" w:type="dxa"/>
            <w:vMerge w:val="continue"/>
            <w:noWrap/>
            <w:vAlign w:val="center"/>
          </w:tcPr>
          <w:p w14:paraId="20A5048A">
            <w:pPr>
              <w:spacing w:line="240" w:lineRule="auto"/>
              <w:rPr>
                <w:rFonts w:hint="eastAsia" w:ascii="宋体" w:hAnsi="宋体" w:eastAsia="宋体" w:cs="宋体"/>
                <w:color w:val="auto"/>
                <w:sz w:val="21"/>
                <w:szCs w:val="21"/>
                <w:highlight w:val="none"/>
              </w:rPr>
            </w:pPr>
          </w:p>
        </w:tc>
        <w:tc>
          <w:tcPr>
            <w:tcW w:w="1405" w:type="dxa"/>
            <w:noWrap/>
            <w:vAlign w:val="center"/>
          </w:tcPr>
          <w:p w14:paraId="5731F06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苯乙烯</w:t>
            </w:r>
          </w:p>
        </w:tc>
        <w:tc>
          <w:tcPr>
            <w:tcW w:w="6596" w:type="dxa"/>
            <w:noWrap w:val="0"/>
            <w:vAlign w:val="center"/>
          </w:tcPr>
          <w:p w14:paraId="7CB769A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 xml:space="preserve">水质 挥发性有机物的测定 吹扫捕集/气相色谱-质谱法HJ 639-2012 </w:t>
            </w:r>
          </w:p>
        </w:tc>
      </w:tr>
      <w:tr w14:paraId="6FF9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79" w:type="dxa"/>
            <w:noWrap/>
            <w:vAlign w:val="center"/>
          </w:tcPr>
          <w:p w14:paraId="2D80A98C">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22</w:t>
            </w:r>
          </w:p>
        </w:tc>
        <w:tc>
          <w:tcPr>
            <w:tcW w:w="1022" w:type="dxa"/>
            <w:vMerge w:val="continue"/>
            <w:noWrap/>
            <w:vAlign w:val="center"/>
          </w:tcPr>
          <w:p w14:paraId="3C616A85">
            <w:pPr>
              <w:spacing w:line="240" w:lineRule="auto"/>
              <w:rPr>
                <w:rFonts w:hint="eastAsia" w:ascii="宋体" w:hAnsi="宋体" w:eastAsia="宋体" w:cs="宋体"/>
                <w:color w:val="auto"/>
                <w:sz w:val="21"/>
                <w:szCs w:val="21"/>
                <w:highlight w:val="none"/>
              </w:rPr>
            </w:pPr>
          </w:p>
        </w:tc>
        <w:tc>
          <w:tcPr>
            <w:tcW w:w="1405" w:type="dxa"/>
            <w:noWrap/>
            <w:vAlign w:val="center"/>
          </w:tcPr>
          <w:p w14:paraId="2151374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2,4-二硝基甲苯</w:t>
            </w:r>
          </w:p>
        </w:tc>
        <w:tc>
          <w:tcPr>
            <w:tcW w:w="6596" w:type="dxa"/>
            <w:noWrap w:val="0"/>
            <w:vAlign w:val="center"/>
          </w:tcPr>
          <w:p w14:paraId="76AAB201">
            <w:pPr>
              <w:keepNext w:val="0"/>
              <w:keepLines w:val="0"/>
              <w:widowControl/>
              <w:suppressLineNumbers w:val="0"/>
              <w:spacing w:line="240" w:lineRule="auto"/>
              <w:jc w:val="left"/>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 xml:space="preserve">水质 硝基苯类化合物 的测定 气相色谱法HJ 592-2010 </w:t>
            </w:r>
          </w:p>
        </w:tc>
      </w:tr>
      <w:tr w14:paraId="4C9B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79" w:type="dxa"/>
            <w:noWrap/>
            <w:vAlign w:val="center"/>
          </w:tcPr>
          <w:p w14:paraId="69A73B1A">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23</w:t>
            </w:r>
          </w:p>
        </w:tc>
        <w:tc>
          <w:tcPr>
            <w:tcW w:w="1022" w:type="dxa"/>
            <w:vMerge w:val="continue"/>
            <w:noWrap/>
            <w:vAlign w:val="center"/>
          </w:tcPr>
          <w:p w14:paraId="0A99FA35">
            <w:pPr>
              <w:spacing w:line="240" w:lineRule="auto"/>
              <w:rPr>
                <w:rFonts w:hint="eastAsia" w:ascii="宋体" w:hAnsi="宋体" w:eastAsia="宋体" w:cs="宋体"/>
                <w:color w:val="auto"/>
                <w:sz w:val="21"/>
                <w:szCs w:val="21"/>
                <w:highlight w:val="none"/>
              </w:rPr>
            </w:pPr>
          </w:p>
        </w:tc>
        <w:tc>
          <w:tcPr>
            <w:tcW w:w="1405" w:type="dxa"/>
            <w:noWrap/>
            <w:vAlign w:val="center"/>
          </w:tcPr>
          <w:p w14:paraId="0D86DB4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2,6-二硝基甲苯</w:t>
            </w:r>
          </w:p>
        </w:tc>
        <w:tc>
          <w:tcPr>
            <w:tcW w:w="6596" w:type="dxa"/>
            <w:noWrap w:val="0"/>
            <w:vAlign w:val="center"/>
          </w:tcPr>
          <w:p w14:paraId="7459E32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 xml:space="preserve">水质 硝基苯类化合物 的测定 气相色谱法HJ 592-2010 </w:t>
            </w:r>
          </w:p>
        </w:tc>
      </w:tr>
    </w:tbl>
    <w:p w14:paraId="08A15D4D">
      <w:pPr>
        <w:pStyle w:val="3"/>
        <w:rPr>
          <w:rFonts w:hint="eastAsia"/>
          <w:color w:val="auto"/>
          <w:highlight w:val="none"/>
          <w:lang w:val="en-US" w:eastAsia="zh-CN"/>
        </w:rPr>
      </w:pPr>
    </w:p>
    <w:p w14:paraId="0863C282">
      <w:pPr>
        <w:pStyle w:val="4"/>
        <w:rPr>
          <w:rFonts w:hint="eastAsia"/>
          <w:color w:val="auto"/>
          <w:highlight w:val="none"/>
          <w:lang w:val="en-US" w:eastAsia="zh-CN"/>
        </w:rPr>
      </w:pPr>
    </w:p>
    <w:tbl>
      <w:tblPr>
        <w:tblStyle w:val="22"/>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022"/>
        <w:gridCol w:w="1405"/>
        <w:gridCol w:w="6596"/>
      </w:tblGrid>
      <w:tr w14:paraId="2863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blHeader/>
          <w:jc w:val="center"/>
        </w:trPr>
        <w:tc>
          <w:tcPr>
            <w:tcW w:w="779" w:type="dxa"/>
            <w:tcBorders>
              <w:tl2br w:val="nil"/>
              <w:tr2bl w:val="nil"/>
            </w:tcBorders>
            <w:noWrap/>
            <w:vAlign w:val="center"/>
          </w:tcPr>
          <w:p w14:paraId="4F1CB90B">
            <w:pPr>
              <w:keepNext w:val="0"/>
              <w:keepLines w:val="0"/>
              <w:widowControl/>
              <w:suppressLineNumbers w:val="0"/>
              <w:spacing w:line="240" w:lineRule="auto"/>
              <w:ind w:left="0" w:firstLine="0" w:firstLineChars="0"/>
              <w:jc w:val="center"/>
              <w:textAlignment w:val="center"/>
              <w:rPr>
                <w:rStyle w:val="56"/>
                <w:rFonts w:hint="eastAsia" w:ascii="宋体" w:hAnsi="宋体" w:eastAsia="宋体" w:cs="宋体"/>
                <w:b/>
                <w:bCs/>
                <w:color w:val="auto"/>
                <w:sz w:val="21"/>
                <w:szCs w:val="21"/>
                <w:highlight w:val="none"/>
                <w:lang w:val="en-US" w:eastAsia="zh-CN"/>
              </w:rPr>
            </w:pPr>
            <w:r>
              <w:rPr>
                <w:rStyle w:val="56"/>
                <w:rFonts w:hint="eastAsia" w:ascii="宋体" w:hAnsi="宋体" w:eastAsia="宋体" w:cs="宋体"/>
                <w:b/>
                <w:bCs/>
                <w:color w:val="auto"/>
                <w:sz w:val="21"/>
                <w:szCs w:val="21"/>
                <w:highlight w:val="none"/>
                <w:lang w:val="en-US" w:eastAsia="zh-CN"/>
              </w:rPr>
              <w:t>序号</w:t>
            </w:r>
          </w:p>
        </w:tc>
        <w:tc>
          <w:tcPr>
            <w:tcW w:w="1022" w:type="dxa"/>
            <w:tcBorders>
              <w:tl2br w:val="nil"/>
              <w:tr2bl w:val="nil"/>
            </w:tcBorders>
            <w:noWrap/>
            <w:vAlign w:val="center"/>
          </w:tcPr>
          <w:p w14:paraId="79C86185">
            <w:pPr>
              <w:keepNext w:val="0"/>
              <w:keepLines w:val="0"/>
              <w:widowControl/>
              <w:suppressLineNumbers w:val="0"/>
              <w:spacing w:line="240" w:lineRule="auto"/>
              <w:ind w:left="0" w:firstLine="0" w:firstLineChars="0"/>
              <w:jc w:val="center"/>
              <w:textAlignment w:val="center"/>
              <w:rPr>
                <w:rStyle w:val="56"/>
                <w:rFonts w:hint="eastAsia" w:ascii="宋体" w:hAnsi="宋体" w:eastAsia="宋体" w:cs="宋体"/>
                <w:b/>
                <w:bCs/>
                <w:color w:val="auto"/>
                <w:sz w:val="21"/>
                <w:szCs w:val="21"/>
                <w:highlight w:val="none"/>
                <w:lang w:val="en-US" w:eastAsia="zh-CN"/>
              </w:rPr>
            </w:pPr>
            <w:r>
              <w:rPr>
                <w:rStyle w:val="56"/>
                <w:rFonts w:hint="eastAsia" w:ascii="宋体" w:hAnsi="宋体" w:eastAsia="宋体" w:cs="宋体"/>
                <w:b/>
                <w:bCs/>
                <w:color w:val="auto"/>
                <w:sz w:val="21"/>
                <w:szCs w:val="21"/>
                <w:highlight w:val="none"/>
                <w:lang w:val="en-US" w:eastAsia="zh-CN"/>
              </w:rPr>
              <w:t>类型</w:t>
            </w:r>
          </w:p>
        </w:tc>
        <w:tc>
          <w:tcPr>
            <w:tcW w:w="1405" w:type="dxa"/>
            <w:tcBorders>
              <w:tl2br w:val="nil"/>
              <w:tr2bl w:val="nil"/>
            </w:tcBorders>
            <w:noWrap/>
            <w:vAlign w:val="center"/>
          </w:tcPr>
          <w:p w14:paraId="2AEB5A41">
            <w:pPr>
              <w:keepNext w:val="0"/>
              <w:keepLines w:val="0"/>
              <w:widowControl/>
              <w:suppressLineNumbers w:val="0"/>
              <w:spacing w:line="240" w:lineRule="auto"/>
              <w:ind w:left="0" w:firstLine="0" w:firstLineChars="0"/>
              <w:jc w:val="center"/>
              <w:textAlignment w:val="center"/>
              <w:rPr>
                <w:rStyle w:val="56"/>
                <w:rFonts w:hint="eastAsia" w:ascii="宋体" w:hAnsi="宋体" w:eastAsia="宋体" w:cs="宋体"/>
                <w:b/>
                <w:bCs/>
                <w:color w:val="auto"/>
                <w:sz w:val="21"/>
                <w:szCs w:val="21"/>
                <w:highlight w:val="none"/>
                <w:lang w:val="en-US" w:eastAsia="zh-CN"/>
              </w:rPr>
            </w:pPr>
            <w:r>
              <w:rPr>
                <w:rStyle w:val="56"/>
                <w:rFonts w:hint="eastAsia" w:ascii="宋体" w:hAnsi="宋体" w:eastAsia="宋体" w:cs="宋体"/>
                <w:b/>
                <w:bCs/>
                <w:color w:val="auto"/>
                <w:sz w:val="21"/>
                <w:szCs w:val="21"/>
                <w:highlight w:val="none"/>
                <w:lang w:val="en-US" w:eastAsia="zh-CN"/>
              </w:rPr>
              <w:t>项目</w:t>
            </w:r>
          </w:p>
        </w:tc>
        <w:tc>
          <w:tcPr>
            <w:tcW w:w="6596" w:type="dxa"/>
            <w:tcBorders>
              <w:tl2br w:val="nil"/>
              <w:tr2bl w:val="nil"/>
            </w:tcBorders>
            <w:noWrap w:val="0"/>
            <w:vAlign w:val="center"/>
          </w:tcPr>
          <w:p w14:paraId="57C36F38">
            <w:pPr>
              <w:keepNext w:val="0"/>
              <w:keepLines w:val="0"/>
              <w:widowControl/>
              <w:suppressLineNumbers w:val="0"/>
              <w:spacing w:line="240" w:lineRule="auto"/>
              <w:jc w:val="center"/>
              <w:textAlignment w:val="center"/>
              <w:rPr>
                <w:rStyle w:val="56"/>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sz w:val="21"/>
                <w:szCs w:val="21"/>
                <w:highlight w:val="none"/>
              </w:rPr>
              <w:t>检测依据的标准（方法）名称及编号（含年号）</w:t>
            </w:r>
          </w:p>
        </w:tc>
      </w:tr>
      <w:tr w14:paraId="5F40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79" w:type="dxa"/>
            <w:tcBorders>
              <w:tl2br w:val="nil"/>
              <w:tr2bl w:val="nil"/>
            </w:tcBorders>
            <w:noWrap/>
            <w:vAlign w:val="center"/>
          </w:tcPr>
          <w:p w14:paraId="0C4D3F3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24</w:t>
            </w:r>
          </w:p>
        </w:tc>
        <w:tc>
          <w:tcPr>
            <w:tcW w:w="1022" w:type="dxa"/>
            <w:vMerge w:val="restart"/>
            <w:tcBorders>
              <w:tl2br w:val="nil"/>
              <w:tr2bl w:val="nil"/>
            </w:tcBorders>
            <w:noWrap/>
            <w:vAlign w:val="center"/>
          </w:tcPr>
          <w:p w14:paraId="0C769667">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地下水</w:t>
            </w:r>
          </w:p>
        </w:tc>
        <w:tc>
          <w:tcPr>
            <w:tcW w:w="1405" w:type="dxa"/>
            <w:tcBorders>
              <w:tl2br w:val="nil"/>
              <w:tr2bl w:val="nil"/>
            </w:tcBorders>
            <w:noWrap/>
            <w:vAlign w:val="center"/>
          </w:tcPr>
          <w:p w14:paraId="308AB7E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苯并[a]芘</w:t>
            </w:r>
          </w:p>
        </w:tc>
        <w:tc>
          <w:tcPr>
            <w:tcW w:w="6596" w:type="dxa"/>
            <w:tcBorders>
              <w:tl2br w:val="nil"/>
              <w:tr2bl w:val="nil"/>
            </w:tcBorders>
            <w:noWrap w:val="0"/>
            <w:vAlign w:val="center"/>
          </w:tcPr>
          <w:p w14:paraId="65959E6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水质 多环芳烃的测定 液液萃取和固相萃取高效液相色谱法            HJ 478-2009</w:t>
            </w:r>
          </w:p>
        </w:tc>
      </w:tr>
      <w:tr w14:paraId="2B6A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79" w:type="dxa"/>
            <w:tcBorders>
              <w:tl2br w:val="nil"/>
              <w:tr2bl w:val="nil"/>
            </w:tcBorders>
            <w:noWrap/>
            <w:vAlign w:val="center"/>
          </w:tcPr>
          <w:p w14:paraId="6D5ECB4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25</w:t>
            </w:r>
          </w:p>
        </w:tc>
        <w:tc>
          <w:tcPr>
            <w:tcW w:w="1022" w:type="dxa"/>
            <w:vMerge w:val="continue"/>
            <w:tcBorders>
              <w:tl2br w:val="nil"/>
              <w:tr2bl w:val="nil"/>
            </w:tcBorders>
            <w:noWrap/>
            <w:vAlign w:val="center"/>
          </w:tcPr>
          <w:p w14:paraId="67F33E08">
            <w:pPr>
              <w:spacing w:line="240" w:lineRule="auto"/>
              <w:rPr>
                <w:rFonts w:hint="eastAsia" w:ascii="宋体" w:hAnsi="宋体" w:eastAsia="宋体" w:cs="宋体"/>
                <w:color w:val="auto"/>
                <w:sz w:val="21"/>
                <w:szCs w:val="21"/>
                <w:highlight w:val="none"/>
              </w:rPr>
            </w:pPr>
          </w:p>
        </w:tc>
        <w:tc>
          <w:tcPr>
            <w:tcW w:w="1405" w:type="dxa"/>
            <w:tcBorders>
              <w:tl2br w:val="nil"/>
              <w:tr2bl w:val="nil"/>
            </w:tcBorders>
            <w:noWrap/>
            <w:vAlign w:val="center"/>
          </w:tcPr>
          <w:p w14:paraId="47B7699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五氯酚</w:t>
            </w:r>
          </w:p>
        </w:tc>
        <w:tc>
          <w:tcPr>
            <w:tcW w:w="6596" w:type="dxa"/>
            <w:tcBorders>
              <w:tl2br w:val="nil"/>
              <w:tr2bl w:val="nil"/>
            </w:tcBorders>
            <w:noWrap w:val="0"/>
            <w:vAlign w:val="center"/>
          </w:tcPr>
          <w:p w14:paraId="62D0519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 xml:space="preserve">水质 五氯酚的测定 气相色谱法HJ 591-2010 </w:t>
            </w:r>
          </w:p>
        </w:tc>
      </w:tr>
      <w:tr w14:paraId="1523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79" w:type="dxa"/>
            <w:tcBorders>
              <w:tl2br w:val="nil"/>
              <w:tr2bl w:val="nil"/>
            </w:tcBorders>
            <w:noWrap/>
            <w:vAlign w:val="center"/>
          </w:tcPr>
          <w:p w14:paraId="6075C5A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26</w:t>
            </w:r>
          </w:p>
        </w:tc>
        <w:tc>
          <w:tcPr>
            <w:tcW w:w="1022" w:type="dxa"/>
            <w:vMerge w:val="continue"/>
            <w:tcBorders>
              <w:tl2br w:val="nil"/>
              <w:tr2bl w:val="nil"/>
            </w:tcBorders>
            <w:noWrap/>
            <w:vAlign w:val="center"/>
          </w:tcPr>
          <w:p w14:paraId="737C05CE">
            <w:pPr>
              <w:spacing w:line="240" w:lineRule="auto"/>
              <w:rPr>
                <w:rFonts w:hint="eastAsia" w:ascii="宋体" w:hAnsi="宋体" w:eastAsia="宋体" w:cs="宋体"/>
                <w:color w:val="auto"/>
                <w:sz w:val="21"/>
                <w:szCs w:val="21"/>
                <w:highlight w:val="none"/>
              </w:rPr>
            </w:pPr>
          </w:p>
        </w:tc>
        <w:tc>
          <w:tcPr>
            <w:tcW w:w="1405" w:type="dxa"/>
            <w:tcBorders>
              <w:tl2br w:val="nil"/>
              <w:tr2bl w:val="nil"/>
            </w:tcBorders>
            <w:noWrap/>
            <w:vAlign w:val="center"/>
          </w:tcPr>
          <w:p w14:paraId="1D44E6CD">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乐果</w:t>
            </w:r>
          </w:p>
        </w:tc>
        <w:tc>
          <w:tcPr>
            <w:tcW w:w="6596" w:type="dxa"/>
            <w:tcBorders>
              <w:tl2br w:val="nil"/>
              <w:tr2bl w:val="nil"/>
            </w:tcBorders>
            <w:noWrap w:val="0"/>
            <w:vAlign w:val="center"/>
          </w:tcPr>
          <w:p w14:paraId="1AC607FF">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水质 有机磷农药的测定 气相色谱法GB/T 13192-1991 </w:t>
            </w:r>
          </w:p>
        </w:tc>
      </w:tr>
      <w:tr w14:paraId="6849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5BC57C6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27</w:t>
            </w:r>
          </w:p>
        </w:tc>
        <w:tc>
          <w:tcPr>
            <w:tcW w:w="1022" w:type="dxa"/>
            <w:vMerge w:val="continue"/>
            <w:tcBorders>
              <w:tl2br w:val="nil"/>
              <w:tr2bl w:val="nil"/>
            </w:tcBorders>
            <w:noWrap/>
            <w:vAlign w:val="center"/>
          </w:tcPr>
          <w:p w14:paraId="069589D2">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5E3EB31B">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pH值</w:t>
            </w:r>
          </w:p>
        </w:tc>
        <w:tc>
          <w:tcPr>
            <w:tcW w:w="6596" w:type="dxa"/>
            <w:tcBorders>
              <w:tl2br w:val="nil"/>
              <w:tr2bl w:val="nil"/>
            </w:tcBorders>
            <w:noWrap w:val="0"/>
            <w:vAlign w:val="center"/>
          </w:tcPr>
          <w:p w14:paraId="03F65B86">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水质 </w:t>
            </w:r>
            <w:bookmarkStart w:id="2" w:name="OLE_LINK1"/>
            <w:r>
              <w:rPr>
                <w:rFonts w:hint="eastAsia" w:ascii="宋体" w:hAnsi="宋体" w:eastAsia="宋体" w:cs="宋体"/>
                <w:i w:val="0"/>
                <w:iCs w:val="0"/>
                <w:color w:val="auto"/>
                <w:sz w:val="21"/>
                <w:szCs w:val="21"/>
                <w:highlight w:val="none"/>
                <w:u w:val="none"/>
                <w:lang w:val="en-US" w:eastAsia="zh-CN"/>
              </w:rPr>
              <w:t>pH值</w:t>
            </w:r>
            <w:bookmarkEnd w:id="2"/>
            <w:r>
              <w:rPr>
                <w:rFonts w:hint="eastAsia" w:ascii="宋体" w:hAnsi="宋体" w:eastAsia="宋体" w:cs="宋体"/>
                <w:i w:val="0"/>
                <w:iCs w:val="0"/>
                <w:color w:val="auto"/>
                <w:sz w:val="21"/>
                <w:szCs w:val="21"/>
                <w:highlight w:val="none"/>
                <w:u w:val="none"/>
                <w:lang w:val="en-US" w:eastAsia="zh-CN"/>
              </w:rPr>
              <w:t xml:space="preserve">的测定 电极法HJ 1147-2020 </w:t>
            </w:r>
          </w:p>
        </w:tc>
      </w:tr>
      <w:tr w14:paraId="1511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5654A6A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28</w:t>
            </w:r>
          </w:p>
        </w:tc>
        <w:tc>
          <w:tcPr>
            <w:tcW w:w="1022" w:type="dxa"/>
            <w:vMerge w:val="continue"/>
            <w:tcBorders>
              <w:tl2br w:val="nil"/>
              <w:tr2bl w:val="nil"/>
            </w:tcBorders>
            <w:noWrap/>
            <w:vAlign w:val="center"/>
          </w:tcPr>
          <w:p w14:paraId="62028D8C">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2AF9CD48">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浊度</w:t>
            </w:r>
          </w:p>
        </w:tc>
        <w:tc>
          <w:tcPr>
            <w:tcW w:w="6596" w:type="dxa"/>
            <w:tcBorders>
              <w:tl2br w:val="nil"/>
              <w:tr2bl w:val="nil"/>
            </w:tcBorders>
            <w:noWrap w:val="0"/>
            <w:vAlign w:val="center"/>
          </w:tcPr>
          <w:p w14:paraId="0E4D0EE2">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w:t>
            </w:r>
            <w:r>
              <w:rPr>
                <w:rFonts w:hint="default"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lang w:val="en-US" w:eastAsia="zh-CN"/>
              </w:rPr>
              <w:t>浊度的测定</w:t>
            </w:r>
            <w:r>
              <w:rPr>
                <w:rFonts w:hint="default"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lang w:val="en-US" w:eastAsia="zh-CN"/>
              </w:rPr>
              <w:t>浊度计法</w:t>
            </w:r>
            <w:r>
              <w:rPr>
                <w:rFonts w:hint="default" w:ascii="宋体" w:hAnsi="宋体" w:eastAsia="宋体" w:cs="宋体"/>
                <w:i w:val="0"/>
                <w:iCs w:val="0"/>
                <w:color w:val="auto"/>
                <w:sz w:val="21"/>
                <w:szCs w:val="21"/>
                <w:highlight w:val="none"/>
                <w:u w:val="none"/>
                <w:lang w:val="en-US" w:eastAsia="zh-CN"/>
              </w:rPr>
              <w:t xml:space="preserve"> HJ 1075-2019</w:t>
            </w:r>
          </w:p>
        </w:tc>
      </w:tr>
      <w:tr w14:paraId="4BFF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6E7C1D1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29</w:t>
            </w:r>
          </w:p>
        </w:tc>
        <w:tc>
          <w:tcPr>
            <w:tcW w:w="1022" w:type="dxa"/>
            <w:vMerge w:val="continue"/>
            <w:tcBorders>
              <w:tl2br w:val="nil"/>
              <w:tr2bl w:val="nil"/>
            </w:tcBorders>
            <w:noWrap/>
            <w:vAlign w:val="center"/>
          </w:tcPr>
          <w:p w14:paraId="06576F0A">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7BBA8B67">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色度</w:t>
            </w:r>
          </w:p>
        </w:tc>
        <w:tc>
          <w:tcPr>
            <w:tcW w:w="6596" w:type="dxa"/>
            <w:tcBorders>
              <w:tl2br w:val="nil"/>
              <w:tr2bl w:val="nil"/>
            </w:tcBorders>
            <w:noWrap w:val="0"/>
            <w:vAlign w:val="center"/>
          </w:tcPr>
          <w:p w14:paraId="6A7F2BD2">
            <w:pPr>
              <w:keepNext w:val="0"/>
              <w:keepLines w:val="0"/>
              <w:widowControl/>
              <w:suppressLineNumbers w:val="0"/>
              <w:spacing w:line="240" w:lineRule="auto"/>
              <w:ind w:left="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w:t>
            </w:r>
            <w:r>
              <w:rPr>
                <w:rFonts w:hint="default"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lang w:val="en-US" w:eastAsia="zh-CN"/>
              </w:rPr>
              <w:t>色度的测定</w:t>
            </w:r>
            <w:r>
              <w:rPr>
                <w:rFonts w:hint="default" w:ascii="宋体" w:hAnsi="宋体" w:eastAsia="宋体" w:cs="宋体"/>
                <w:i w:val="0"/>
                <w:iCs w:val="0"/>
                <w:color w:val="auto"/>
                <w:sz w:val="21"/>
                <w:szCs w:val="21"/>
                <w:highlight w:val="none"/>
                <w:u w:val="none"/>
                <w:lang w:val="en-US" w:eastAsia="zh-CN"/>
              </w:rPr>
              <w:t xml:space="preserve"> GB/T 11903-1989</w:t>
            </w:r>
            <w:r>
              <w:rPr>
                <w:rFonts w:hint="eastAsia" w:ascii="宋体" w:hAnsi="宋体" w:eastAsia="宋体" w:cs="宋体"/>
                <w:i w:val="0"/>
                <w:iCs w:val="0"/>
                <w:color w:val="auto"/>
                <w:sz w:val="21"/>
                <w:szCs w:val="21"/>
                <w:highlight w:val="none"/>
                <w:u w:val="none"/>
                <w:lang w:val="en-US" w:eastAsia="zh-CN"/>
              </w:rPr>
              <w:t>（只用</w:t>
            </w:r>
            <w:r>
              <w:rPr>
                <w:rFonts w:hint="default"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铂钴比色法）</w:t>
            </w:r>
          </w:p>
        </w:tc>
      </w:tr>
      <w:tr w14:paraId="4763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39D6119D">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30</w:t>
            </w:r>
          </w:p>
        </w:tc>
        <w:tc>
          <w:tcPr>
            <w:tcW w:w="1022" w:type="dxa"/>
            <w:vMerge w:val="continue"/>
            <w:tcBorders>
              <w:tl2br w:val="nil"/>
              <w:tr2bl w:val="nil"/>
            </w:tcBorders>
            <w:noWrap/>
            <w:vAlign w:val="center"/>
          </w:tcPr>
          <w:p w14:paraId="22A62E0A">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6BE62803">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总硬度（钙和镁总量）</w:t>
            </w:r>
          </w:p>
        </w:tc>
        <w:tc>
          <w:tcPr>
            <w:tcW w:w="6596" w:type="dxa"/>
            <w:tcBorders>
              <w:tl2br w:val="nil"/>
              <w:tr2bl w:val="nil"/>
            </w:tcBorders>
            <w:noWrap w:val="0"/>
            <w:vAlign w:val="center"/>
          </w:tcPr>
          <w:p w14:paraId="6AB86288">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水质 钙和镁总量的测定 EDTA 滴定法 </w:t>
            </w:r>
          </w:p>
          <w:p w14:paraId="07E567A7">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GB/T 7477-1987</w:t>
            </w:r>
          </w:p>
        </w:tc>
      </w:tr>
      <w:tr w14:paraId="0B64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49E71DCA">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31</w:t>
            </w:r>
          </w:p>
        </w:tc>
        <w:tc>
          <w:tcPr>
            <w:tcW w:w="1022" w:type="dxa"/>
            <w:vMerge w:val="continue"/>
            <w:tcBorders>
              <w:tl2br w:val="nil"/>
              <w:tr2bl w:val="nil"/>
            </w:tcBorders>
            <w:noWrap/>
            <w:vAlign w:val="center"/>
          </w:tcPr>
          <w:p w14:paraId="2061BA9C">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7DDBAB99">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溶解性固体总量</w:t>
            </w:r>
          </w:p>
        </w:tc>
        <w:tc>
          <w:tcPr>
            <w:tcW w:w="6596" w:type="dxa"/>
            <w:tcBorders>
              <w:tl2br w:val="nil"/>
              <w:tr2bl w:val="nil"/>
            </w:tcBorders>
            <w:noWrap w:val="0"/>
            <w:vAlign w:val="center"/>
          </w:tcPr>
          <w:p w14:paraId="38B58774">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地下水质分析方法 第9部分：溶解性固体总量的测定 重量法 DZ/T 0064.9-2021</w:t>
            </w:r>
          </w:p>
        </w:tc>
      </w:tr>
      <w:tr w14:paraId="4013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7616F7A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32</w:t>
            </w:r>
          </w:p>
        </w:tc>
        <w:tc>
          <w:tcPr>
            <w:tcW w:w="1022" w:type="dxa"/>
            <w:vMerge w:val="continue"/>
            <w:tcBorders>
              <w:tl2br w:val="nil"/>
              <w:tr2bl w:val="nil"/>
            </w:tcBorders>
            <w:noWrap/>
            <w:vAlign w:val="center"/>
          </w:tcPr>
          <w:p w14:paraId="70ACE049">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6DE6DE9B">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硫酸根（SO42-）</w:t>
            </w:r>
          </w:p>
        </w:tc>
        <w:tc>
          <w:tcPr>
            <w:tcW w:w="6596" w:type="dxa"/>
            <w:tcBorders>
              <w:tl2br w:val="nil"/>
              <w:tr2bl w:val="nil"/>
            </w:tcBorders>
            <w:noWrap w:val="0"/>
            <w:vAlign w:val="center"/>
          </w:tcPr>
          <w:p w14:paraId="64130A24">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无机阴离子（F-、Cl-、NO2-、Br-、NO3-、PO43-、SO32-、SO42-）的测定 离子色谱法 HJ 84-2016</w:t>
            </w:r>
          </w:p>
        </w:tc>
      </w:tr>
      <w:tr w14:paraId="2908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4397C777">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33</w:t>
            </w:r>
          </w:p>
        </w:tc>
        <w:tc>
          <w:tcPr>
            <w:tcW w:w="1022" w:type="dxa"/>
            <w:vMerge w:val="continue"/>
            <w:tcBorders>
              <w:tl2br w:val="nil"/>
              <w:tr2bl w:val="nil"/>
            </w:tcBorders>
            <w:noWrap/>
            <w:vAlign w:val="center"/>
          </w:tcPr>
          <w:p w14:paraId="4E30DD85">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41AFA11D">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硝酸根（NO3-）</w:t>
            </w:r>
          </w:p>
        </w:tc>
        <w:tc>
          <w:tcPr>
            <w:tcW w:w="6596" w:type="dxa"/>
            <w:tcBorders>
              <w:tl2br w:val="nil"/>
              <w:tr2bl w:val="nil"/>
            </w:tcBorders>
            <w:noWrap w:val="0"/>
            <w:vAlign w:val="center"/>
          </w:tcPr>
          <w:p w14:paraId="1412FDDD">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无机阴离子（F-、Cl-、NO2-、Br-、NO3-、PO43-、SO32-、SO42-）的测定 离子色谱法 HJ 84-2016</w:t>
            </w:r>
          </w:p>
        </w:tc>
      </w:tr>
      <w:tr w14:paraId="07F2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74EDF954">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34</w:t>
            </w:r>
          </w:p>
        </w:tc>
        <w:tc>
          <w:tcPr>
            <w:tcW w:w="1022" w:type="dxa"/>
            <w:vMerge w:val="continue"/>
            <w:tcBorders>
              <w:tl2br w:val="nil"/>
              <w:tr2bl w:val="nil"/>
            </w:tcBorders>
            <w:noWrap/>
            <w:vAlign w:val="center"/>
          </w:tcPr>
          <w:p w14:paraId="099B6A24">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448BBEE7">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亚硝酸盐</w:t>
            </w:r>
          </w:p>
        </w:tc>
        <w:tc>
          <w:tcPr>
            <w:tcW w:w="6596" w:type="dxa"/>
            <w:tcBorders>
              <w:tl2br w:val="nil"/>
              <w:tr2bl w:val="nil"/>
            </w:tcBorders>
            <w:noWrap w:val="0"/>
            <w:vAlign w:val="center"/>
          </w:tcPr>
          <w:p w14:paraId="7C709827">
            <w:pPr>
              <w:keepNext w:val="0"/>
              <w:keepLines w:val="0"/>
              <w:widowControl/>
              <w:suppressLineNumbers w:val="0"/>
              <w:spacing w:line="240" w:lineRule="auto"/>
              <w:ind w:left="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w:t>
            </w:r>
            <w:r>
              <w:rPr>
                <w:rFonts w:hint="default"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lang w:val="en-US" w:eastAsia="zh-CN"/>
              </w:rPr>
              <w:t>亚硝酸盐氮的测定分光光度法</w:t>
            </w:r>
            <w:r>
              <w:rPr>
                <w:rFonts w:hint="default" w:ascii="宋体" w:hAnsi="宋体" w:eastAsia="宋体" w:cs="宋体"/>
                <w:i w:val="0"/>
                <w:iCs w:val="0"/>
                <w:color w:val="auto"/>
                <w:sz w:val="21"/>
                <w:szCs w:val="21"/>
                <w:highlight w:val="none"/>
                <w:u w:val="none"/>
                <w:lang w:val="en-US" w:eastAsia="zh-CN"/>
              </w:rPr>
              <w:t xml:space="preserve"> GB/T 7493-1987</w:t>
            </w:r>
          </w:p>
        </w:tc>
      </w:tr>
      <w:tr w14:paraId="1A2B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45BF236B">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35</w:t>
            </w:r>
          </w:p>
        </w:tc>
        <w:tc>
          <w:tcPr>
            <w:tcW w:w="1022" w:type="dxa"/>
            <w:vMerge w:val="continue"/>
            <w:tcBorders>
              <w:tl2br w:val="nil"/>
              <w:tr2bl w:val="nil"/>
            </w:tcBorders>
            <w:noWrap/>
            <w:vAlign w:val="center"/>
          </w:tcPr>
          <w:p w14:paraId="6651D0D4">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65687235">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氯化物</w:t>
            </w:r>
          </w:p>
        </w:tc>
        <w:tc>
          <w:tcPr>
            <w:tcW w:w="6596" w:type="dxa"/>
            <w:tcBorders>
              <w:tl2br w:val="nil"/>
              <w:tr2bl w:val="nil"/>
            </w:tcBorders>
            <w:noWrap w:val="0"/>
            <w:vAlign w:val="center"/>
          </w:tcPr>
          <w:p w14:paraId="0CBA8BCC">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氯化物的测定 硝酸银滴定法 GB/T 11896-1989</w:t>
            </w:r>
          </w:p>
        </w:tc>
      </w:tr>
      <w:tr w14:paraId="7BFE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7AFC5AFC">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36</w:t>
            </w:r>
          </w:p>
        </w:tc>
        <w:tc>
          <w:tcPr>
            <w:tcW w:w="1022" w:type="dxa"/>
            <w:vMerge w:val="continue"/>
            <w:tcBorders>
              <w:tl2br w:val="nil"/>
              <w:tr2bl w:val="nil"/>
            </w:tcBorders>
            <w:noWrap/>
            <w:vAlign w:val="center"/>
          </w:tcPr>
          <w:p w14:paraId="09F0BF2F">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39A8274E">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硫化物</w:t>
            </w:r>
          </w:p>
        </w:tc>
        <w:tc>
          <w:tcPr>
            <w:tcW w:w="6596" w:type="dxa"/>
            <w:tcBorders>
              <w:tl2br w:val="nil"/>
              <w:tr2bl w:val="nil"/>
            </w:tcBorders>
            <w:noWrap w:val="0"/>
            <w:vAlign w:val="center"/>
          </w:tcPr>
          <w:p w14:paraId="127EBCD5">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default" w:ascii="宋体" w:hAnsi="宋体" w:eastAsia="宋体" w:cs="宋体"/>
                <w:i w:val="0"/>
                <w:iCs w:val="0"/>
                <w:color w:val="auto"/>
                <w:sz w:val="21"/>
                <w:szCs w:val="21"/>
                <w:highlight w:val="none"/>
                <w:u w:val="none"/>
                <w:lang w:val="en-US" w:eastAsia="zh-CN"/>
              </w:rPr>
              <w:t>水质 硫化物的测定 亚甲基蓝分光光度法HJ 1226-2021</w:t>
            </w:r>
          </w:p>
        </w:tc>
      </w:tr>
      <w:tr w14:paraId="311F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448D7040">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37</w:t>
            </w:r>
          </w:p>
        </w:tc>
        <w:tc>
          <w:tcPr>
            <w:tcW w:w="1022" w:type="dxa"/>
            <w:vMerge w:val="continue"/>
            <w:tcBorders>
              <w:tl2br w:val="nil"/>
              <w:tr2bl w:val="nil"/>
            </w:tcBorders>
            <w:noWrap/>
            <w:vAlign w:val="center"/>
          </w:tcPr>
          <w:p w14:paraId="11273073">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69A28348">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氰化物</w:t>
            </w:r>
          </w:p>
        </w:tc>
        <w:tc>
          <w:tcPr>
            <w:tcW w:w="6596" w:type="dxa"/>
            <w:tcBorders>
              <w:tl2br w:val="nil"/>
              <w:tr2bl w:val="nil"/>
            </w:tcBorders>
            <w:noWrap w:val="0"/>
            <w:vAlign w:val="center"/>
          </w:tcPr>
          <w:p w14:paraId="5D0EBA25">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地下水质分析方法 第</w:t>
            </w:r>
            <w:r>
              <w:rPr>
                <w:rFonts w:hint="default" w:ascii="宋体" w:hAnsi="宋体" w:eastAsia="宋体" w:cs="宋体"/>
                <w:i w:val="0"/>
                <w:iCs w:val="0"/>
                <w:color w:val="auto"/>
                <w:sz w:val="21"/>
                <w:szCs w:val="21"/>
                <w:highlight w:val="none"/>
                <w:u w:val="none"/>
                <w:lang w:val="en-US" w:eastAsia="zh-CN"/>
              </w:rPr>
              <w:t>52</w:t>
            </w:r>
            <w:r>
              <w:rPr>
                <w:rFonts w:hint="eastAsia" w:ascii="宋体" w:hAnsi="宋体" w:eastAsia="宋体" w:cs="宋体"/>
                <w:i w:val="0"/>
                <w:iCs w:val="0"/>
                <w:color w:val="auto"/>
                <w:sz w:val="21"/>
                <w:szCs w:val="21"/>
                <w:highlight w:val="none"/>
                <w:u w:val="none"/>
                <w:lang w:val="en-US" w:eastAsia="zh-CN"/>
              </w:rPr>
              <w:t>部分：氰化物的测定</w:t>
            </w:r>
            <w:r>
              <w:rPr>
                <w:rFonts w:hint="default"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lang w:val="en-US" w:eastAsia="zh-CN"/>
              </w:rPr>
              <w:t>吡啶</w:t>
            </w:r>
            <w:r>
              <w:rPr>
                <w:rFonts w:hint="default" w:ascii="宋体" w:hAnsi="宋体" w:eastAsia="宋体" w:cs="宋体"/>
                <w:i w:val="0"/>
                <w:iCs w:val="0"/>
                <w:color w:val="auto"/>
                <w:sz w:val="21"/>
                <w:szCs w:val="21"/>
                <w:highlight w:val="none"/>
                <w:u w:val="none"/>
                <w:lang w:val="en-US" w:eastAsia="zh-CN"/>
              </w:rPr>
              <w:t>-</w:t>
            </w:r>
            <w:r>
              <w:rPr>
                <w:rFonts w:hint="eastAsia" w:ascii="宋体" w:hAnsi="宋体" w:eastAsia="宋体" w:cs="宋体"/>
                <w:i w:val="0"/>
                <w:iCs w:val="0"/>
                <w:color w:val="auto"/>
                <w:sz w:val="21"/>
                <w:szCs w:val="21"/>
                <w:highlight w:val="none"/>
                <w:u w:val="none"/>
                <w:lang w:val="en-US" w:eastAsia="zh-CN"/>
              </w:rPr>
              <w:t>吡唑啉酮分光光度法</w:t>
            </w:r>
            <w:r>
              <w:rPr>
                <w:rFonts w:hint="default" w:ascii="宋体" w:hAnsi="宋体" w:eastAsia="宋体" w:cs="宋体"/>
                <w:i w:val="0"/>
                <w:iCs w:val="0"/>
                <w:color w:val="auto"/>
                <w:sz w:val="21"/>
                <w:szCs w:val="21"/>
                <w:highlight w:val="none"/>
                <w:u w:val="none"/>
                <w:lang w:val="en-US" w:eastAsia="zh-CN"/>
              </w:rPr>
              <w:t xml:space="preserve"> DZ/T 0064.52-2021</w:t>
            </w:r>
          </w:p>
        </w:tc>
      </w:tr>
      <w:tr w14:paraId="2436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417E97A3">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38</w:t>
            </w:r>
          </w:p>
        </w:tc>
        <w:tc>
          <w:tcPr>
            <w:tcW w:w="1022" w:type="dxa"/>
            <w:vMerge w:val="continue"/>
            <w:tcBorders>
              <w:tl2br w:val="nil"/>
              <w:tr2bl w:val="nil"/>
            </w:tcBorders>
            <w:noWrap/>
            <w:vAlign w:val="center"/>
          </w:tcPr>
          <w:p w14:paraId="33EFCF25">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71128BD1">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氟化物</w:t>
            </w:r>
          </w:p>
        </w:tc>
        <w:tc>
          <w:tcPr>
            <w:tcW w:w="6596" w:type="dxa"/>
            <w:tcBorders>
              <w:tl2br w:val="nil"/>
              <w:tr2bl w:val="nil"/>
            </w:tcBorders>
            <w:noWrap w:val="0"/>
            <w:vAlign w:val="center"/>
          </w:tcPr>
          <w:p w14:paraId="5937AB20">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w:t>
            </w:r>
            <w:r>
              <w:rPr>
                <w:rFonts w:hint="default"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lang w:val="en-US" w:eastAsia="zh-CN"/>
              </w:rPr>
              <w:t>氟化物的测定</w:t>
            </w:r>
            <w:r>
              <w:rPr>
                <w:rFonts w:hint="default"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lang w:val="en-US" w:eastAsia="zh-CN"/>
              </w:rPr>
              <w:t>氟试剂分光光度法</w:t>
            </w:r>
            <w:r>
              <w:rPr>
                <w:rFonts w:hint="default" w:ascii="宋体" w:hAnsi="宋体" w:eastAsia="宋体" w:cs="宋体"/>
                <w:i w:val="0"/>
                <w:iCs w:val="0"/>
                <w:color w:val="auto"/>
                <w:sz w:val="21"/>
                <w:szCs w:val="21"/>
                <w:highlight w:val="none"/>
                <w:u w:val="none"/>
                <w:lang w:val="en-US" w:eastAsia="zh-CN"/>
              </w:rPr>
              <w:t xml:space="preserve"> HJ 488-2009</w:t>
            </w:r>
          </w:p>
        </w:tc>
      </w:tr>
      <w:tr w14:paraId="5CE0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0F1F341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39</w:t>
            </w:r>
          </w:p>
        </w:tc>
        <w:tc>
          <w:tcPr>
            <w:tcW w:w="1022" w:type="dxa"/>
            <w:vMerge w:val="continue"/>
            <w:tcBorders>
              <w:tl2br w:val="nil"/>
              <w:tr2bl w:val="nil"/>
            </w:tcBorders>
            <w:noWrap/>
            <w:vAlign w:val="center"/>
          </w:tcPr>
          <w:p w14:paraId="105A717D">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60B1E137">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碘化物</w:t>
            </w:r>
          </w:p>
        </w:tc>
        <w:tc>
          <w:tcPr>
            <w:tcW w:w="6596" w:type="dxa"/>
            <w:tcBorders>
              <w:tl2br w:val="nil"/>
              <w:tr2bl w:val="nil"/>
            </w:tcBorders>
            <w:noWrap w:val="0"/>
            <w:vAlign w:val="center"/>
          </w:tcPr>
          <w:p w14:paraId="1F492E9D">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default" w:ascii="宋体" w:hAnsi="宋体" w:eastAsia="宋体" w:cs="宋体"/>
                <w:i w:val="0"/>
                <w:iCs w:val="0"/>
                <w:color w:val="auto"/>
                <w:sz w:val="21"/>
                <w:szCs w:val="21"/>
                <w:highlight w:val="none"/>
                <w:u w:val="none"/>
                <w:lang w:val="en-US" w:eastAsia="zh-CN"/>
              </w:rPr>
              <w:t>水质 碘化物的测定 离子色谱法HJ 778-2015</w:t>
            </w:r>
          </w:p>
        </w:tc>
      </w:tr>
      <w:tr w14:paraId="0194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0D0F513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40</w:t>
            </w:r>
          </w:p>
        </w:tc>
        <w:tc>
          <w:tcPr>
            <w:tcW w:w="1022" w:type="dxa"/>
            <w:vMerge w:val="continue"/>
            <w:tcBorders>
              <w:tl2br w:val="nil"/>
              <w:tr2bl w:val="nil"/>
            </w:tcBorders>
            <w:noWrap/>
            <w:vAlign w:val="center"/>
          </w:tcPr>
          <w:p w14:paraId="4A017213">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078D298E">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氨氮</w:t>
            </w:r>
          </w:p>
        </w:tc>
        <w:tc>
          <w:tcPr>
            <w:tcW w:w="6596" w:type="dxa"/>
            <w:tcBorders>
              <w:tl2br w:val="nil"/>
              <w:tr2bl w:val="nil"/>
            </w:tcBorders>
            <w:noWrap w:val="0"/>
            <w:vAlign w:val="center"/>
          </w:tcPr>
          <w:p w14:paraId="4588537E">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氨氮的测定 纳氏试剂分光光度法HJ 535-2009</w:t>
            </w:r>
          </w:p>
        </w:tc>
      </w:tr>
      <w:tr w14:paraId="08F9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242EAF87">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41</w:t>
            </w:r>
          </w:p>
        </w:tc>
        <w:tc>
          <w:tcPr>
            <w:tcW w:w="1022" w:type="dxa"/>
            <w:vMerge w:val="continue"/>
            <w:tcBorders>
              <w:tl2br w:val="nil"/>
              <w:tr2bl w:val="nil"/>
            </w:tcBorders>
            <w:noWrap/>
            <w:vAlign w:val="center"/>
          </w:tcPr>
          <w:p w14:paraId="6955AEDE">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6DC34FC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钡</w:t>
            </w:r>
          </w:p>
        </w:tc>
        <w:tc>
          <w:tcPr>
            <w:tcW w:w="6596" w:type="dxa"/>
            <w:tcBorders>
              <w:tl2br w:val="nil"/>
              <w:tr2bl w:val="nil"/>
            </w:tcBorders>
            <w:noWrap w:val="0"/>
            <w:vAlign w:val="center"/>
          </w:tcPr>
          <w:p w14:paraId="6779BF3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水质 32种元素的测定 电感耦合等离子体发射光谱法HJ 776-2015</w:t>
            </w:r>
          </w:p>
        </w:tc>
      </w:tr>
      <w:tr w14:paraId="3DD7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63FE9EBA">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42</w:t>
            </w:r>
          </w:p>
        </w:tc>
        <w:tc>
          <w:tcPr>
            <w:tcW w:w="1022" w:type="dxa"/>
            <w:vMerge w:val="continue"/>
            <w:tcBorders>
              <w:tl2br w:val="nil"/>
              <w:tr2bl w:val="nil"/>
            </w:tcBorders>
            <w:noWrap/>
            <w:vAlign w:val="center"/>
          </w:tcPr>
          <w:p w14:paraId="4DCAFC39">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62C4DCF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铁</w:t>
            </w:r>
          </w:p>
        </w:tc>
        <w:tc>
          <w:tcPr>
            <w:tcW w:w="6596" w:type="dxa"/>
            <w:tcBorders>
              <w:tl2br w:val="nil"/>
              <w:tr2bl w:val="nil"/>
            </w:tcBorders>
            <w:noWrap w:val="0"/>
            <w:vAlign w:val="center"/>
          </w:tcPr>
          <w:p w14:paraId="10121F6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水质 32种元素的测定 电感耦合等离子体发射光谱法HJ 776-2015</w:t>
            </w:r>
          </w:p>
        </w:tc>
      </w:tr>
      <w:tr w14:paraId="1EE1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2F0D45D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43</w:t>
            </w:r>
          </w:p>
        </w:tc>
        <w:tc>
          <w:tcPr>
            <w:tcW w:w="1022" w:type="dxa"/>
            <w:vMerge w:val="continue"/>
            <w:tcBorders>
              <w:tl2br w:val="nil"/>
              <w:tr2bl w:val="nil"/>
            </w:tcBorders>
            <w:noWrap/>
            <w:vAlign w:val="center"/>
          </w:tcPr>
          <w:p w14:paraId="16EB4AB7">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2B3EC4D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钠</w:t>
            </w:r>
          </w:p>
        </w:tc>
        <w:tc>
          <w:tcPr>
            <w:tcW w:w="6596" w:type="dxa"/>
            <w:tcBorders>
              <w:tl2br w:val="nil"/>
              <w:tr2bl w:val="nil"/>
            </w:tcBorders>
            <w:noWrap w:val="0"/>
            <w:vAlign w:val="center"/>
          </w:tcPr>
          <w:p w14:paraId="1DF014D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水质 32种元素的测定 电感耦合等离子体发射光谱法HJ 776-2015</w:t>
            </w:r>
          </w:p>
        </w:tc>
      </w:tr>
    </w:tbl>
    <w:p w14:paraId="6A65F90D">
      <w:pPr>
        <w:rPr>
          <w:color w:val="auto"/>
          <w:highlight w:val="none"/>
        </w:rPr>
      </w:pPr>
    </w:p>
    <w:p w14:paraId="09EEC7B8">
      <w:pPr>
        <w:pStyle w:val="3"/>
        <w:rPr>
          <w:color w:val="auto"/>
          <w:highlight w:val="none"/>
        </w:rPr>
      </w:pPr>
    </w:p>
    <w:tbl>
      <w:tblPr>
        <w:tblStyle w:val="22"/>
        <w:tblW w:w="98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9"/>
        <w:gridCol w:w="1022"/>
        <w:gridCol w:w="1405"/>
        <w:gridCol w:w="6596"/>
      </w:tblGrid>
      <w:tr w14:paraId="41DDD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blHeader/>
          <w:jc w:val="center"/>
        </w:trPr>
        <w:tc>
          <w:tcPr>
            <w:tcW w:w="779" w:type="dxa"/>
            <w:tcBorders>
              <w:tl2br w:val="nil"/>
              <w:tr2bl w:val="nil"/>
            </w:tcBorders>
            <w:noWrap/>
            <w:vAlign w:val="center"/>
          </w:tcPr>
          <w:p w14:paraId="6771DAFE">
            <w:pPr>
              <w:keepNext w:val="0"/>
              <w:keepLines w:val="0"/>
              <w:widowControl/>
              <w:suppressLineNumbers w:val="0"/>
              <w:spacing w:line="240" w:lineRule="auto"/>
              <w:ind w:left="0" w:firstLine="0" w:firstLineChars="0"/>
              <w:jc w:val="center"/>
              <w:textAlignment w:val="center"/>
              <w:rPr>
                <w:rStyle w:val="56"/>
                <w:rFonts w:hint="eastAsia" w:ascii="宋体" w:hAnsi="宋体" w:eastAsia="宋体" w:cs="宋体"/>
                <w:b/>
                <w:bCs/>
                <w:color w:val="auto"/>
                <w:sz w:val="21"/>
                <w:szCs w:val="21"/>
                <w:highlight w:val="none"/>
                <w:lang w:val="en-US" w:eastAsia="zh-CN"/>
              </w:rPr>
            </w:pPr>
            <w:r>
              <w:rPr>
                <w:rStyle w:val="56"/>
                <w:rFonts w:hint="eastAsia" w:ascii="宋体" w:hAnsi="宋体" w:eastAsia="宋体" w:cs="宋体"/>
                <w:b/>
                <w:bCs/>
                <w:color w:val="auto"/>
                <w:sz w:val="21"/>
                <w:szCs w:val="21"/>
                <w:highlight w:val="none"/>
                <w:lang w:val="en-US" w:eastAsia="zh-CN"/>
              </w:rPr>
              <w:t>序号</w:t>
            </w:r>
          </w:p>
        </w:tc>
        <w:tc>
          <w:tcPr>
            <w:tcW w:w="1022" w:type="dxa"/>
            <w:tcBorders>
              <w:tl2br w:val="nil"/>
              <w:tr2bl w:val="nil"/>
            </w:tcBorders>
            <w:noWrap/>
            <w:vAlign w:val="center"/>
          </w:tcPr>
          <w:p w14:paraId="36502352">
            <w:pPr>
              <w:keepNext w:val="0"/>
              <w:keepLines w:val="0"/>
              <w:widowControl/>
              <w:suppressLineNumbers w:val="0"/>
              <w:spacing w:line="240" w:lineRule="auto"/>
              <w:ind w:left="0" w:firstLine="0" w:firstLineChars="0"/>
              <w:jc w:val="center"/>
              <w:textAlignment w:val="center"/>
              <w:rPr>
                <w:rStyle w:val="56"/>
                <w:rFonts w:hint="eastAsia" w:ascii="宋体" w:hAnsi="宋体" w:eastAsia="宋体" w:cs="宋体"/>
                <w:b/>
                <w:bCs/>
                <w:color w:val="auto"/>
                <w:sz w:val="21"/>
                <w:szCs w:val="21"/>
                <w:highlight w:val="none"/>
                <w:lang w:val="en-US" w:eastAsia="zh-CN"/>
              </w:rPr>
            </w:pPr>
            <w:r>
              <w:rPr>
                <w:rStyle w:val="56"/>
                <w:rFonts w:hint="eastAsia" w:ascii="宋体" w:hAnsi="宋体" w:eastAsia="宋体" w:cs="宋体"/>
                <w:b/>
                <w:bCs/>
                <w:color w:val="auto"/>
                <w:sz w:val="21"/>
                <w:szCs w:val="21"/>
                <w:highlight w:val="none"/>
                <w:lang w:val="en-US" w:eastAsia="zh-CN"/>
              </w:rPr>
              <w:t>类型</w:t>
            </w:r>
          </w:p>
        </w:tc>
        <w:tc>
          <w:tcPr>
            <w:tcW w:w="1405" w:type="dxa"/>
            <w:tcBorders>
              <w:tl2br w:val="nil"/>
              <w:tr2bl w:val="nil"/>
            </w:tcBorders>
            <w:noWrap/>
            <w:vAlign w:val="center"/>
          </w:tcPr>
          <w:p w14:paraId="0680B343">
            <w:pPr>
              <w:keepNext w:val="0"/>
              <w:keepLines w:val="0"/>
              <w:widowControl/>
              <w:suppressLineNumbers w:val="0"/>
              <w:spacing w:line="240" w:lineRule="auto"/>
              <w:ind w:left="0" w:firstLine="0" w:firstLineChars="0"/>
              <w:jc w:val="center"/>
              <w:textAlignment w:val="center"/>
              <w:rPr>
                <w:rStyle w:val="56"/>
                <w:rFonts w:hint="eastAsia" w:ascii="宋体" w:hAnsi="宋体" w:eastAsia="宋体" w:cs="宋体"/>
                <w:b/>
                <w:bCs/>
                <w:color w:val="auto"/>
                <w:sz w:val="21"/>
                <w:szCs w:val="21"/>
                <w:highlight w:val="none"/>
                <w:lang w:val="en-US" w:eastAsia="zh-CN"/>
              </w:rPr>
            </w:pPr>
            <w:r>
              <w:rPr>
                <w:rStyle w:val="56"/>
                <w:rFonts w:hint="eastAsia" w:ascii="宋体" w:hAnsi="宋体" w:eastAsia="宋体" w:cs="宋体"/>
                <w:b/>
                <w:bCs/>
                <w:color w:val="auto"/>
                <w:sz w:val="21"/>
                <w:szCs w:val="21"/>
                <w:highlight w:val="none"/>
                <w:lang w:val="en-US" w:eastAsia="zh-CN"/>
              </w:rPr>
              <w:t>项目</w:t>
            </w:r>
          </w:p>
        </w:tc>
        <w:tc>
          <w:tcPr>
            <w:tcW w:w="6596" w:type="dxa"/>
            <w:tcBorders>
              <w:tl2br w:val="nil"/>
              <w:tr2bl w:val="nil"/>
            </w:tcBorders>
            <w:noWrap w:val="0"/>
            <w:vAlign w:val="center"/>
          </w:tcPr>
          <w:p w14:paraId="022965EF">
            <w:pPr>
              <w:keepNext w:val="0"/>
              <w:keepLines w:val="0"/>
              <w:widowControl/>
              <w:suppressLineNumbers w:val="0"/>
              <w:spacing w:line="240" w:lineRule="auto"/>
              <w:jc w:val="center"/>
              <w:textAlignment w:val="center"/>
              <w:rPr>
                <w:rStyle w:val="56"/>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sz w:val="21"/>
                <w:szCs w:val="21"/>
                <w:highlight w:val="none"/>
              </w:rPr>
              <w:t>检测依据的标准（方法）名称及编号（含年号）</w:t>
            </w:r>
          </w:p>
        </w:tc>
      </w:tr>
      <w:tr w14:paraId="6F49F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5EDA6BC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44</w:t>
            </w:r>
          </w:p>
        </w:tc>
        <w:tc>
          <w:tcPr>
            <w:tcW w:w="1022" w:type="dxa"/>
            <w:vMerge w:val="restart"/>
            <w:tcBorders>
              <w:tl2br w:val="nil"/>
              <w:tr2bl w:val="nil"/>
            </w:tcBorders>
            <w:noWrap/>
            <w:vAlign w:val="center"/>
          </w:tcPr>
          <w:p w14:paraId="10D84626">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地下水</w:t>
            </w:r>
          </w:p>
        </w:tc>
        <w:tc>
          <w:tcPr>
            <w:tcW w:w="1405" w:type="dxa"/>
            <w:tcBorders>
              <w:tl2br w:val="nil"/>
              <w:tr2bl w:val="nil"/>
            </w:tcBorders>
            <w:noWrap/>
            <w:vAlign w:val="center"/>
          </w:tcPr>
          <w:p w14:paraId="42E3CB39">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锰</w:t>
            </w:r>
          </w:p>
        </w:tc>
        <w:tc>
          <w:tcPr>
            <w:tcW w:w="6596" w:type="dxa"/>
            <w:tcBorders>
              <w:tl2br w:val="nil"/>
              <w:tr2bl w:val="nil"/>
            </w:tcBorders>
            <w:noWrap w:val="0"/>
            <w:vAlign w:val="center"/>
          </w:tcPr>
          <w:p w14:paraId="43868886">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32种元素的测定 电感耦合等离子体发射光谱法HJ 776-2015</w:t>
            </w:r>
          </w:p>
        </w:tc>
      </w:tr>
      <w:tr w14:paraId="4D0F8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48CB2C2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45</w:t>
            </w:r>
          </w:p>
        </w:tc>
        <w:tc>
          <w:tcPr>
            <w:tcW w:w="1022" w:type="dxa"/>
            <w:vMerge w:val="continue"/>
            <w:tcBorders>
              <w:tl2br w:val="nil"/>
              <w:tr2bl w:val="nil"/>
            </w:tcBorders>
            <w:noWrap/>
            <w:vAlign w:val="center"/>
          </w:tcPr>
          <w:p w14:paraId="474BF582">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52E9C078">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锌</w:t>
            </w:r>
          </w:p>
        </w:tc>
        <w:tc>
          <w:tcPr>
            <w:tcW w:w="6596" w:type="dxa"/>
            <w:tcBorders>
              <w:tl2br w:val="nil"/>
              <w:tr2bl w:val="nil"/>
            </w:tcBorders>
            <w:noWrap w:val="0"/>
            <w:vAlign w:val="center"/>
          </w:tcPr>
          <w:p w14:paraId="6A4311F5">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32种元素的测定 电感耦合等离子体发射光谱法HJ 776-2015</w:t>
            </w:r>
          </w:p>
        </w:tc>
      </w:tr>
      <w:tr w14:paraId="72EFE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02676AAC">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46</w:t>
            </w:r>
          </w:p>
        </w:tc>
        <w:tc>
          <w:tcPr>
            <w:tcW w:w="1022" w:type="dxa"/>
            <w:vMerge w:val="continue"/>
            <w:tcBorders>
              <w:tl2br w:val="nil"/>
              <w:tr2bl w:val="nil"/>
            </w:tcBorders>
            <w:noWrap/>
            <w:vAlign w:val="center"/>
          </w:tcPr>
          <w:p w14:paraId="1BE45658">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4992C224">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铝</w:t>
            </w:r>
          </w:p>
        </w:tc>
        <w:tc>
          <w:tcPr>
            <w:tcW w:w="6596" w:type="dxa"/>
            <w:tcBorders>
              <w:tl2br w:val="nil"/>
              <w:tr2bl w:val="nil"/>
            </w:tcBorders>
            <w:noWrap w:val="0"/>
            <w:vAlign w:val="center"/>
          </w:tcPr>
          <w:p w14:paraId="32CDE4AF">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32种元素的测定 电感耦合等离子体发射光谱法HJ 776-2015</w:t>
            </w:r>
          </w:p>
        </w:tc>
      </w:tr>
      <w:tr w14:paraId="3A867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55D4897B">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47</w:t>
            </w:r>
          </w:p>
        </w:tc>
        <w:tc>
          <w:tcPr>
            <w:tcW w:w="1022" w:type="dxa"/>
            <w:vMerge w:val="continue"/>
            <w:tcBorders>
              <w:tl2br w:val="nil"/>
              <w:tr2bl w:val="nil"/>
            </w:tcBorders>
            <w:noWrap/>
            <w:vAlign w:val="center"/>
          </w:tcPr>
          <w:p w14:paraId="530F3BB8">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615C9595">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钾</w:t>
            </w:r>
          </w:p>
        </w:tc>
        <w:tc>
          <w:tcPr>
            <w:tcW w:w="6596" w:type="dxa"/>
            <w:tcBorders>
              <w:tl2br w:val="nil"/>
              <w:tr2bl w:val="nil"/>
            </w:tcBorders>
            <w:noWrap w:val="0"/>
            <w:vAlign w:val="center"/>
          </w:tcPr>
          <w:p w14:paraId="316F0D9A">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32种元素的测定 电感耦合等离子体发射光谱法HJ 776-2015</w:t>
            </w:r>
          </w:p>
        </w:tc>
      </w:tr>
      <w:tr w14:paraId="139FA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6361677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48</w:t>
            </w:r>
          </w:p>
        </w:tc>
        <w:tc>
          <w:tcPr>
            <w:tcW w:w="1022" w:type="dxa"/>
            <w:vMerge w:val="continue"/>
            <w:tcBorders>
              <w:tl2br w:val="nil"/>
              <w:tr2bl w:val="nil"/>
            </w:tcBorders>
            <w:noWrap/>
            <w:vAlign w:val="center"/>
          </w:tcPr>
          <w:p w14:paraId="45917289">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358FF7F8">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钙</w:t>
            </w:r>
          </w:p>
        </w:tc>
        <w:tc>
          <w:tcPr>
            <w:tcW w:w="6596" w:type="dxa"/>
            <w:tcBorders>
              <w:tl2br w:val="nil"/>
              <w:tr2bl w:val="nil"/>
            </w:tcBorders>
            <w:noWrap w:val="0"/>
            <w:vAlign w:val="center"/>
          </w:tcPr>
          <w:p w14:paraId="4712403C">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32种元素的测定 电感耦合等离子体发射光谱法HJ 776-2015</w:t>
            </w:r>
          </w:p>
        </w:tc>
      </w:tr>
      <w:tr w14:paraId="0A542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19A4A1AD">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49</w:t>
            </w:r>
          </w:p>
        </w:tc>
        <w:tc>
          <w:tcPr>
            <w:tcW w:w="1022" w:type="dxa"/>
            <w:vMerge w:val="continue"/>
            <w:tcBorders>
              <w:tl2br w:val="nil"/>
              <w:tr2bl w:val="nil"/>
            </w:tcBorders>
            <w:noWrap/>
            <w:vAlign w:val="center"/>
          </w:tcPr>
          <w:p w14:paraId="1AF604D7">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5B334E78">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镁</w:t>
            </w:r>
          </w:p>
        </w:tc>
        <w:tc>
          <w:tcPr>
            <w:tcW w:w="6596" w:type="dxa"/>
            <w:tcBorders>
              <w:tl2br w:val="nil"/>
              <w:tr2bl w:val="nil"/>
            </w:tcBorders>
            <w:noWrap w:val="0"/>
            <w:vAlign w:val="center"/>
          </w:tcPr>
          <w:p w14:paraId="0752EBA4">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32种元素的测定 电感耦合等离子体发射光谱法HJ 776-2015</w:t>
            </w:r>
          </w:p>
        </w:tc>
      </w:tr>
      <w:tr w14:paraId="5A84E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4A36028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50</w:t>
            </w:r>
          </w:p>
        </w:tc>
        <w:tc>
          <w:tcPr>
            <w:tcW w:w="1022" w:type="dxa"/>
            <w:vMerge w:val="continue"/>
            <w:tcBorders>
              <w:tl2br w:val="nil"/>
              <w:tr2bl w:val="nil"/>
            </w:tcBorders>
            <w:noWrap/>
            <w:vAlign w:val="center"/>
          </w:tcPr>
          <w:p w14:paraId="49F553A0">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3F54C98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汞</w:t>
            </w:r>
          </w:p>
        </w:tc>
        <w:tc>
          <w:tcPr>
            <w:tcW w:w="6596" w:type="dxa"/>
            <w:tcBorders>
              <w:tl2br w:val="nil"/>
              <w:tr2bl w:val="nil"/>
            </w:tcBorders>
            <w:noWrap w:val="0"/>
            <w:vAlign w:val="center"/>
          </w:tcPr>
          <w:p w14:paraId="5002E4E3">
            <w:pPr>
              <w:keepNext w:val="0"/>
              <w:keepLines w:val="0"/>
              <w:widowControl/>
              <w:suppressLineNumbers w:val="0"/>
              <w:spacing w:line="240" w:lineRule="auto"/>
              <w:ind w:left="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default" w:ascii="宋体" w:hAnsi="宋体" w:eastAsia="宋体" w:cs="宋体"/>
                <w:i w:val="0"/>
                <w:iCs w:val="0"/>
                <w:color w:val="auto"/>
                <w:sz w:val="21"/>
                <w:szCs w:val="21"/>
                <w:highlight w:val="none"/>
                <w:u w:val="none"/>
                <w:lang w:val="en-US" w:eastAsia="zh-CN"/>
              </w:rPr>
              <w:t>水质 汞、砷、硒、铋和锑的测定 原子荧光法</w:t>
            </w:r>
          </w:p>
          <w:p w14:paraId="0DF42EA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i w:val="0"/>
                <w:iCs w:val="0"/>
                <w:color w:val="auto"/>
                <w:sz w:val="21"/>
                <w:szCs w:val="21"/>
                <w:highlight w:val="none"/>
                <w:u w:val="none"/>
                <w:lang w:val="en-US" w:eastAsia="zh-CN"/>
              </w:rPr>
              <w:t>HJ 694-2014</w:t>
            </w:r>
          </w:p>
        </w:tc>
      </w:tr>
      <w:tr w14:paraId="2B0E0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22F87E2D">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51</w:t>
            </w:r>
          </w:p>
        </w:tc>
        <w:tc>
          <w:tcPr>
            <w:tcW w:w="1022" w:type="dxa"/>
            <w:vMerge w:val="continue"/>
            <w:tcBorders>
              <w:tl2br w:val="nil"/>
              <w:tr2bl w:val="nil"/>
            </w:tcBorders>
            <w:noWrap/>
            <w:vAlign w:val="center"/>
          </w:tcPr>
          <w:p w14:paraId="7C14848B">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433617C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铜</w:t>
            </w:r>
          </w:p>
        </w:tc>
        <w:tc>
          <w:tcPr>
            <w:tcW w:w="6596" w:type="dxa"/>
            <w:tcBorders>
              <w:tl2br w:val="nil"/>
              <w:tr2bl w:val="nil"/>
            </w:tcBorders>
            <w:noWrap w:val="0"/>
            <w:vAlign w:val="center"/>
          </w:tcPr>
          <w:p w14:paraId="55B7075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i w:val="0"/>
                <w:iCs w:val="0"/>
                <w:color w:val="auto"/>
                <w:sz w:val="21"/>
                <w:szCs w:val="21"/>
                <w:highlight w:val="none"/>
                <w:u w:val="none"/>
                <w:lang w:val="en-US" w:eastAsia="zh-CN"/>
              </w:rPr>
              <w:t>水质 65种元素的测定 电感耦合等离子体质谱法HJ 700-2014</w:t>
            </w:r>
          </w:p>
        </w:tc>
      </w:tr>
      <w:tr w14:paraId="0BF82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0F7A8BDB">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52</w:t>
            </w:r>
          </w:p>
        </w:tc>
        <w:tc>
          <w:tcPr>
            <w:tcW w:w="1022" w:type="dxa"/>
            <w:vMerge w:val="continue"/>
            <w:tcBorders>
              <w:tl2br w:val="nil"/>
              <w:tr2bl w:val="nil"/>
            </w:tcBorders>
            <w:noWrap/>
            <w:vAlign w:val="center"/>
          </w:tcPr>
          <w:p w14:paraId="7A0C0F91">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42C5FC5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铅</w:t>
            </w:r>
          </w:p>
        </w:tc>
        <w:tc>
          <w:tcPr>
            <w:tcW w:w="6596" w:type="dxa"/>
            <w:tcBorders>
              <w:tl2br w:val="nil"/>
              <w:tr2bl w:val="nil"/>
            </w:tcBorders>
            <w:noWrap w:val="0"/>
            <w:vAlign w:val="center"/>
          </w:tcPr>
          <w:p w14:paraId="7FFBCE5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i w:val="0"/>
                <w:iCs w:val="0"/>
                <w:color w:val="auto"/>
                <w:sz w:val="21"/>
                <w:szCs w:val="21"/>
                <w:highlight w:val="none"/>
                <w:u w:val="none"/>
                <w:lang w:val="en-US" w:eastAsia="zh-CN"/>
              </w:rPr>
              <w:t>水质 65种元素的测定 电感耦合等离子体质谱法HJ 700-2014</w:t>
            </w:r>
          </w:p>
        </w:tc>
      </w:tr>
      <w:tr w14:paraId="34CE4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5030740A">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53</w:t>
            </w:r>
          </w:p>
        </w:tc>
        <w:tc>
          <w:tcPr>
            <w:tcW w:w="1022" w:type="dxa"/>
            <w:vMerge w:val="continue"/>
            <w:tcBorders>
              <w:tl2br w:val="nil"/>
              <w:tr2bl w:val="nil"/>
            </w:tcBorders>
            <w:noWrap/>
            <w:vAlign w:val="center"/>
          </w:tcPr>
          <w:p w14:paraId="528B4E15">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2EC84CE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镉</w:t>
            </w:r>
          </w:p>
        </w:tc>
        <w:tc>
          <w:tcPr>
            <w:tcW w:w="6596" w:type="dxa"/>
            <w:tcBorders>
              <w:tl2br w:val="nil"/>
              <w:tr2bl w:val="nil"/>
            </w:tcBorders>
            <w:noWrap w:val="0"/>
            <w:vAlign w:val="center"/>
          </w:tcPr>
          <w:p w14:paraId="216866B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i w:val="0"/>
                <w:iCs w:val="0"/>
                <w:color w:val="auto"/>
                <w:sz w:val="21"/>
                <w:szCs w:val="21"/>
                <w:highlight w:val="none"/>
                <w:u w:val="none"/>
                <w:lang w:val="en-US" w:eastAsia="zh-CN"/>
              </w:rPr>
              <w:t>水质 65种元素的测定 电感耦合等离子体质谱法HJ 700-2014</w:t>
            </w:r>
          </w:p>
        </w:tc>
      </w:tr>
      <w:tr w14:paraId="2FC85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63E5E89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54</w:t>
            </w:r>
          </w:p>
        </w:tc>
        <w:tc>
          <w:tcPr>
            <w:tcW w:w="1022" w:type="dxa"/>
            <w:vMerge w:val="continue"/>
            <w:tcBorders>
              <w:tl2br w:val="nil"/>
              <w:tr2bl w:val="nil"/>
            </w:tcBorders>
            <w:noWrap/>
            <w:vAlign w:val="center"/>
          </w:tcPr>
          <w:p w14:paraId="2E488CF1">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3690AF8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铍</w:t>
            </w:r>
          </w:p>
        </w:tc>
        <w:tc>
          <w:tcPr>
            <w:tcW w:w="6596" w:type="dxa"/>
            <w:tcBorders>
              <w:tl2br w:val="nil"/>
              <w:tr2bl w:val="nil"/>
            </w:tcBorders>
            <w:noWrap w:val="0"/>
            <w:vAlign w:val="center"/>
          </w:tcPr>
          <w:p w14:paraId="4FB0A11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水质 65种元素的测定 电感耦合等离子体质谱法 HJ 700-2014</w:t>
            </w:r>
          </w:p>
        </w:tc>
      </w:tr>
      <w:tr w14:paraId="3962C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6C47362F">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55</w:t>
            </w:r>
          </w:p>
        </w:tc>
        <w:tc>
          <w:tcPr>
            <w:tcW w:w="1022" w:type="dxa"/>
            <w:vMerge w:val="continue"/>
            <w:tcBorders>
              <w:tl2br w:val="nil"/>
              <w:tr2bl w:val="nil"/>
            </w:tcBorders>
            <w:noWrap/>
            <w:vAlign w:val="center"/>
          </w:tcPr>
          <w:p w14:paraId="0076F6A4">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1C14372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锑</w:t>
            </w:r>
          </w:p>
        </w:tc>
        <w:tc>
          <w:tcPr>
            <w:tcW w:w="6596" w:type="dxa"/>
            <w:tcBorders>
              <w:tl2br w:val="nil"/>
              <w:tr2bl w:val="nil"/>
            </w:tcBorders>
            <w:noWrap w:val="0"/>
            <w:vAlign w:val="center"/>
          </w:tcPr>
          <w:p w14:paraId="5415B39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水质 65种元素的测定 电感耦合等离子体质谱法 HJ 700-2014</w:t>
            </w:r>
          </w:p>
        </w:tc>
      </w:tr>
      <w:tr w14:paraId="1BC6D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18D3E0F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56</w:t>
            </w:r>
          </w:p>
        </w:tc>
        <w:tc>
          <w:tcPr>
            <w:tcW w:w="1022" w:type="dxa"/>
            <w:vMerge w:val="continue"/>
            <w:tcBorders>
              <w:tl2br w:val="nil"/>
              <w:tr2bl w:val="nil"/>
            </w:tcBorders>
            <w:noWrap/>
            <w:vAlign w:val="center"/>
          </w:tcPr>
          <w:p w14:paraId="42391BAA">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09AFE09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镍</w:t>
            </w:r>
          </w:p>
        </w:tc>
        <w:tc>
          <w:tcPr>
            <w:tcW w:w="6596" w:type="dxa"/>
            <w:tcBorders>
              <w:tl2br w:val="nil"/>
              <w:tr2bl w:val="nil"/>
            </w:tcBorders>
            <w:noWrap w:val="0"/>
            <w:vAlign w:val="center"/>
          </w:tcPr>
          <w:p w14:paraId="4781C2BB">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水质 65种元素的测定 电感耦合等离子体质谱法 HJ 700-2014</w:t>
            </w:r>
          </w:p>
        </w:tc>
      </w:tr>
      <w:tr w14:paraId="2AF33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1D20587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57</w:t>
            </w:r>
          </w:p>
        </w:tc>
        <w:tc>
          <w:tcPr>
            <w:tcW w:w="1022" w:type="dxa"/>
            <w:vMerge w:val="continue"/>
            <w:tcBorders>
              <w:tl2br w:val="nil"/>
              <w:tr2bl w:val="nil"/>
            </w:tcBorders>
            <w:noWrap/>
            <w:vAlign w:val="center"/>
          </w:tcPr>
          <w:p w14:paraId="4CDD31E1">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0293062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钴</w:t>
            </w:r>
          </w:p>
        </w:tc>
        <w:tc>
          <w:tcPr>
            <w:tcW w:w="6596" w:type="dxa"/>
            <w:tcBorders>
              <w:tl2br w:val="nil"/>
              <w:tr2bl w:val="nil"/>
            </w:tcBorders>
            <w:noWrap w:val="0"/>
            <w:vAlign w:val="center"/>
          </w:tcPr>
          <w:p w14:paraId="0F0B40ED">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水质 65种元素的测定 电感耦合等离子体质谱法 HJ 700-2014</w:t>
            </w:r>
          </w:p>
        </w:tc>
      </w:tr>
      <w:tr w14:paraId="42240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43EFA6D9">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58</w:t>
            </w:r>
          </w:p>
        </w:tc>
        <w:tc>
          <w:tcPr>
            <w:tcW w:w="1022" w:type="dxa"/>
            <w:vMerge w:val="continue"/>
            <w:tcBorders>
              <w:tl2br w:val="nil"/>
              <w:tr2bl w:val="nil"/>
            </w:tcBorders>
            <w:noWrap/>
            <w:vAlign w:val="center"/>
          </w:tcPr>
          <w:p w14:paraId="3D33CBAF">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63EEB55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银</w:t>
            </w:r>
          </w:p>
        </w:tc>
        <w:tc>
          <w:tcPr>
            <w:tcW w:w="6596" w:type="dxa"/>
            <w:tcBorders>
              <w:tl2br w:val="nil"/>
              <w:tr2bl w:val="nil"/>
            </w:tcBorders>
            <w:noWrap w:val="0"/>
            <w:vAlign w:val="center"/>
          </w:tcPr>
          <w:p w14:paraId="180D3F6D">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水质 65种元素的测定 电感耦合等离子体质谱法 HJ 700-2014</w:t>
            </w:r>
          </w:p>
        </w:tc>
      </w:tr>
      <w:tr w14:paraId="2FCF7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67D285ED">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59</w:t>
            </w:r>
          </w:p>
        </w:tc>
        <w:tc>
          <w:tcPr>
            <w:tcW w:w="1022" w:type="dxa"/>
            <w:vMerge w:val="continue"/>
            <w:tcBorders>
              <w:tl2br w:val="nil"/>
              <w:tr2bl w:val="nil"/>
            </w:tcBorders>
            <w:noWrap/>
            <w:vAlign w:val="center"/>
          </w:tcPr>
          <w:p w14:paraId="666930DA">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62A34DE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砷</w:t>
            </w:r>
          </w:p>
        </w:tc>
        <w:tc>
          <w:tcPr>
            <w:tcW w:w="6596" w:type="dxa"/>
            <w:tcBorders>
              <w:tl2br w:val="nil"/>
              <w:tr2bl w:val="nil"/>
            </w:tcBorders>
            <w:noWrap w:val="0"/>
            <w:vAlign w:val="center"/>
          </w:tcPr>
          <w:p w14:paraId="08DC239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i w:val="0"/>
                <w:iCs w:val="0"/>
                <w:color w:val="auto"/>
                <w:sz w:val="21"/>
                <w:szCs w:val="21"/>
                <w:highlight w:val="none"/>
                <w:u w:val="none"/>
                <w:lang w:val="en-US" w:eastAsia="zh-CN"/>
              </w:rPr>
              <w:t>水质 汞、砷、硒、铋和锑的测定 原子荧光法HJ 694-2014</w:t>
            </w:r>
          </w:p>
        </w:tc>
      </w:tr>
      <w:tr w14:paraId="29E5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406499DB">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60</w:t>
            </w:r>
          </w:p>
        </w:tc>
        <w:tc>
          <w:tcPr>
            <w:tcW w:w="1022" w:type="dxa"/>
            <w:vMerge w:val="continue"/>
            <w:tcBorders>
              <w:tl2br w:val="nil"/>
              <w:tr2bl w:val="nil"/>
            </w:tcBorders>
            <w:noWrap/>
            <w:vAlign w:val="center"/>
          </w:tcPr>
          <w:p w14:paraId="4147780D">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1C76574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硒</w:t>
            </w:r>
          </w:p>
        </w:tc>
        <w:tc>
          <w:tcPr>
            <w:tcW w:w="6596" w:type="dxa"/>
            <w:tcBorders>
              <w:tl2br w:val="nil"/>
              <w:tr2bl w:val="nil"/>
            </w:tcBorders>
            <w:noWrap w:val="0"/>
            <w:vAlign w:val="center"/>
          </w:tcPr>
          <w:p w14:paraId="577EC33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i w:val="0"/>
                <w:iCs w:val="0"/>
                <w:color w:val="auto"/>
                <w:sz w:val="21"/>
                <w:szCs w:val="21"/>
                <w:highlight w:val="none"/>
                <w:u w:val="none"/>
                <w:lang w:val="en-US" w:eastAsia="zh-CN"/>
              </w:rPr>
              <w:t>水质 汞、砷、硒、铋和锑的测定 原子荧光法HJ 694-2014</w:t>
            </w:r>
          </w:p>
        </w:tc>
      </w:tr>
      <w:tr w14:paraId="3F348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5364C9D4">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61</w:t>
            </w:r>
          </w:p>
        </w:tc>
        <w:tc>
          <w:tcPr>
            <w:tcW w:w="1022" w:type="dxa"/>
            <w:vMerge w:val="continue"/>
            <w:tcBorders>
              <w:tl2br w:val="nil"/>
              <w:tr2bl w:val="nil"/>
            </w:tcBorders>
            <w:noWrap/>
            <w:vAlign w:val="center"/>
          </w:tcPr>
          <w:p w14:paraId="517AA4CB">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40FDE7F4">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六价铬</w:t>
            </w:r>
          </w:p>
        </w:tc>
        <w:tc>
          <w:tcPr>
            <w:tcW w:w="6596" w:type="dxa"/>
            <w:tcBorders>
              <w:tl2br w:val="nil"/>
              <w:tr2bl w:val="nil"/>
            </w:tcBorders>
            <w:noWrap w:val="0"/>
            <w:vAlign w:val="center"/>
          </w:tcPr>
          <w:p w14:paraId="38178FC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地下水质分析方法 第17部分：总铬和六价铬量的测定 二苯碳酰二肼分光光度法 DZ/T 0064.17-2021</w:t>
            </w:r>
          </w:p>
        </w:tc>
      </w:tr>
      <w:tr w14:paraId="01EE5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1D309F9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62</w:t>
            </w:r>
          </w:p>
        </w:tc>
        <w:tc>
          <w:tcPr>
            <w:tcW w:w="1022" w:type="dxa"/>
            <w:vMerge w:val="continue"/>
            <w:tcBorders>
              <w:tl2br w:val="nil"/>
              <w:tr2bl w:val="nil"/>
            </w:tcBorders>
            <w:noWrap/>
            <w:vAlign w:val="center"/>
          </w:tcPr>
          <w:p w14:paraId="73F5D84B">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37EBF37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重碳酸根</w:t>
            </w:r>
          </w:p>
        </w:tc>
        <w:tc>
          <w:tcPr>
            <w:tcW w:w="6596" w:type="dxa"/>
            <w:tcBorders>
              <w:tl2br w:val="nil"/>
              <w:tr2bl w:val="nil"/>
            </w:tcBorders>
            <w:noWrap w:val="0"/>
            <w:vAlign w:val="center"/>
          </w:tcPr>
          <w:p w14:paraId="2DD660F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地下水质分析方法 第49部分：碳酸根、重碳酸根和 氢氧根离子的测定 滴定法 DZ/T 0064.49-2021</w:t>
            </w:r>
          </w:p>
        </w:tc>
      </w:tr>
      <w:tr w14:paraId="6DD1C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0F4493F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63</w:t>
            </w:r>
          </w:p>
        </w:tc>
        <w:tc>
          <w:tcPr>
            <w:tcW w:w="1022" w:type="dxa"/>
            <w:vMerge w:val="continue"/>
            <w:tcBorders>
              <w:tl2br w:val="nil"/>
              <w:tr2bl w:val="nil"/>
            </w:tcBorders>
            <w:noWrap/>
            <w:vAlign w:val="center"/>
          </w:tcPr>
          <w:p w14:paraId="6929A675">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7171D96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碳酸根</w:t>
            </w:r>
          </w:p>
        </w:tc>
        <w:tc>
          <w:tcPr>
            <w:tcW w:w="6596" w:type="dxa"/>
            <w:tcBorders>
              <w:tl2br w:val="nil"/>
              <w:tr2bl w:val="nil"/>
            </w:tcBorders>
            <w:noWrap w:val="0"/>
            <w:vAlign w:val="center"/>
          </w:tcPr>
          <w:p w14:paraId="13D1D45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地下水质分析方法 第49部分：碳酸根、重碳酸根和 氢氧根离子的测定 滴定法 DZ/T 0064.49-2021</w:t>
            </w:r>
          </w:p>
        </w:tc>
      </w:tr>
      <w:tr w14:paraId="1FC3A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779" w:type="dxa"/>
            <w:tcBorders>
              <w:tl2br w:val="nil"/>
              <w:tr2bl w:val="nil"/>
            </w:tcBorders>
            <w:noWrap/>
            <w:vAlign w:val="center"/>
          </w:tcPr>
          <w:p w14:paraId="1ED4F673">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64</w:t>
            </w:r>
          </w:p>
        </w:tc>
        <w:tc>
          <w:tcPr>
            <w:tcW w:w="1022" w:type="dxa"/>
            <w:vMerge w:val="continue"/>
            <w:tcBorders>
              <w:tl2br w:val="nil"/>
              <w:tr2bl w:val="nil"/>
            </w:tcBorders>
            <w:noWrap/>
            <w:vAlign w:val="center"/>
          </w:tcPr>
          <w:p w14:paraId="4FD42D84">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l2br w:val="nil"/>
              <w:tr2bl w:val="nil"/>
            </w:tcBorders>
            <w:noWrap/>
            <w:vAlign w:val="center"/>
          </w:tcPr>
          <w:p w14:paraId="22EF652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氯仿/三氯甲烷</w:t>
            </w:r>
          </w:p>
        </w:tc>
        <w:tc>
          <w:tcPr>
            <w:tcW w:w="6596" w:type="dxa"/>
            <w:tcBorders>
              <w:tl2br w:val="nil"/>
              <w:tr2bl w:val="nil"/>
            </w:tcBorders>
            <w:noWrap w:val="0"/>
            <w:vAlign w:val="center"/>
          </w:tcPr>
          <w:p w14:paraId="6DCBB38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水质 挥发性有机物的测定 吹扫捕集/气相色谱-质谱法 HJ 639-2012</w:t>
            </w:r>
          </w:p>
        </w:tc>
      </w:tr>
    </w:tbl>
    <w:p w14:paraId="093175C3">
      <w:pPr>
        <w:pStyle w:val="2"/>
        <w:rPr>
          <w:color w:val="auto"/>
          <w:highlight w:val="none"/>
        </w:rPr>
      </w:pPr>
    </w:p>
    <w:tbl>
      <w:tblPr>
        <w:tblStyle w:val="22"/>
        <w:tblW w:w="98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1022"/>
        <w:gridCol w:w="1405"/>
        <w:gridCol w:w="6596"/>
      </w:tblGrid>
      <w:tr w14:paraId="51BB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blHeader/>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6E49E011">
            <w:pPr>
              <w:keepNext w:val="0"/>
              <w:keepLines w:val="0"/>
              <w:widowControl/>
              <w:suppressLineNumbers w:val="0"/>
              <w:spacing w:line="240" w:lineRule="auto"/>
              <w:ind w:left="0" w:firstLine="0" w:firstLineChars="0"/>
              <w:jc w:val="center"/>
              <w:textAlignment w:val="center"/>
              <w:rPr>
                <w:rStyle w:val="56"/>
                <w:rFonts w:hint="eastAsia" w:ascii="宋体" w:hAnsi="宋体" w:eastAsia="宋体" w:cs="宋体"/>
                <w:b/>
                <w:bCs/>
                <w:color w:val="auto"/>
                <w:sz w:val="21"/>
                <w:szCs w:val="21"/>
                <w:highlight w:val="none"/>
                <w:lang w:val="en-US" w:eastAsia="zh-CN"/>
              </w:rPr>
            </w:pPr>
            <w:r>
              <w:rPr>
                <w:rStyle w:val="56"/>
                <w:rFonts w:hint="eastAsia" w:ascii="宋体" w:hAnsi="宋体" w:eastAsia="宋体" w:cs="宋体"/>
                <w:b/>
                <w:bCs/>
                <w:color w:val="auto"/>
                <w:sz w:val="21"/>
                <w:szCs w:val="21"/>
                <w:highlight w:val="none"/>
                <w:lang w:val="en-US" w:eastAsia="zh-CN"/>
              </w:rPr>
              <w:t>序号</w:t>
            </w:r>
          </w:p>
        </w:tc>
        <w:tc>
          <w:tcPr>
            <w:tcW w:w="1022" w:type="dxa"/>
            <w:tcBorders>
              <w:top w:val="single" w:color="000000" w:sz="4" w:space="0"/>
              <w:left w:val="single" w:color="000000" w:sz="4" w:space="0"/>
              <w:bottom w:val="single" w:color="000000" w:sz="4" w:space="0"/>
              <w:right w:val="single" w:color="000000" w:sz="4" w:space="0"/>
            </w:tcBorders>
            <w:noWrap/>
            <w:vAlign w:val="center"/>
          </w:tcPr>
          <w:p w14:paraId="4A8CA599">
            <w:pPr>
              <w:keepNext w:val="0"/>
              <w:keepLines w:val="0"/>
              <w:widowControl/>
              <w:suppressLineNumbers w:val="0"/>
              <w:spacing w:line="240" w:lineRule="auto"/>
              <w:ind w:left="0" w:firstLine="0" w:firstLineChars="0"/>
              <w:jc w:val="center"/>
              <w:textAlignment w:val="center"/>
              <w:rPr>
                <w:rStyle w:val="56"/>
                <w:rFonts w:hint="eastAsia" w:ascii="宋体" w:hAnsi="宋体" w:eastAsia="宋体" w:cs="宋体"/>
                <w:b/>
                <w:bCs/>
                <w:color w:val="auto"/>
                <w:sz w:val="21"/>
                <w:szCs w:val="21"/>
                <w:highlight w:val="none"/>
                <w:lang w:val="en-US" w:eastAsia="zh-CN"/>
              </w:rPr>
            </w:pPr>
            <w:r>
              <w:rPr>
                <w:rStyle w:val="56"/>
                <w:rFonts w:hint="eastAsia" w:ascii="宋体" w:hAnsi="宋体" w:eastAsia="宋体" w:cs="宋体"/>
                <w:b/>
                <w:bCs/>
                <w:color w:val="auto"/>
                <w:sz w:val="21"/>
                <w:szCs w:val="21"/>
                <w:highlight w:val="none"/>
                <w:lang w:val="en-US" w:eastAsia="zh-CN"/>
              </w:rPr>
              <w:t>类型</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5379E095">
            <w:pPr>
              <w:keepNext w:val="0"/>
              <w:keepLines w:val="0"/>
              <w:widowControl/>
              <w:suppressLineNumbers w:val="0"/>
              <w:spacing w:line="240" w:lineRule="auto"/>
              <w:ind w:left="0" w:firstLine="0" w:firstLineChars="0"/>
              <w:jc w:val="center"/>
              <w:textAlignment w:val="center"/>
              <w:rPr>
                <w:rStyle w:val="56"/>
                <w:rFonts w:hint="eastAsia" w:ascii="宋体" w:hAnsi="宋体" w:eastAsia="宋体" w:cs="宋体"/>
                <w:b/>
                <w:bCs/>
                <w:color w:val="auto"/>
                <w:sz w:val="21"/>
                <w:szCs w:val="21"/>
                <w:highlight w:val="none"/>
                <w:lang w:val="en-US" w:eastAsia="zh-CN"/>
              </w:rPr>
            </w:pPr>
            <w:r>
              <w:rPr>
                <w:rStyle w:val="56"/>
                <w:rFonts w:hint="eastAsia" w:ascii="宋体" w:hAnsi="宋体" w:eastAsia="宋体" w:cs="宋体"/>
                <w:b/>
                <w:bCs/>
                <w:color w:val="auto"/>
                <w:sz w:val="21"/>
                <w:szCs w:val="21"/>
                <w:highlight w:val="none"/>
                <w:lang w:val="en-US" w:eastAsia="zh-CN"/>
              </w:rPr>
              <w:t>项目</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78B70D55">
            <w:pPr>
              <w:keepNext w:val="0"/>
              <w:keepLines w:val="0"/>
              <w:widowControl/>
              <w:suppressLineNumbers w:val="0"/>
              <w:spacing w:line="240" w:lineRule="auto"/>
              <w:jc w:val="center"/>
              <w:textAlignment w:val="center"/>
              <w:rPr>
                <w:rStyle w:val="56"/>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sz w:val="21"/>
                <w:szCs w:val="21"/>
                <w:highlight w:val="none"/>
              </w:rPr>
              <w:t>检测依据的标准（方法）名称及编号（含年号）</w:t>
            </w:r>
          </w:p>
        </w:tc>
      </w:tr>
      <w:tr w14:paraId="113A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1A7BDB8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65</w:t>
            </w:r>
          </w:p>
        </w:tc>
        <w:tc>
          <w:tcPr>
            <w:tcW w:w="1022" w:type="dxa"/>
            <w:vMerge w:val="restart"/>
            <w:tcBorders>
              <w:left w:val="single" w:color="000000" w:sz="4" w:space="0"/>
              <w:right w:val="single" w:color="000000" w:sz="4" w:space="0"/>
            </w:tcBorders>
            <w:noWrap/>
            <w:vAlign w:val="center"/>
          </w:tcPr>
          <w:p w14:paraId="4A887B68">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地下水</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67F40F06">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四氯化碳</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37EFBC4C">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挥发性有机物的测定 吹扫捕集/气相色谱-质谱法 HJ 639-2012</w:t>
            </w:r>
          </w:p>
        </w:tc>
      </w:tr>
      <w:tr w14:paraId="355C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042F5B8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66</w:t>
            </w:r>
          </w:p>
        </w:tc>
        <w:tc>
          <w:tcPr>
            <w:tcW w:w="1022" w:type="dxa"/>
            <w:vMerge w:val="continue"/>
            <w:tcBorders>
              <w:left w:val="single" w:color="000000" w:sz="4" w:space="0"/>
              <w:right w:val="single" w:color="000000" w:sz="4" w:space="0"/>
            </w:tcBorders>
            <w:noWrap/>
            <w:vAlign w:val="center"/>
          </w:tcPr>
          <w:p w14:paraId="6E09C4DD">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398A9ED5">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苯</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16013310">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挥发性有机物的测定 吹扫捕集/气相色谱-质谱法 HJ 639-2012</w:t>
            </w:r>
          </w:p>
        </w:tc>
      </w:tr>
      <w:tr w14:paraId="201A1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4B5965EC">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67</w:t>
            </w:r>
          </w:p>
        </w:tc>
        <w:tc>
          <w:tcPr>
            <w:tcW w:w="1022" w:type="dxa"/>
            <w:vMerge w:val="continue"/>
            <w:tcBorders>
              <w:left w:val="single" w:color="000000" w:sz="4" w:space="0"/>
              <w:right w:val="single" w:color="000000" w:sz="4" w:space="0"/>
            </w:tcBorders>
            <w:noWrap/>
            <w:vAlign w:val="center"/>
          </w:tcPr>
          <w:p w14:paraId="26E6ED61">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20E2D353">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甲苯</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606BB495">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 挥发性有机物的测定 吹扫捕集/气相色谱-质谱法 HJ 639-2012</w:t>
            </w:r>
          </w:p>
        </w:tc>
      </w:tr>
      <w:tr w14:paraId="46F4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422EB7E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68</w:t>
            </w:r>
          </w:p>
        </w:tc>
        <w:tc>
          <w:tcPr>
            <w:tcW w:w="1022" w:type="dxa"/>
            <w:vMerge w:val="continue"/>
            <w:tcBorders>
              <w:left w:val="single" w:color="000000" w:sz="4" w:space="0"/>
              <w:right w:val="single" w:color="000000" w:sz="4" w:space="0"/>
            </w:tcBorders>
            <w:noWrap/>
            <w:vAlign w:val="center"/>
          </w:tcPr>
          <w:p w14:paraId="5A7EA8BE">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2C059736">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臭和味</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6BCF5B20">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生活饮用水标准检验方法 第4部分：感官性状和物理指标 GB/T 5750.4-2023（只用:6.1 嗅气和尝味法）</w:t>
            </w:r>
          </w:p>
        </w:tc>
      </w:tr>
      <w:tr w14:paraId="6070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72CD478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69</w:t>
            </w:r>
          </w:p>
        </w:tc>
        <w:tc>
          <w:tcPr>
            <w:tcW w:w="1022" w:type="dxa"/>
            <w:vMerge w:val="continue"/>
            <w:tcBorders>
              <w:left w:val="single" w:color="000000" w:sz="4" w:space="0"/>
              <w:right w:val="single" w:color="000000" w:sz="4" w:space="0"/>
            </w:tcBorders>
            <w:noWrap/>
            <w:vAlign w:val="center"/>
          </w:tcPr>
          <w:p w14:paraId="2E100708">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72A4878D">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肉眼可见物</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1C9706A1">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生活饮用水标准检验方法</w:t>
            </w:r>
            <w:r>
              <w:rPr>
                <w:rFonts w:hint="default"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lang w:val="en-US" w:eastAsia="zh-CN"/>
              </w:rPr>
              <w:t>第</w:t>
            </w:r>
            <w:r>
              <w:rPr>
                <w:rFonts w:hint="default" w:ascii="宋体" w:hAnsi="宋体" w:eastAsia="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val="en-US" w:eastAsia="zh-CN"/>
              </w:rPr>
              <w:t>部分：感官性状和物理指标</w:t>
            </w:r>
            <w:r>
              <w:rPr>
                <w:rFonts w:hint="default" w:ascii="宋体" w:hAnsi="宋体" w:eastAsia="宋体" w:cs="宋体"/>
                <w:i w:val="0"/>
                <w:iCs w:val="0"/>
                <w:color w:val="auto"/>
                <w:sz w:val="21"/>
                <w:szCs w:val="21"/>
                <w:highlight w:val="none"/>
                <w:u w:val="none"/>
                <w:lang w:val="en-US" w:eastAsia="zh-CN"/>
              </w:rPr>
              <w:t xml:space="preserve"> GB/T 5750.4-2023</w:t>
            </w:r>
          </w:p>
        </w:tc>
      </w:tr>
      <w:tr w14:paraId="6A87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35126478">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70</w:t>
            </w:r>
          </w:p>
        </w:tc>
        <w:tc>
          <w:tcPr>
            <w:tcW w:w="1022" w:type="dxa"/>
            <w:vMerge w:val="continue"/>
            <w:tcBorders>
              <w:left w:val="single" w:color="000000" w:sz="4" w:space="0"/>
              <w:right w:val="single" w:color="000000" w:sz="4" w:space="0"/>
            </w:tcBorders>
            <w:noWrap/>
            <w:vAlign w:val="center"/>
          </w:tcPr>
          <w:p w14:paraId="18BAFCE7">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12B4E5E7">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阴离子表面活性剂</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7AB31730">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w:t>
            </w:r>
            <w:r>
              <w:rPr>
                <w:rFonts w:hint="default"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lang w:val="en-US" w:eastAsia="zh-CN"/>
              </w:rPr>
              <w:t>阴离子表面活性剂的测定</w:t>
            </w:r>
            <w:r>
              <w:rPr>
                <w:rFonts w:hint="default"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lang w:val="en-US" w:eastAsia="zh-CN"/>
              </w:rPr>
              <w:t>亚甲蓝分光光度法</w:t>
            </w:r>
            <w:r>
              <w:rPr>
                <w:rFonts w:hint="default" w:ascii="宋体" w:hAnsi="宋体" w:eastAsia="宋体" w:cs="宋体"/>
                <w:i w:val="0"/>
                <w:iCs w:val="0"/>
                <w:color w:val="auto"/>
                <w:sz w:val="21"/>
                <w:szCs w:val="21"/>
                <w:highlight w:val="none"/>
                <w:u w:val="none"/>
                <w:lang w:val="en-US" w:eastAsia="zh-CN"/>
              </w:rPr>
              <w:t xml:space="preserve"> GB/T 7494-1987</w:t>
            </w:r>
          </w:p>
        </w:tc>
      </w:tr>
      <w:tr w14:paraId="66A8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015E4E55">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71</w:t>
            </w:r>
          </w:p>
        </w:tc>
        <w:tc>
          <w:tcPr>
            <w:tcW w:w="1022" w:type="dxa"/>
            <w:vMerge w:val="continue"/>
            <w:tcBorders>
              <w:left w:val="single" w:color="000000" w:sz="4" w:space="0"/>
              <w:right w:val="single" w:color="000000" w:sz="4" w:space="0"/>
            </w:tcBorders>
            <w:noWrap/>
            <w:vAlign w:val="center"/>
          </w:tcPr>
          <w:p w14:paraId="142031BA">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7F7CFBDA">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游离二氧化碳</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652F0E04">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游离二氧化碳的测定（碱滴定法）</w:t>
            </w:r>
            <w:r>
              <w:rPr>
                <w:rFonts w:hint="default" w:ascii="宋体" w:hAnsi="宋体" w:eastAsia="宋体" w:cs="宋体"/>
                <w:i w:val="0"/>
                <w:iCs w:val="0"/>
                <w:color w:val="auto"/>
                <w:sz w:val="21"/>
                <w:szCs w:val="21"/>
                <w:highlight w:val="none"/>
                <w:u w:val="none"/>
                <w:lang w:val="en-US" w:eastAsia="zh-CN"/>
              </w:rPr>
              <w:t>SL 80-1994</w:t>
            </w:r>
          </w:p>
        </w:tc>
      </w:tr>
      <w:tr w14:paraId="79E1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4535301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72</w:t>
            </w:r>
          </w:p>
        </w:tc>
        <w:tc>
          <w:tcPr>
            <w:tcW w:w="1022" w:type="dxa"/>
            <w:vMerge w:val="continue"/>
            <w:tcBorders>
              <w:left w:val="single" w:color="000000" w:sz="4" w:space="0"/>
              <w:right w:val="single" w:color="000000" w:sz="4" w:space="0"/>
            </w:tcBorders>
            <w:noWrap/>
            <w:vAlign w:val="center"/>
          </w:tcPr>
          <w:p w14:paraId="4C690602">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640581BC">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高锰酸盐指数</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3588B270">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水质</w:t>
            </w:r>
            <w:r>
              <w:rPr>
                <w:rFonts w:hint="default" w:ascii="宋体" w:hAnsi="宋体" w:eastAsia="宋体" w:cs="宋体"/>
                <w:i w:val="0"/>
                <w:iCs w:val="0"/>
                <w:color w:val="auto"/>
                <w:sz w:val="21"/>
                <w:szCs w:val="21"/>
                <w:highlight w:val="none"/>
                <w:u w:val="none"/>
                <w:lang w:val="en-US" w:eastAsia="zh-CN"/>
              </w:rPr>
              <w:t xml:space="preserve"> </w:t>
            </w:r>
            <w:r>
              <w:rPr>
                <w:rFonts w:hint="eastAsia" w:ascii="宋体" w:hAnsi="宋体" w:eastAsia="宋体" w:cs="宋体"/>
                <w:i w:val="0"/>
                <w:iCs w:val="0"/>
                <w:color w:val="auto"/>
                <w:sz w:val="21"/>
                <w:szCs w:val="21"/>
                <w:highlight w:val="none"/>
                <w:u w:val="none"/>
                <w:lang w:val="en-US" w:eastAsia="zh-CN"/>
              </w:rPr>
              <w:t>高锰酸盐指数的测定</w:t>
            </w:r>
            <w:r>
              <w:rPr>
                <w:rFonts w:hint="default" w:ascii="宋体" w:hAnsi="宋体" w:eastAsia="宋体" w:cs="宋体"/>
                <w:i w:val="0"/>
                <w:iCs w:val="0"/>
                <w:color w:val="auto"/>
                <w:sz w:val="21"/>
                <w:szCs w:val="21"/>
                <w:highlight w:val="none"/>
                <w:u w:val="none"/>
                <w:lang w:val="en-US" w:eastAsia="zh-CN"/>
              </w:rPr>
              <w:t xml:space="preserve"> GB/T 11892-1989</w:t>
            </w:r>
          </w:p>
        </w:tc>
      </w:tr>
      <w:tr w14:paraId="41D5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9" w:type="dxa"/>
            <w:tcBorders>
              <w:top w:val="single" w:color="000000" w:sz="4" w:space="0"/>
              <w:left w:val="single" w:color="000000" w:sz="4" w:space="0"/>
              <w:bottom w:val="single" w:color="000000" w:sz="4" w:space="0"/>
              <w:right w:val="single" w:color="000000" w:sz="4" w:space="0"/>
            </w:tcBorders>
            <w:noWrap/>
            <w:vAlign w:val="center"/>
          </w:tcPr>
          <w:p w14:paraId="6E43F40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73</w:t>
            </w:r>
          </w:p>
        </w:tc>
        <w:tc>
          <w:tcPr>
            <w:tcW w:w="1022" w:type="dxa"/>
            <w:vMerge w:val="continue"/>
            <w:tcBorders>
              <w:left w:val="single" w:color="000000" w:sz="4" w:space="0"/>
              <w:right w:val="single" w:color="000000" w:sz="4" w:space="0"/>
            </w:tcBorders>
            <w:noWrap/>
            <w:vAlign w:val="center"/>
          </w:tcPr>
          <w:p w14:paraId="6602D26B">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6FC2ADD3">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default" w:ascii="宋体" w:hAnsi="宋体" w:eastAsia="宋体" w:cs="宋体"/>
                <w:i w:val="0"/>
                <w:iCs w:val="0"/>
                <w:color w:val="auto"/>
                <w:sz w:val="21"/>
                <w:szCs w:val="21"/>
                <w:highlight w:val="none"/>
                <w:u w:val="none"/>
                <w:lang w:val="en-US" w:eastAsia="zh-CN"/>
              </w:rPr>
              <w:t>挥发酚</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5D5ABF73">
            <w:pPr>
              <w:keepNext w:val="0"/>
              <w:keepLines w:val="0"/>
              <w:widowControl/>
              <w:suppressLineNumbers w:val="0"/>
              <w:spacing w:line="240" w:lineRule="auto"/>
              <w:ind w:left="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default" w:ascii="宋体" w:hAnsi="宋体" w:eastAsia="宋体" w:cs="宋体"/>
                <w:i w:val="0"/>
                <w:iCs w:val="0"/>
                <w:color w:val="auto"/>
                <w:sz w:val="21"/>
                <w:szCs w:val="21"/>
                <w:highlight w:val="none"/>
                <w:u w:val="none"/>
                <w:lang w:val="en-US" w:eastAsia="zh-CN"/>
              </w:rPr>
              <w:t>水质 挥发酚的测定 4-氨基安替比林分光光度法</w:t>
            </w:r>
          </w:p>
          <w:p w14:paraId="18E9B907">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default" w:ascii="宋体" w:hAnsi="宋体" w:eastAsia="宋体" w:cs="宋体"/>
                <w:i w:val="0"/>
                <w:iCs w:val="0"/>
                <w:color w:val="auto"/>
                <w:sz w:val="21"/>
                <w:szCs w:val="21"/>
                <w:highlight w:val="none"/>
                <w:u w:val="none"/>
                <w:lang w:val="en-US" w:eastAsia="zh-CN"/>
              </w:rPr>
              <w:t>HJ 503-2009</w:t>
            </w:r>
          </w:p>
        </w:tc>
      </w:tr>
      <w:tr w14:paraId="266E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2446E3B3">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74</w:t>
            </w:r>
          </w:p>
        </w:tc>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4E5531">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废气</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545621F1">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汞</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03C2253D">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原子荧光分光光度法 《空气和废气监测分析方法》（第四版增补版）国家环境保护总局 （2007年)5.3.7.2</w:t>
            </w:r>
          </w:p>
        </w:tc>
      </w:tr>
      <w:tr w14:paraId="278EF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26BC4BA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75</w:t>
            </w: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top"/>
          </w:tcPr>
          <w:p w14:paraId="6E4E783B">
            <w:pPr>
              <w:spacing w:line="240" w:lineRule="auto"/>
              <w:rPr>
                <w:rFonts w:hint="eastAsia" w:ascii="宋体" w:hAnsi="宋体" w:eastAsia="宋体" w:cs="宋体"/>
                <w:color w:val="auto"/>
                <w:sz w:val="21"/>
                <w:szCs w:val="21"/>
                <w:highlight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62F5AC94">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铊</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14301721">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空气和废气 颗粒物中铅等金属元素的测定电感耦合等离体质谱法(含修改单)HJ 657-2013</w:t>
            </w:r>
          </w:p>
        </w:tc>
      </w:tr>
      <w:tr w14:paraId="2FD4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2401FE81">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76</w:t>
            </w: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AF415">
            <w:pPr>
              <w:spacing w:line="240" w:lineRule="auto"/>
              <w:rPr>
                <w:rFonts w:hint="eastAsia" w:ascii="宋体" w:hAnsi="宋体" w:eastAsia="宋体" w:cs="宋体"/>
                <w:color w:val="auto"/>
                <w:sz w:val="21"/>
                <w:szCs w:val="21"/>
                <w:highlight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167D60BB">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二噁英</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17C91B0C">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水质 二噁英类的测定 同位素稀释高分辨气相色谱-高分辨质谱法          HJ 77.1-2008 </w:t>
            </w:r>
          </w:p>
        </w:tc>
      </w:tr>
      <w:tr w14:paraId="0773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9" w:type="dxa"/>
            <w:tcBorders>
              <w:top w:val="single" w:color="000000" w:sz="4" w:space="0"/>
              <w:left w:val="single" w:color="000000" w:sz="4" w:space="0"/>
              <w:bottom w:val="single" w:color="000000" w:sz="4" w:space="0"/>
              <w:right w:val="single" w:color="000000" w:sz="4" w:space="0"/>
            </w:tcBorders>
            <w:noWrap w:val="0"/>
            <w:vAlign w:val="center"/>
          </w:tcPr>
          <w:p w14:paraId="35EA2D5E">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77</w:t>
            </w:r>
          </w:p>
        </w:tc>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BE705E">
            <w:pPr>
              <w:spacing w:line="240" w:lineRule="auto"/>
              <w:rPr>
                <w:rFonts w:hint="eastAsia" w:ascii="宋体" w:hAnsi="宋体" w:eastAsia="宋体" w:cs="宋体"/>
                <w:color w:val="auto"/>
                <w:sz w:val="21"/>
                <w:szCs w:val="21"/>
                <w:highlight w:val="none"/>
              </w:rPr>
            </w:pP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791E2F6C">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烟气含氧量</w:t>
            </w:r>
          </w:p>
        </w:tc>
        <w:tc>
          <w:tcPr>
            <w:tcW w:w="6596" w:type="dxa"/>
            <w:tcBorders>
              <w:top w:val="single" w:color="000000" w:sz="4" w:space="0"/>
              <w:left w:val="single" w:color="000000" w:sz="4" w:space="0"/>
              <w:bottom w:val="single" w:color="000000" w:sz="4" w:space="0"/>
              <w:right w:val="single" w:color="000000" w:sz="4" w:space="0"/>
            </w:tcBorders>
            <w:noWrap w:val="0"/>
            <w:vAlign w:val="center"/>
          </w:tcPr>
          <w:p w14:paraId="0E5AEC64">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固定源废气监测技术规范 HI/T 397-2007</w:t>
            </w:r>
          </w:p>
        </w:tc>
      </w:tr>
      <w:tr w14:paraId="67DB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9" w:type="dxa"/>
            <w:tcBorders>
              <w:top w:val="single" w:color="000000" w:sz="4" w:space="0"/>
              <w:left w:val="single" w:color="000000" w:sz="4" w:space="0"/>
              <w:bottom w:val="single" w:color="auto" w:sz="4" w:space="0"/>
              <w:right w:val="single" w:color="000000" w:sz="4" w:space="0"/>
            </w:tcBorders>
            <w:noWrap w:val="0"/>
            <w:vAlign w:val="center"/>
          </w:tcPr>
          <w:p w14:paraId="44EF3E10">
            <w:pPr>
              <w:keepNext w:val="0"/>
              <w:keepLines w:val="0"/>
              <w:widowControl/>
              <w:suppressLineNumbers w:val="0"/>
              <w:spacing w:line="240" w:lineRule="auto"/>
              <w:ind w:left="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78</w:t>
            </w:r>
          </w:p>
        </w:tc>
        <w:tc>
          <w:tcPr>
            <w:tcW w:w="1022" w:type="dxa"/>
            <w:tcBorders>
              <w:top w:val="single" w:color="000000" w:sz="4" w:space="0"/>
              <w:left w:val="single" w:color="000000" w:sz="4" w:space="0"/>
              <w:bottom w:val="single" w:color="auto" w:sz="4" w:space="0"/>
              <w:right w:val="single" w:color="000000" w:sz="4" w:space="0"/>
            </w:tcBorders>
            <w:noWrap w:val="0"/>
            <w:vAlign w:val="center"/>
          </w:tcPr>
          <w:p w14:paraId="2FF4CD20">
            <w:pPr>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固废</w:t>
            </w:r>
          </w:p>
        </w:tc>
        <w:tc>
          <w:tcPr>
            <w:tcW w:w="1405" w:type="dxa"/>
            <w:tcBorders>
              <w:top w:val="single" w:color="000000" w:sz="4" w:space="0"/>
              <w:left w:val="single" w:color="000000" w:sz="4" w:space="0"/>
              <w:bottom w:val="single" w:color="auto" w:sz="4" w:space="0"/>
              <w:right w:val="single" w:color="000000" w:sz="4" w:space="0"/>
            </w:tcBorders>
            <w:noWrap w:val="0"/>
            <w:vAlign w:val="center"/>
          </w:tcPr>
          <w:p w14:paraId="10B8E4F2">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热灼减率</w:t>
            </w:r>
          </w:p>
        </w:tc>
        <w:tc>
          <w:tcPr>
            <w:tcW w:w="6596" w:type="dxa"/>
            <w:tcBorders>
              <w:top w:val="single" w:color="000000" w:sz="4" w:space="0"/>
              <w:left w:val="single" w:color="000000" w:sz="4" w:space="0"/>
              <w:bottom w:val="single" w:color="auto" w:sz="4" w:space="0"/>
              <w:right w:val="single" w:color="000000" w:sz="4" w:space="0"/>
            </w:tcBorders>
            <w:noWrap w:val="0"/>
            <w:vAlign w:val="center"/>
          </w:tcPr>
          <w:p w14:paraId="69C0EF73">
            <w:pPr>
              <w:keepNext w:val="0"/>
              <w:keepLines w:val="0"/>
              <w:widowControl/>
              <w:suppressLineNumbers w:val="0"/>
              <w:spacing w:line="240" w:lineRule="auto"/>
              <w:ind w:left="0"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固体废物 热灼减率的测定 重量法 HJ 1024-2019</w:t>
            </w:r>
          </w:p>
        </w:tc>
      </w:tr>
    </w:tbl>
    <w:p w14:paraId="19B17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jc w:val="left"/>
        <w:textAlignment w:val="auto"/>
        <w:rPr>
          <w:rFonts w:hint="eastAsia" w:ascii="宋体" w:hAnsi="宋体" w:eastAsia="宋体" w:cs="宋体"/>
          <w:b/>
          <w:bCs/>
          <w:snapToGrid w:val="0"/>
          <w:color w:val="auto"/>
          <w:sz w:val="21"/>
          <w:szCs w:val="21"/>
          <w:highlight w:val="none"/>
          <w:lang w:val="en-US" w:eastAsia="zh-CN"/>
        </w:rPr>
      </w:pPr>
      <w:r>
        <w:rPr>
          <w:rFonts w:hint="eastAsia" w:ascii="宋体" w:hAnsi="宋体" w:eastAsia="宋体" w:cs="宋体"/>
          <w:b/>
          <w:bCs/>
          <w:snapToGrid w:val="0"/>
          <w:color w:val="auto"/>
          <w:sz w:val="21"/>
          <w:szCs w:val="21"/>
          <w:highlight w:val="none"/>
          <w:lang w:val="en-US" w:eastAsia="zh-CN"/>
        </w:rPr>
        <w:t>注：若有新的标准实施需按照新标准施行，允许采样其他适用的检测标准。</w:t>
      </w:r>
    </w:p>
    <w:p w14:paraId="1D3D0F91">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jc w:val="left"/>
        <w:textAlignment w:val="auto"/>
        <w:outlineLvl w:val="1"/>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四、质控要求</w:t>
      </w:r>
    </w:p>
    <w:p w14:paraId="38CC7CED">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snapToGrid w:val="0"/>
          <w:color w:val="auto"/>
          <w:sz w:val="21"/>
          <w:szCs w:val="21"/>
          <w:highlight w:val="none"/>
          <w:lang w:eastAsia="zh-CN"/>
        </w:rPr>
      </w:pPr>
      <w:r>
        <w:rPr>
          <w:rFonts w:hint="eastAsia" w:ascii="宋体" w:hAnsi="宋体" w:eastAsia="宋体" w:cs="宋体"/>
          <w:b w:val="0"/>
          <w:bCs w:val="0"/>
          <w:snapToGrid w:val="0"/>
          <w:color w:val="auto"/>
          <w:sz w:val="21"/>
          <w:szCs w:val="21"/>
          <w:highlight w:val="none"/>
          <w:lang w:eastAsia="zh-CN"/>
        </w:rPr>
        <w:t>总体要求：本项目</w:t>
      </w:r>
      <w:r>
        <w:rPr>
          <w:rFonts w:hint="eastAsia" w:ascii="宋体" w:hAnsi="宋体" w:eastAsia="宋体" w:cs="宋体"/>
          <w:b w:val="0"/>
          <w:bCs w:val="0"/>
          <w:snapToGrid w:val="0"/>
          <w:color w:val="auto"/>
          <w:sz w:val="21"/>
          <w:szCs w:val="21"/>
          <w:highlight w:val="none"/>
          <w:lang w:val="en-US" w:eastAsia="zh-CN"/>
        </w:rPr>
        <w:t>中的检测</w:t>
      </w:r>
      <w:r>
        <w:rPr>
          <w:rFonts w:hint="eastAsia" w:ascii="宋体" w:hAnsi="宋体" w:eastAsia="宋体" w:cs="宋体"/>
          <w:b w:val="0"/>
          <w:bCs w:val="0"/>
          <w:snapToGrid w:val="0"/>
          <w:color w:val="auto"/>
          <w:sz w:val="21"/>
          <w:szCs w:val="21"/>
          <w:highlight w:val="none"/>
          <w:lang w:eastAsia="zh-CN"/>
        </w:rPr>
        <w:t>各项内容、各环节均需符合我国相关规定和规范。</w:t>
      </w:r>
    </w:p>
    <w:p w14:paraId="50EFD074">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jc w:val="left"/>
        <w:textAlignment w:val="auto"/>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eastAsia="zh-CN"/>
        </w:rPr>
        <w:t>1</w:t>
      </w:r>
      <w:r>
        <w:rPr>
          <w:rFonts w:hint="eastAsia" w:ascii="宋体" w:hAnsi="宋体" w:cs="宋体"/>
          <w:b/>
          <w:bCs/>
          <w:snapToGrid w:val="0"/>
          <w:color w:val="auto"/>
          <w:sz w:val="21"/>
          <w:szCs w:val="21"/>
          <w:highlight w:val="none"/>
          <w:lang w:val="en-US" w:eastAsia="zh-CN"/>
        </w:rPr>
        <w:t>、</w:t>
      </w:r>
      <w:r>
        <w:rPr>
          <w:rFonts w:hint="eastAsia" w:ascii="宋体" w:hAnsi="宋体" w:eastAsia="宋体" w:cs="宋体"/>
          <w:b/>
          <w:bCs/>
          <w:snapToGrid w:val="0"/>
          <w:color w:val="auto"/>
          <w:sz w:val="21"/>
          <w:szCs w:val="21"/>
          <w:highlight w:val="none"/>
        </w:rPr>
        <w:t>采样质控要求</w:t>
      </w:r>
    </w:p>
    <w:p w14:paraId="201613A0">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b w:val="0"/>
          <w:bCs w:val="0"/>
          <w:snapToGrid w:val="0"/>
          <w:color w:val="auto"/>
          <w:sz w:val="21"/>
          <w:szCs w:val="21"/>
          <w:highlight w:val="none"/>
          <w:lang w:eastAsia="zh-CN"/>
        </w:rPr>
        <w:t>（</w:t>
      </w:r>
      <w:r>
        <w:rPr>
          <w:rFonts w:hint="eastAsia" w:ascii="宋体" w:hAnsi="宋体" w:eastAsia="宋体" w:cs="宋体"/>
          <w:b w:val="0"/>
          <w:bCs w:val="0"/>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rPr>
        <w:t>采样容器材质要求：采样容器严格按照《浙江省环境监测质量保证技术规定》（第三版）附表1的相关要求执行。</w:t>
      </w:r>
    </w:p>
    <w:p w14:paraId="5019C857">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b w:val="0"/>
          <w:bCs w:val="0"/>
          <w:snapToGrid w:val="0"/>
          <w:color w:val="auto"/>
          <w:sz w:val="21"/>
          <w:szCs w:val="21"/>
          <w:highlight w:val="none"/>
          <w:lang w:eastAsia="zh-CN"/>
        </w:rPr>
        <w:t>（</w:t>
      </w:r>
      <w:r>
        <w:rPr>
          <w:rFonts w:hint="eastAsia" w:ascii="宋体" w:hAnsi="宋体" w:eastAsia="宋体" w:cs="宋体"/>
          <w:b w:val="0"/>
          <w:bCs w:val="0"/>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样品保存要求：</w:t>
      </w:r>
      <w:r>
        <w:rPr>
          <w:rFonts w:hint="eastAsia" w:ascii="宋体" w:hAnsi="宋体" w:eastAsia="宋体" w:cs="宋体"/>
          <w:snapToGrid w:val="0"/>
          <w:color w:val="auto"/>
          <w:sz w:val="21"/>
          <w:szCs w:val="21"/>
          <w:highlight w:val="none"/>
          <w:lang w:val="en-US" w:eastAsia="zh-CN"/>
        </w:rPr>
        <w:t>样品</w:t>
      </w:r>
      <w:r>
        <w:rPr>
          <w:rFonts w:hint="eastAsia" w:ascii="宋体" w:hAnsi="宋体" w:eastAsia="宋体" w:cs="宋体"/>
          <w:snapToGrid w:val="0"/>
          <w:color w:val="auto"/>
          <w:sz w:val="21"/>
          <w:szCs w:val="21"/>
          <w:highlight w:val="none"/>
        </w:rPr>
        <w:t>的保存严格参照《浙江省环境监测质量保证技术规定》（第三版）附表1中的相关要求执行。</w:t>
      </w:r>
    </w:p>
    <w:p w14:paraId="63312DDF">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b w:val="0"/>
          <w:bCs w:val="0"/>
          <w:snapToGrid w:val="0"/>
          <w:color w:val="auto"/>
          <w:sz w:val="21"/>
          <w:szCs w:val="21"/>
          <w:highlight w:val="none"/>
          <w:lang w:eastAsia="zh-CN"/>
        </w:rPr>
        <w:t>（</w:t>
      </w:r>
      <w:r>
        <w:rPr>
          <w:rFonts w:hint="eastAsia" w:ascii="宋体" w:hAnsi="宋体" w:eastAsia="宋体" w:cs="宋体"/>
          <w:b w:val="0"/>
          <w:bCs w:val="0"/>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rPr>
        <w:t>采样方法：采样点位位置严格按照招标文件要求，</w:t>
      </w:r>
      <w:r>
        <w:rPr>
          <w:rFonts w:hint="eastAsia" w:ascii="宋体" w:hAnsi="宋体" w:eastAsia="宋体" w:cs="宋体"/>
          <w:snapToGrid w:val="0"/>
          <w:color w:val="auto"/>
          <w:sz w:val="21"/>
          <w:szCs w:val="21"/>
          <w:highlight w:val="none"/>
          <w:lang w:val="en-US" w:eastAsia="zh-CN"/>
        </w:rPr>
        <w:t>采样方法符合相应的监测技术规范</w:t>
      </w:r>
      <w:r>
        <w:rPr>
          <w:rFonts w:hint="eastAsia" w:ascii="宋体" w:hAnsi="宋体" w:eastAsia="宋体" w:cs="宋体"/>
          <w:snapToGrid w:val="0"/>
          <w:color w:val="auto"/>
          <w:sz w:val="21"/>
          <w:szCs w:val="21"/>
          <w:highlight w:val="none"/>
        </w:rPr>
        <w:t>。</w:t>
      </w:r>
    </w:p>
    <w:p w14:paraId="154F4FEF">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b w:val="0"/>
          <w:bCs w:val="0"/>
          <w:snapToGrid w:val="0"/>
          <w:color w:val="auto"/>
          <w:sz w:val="21"/>
          <w:szCs w:val="21"/>
          <w:highlight w:val="none"/>
          <w:lang w:eastAsia="zh-CN"/>
        </w:rPr>
        <w:t>（</w:t>
      </w:r>
      <w:r>
        <w:rPr>
          <w:rFonts w:hint="eastAsia" w:ascii="宋体" w:hAnsi="宋体" w:eastAsia="宋体" w:cs="宋体"/>
          <w:b w:val="0"/>
          <w:bCs w:val="0"/>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rPr>
        <w:t>质控样的采集：</w:t>
      </w:r>
      <w:r>
        <w:rPr>
          <w:rFonts w:hint="eastAsia" w:ascii="宋体" w:hAnsi="宋体" w:eastAsia="宋体" w:cs="宋体"/>
          <w:snapToGrid w:val="0"/>
          <w:color w:val="auto"/>
          <w:sz w:val="21"/>
          <w:szCs w:val="21"/>
          <w:highlight w:val="none"/>
          <w:lang w:val="en-US" w:eastAsia="zh-CN"/>
        </w:rPr>
        <w:t>根据检测标准的要求</w:t>
      </w:r>
      <w:r>
        <w:rPr>
          <w:rFonts w:hint="eastAsia" w:ascii="宋体" w:hAnsi="宋体" w:eastAsia="宋体" w:cs="宋体"/>
          <w:snapToGrid w:val="0"/>
          <w:color w:val="auto"/>
          <w:sz w:val="21"/>
          <w:szCs w:val="21"/>
          <w:highlight w:val="none"/>
        </w:rPr>
        <w:t>同时需采集各个项目的全程序空白样和现场平行样。</w:t>
      </w:r>
    </w:p>
    <w:p w14:paraId="34272CAD">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b w:val="0"/>
          <w:bCs w:val="0"/>
          <w:snapToGrid w:val="0"/>
          <w:color w:val="auto"/>
          <w:sz w:val="21"/>
          <w:szCs w:val="21"/>
          <w:highlight w:val="none"/>
          <w:lang w:eastAsia="zh-CN"/>
        </w:rPr>
        <w:t>（</w:t>
      </w:r>
      <w:r>
        <w:rPr>
          <w:rFonts w:hint="eastAsia" w:ascii="宋体" w:hAnsi="宋体" w:eastAsia="宋体" w:cs="宋体"/>
          <w:b w:val="0"/>
          <w:bCs w:val="0"/>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rPr>
        <w:t>未尽事宜，严格按照《地表水和污水监测技术规范》HJ/T 91-2002、《水质 采样技术指导》HJ494-2009、《水质采样 样品的保存和管理技术规定》HJ493-2009、《污水监测技术规范》HJ91.1-2019、《地表水监测技术规范》HJ/T 91.2-2022</w:t>
      </w:r>
      <w:r>
        <w:rPr>
          <w:rFonts w:hint="eastAsia" w:ascii="宋体" w:hAnsi="宋体" w:eastAsia="宋体" w:cs="宋体"/>
          <w:snapToGrid w:val="0"/>
          <w:color w:val="auto"/>
          <w:sz w:val="21"/>
          <w:szCs w:val="21"/>
          <w:highlight w:val="none"/>
          <w:lang w:eastAsia="zh-CN"/>
        </w:rPr>
        <w:t>、《固定源废气监测技术规范》 HJ/T 397-2007、《固定污染源排气中颗粒物测定与气态污染物采样方法》 GB/T 16157-1996及修改单、《恶臭污染环境监测技术规范》 HJ 905-2017、《地下水环境监测技术规范》 HJ 164-2020</w:t>
      </w:r>
      <w:r>
        <w:rPr>
          <w:rFonts w:hint="eastAsia" w:ascii="宋体" w:hAnsi="宋体" w:eastAsia="宋体" w:cs="宋体"/>
          <w:snapToGrid w:val="0"/>
          <w:color w:val="auto"/>
          <w:sz w:val="21"/>
          <w:szCs w:val="21"/>
          <w:highlight w:val="none"/>
        </w:rPr>
        <w:t>中的相关规定执行。</w:t>
      </w:r>
    </w:p>
    <w:p w14:paraId="77A15C51">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jc w:val="left"/>
        <w:textAlignment w:val="auto"/>
        <w:rPr>
          <w:rFonts w:hint="eastAsia" w:ascii="宋体" w:hAnsi="宋体" w:eastAsia="宋体" w:cs="宋体"/>
          <w:b w:val="0"/>
          <w:bCs w:val="0"/>
          <w:snapToGrid w:val="0"/>
          <w:color w:val="auto"/>
          <w:sz w:val="21"/>
          <w:szCs w:val="21"/>
          <w:highlight w:val="none"/>
        </w:rPr>
      </w:pPr>
      <w:r>
        <w:rPr>
          <w:rFonts w:hint="eastAsia" w:ascii="宋体" w:hAnsi="宋体" w:eastAsia="宋体" w:cs="宋体"/>
          <w:b/>
          <w:bCs/>
          <w:snapToGrid w:val="0"/>
          <w:color w:val="auto"/>
          <w:sz w:val="21"/>
          <w:szCs w:val="21"/>
          <w:highlight w:val="none"/>
          <w:lang w:eastAsia="zh-CN"/>
        </w:rPr>
        <w:t>2</w:t>
      </w:r>
      <w:r>
        <w:rPr>
          <w:rFonts w:hint="eastAsia" w:ascii="宋体" w:hAnsi="宋体" w:cs="宋体"/>
          <w:b/>
          <w:bCs/>
          <w:snapToGrid w:val="0"/>
          <w:color w:val="auto"/>
          <w:sz w:val="21"/>
          <w:szCs w:val="21"/>
          <w:highlight w:val="none"/>
          <w:lang w:val="en-US" w:eastAsia="zh-CN"/>
        </w:rPr>
        <w:t>、</w:t>
      </w:r>
      <w:r>
        <w:rPr>
          <w:rFonts w:hint="eastAsia" w:ascii="宋体" w:hAnsi="宋体" w:eastAsia="宋体" w:cs="宋体"/>
          <w:b/>
          <w:bCs/>
          <w:snapToGrid w:val="0"/>
          <w:color w:val="auto"/>
          <w:sz w:val="21"/>
          <w:szCs w:val="21"/>
          <w:highlight w:val="none"/>
        </w:rPr>
        <w:t>实验室内质控要求</w:t>
      </w:r>
    </w:p>
    <w:p w14:paraId="24E64A27">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b w:val="0"/>
          <w:bCs w:val="0"/>
          <w:snapToGrid w:val="0"/>
          <w:color w:val="auto"/>
          <w:sz w:val="21"/>
          <w:szCs w:val="21"/>
          <w:highlight w:val="none"/>
          <w:lang w:eastAsia="zh-CN"/>
        </w:rPr>
        <w:t>（</w:t>
      </w:r>
      <w:r>
        <w:rPr>
          <w:rFonts w:hint="eastAsia" w:ascii="宋体" w:hAnsi="宋体" w:eastAsia="宋体" w:cs="宋体"/>
          <w:b w:val="0"/>
          <w:bCs w:val="0"/>
          <w:snapToGrid w:val="0"/>
          <w:color w:val="auto"/>
          <w:sz w:val="21"/>
          <w:szCs w:val="21"/>
          <w:highlight w:val="none"/>
          <w:lang w:val="en-US" w:eastAsia="zh-CN"/>
        </w:rPr>
        <w:t>1）</w:t>
      </w:r>
      <w:r>
        <w:rPr>
          <w:rFonts w:hint="eastAsia" w:ascii="宋体" w:hAnsi="宋体" w:eastAsia="宋体" w:cs="宋体"/>
          <w:snapToGrid w:val="0"/>
          <w:color w:val="auto"/>
          <w:sz w:val="21"/>
          <w:szCs w:val="21"/>
          <w:highlight w:val="none"/>
        </w:rPr>
        <w:t>校准曲线：应在每次分析样品的同时，同步制作校准曲线。工作确实有困难时，对校准曲线斜率较为稳定的分析方法，至少在分析样品的同时，测定两个适当浓度（高、低浓度）及空白两份，分别取均值，减去空白均值后，与原校准曲线的相同浓度点校核，相对偏差小于5%，原曲线可用。否则，应重新制作校准曲线。校准曲线回归方程的相关系数、截距和斜率应符合方法中规定的要求。校准曲线只能在其线性范围内使用，在使用中不得在两端随意外推。</w:t>
      </w:r>
    </w:p>
    <w:p w14:paraId="34FB0B67">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b w:val="0"/>
          <w:bCs w:val="0"/>
          <w:snapToGrid w:val="0"/>
          <w:color w:val="auto"/>
          <w:sz w:val="21"/>
          <w:szCs w:val="21"/>
          <w:highlight w:val="none"/>
          <w:lang w:eastAsia="zh-CN"/>
        </w:rPr>
        <w:t>（</w:t>
      </w:r>
      <w:r>
        <w:rPr>
          <w:rFonts w:hint="eastAsia" w:ascii="宋体" w:hAnsi="宋体" w:eastAsia="宋体" w:cs="宋体"/>
          <w:b w:val="0"/>
          <w:bCs w:val="0"/>
          <w:snapToGrid w:val="0"/>
          <w:color w:val="auto"/>
          <w:sz w:val="21"/>
          <w:szCs w:val="21"/>
          <w:highlight w:val="none"/>
          <w:lang w:val="en-US" w:eastAsia="zh-CN"/>
        </w:rPr>
        <w:t>2）</w:t>
      </w:r>
      <w:r>
        <w:rPr>
          <w:rFonts w:hint="eastAsia" w:ascii="宋体" w:hAnsi="宋体" w:eastAsia="宋体" w:cs="宋体"/>
          <w:snapToGrid w:val="0"/>
          <w:color w:val="auto"/>
          <w:sz w:val="21"/>
          <w:szCs w:val="21"/>
          <w:highlight w:val="none"/>
        </w:rPr>
        <w:t>实验室空白：每个批次、每个项目都应做现场空白</w:t>
      </w:r>
      <w:r>
        <w:rPr>
          <w:rFonts w:hint="eastAsia" w:ascii="宋体" w:hAnsi="宋体" w:eastAsia="宋体" w:cs="宋体"/>
          <w:snapToGrid w:val="0"/>
          <w:color w:val="auto"/>
          <w:sz w:val="21"/>
          <w:szCs w:val="21"/>
          <w:highlight w:val="none"/>
          <w:lang w:val="en-US" w:eastAsia="zh-CN"/>
        </w:rPr>
        <w:t>或</w:t>
      </w:r>
      <w:r>
        <w:rPr>
          <w:rFonts w:hint="eastAsia" w:ascii="宋体" w:hAnsi="宋体" w:eastAsia="宋体" w:cs="宋体"/>
          <w:snapToGrid w:val="0"/>
          <w:color w:val="auto"/>
          <w:sz w:val="21"/>
          <w:szCs w:val="21"/>
          <w:highlight w:val="none"/>
        </w:rPr>
        <w:t>实验室空白。</w:t>
      </w:r>
      <w:r>
        <w:rPr>
          <w:rFonts w:hint="eastAsia" w:ascii="宋体" w:hAnsi="宋体" w:eastAsia="宋体" w:cs="宋体"/>
          <w:snapToGrid w:val="0"/>
          <w:color w:val="auto"/>
          <w:sz w:val="21"/>
          <w:szCs w:val="21"/>
          <w:highlight w:val="none"/>
          <w:lang w:val="en-US" w:eastAsia="zh-CN"/>
        </w:rPr>
        <w:t>空白的检测结果异常</w:t>
      </w:r>
      <w:r>
        <w:rPr>
          <w:rFonts w:hint="eastAsia" w:ascii="宋体" w:hAnsi="宋体" w:eastAsia="宋体" w:cs="宋体"/>
          <w:snapToGrid w:val="0"/>
          <w:color w:val="auto"/>
          <w:sz w:val="21"/>
          <w:szCs w:val="21"/>
          <w:highlight w:val="none"/>
        </w:rPr>
        <w:t>，表明采样过程</w:t>
      </w:r>
      <w:r>
        <w:rPr>
          <w:rFonts w:hint="eastAsia" w:ascii="宋体" w:hAnsi="宋体" w:eastAsia="宋体" w:cs="宋体"/>
          <w:snapToGrid w:val="0"/>
          <w:color w:val="auto"/>
          <w:sz w:val="21"/>
          <w:szCs w:val="21"/>
          <w:highlight w:val="none"/>
          <w:lang w:val="en-US" w:eastAsia="zh-CN"/>
        </w:rPr>
        <w:t>或实验室检测过程</w:t>
      </w:r>
      <w:r>
        <w:rPr>
          <w:rFonts w:hint="eastAsia" w:ascii="宋体" w:hAnsi="宋体" w:eastAsia="宋体" w:cs="宋体"/>
          <w:snapToGrid w:val="0"/>
          <w:color w:val="auto"/>
          <w:sz w:val="21"/>
          <w:szCs w:val="21"/>
          <w:highlight w:val="none"/>
        </w:rPr>
        <w:t>中可能有意外玷污，在查清原因后方能做出本次采样是否有效以及分析数据能否接受的决定。</w:t>
      </w:r>
    </w:p>
    <w:p w14:paraId="5746D650">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b w:val="0"/>
          <w:bCs w:val="0"/>
          <w:snapToGrid w:val="0"/>
          <w:color w:val="auto"/>
          <w:sz w:val="21"/>
          <w:szCs w:val="21"/>
          <w:highlight w:val="none"/>
          <w:lang w:eastAsia="zh-CN"/>
        </w:rPr>
        <w:t>（</w:t>
      </w:r>
      <w:r>
        <w:rPr>
          <w:rFonts w:hint="eastAsia" w:ascii="宋体" w:hAnsi="宋体" w:eastAsia="宋体" w:cs="宋体"/>
          <w:b w:val="0"/>
          <w:bCs w:val="0"/>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rPr>
        <w:t>精密度控制：每批样品随机抽取10%的实验室平行样，平行双样的偏差需在《浙江省环境监测质量保证技术规定》（第三版）附表所规定的允许偏差内。</w:t>
      </w:r>
    </w:p>
    <w:p w14:paraId="163C9786">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b w:val="0"/>
          <w:bCs w:val="0"/>
          <w:snapToGrid w:val="0"/>
          <w:color w:val="auto"/>
          <w:sz w:val="21"/>
          <w:szCs w:val="21"/>
          <w:highlight w:val="none"/>
          <w:lang w:eastAsia="zh-CN"/>
        </w:rPr>
        <w:t>（</w:t>
      </w:r>
      <w:r>
        <w:rPr>
          <w:rFonts w:hint="eastAsia" w:ascii="宋体" w:hAnsi="宋体" w:eastAsia="宋体" w:cs="宋体"/>
          <w:b w:val="0"/>
          <w:bCs w:val="0"/>
          <w:snapToGrid w:val="0"/>
          <w:color w:val="auto"/>
          <w:sz w:val="21"/>
          <w:szCs w:val="21"/>
          <w:highlight w:val="none"/>
          <w:lang w:val="en-US" w:eastAsia="zh-CN"/>
        </w:rPr>
        <w:t>4）</w:t>
      </w:r>
      <w:r>
        <w:rPr>
          <w:rFonts w:hint="eastAsia" w:ascii="宋体" w:hAnsi="宋体" w:eastAsia="宋体" w:cs="宋体"/>
          <w:snapToGrid w:val="0"/>
          <w:color w:val="auto"/>
          <w:sz w:val="21"/>
          <w:szCs w:val="21"/>
          <w:highlight w:val="none"/>
        </w:rPr>
        <w:t>准确度控制：实验室内部自身对每批样品设置1-2个质控样，测定结果准确度合格率必须达到100%。</w:t>
      </w:r>
    </w:p>
    <w:p w14:paraId="2438A268">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b w:val="0"/>
          <w:bCs w:val="0"/>
          <w:snapToGrid w:val="0"/>
          <w:color w:val="auto"/>
          <w:sz w:val="21"/>
          <w:szCs w:val="21"/>
          <w:highlight w:val="none"/>
          <w:lang w:eastAsia="zh-CN"/>
        </w:rPr>
        <w:t>（</w:t>
      </w:r>
      <w:r>
        <w:rPr>
          <w:rFonts w:hint="eastAsia" w:ascii="宋体" w:hAnsi="宋体" w:eastAsia="宋体" w:cs="宋体"/>
          <w:b w:val="0"/>
          <w:bCs w:val="0"/>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rPr>
        <w:t>分析时间要求：所有样品必须按照《浙江省环境监测质量保证技术规定》（第三版）的相关要求在有效期限内完成分析。</w:t>
      </w:r>
    </w:p>
    <w:p w14:paraId="0B65E062">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bCs/>
          <w:snapToGrid w:val="0"/>
          <w:color w:val="auto"/>
          <w:sz w:val="21"/>
          <w:szCs w:val="21"/>
          <w:highlight w:val="none"/>
          <w:lang w:val="en-US" w:eastAsia="zh-CN"/>
        </w:rPr>
      </w:pPr>
      <w:r>
        <w:rPr>
          <w:rFonts w:hint="eastAsia" w:ascii="宋体" w:hAnsi="宋体" w:eastAsia="宋体" w:cs="宋体"/>
          <w:bCs w:val="0"/>
          <w:snapToGrid w:val="0"/>
          <w:color w:val="auto"/>
          <w:sz w:val="21"/>
          <w:szCs w:val="21"/>
          <w:highlight w:val="none"/>
          <w:lang w:eastAsia="zh-CN"/>
        </w:rPr>
        <w:t>（</w:t>
      </w:r>
      <w:r>
        <w:rPr>
          <w:rFonts w:hint="eastAsia" w:ascii="宋体" w:hAnsi="宋体" w:eastAsia="宋体" w:cs="宋体"/>
          <w:bCs w:val="0"/>
          <w:snapToGrid w:val="0"/>
          <w:color w:val="auto"/>
          <w:sz w:val="21"/>
          <w:szCs w:val="21"/>
          <w:highlight w:val="none"/>
          <w:lang w:val="en-US" w:eastAsia="zh-CN"/>
        </w:rPr>
        <w:t>6）</w:t>
      </w:r>
      <w:r>
        <w:rPr>
          <w:rFonts w:hint="eastAsia" w:ascii="宋体" w:hAnsi="宋体" w:eastAsia="宋体" w:cs="宋体"/>
          <w:b w:val="0"/>
          <w:snapToGrid w:val="0"/>
          <w:color w:val="auto"/>
          <w:kern w:val="0"/>
          <w:sz w:val="21"/>
          <w:szCs w:val="21"/>
          <w:highlight w:val="none"/>
        </w:rPr>
        <w:t>若相关质控措施与现行有效的分析方法有异的，以现行有效的分析方法的质控要求</w:t>
      </w:r>
      <w:r>
        <w:rPr>
          <w:rFonts w:hint="eastAsia" w:ascii="宋体" w:hAnsi="宋体" w:eastAsia="宋体" w:cs="宋体"/>
          <w:b w:val="0"/>
          <w:bCs w:val="0"/>
          <w:snapToGrid w:val="0"/>
          <w:color w:val="auto"/>
          <w:sz w:val="21"/>
          <w:szCs w:val="21"/>
          <w:highlight w:val="none"/>
        </w:rPr>
        <w:t>为准。</w:t>
      </w:r>
    </w:p>
    <w:p w14:paraId="18E8883F">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jc w:val="left"/>
        <w:textAlignment w:val="auto"/>
        <w:outlineLvl w:val="1"/>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五、报告提交要求</w:t>
      </w:r>
    </w:p>
    <w:p w14:paraId="052F6D69">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bCs/>
          <w:snapToGrid w:val="0"/>
          <w:color w:val="auto"/>
          <w:sz w:val="21"/>
          <w:szCs w:val="21"/>
          <w:highlight w:val="none"/>
          <w:lang w:val="en-US" w:eastAsia="zh-CN"/>
        </w:rPr>
      </w:pPr>
      <w:r>
        <w:rPr>
          <w:rFonts w:hint="eastAsia" w:ascii="宋体" w:hAnsi="宋体" w:eastAsia="宋体" w:cs="宋体"/>
          <w:snapToGrid w:val="0"/>
          <w:color w:val="auto"/>
          <w:sz w:val="21"/>
          <w:szCs w:val="21"/>
          <w:highlight w:val="none"/>
        </w:rPr>
        <w:t>需在样品有效期内对样品进行分析，并在采样全部结束后7个工作日内出具检测报告</w:t>
      </w:r>
      <w:r>
        <w:rPr>
          <w:rFonts w:hint="eastAsia" w:ascii="宋体" w:hAnsi="宋体" w:eastAsia="宋体" w:cs="宋体"/>
          <w:snapToGrid w:val="0"/>
          <w:color w:val="auto"/>
          <w:kern w:val="0"/>
          <w:sz w:val="21"/>
          <w:szCs w:val="21"/>
          <w:highlight w:val="none"/>
          <w:lang w:val="en-US" w:eastAsia="zh-CN"/>
        </w:rPr>
        <w:t>（二噁英除外）</w:t>
      </w:r>
      <w:r>
        <w:rPr>
          <w:rFonts w:hint="eastAsia" w:ascii="宋体" w:hAnsi="宋体" w:eastAsia="宋体" w:cs="宋体"/>
          <w:snapToGrid w:val="0"/>
          <w:color w:val="auto"/>
          <w:sz w:val="21"/>
          <w:szCs w:val="21"/>
          <w:highlight w:val="none"/>
        </w:rPr>
        <w:t>，并向</w:t>
      </w:r>
      <w:r>
        <w:rPr>
          <w:rFonts w:hint="eastAsia" w:ascii="宋体" w:hAnsi="宋体" w:cs="宋体"/>
          <w:snapToGrid w:val="0"/>
          <w:color w:val="auto"/>
          <w:sz w:val="21"/>
          <w:szCs w:val="21"/>
          <w:highlight w:val="none"/>
          <w:lang w:val="en-US" w:eastAsia="zh-CN"/>
        </w:rPr>
        <w:t>采购人</w:t>
      </w:r>
      <w:r>
        <w:rPr>
          <w:rFonts w:hint="eastAsia" w:ascii="宋体" w:hAnsi="宋体" w:eastAsia="宋体" w:cs="宋体"/>
          <w:snapToGrid w:val="0"/>
          <w:color w:val="auto"/>
          <w:sz w:val="21"/>
          <w:szCs w:val="21"/>
          <w:highlight w:val="none"/>
        </w:rPr>
        <w:t>报送检测报告书面文本及电子文本。</w:t>
      </w:r>
    </w:p>
    <w:p w14:paraId="4042708B">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jc w:val="left"/>
        <w:textAlignment w:val="auto"/>
        <w:outlineLvl w:val="1"/>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val="en-US" w:eastAsia="zh-CN"/>
        </w:rPr>
        <w:t>六、其他</w:t>
      </w:r>
    </w:p>
    <w:p w14:paraId="1543F16E">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1</w:t>
      </w:r>
      <w:r>
        <w:rPr>
          <w:rFonts w:hint="eastAsia" w:ascii="宋体" w:hAnsi="宋体" w:cs="宋体"/>
          <w:snapToGrid w:val="0"/>
          <w:color w:val="auto"/>
          <w:sz w:val="21"/>
          <w:szCs w:val="21"/>
          <w:highlight w:val="none"/>
          <w:lang w:val="en-US" w:eastAsia="zh-CN"/>
        </w:rPr>
        <w:t>、</w:t>
      </w:r>
      <w:r>
        <w:rPr>
          <w:rFonts w:hint="eastAsia" w:ascii="宋体" w:hAnsi="宋体" w:eastAsia="宋体" w:cs="宋体"/>
          <w:snapToGrid w:val="0"/>
          <w:color w:val="auto"/>
          <w:sz w:val="21"/>
          <w:szCs w:val="21"/>
          <w:highlight w:val="none"/>
        </w:rPr>
        <w:t>为保证提供数据的准确、真实、可靠，</w:t>
      </w:r>
      <w:r>
        <w:rPr>
          <w:rFonts w:hint="eastAsia" w:ascii="宋体" w:hAnsi="宋体" w:eastAsia="宋体" w:cs="宋体"/>
          <w:snapToGrid w:val="0"/>
          <w:color w:val="auto"/>
          <w:sz w:val="21"/>
          <w:szCs w:val="21"/>
          <w:highlight w:val="none"/>
          <w:lang w:val="en-US" w:eastAsia="zh-CN"/>
        </w:rPr>
        <w:t>采购人有权委托第三方对指标成果进行平行监测、比对，或委托第三方进行质控，或接受生态环保等部门质量监督监管，若存在不规范或质量问题，按照相关质控规定，项目承接方负责整改。</w:t>
      </w:r>
    </w:p>
    <w:p w14:paraId="481AA85D">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lang w:val="en-US" w:eastAsia="zh-CN"/>
        </w:rPr>
        <w:t>2</w:t>
      </w:r>
      <w:r>
        <w:rPr>
          <w:rFonts w:hint="eastAsia" w:ascii="宋体" w:hAnsi="宋体" w:cs="宋体"/>
          <w:snapToGrid w:val="0"/>
          <w:color w:val="auto"/>
          <w:sz w:val="21"/>
          <w:szCs w:val="21"/>
          <w:highlight w:val="none"/>
          <w:lang w:val="en-US" w:eastAsia="zh-CN"/>
        </w:rPr>
        <w:t>、</w:t>
      </w:r>
      <w:r>
        <w:rPr>
          <w:rFonts w:hint="eastAsia" w:ascii="宋体" w:hAnsi="宋体" w:eastAsia="宋体" w:cs="宋体"/>
          <w:snapToGrid w:val="0"/>
          <w:color w:val="auto"/>
          <w:sz w:val="21"/>
          <w:szCs w:val="21"/>
          <w:highlight w:val="none"/>
        </w:rPr>
        <w:t>检测数据存疑，</w:t>
      </w:r>
      <w:r>
        <w:rPr>
          <w:rFonts w:hint="eastAsia" w:ascii="宋体" w:hAnsi="宋体" w:eastAsia="宋体" w:cs="宋体"/>
          <w:snapToGrid w:val="0"/>
          <w:color w:val="auto"/>
          <w:sz w:val="21"/>
          <w:szCs w:val="21"/>
          <w:highlight w:val="none"/>
          <w:lang w:val="en-US" w:eastAsia="zh-CN"/>
        </w:rPr>
        <w:t>采购</w:t>
      </w:r>
      <w:r>
        <w:rPr>
          <w:rFonts w:hint="eastAsia" w:ascii="宋体" w:hAnsi="宋体" w:eastAsia="宋体" w:cs="宋体"/>
          <w:snapToGrid w:val="0"/>
          <w:color w:val="auto"/>
          <w:sz w:val="21"/>
          <w:szCs w:val="21"/>
          <w:highlight w:val="none"/>
        </w:rPr>
        <w:t>有权要求</w:t>
      </w:r>
      <w:r>
        <w:rPr>
          <w:rFonts w:hint="eastAsia" w:ascii="宋体" w:hAnsi="宋体" w:eastAsia="宋体" w:cs="宋体"/>
          <w:snapToGrid w:val="0"/>
          <w:color w:val="auto"/>
          <w:sz w:val="21"/>
          <w:szCs w:val="21"/>
          <w:highlight w:val="none"/>
          <w:lang w:val="en-US" w:eastAsia="zh-CN"/>
        </w:rPr>
        <w:t>成交人在</w:t>
      </w:r>
      <w:r>
        <w:rPr>
          <w:rFonts w:hint="eastAsia" w:ascii="宋体" w:hAnsi="宋体" w:eastAsia="宋体" w:cs="宋体"/>
          <w:snapToGrid w:val="0"/>
          <w:color w:val="auto"/>
          <w:sz w:val="21"/>
          <w:szCs w:val="21"/>
          <w:highlight w:val="none"/>
        </w:rPr>
        <w:t>24小时内对该批次样品进行重新检测</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若重新检测</w:t>
      </w:r>
      <w:r>
        <w:rPr>
          <w:rFonts w:hint="eastAsia" w:ascii="宋体" w:hAnsi="宋体" w:eastAsia="宋体" w:cs="宋体"/>
          <w:snapToGrid w:val="0"/>
          <w:color w:val="auto"/>
          <w:sz w:val="21"/>
          <w:szCs w:val="21"/>
          <w:highlight w:val="none"/>
          <w:lang w:val="en-US" w:eastAsia="zh-CN"/>
        </w:rPr>
        <w:t>成</w:t>
      </w:r>
      <w:r>
        <w:rPr>
          <w:rFonts w:hint="eastAsia" w:ascii="宋体" w:hAnsi="宋体" w:eastAsia="宋体" w:cs="宋体"/>
          <w:snapToGrid w:val="0"/>
          <w:color w:val="auto"/>
          <w:sz w:val="21"/>
          <w:szCs w:val="21"/>
          <w:highlight w:val="none"/>
        </w:rPr>
        <w:t>果还未满足质控要求</w:t>
      </w:r>
      <w:r>
        <w:rPr>
          <w:rFonts w:hint="eastAsia" w:ascii="宋体" w:hAnsi="宋体" w:eastAsia="宋体" w:cs="宋体"/>
          <w:snapToGrid w:val="0"/>
          <w:color w:val="auto"/>
          <w:sz w:val="21"/>
          <w:szCs w:val="21"/>
          <w:highlight w:val="none"/>
          <w:lang w:val="en-US" w:eastAsia="zh-CN"/>
        </w:rPr>
        <w:t>的</w:t>
      </w:r>
      <w:r>
        <w:rPr>
          <w:rFonts w:hint="eastAsia" w:ascii="宋体" w:hAnsi="宋体" w:eastAsia="宋体" w:cs="宋体"/>
          <w:snapToGrid w:val="0"/>
          <w:color w:val="auto"/>
          <w:sz w:val="21"/>
          <w:szCs w:val="21"/>
          <w:highlight w:val="none"/>
        </w:rPr>
        <w:t>，需在2天内重新采样</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检测</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重新采样</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检测过程中产生的一切费用由</w:t>
      </w:r>
      <w:r>
        <w:rPr>
          <w:rFonts w:hint="eastAsia" w:ascii="宋体" w:hAnsi="宋体" w:eastAsia="宋体" w:cs="宋体"/>
          <w:snapToGrid w:val="0"/>
          <w:color w:val="auto"/>
          <w:sz w:val="21"/>
          <w:szCs w:val="21"/>
          <w:highlight w:val="none"/>
          <w:lang w:val="en-US" w:eastAsia="zh-CN"/>
        </w:rPr>
        <w:t>成交人</w:t>
      </w:r>
      <w:r>
        <w:rPr>
          <w:rFonts w:hint="eastAsia" w:ascii="宋体" w:hAnsi="宋体" w:eastAsia="宋体" w:cs="宋体"/>
          <w:snapToGrid w:val="0"/>
          <w:color w:val="auto"/>
          <w:sz w:val="21"/>
          <w:szCs w:val="21"/>
          <w:highlight w:val="none"/>
        </w:rPr>
        <w:t>承担</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。若重新采样</w:t>
      </w:r>
      <w:r>
        <w:rPr>
          <w:rFonts w:hint="eastAsia" w:ascii="宋体" w:hAnsi="宋体" w:eastAsia="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检测</w:t>
      </w:r>
      <w:r>
        <w:rPr>
          <w:rFonts w:hint="eastAsia" w:ascii="宋体" w:hAnsi="宋体" w:eastAsia="宋体" w:cs="宋体"/>
          <w:snapToGrid w:val="0"/>
          <w:color w:val="auto"/>
          <w:sz w:val="21"/>
          <w:szCs w:val="21"/>
          <w:highlight w:val="none"/>
          <w:lang w:val="en-US" w:eastAsia="zh-CN"/>
        </w:rPr>
        <w:t>成果仍</w:t>
      </w:r>
      <w:r>
        <w:rPr>
          <w:rFonts w:hint="eastAsia" w:ascii="宋体" w:hAnsi="宋体" w:eastAsia="宋体" w:cs="宋体"/>
          <w:snapToGrid w:val="0"/>
          <w:color w:val="auto"/>
          <w:sz w:val="21"/>
          <w:szCs w:val="21"/>
          <w:highlight w:val="none"/>
        </w:rPr>
        <w:t>达不到质控要求</w:t>
      </w:r>
      <w:r>
        <w:rPr>
          <w:rFonts w:hint="eastAsia" w:ascii="宋体" w:hAnsi="宋体" w:eastAsia="宋体" w:cs="宋体"/>
          <w:snapToGrid w:val="0"/>
          <w:color w:val="auto"/>
          <w:sz w:val="21"/>
          <w:szCs w:val="21"/>
          <w:highlight w:val="none"/>
          <w:lang w:val="en-US" w:eastAsia="zh-CN"/>
        </w:rPr>
        <w:t>的</w:t>
      </w:r>
      <w:r>
        <w:rPr>
          <w:rFonts w:hint="eastAsia" w:ascii="宋体" w:hAnsi="宋体" w:eastAsia="宋体" w:cs="宋体"/>
          <w:snapToGrid w:val="0"/>
          <w:color w:val="auto"/>
          <w:sz w:val="21"/>
          <w:szCs w:val="21"/>
          <w:highlight w:val="none"/>
        </w:rPr>
        <w:t>，</w:t>
      </w:r>
      <w:r>
        <w:rPr>
          <w:rFonts w:hint="eastAsia" w:ascii="宋体" w:hAnsi="宋体" w:eastAsia="宋体" w:cs="宋体"/>
          <w:snapToGrid w:val="0"/>
          <w:color w:val="auto"/>
          <w:sz w:val="21"/>
          <w:szCs w:val="21"/>
          <w:highlight w:val="none"/>
          <w:lang w:val="en-US" w:eastAsia="zh-CN"/>
        </w:rPr>
        <w:t>采购</w:t>
      </w:r>
      <w:r>
        <w:rPr>
          <w:rFonts w:hint="eastAsia" w:ascii="宋体" w:hAnsi="宋体" w:eastAsia="宋体" w:cs="宋体"/>
          <w:snapToGrid w:val="0"/>
          <w:color w:val="auto"/>
          <w:sz w:val="21"/>
          <w:szCs w:val="21"/>
          <w:highlight w:val="none"/>
        </w:rPr>
        <w:t>有权单方面解除</w:t>
      </w:r>
      <w:r>
        <w:rPr>
          <w:rFonts w:hint="eastAsia" w:ascii="宋体" w:hAnsi="宋体" w:eastAsia="宋体" w:cs="宋体"/>
          <w:snapToGrid w:val="0"/>
          <w:color w:val="auto"/>
          <w:sz w:val="21"/>
          <w:szCs w:val="21"/>
          <w:highlight w:val="none"/>
          <w:lang w:val="en-US" w:eastAsia="zh-CN"/>
        </w:rPr>
        <w:t>合同</w:t>
      </w:r>
      <w:r>
        <w:rPr>
          <w:rFonts w:hint="eastAsia" w:ascii="宋体" w:hAnsi="宋体" w:eastAsia="宋体" w:cs="宋体"/>
          <w:snapToGrid w:val="0"/>
          <w:color w:val="auto"/>
          <w:sz w:val="21"/>
          <w:szCs w:val="21"/>
          <w:highlight w:val="none"/>
        </w:rPr>
        <w:t>，并</w:t>
      </w:r>
      <w:r>
        <w:rPr>
          <w:rFonts w:hint="eastAsia" w:ascii="宋体" w:hAnsi="宋体" w:eastAsia="宋体" w:cs="宋体"/>
          <w:snapToGrid w:val="0"/>
          <w:color w:val="auto"/>
          <w:sz w:val="21"/>
          <w:szCs w:val="21"/>
          <w:highlight w:val="none"/>
          <w:lang w:val="en-US" w:eastAsia="zh-CN"/>
        </w:rPr>
        <w:t>按1000元/每个点</w:t>
      </w:r>
      <w:r>
        <w:rPr>
          <w:rFonts w:hint="eastAsia" w:ascii="宋体" w:hAnsi="宋体" w:eastAsia="宋体" w:cs="宋体"/>
          <w:snapToGrid w:val="0"/>
          <w:color w:val="auto"/>
          <w:sz w:val="21"/>
          <w:szCs w:val="21"/>
          <w:highlight w:val="none"/>
        </w:rPr>
        <w:t>扣除</w:t>
      </w:r>
      <w:r>
        <w:rPr>
          <w:rFonts w:hint="eastAsia" w:ascii="宋体" w:hAnsi="宋体" w:eastAsia="宋体" w:cs="宋体"/>
          <w:snapToGrid w:val="0"/>
          <w:color w:val="auto"/>
          <w:sz w:val="21"/>
          <w:szCs w:val="21"/>
          <w:highlight w:val="none"/>
          <w:lang w:val="en-US" w:eastAsia="zh-CN"/>
        </w:rPr>
        <w:t>服务</w:t>
      </w:r>
      <w:r>
        <w:rPr>
          <w:rFonts w:hint="eastAsia" w:ascii="宋体" w:hAnsi="宋体" w:eastAsia="宋体" w:cs="宋体"/>
          <w:snapToGrid w:val="0"/>
          <w:color w:val="auto"/>
          <w:sz w:val="21"/>
          <w:szCs w:val="21"/>
          <w:highlight w:val="none"/>
        </w:rPr>
        <w:t>费用。</w:t>
      </w:r>
    </w:p>
    <w:p w14:paraId="4D4C6E32">
      <w:pPr>
        <w:pStyle w:val="2"/>
        <w:keepNext w:val="0"/>
        <w:keepLines w:val="0"/>
        <w:pageBreakBefore w:val="0"/>
        <w:widowControl w:val="0"/>
        <w:kinsoku/>
        <w:wordWrap/>
        <w:overflowPunct/>
        <w:topLinePunct w:val="0"/>
        <w:autoSpaceDE/>
        <w:autoSpaceDN/>
        <w:bidi w:val="0"/>
        <w:adjustRightInd/>
        <w:snapToGrid/>
        <w:spacing w:after="0" w:line="360" w:lineRule="auto"/>
        <w:ind w:leftChars="0" w:firstLine="420" w:firstLineChars="200"/>
        <w:jc w:val="left"/>
        <w:textAlignment w:val="auto"/>
        <w:rPr>
          <w:rFonts w:hint="eastAsia" w:ascii="宋体" w:hAnsi="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rPr>
        <w:t>3</w:t>
      </w:r>
      <w:r>
        <w:rPr>
          <w:rFonts w:hint="eastAsia" w:ascii="宋体" w:hAnsi="宋体" w:cs="宋体"/>
          <w:snapToGrid w:val="0"/>
          <w:color w:val="auto"/>
          <w:sz w:val="21"/>
          <w:szCs w:val="21"/>
          <w:highlight w:val="none"/>
          <w:lang w:val="en-US" w:eastAsia="zh-CN" w:bidi="ar-SA"/>
        </w:rPr>
        <w:t>、</w:t>
      </w:r>
      <w:r>
        <w:rPr>
          <w:rFonts w:hint="eastAsia" w:ascii="宋体" w:hAnsi="宋体" w:eastAsia="宋体" w:cs="宋体"/>
          <w:snapToGrid w:val="0"/>
          <w:color w:val="auto"/>
          <w:sz w:val="21"/>
          <w:szCs w:val="21"/>
          <w:highlight w:val="none"/>
          <w:lang w:val="en-US" w:eastAsia="zh-CN" w:bidi="ar-SA"/>
        </w:rPr>
        <w:t>二噁英项目的最终结算依据为：二噁英项目的中标单价乘以实际监测样品个数，得到二噁英结算金额</w:t>
      </w:r>
      <w:r>
        <w:rPr>
          <w:rFonts w:hint="eastAsia" w:ascii="宋体" w:hAnsi="宋体" w:cs="宋体"/>
          <w:snapToGrid w:val="0"/>
          <w:color w:val="auto"/>
          <w:sz w:val="21"/>
          <w:szCs w:val="21"/>
          <w:highlight w:val="none"/>
          <w:lang w:val="en-US" w:eastAsia="zh-CN" w:bidi="ar-SA"/>
        </w:rPr>
        <w:t>。</w:t>
      </w:r>
    </w:p>
    <w:p w14:paraId="05B0DBED">
      <w:pPr>
        <w:pStyle w:val="2"/>
        <w:keepNext w:val="0"/>
        <w:keepLines w:val="0"/>
        <w:pageBreakBefore w:val="0"/>
        <w:widowControl w:val="0"/>
        <w:kinsoku/>
        <w:wordWrap/>
        <w:overflowPunct/>
        <w:topLinePunct w:val="0"/>
        <w:autoSpaceDE/>
        <w:autoSpaceDN/>
        <w:bidi w:val="0"/>
        <w:adjustRightInd/>
        <w:snapToGrid/>
        <w:spacing w:after="0" w:line="360" w:lineRule="auto"/>
        <w:ind w:leftChars="0" w:firstLine="420" w:firstLineChars="200"/>
        <w:jc w:val="lef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snapToGrid w:val="0"/>
          <w:color w:val="auto"/>
          <w:sz w:val="21"/>
          <w:szCs w:val="21"/>
          <w:highlight w:val="none"/>
          <w:lang w:val="en-US" w:eastAsia="zh-CN" w:bidi="ar-SA"/>
        </w:rPr>
        <w:t>总结算金额不得超过</w:t>
      </w:r>
      <w:r>
        <w:rPr>
          <w:rFonts w:hint="eastAsia" w:ascii="宋体" w:hAnsi="宋体" w:cs="宋体"/>
          <w:snapToGrid w:val="0"/>
          <w:color w:val="auto"/>
          <w:sz w:val="21"/>
          <w:szCs w:val="21"/>
          <w:highlight w:val="none"/>
          <w:lang w:val="en-US" w:eastAsia="zh-CN" w:bidi="ar-SA"/>
        </w:rPr>
        <w:t>采购</w:t>
      </w:r>
      <w:r>
        <w:rPr>
          <w:rFonts w:hint="eastAsia" w:ascii="宋体" w:hAnsi="宋体" w:eastAsia="宋体" w:cs="宋体"/>
          <w:snapToGrid w:val="0"/>
          <w:color w:val="auto"/>
          <w:sz w:val="21"/>
          <w:szCs w:val="21"/>
          <w:highlight w:val="none"/>
          <w:lang w:val="en-US" w:eastAsia="zh-CN" w:bidi="ar-SA"/>
        </w:rPr>
        <w:t>上限金额20万。</w:t>
      </w:r>
    </w:p>
    <w:p w14:paraId="4F1F1A12">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jc w:val="left"/>
        <w:textAlignment w:val="auto"/>
        <w:outlineLvl w:val="1"/>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七、商务要求</w:t>
      </w:r>
    </w:p>
    <w:p w14:paraId="5C522ED0">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outlineLvl w:val="9"/>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服务期：</w:t>
      </w:r>
      <w:r>
        <w:rPr>
          <w:rFonts w:hint="eastAsia" w:ascii="宋体" w:hAnsi="宋体" w:eastAsia="宋体" w:cs="宋体"/>
          <w:color w:val="auto"/>
          <w:kern w:val="0"/>
          <w:szCs w:val="21"/>
          <w:highlight w:val="none"/>
        </w:rPr>
        <w:t>202</w:t>
      </w:r>
      <w:ins w:id="1" w:author="崽崽" w:date="2025-11-05T15:45:11Z">
        <w:r>
          <w:rPr>
            <w:rFonts w:hint="eastAsia" w:ascii="宋体" w:hAnsi="宋体" w:cs="宋体"/>
            <w:color w:val="auto"/>
            <w:kern w:val="0"/>
            <w:szCs w:val="21"/>
            <w:highlight w:val="none"/>
            <w:lang w:val="en-US" w:eastAsia="zh-CN"/>
          </w:rPr>
          <w:t>6</w:t>
        </w:r>
      </w:ins>
      <w:r>
        <w:rPr>
          <w:rFonts w:hint="eastAsia" w:ascii="宋体" w:hAnsi="宋体" w:eastAsia="宋体" w:cs="宋体"/>
          <w:color w:val="auto"/>
          <w:kern w:val="0"/>
          <w:szCs w:val="21"/>
          <w:highlight w:val="none"/>
        </w:rPr>
        <w:t>年12月</w:t>
      </w:r>
      <w:r>
        <w:rPr>
          <w:rFonts w:hint="eastAsia" w:ascii="宋体" w:hAnsi="宋体" w:cs="宋体"/>
          <w:color w:val="auto"/>
          <w:kern w:val="0"/>
          <w:szCs w:val="21"/>
          <w:highlight w:val="none"/>
          <w:lang w:val="en-US" w:eastAsia="zh-CN"/>
        </w:rPr>
        <w:t>底前</w:t>
      </w:r>
      <w:r>
        <w:rPr>
          <w:rFonts w:hint="eastAsia" w:ascii="宋体" w:hAnsi="宋体" w:eastAsia="宋体" w:cs="宋体"/>
          <w:color w:val="auto"/>
          <w:kern w:val="0"/>
          <w:szCs w:val="21"/>
          <w:highlight w:val="none"/>
        </w:rPr>
        <w:t>完成检测。</w:t>
      </w:r>
    </w:p>
    <w:p w14:paraId="7D4EBE65">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outlineLvl w:val="9"/>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本项目经费支付方式：</w:t>
      </w:r>
    </w:p>
    <w:p w14:paraId="10F24EB2">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outlineLvl w:val="9"/>
        <w:rPr>
          <w:rFonts w:hint="eastAsia" w:ascii="宋体" w:hAnsi="宋体" w:eastAsia="宋体" w:cs="宋体"/>
          <w:b/>
          <w:bCs/>
          <w:color w:val="auto"/>
          <w:kern w:val="0"/>
          <w:szCs w:val="21"/>
          <w:highlight w:val="none"/>
        </w:rPr>
      </w:pPr>
      <w:r>
        <w:rPr>
          <w:rFonts w:hint="eastAsia" w:ascii="宋体" w:hAnsi="宋体" w:eastAsia="宋体" w:cs="宋体"/>
          <w:snapToGrid w:val="0"/>
          <w:color w:val="auto"/>
          <w:sz w:val="21"/>
          <w:szCs w:val="21"/>
          <w:highlight w:val="none"/>
          <w:lang w:val="en-US" w:eastAsia="zh-CN" w:bidi="ar-SA"/>
        </w:rPr>
        <w:t>总结算金额不得超过</w:t>
      </w:r>
      <w:r>
        <w:rPr>
          <w:rFonts w:hint="eastAsia" w:ascii="宋体" w:hAnsi="宋体" w:cs="宋体"/>
          <w:snapToGrid w:val="0"/>
          <w:color w:val="auto"/>
          <w:sz w:val="21"/>
          <w:szCs w:val="21"/>
          <w:highlight w:val="none"/>
          <w:lang w:val="en-US" w:eastAsia="zh-CN" w:bidi="ar-SA"/>
        </w:rPr>
        <w:t>采购</w:t>
      </w:r>
      <w:r>
        <w:rPr>
          <w:rFonts w:hint="eastAsia" w:ascii="宋体" w:hAnsi="宋体" w:eastAsia="宋体" w:cs="宋体"/>
          <w:snapToGrid w:val="0"/>
          <w:color w:val="auto"/>
          <w:sz w:val="21"/>
          <w:szCs w:val="21"/>
          <w:highlight w:val="none"/>
          <w:lang w:val="en-US" w:eastAsia="zh-CN" w:bidi="ar-SA"/>
        </w:rPr>
        <w:t>上限金额20万</w:t>
      </w:r>
      <w:r>
        <w:rPr>
          <w:rFonts w:hint="eastAsia" w:ascii="宋体" w:hAnsi="宋体" w:eastAsia="宋体" w:cs="宋体"/>
          <w:color w:val="auto"/>
          <w:kern w:val="0"/>
          <w:szCs w:val="21"/>
          <w:highlight w:val="none"/>
        </w:rPr>
        <w:t>。</w:t>
      </w:r>
    </w:p>
    <w:p w14:paraId="7013D6B6">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outlineLvl w:val="9"/>
        <w:rPr>
          <w:rFonts w:hint="eastAsia" w:ascii="宋体" w:hAnsi="宋体" w:eastAsia="宋体" w:cs="宋体"/>
          <w:color w:val="auto"/>
          <w:sz w:val="21"/>
          <w:szCs w:val="21"/>
          <w:highlight w:val="none"/>
          <w:lang w:val="en-US" w:eastAsia="zh-CN" w:bidi="ar"/>
        </w:rPr>
      </w:pP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其他检测项目：</w:t>
      </w:r>
      <w:r>
        <w:rPr>
          <w:rFonts w:hint="eastAsia" w:ascii="宋体" w:hAnsi="宋体" w:eastAsia="宋体" w:cs="宋体"/>
          <w:color w:val="auto"/>
          <w:sz w:val="21"/>
          <w:szCs w:val="21"/>
          <w:highlight w:val="none"/>
          <w:lang w:val="en-US" w:eastAsia="zh-CN" w:bidi="ar"/>
        </w:rPr>
        <w:t>签订合同后支付</w:t>
      </w:r>
      <w:r>
        <w:rPr>
          <w:rFonts w:hint="eastAsia" w:ascii="宋体" w:hAnsi="宋体" w:eastAsia="宋体" w:cs="宋体"/>
          <w:b/>
          <w:bCs/>
          <w:color w:val="auto"/>
          <w:kern w:val="0"/>
          <w:szCs w:val="21"/>
          <w:highlight w:val="none"/>
          <w:lang w:val="en-US" w:eastAsia="zh-CN"/>
        </w:rPr>
        <w:t>“其他检测项目”</w:t>
      </w:r>
      <w:r>
        <w:rPr>
          <w:rFonts w:hint="eastAsia" w:ascii="宋体" w:hAnsi="宋体" w:eastAsia="宋体" w:cs="宋体"/>
          <w:color w:val="auto"/>
          <w:sz w:val="21"/>
          <w:szCs w:val="21"/>
          <w:highlight w:val="none"/>
          <w:lang w:val="en-US" w:eastAsia="zh-CN" w:bidi="ar"/>
        </w:rPr>
        <w:t>金额的40%作为预付款，全部报告经采购方审核通过后支付剩下的部分。</w:t>
      </w:r>
    </w:p>
    <w:p w14:paraId="34B26261">
      <w:pPr>
        <w:keepNext w:val="0"/>
        <w:keepLines w:val="0"/>
        <w:pageBreakBefore w:val="0"/>
        <w:widowControl w:val="0"/>
        <w:kinsoku/>
        <w:wordWrap/>
        <w:overflowPunct/>
        <w:topLinePunct w:val="0"/>
        <w:autoSpaceDE/>
        <w:autoSpaceDN/>
        <w:bidi w:val="0"/>
        <w:adjustRightInd/>
        <w:snapToGrid/>
        <w:spacing w:line="360" w:lineRule="auto"/>
        <w:ind w:leftChars="0" w:firstLine="422" w:firstLineChars="200"/>
        <w:textAlignment w:val="auto"/>
        <w:outlineLvl w:val="9"/>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w:t>
      </w:r>
      <w:r>
        <w:rPr>
          <w:rFonts w:hint="default" w:ascii="宋体" w:hAnsi="宋体" w:eastAsia="宋体" w:cs="宋体"/>
          <w:b/>
          <w:bCs/>
          <w:color w:val="auto"/>
          <w:kern w:val="0"/>
          <w:szCs w:val="21"/>
          <w:highlight w:val="none"/>
          <w:lang w:val="en-US" w:eastAsia="zh-CN"/>
        </w:rPr>
        <w:t>二噁英</w:t>
      </w:r>
      <w:r>
        <w:rPr>
          <w:rFonts w:hint="eastAsia" w:ascii="宋体" w:hAnsi="宋体" w:eastAsia="宋体" w:cs="宋体"/>
          <w:b/>
          <w:bCs/>
          <w:color w:val="auto"/>
          <w:kern w:val="0"/>
          <w:szCs w:val="21"/>
          <w:highlight w:val="none"/>
          <w:lang w:val="en-US" w:eastAsia="zh-CN"/>
        </w:rPr>
        <w:t>检测项目：</w:t>
      </w:r>
      <w:r>
        <w:rPr>
          <w:rFonts w:hint="eastAsia" w:ascii="宋体" w:hAnsi="宋体" w:cs="宋体"/>
          <w:color w:val="auto"/>
          <w:kern w:val="0"/>
          <w:szCs w:val="21"/>
          <w:highlight w:val="none"/>
          <w:lang w:val="en-US" w:eastAsia="zh-CN"/>
        </w:rPr>
        <w:t>按实结算，结算价=</w:t>
      </w:r>
      <w:r>
        <w:rPr>
          <w:rFonts w:hint="default" w:ascii="宋体" w:hAnsi="宋体" w:eastAsia="宋体" w:cs="宋体"/>
          <w:color w:val="auto"/>
          <w:kern w:val="0"/>
          <w:szCs w:val="21"/>
          <w:highlight w:val="none"/>
          <w:lang w:val="en-US" w:eastAsia="zh-CN"/>
        </w:rPr>
        <w:t>二噁英项目的中标单价</w:t>
      </w:r>
      <w:r>
        <w:rPr>
          <w:rFonts w:hint="eastAsia" w:ascii="宋体" w:hAnsi="宋体" w:eastAsia="宋体" w:cs="宋体"/>
          <w:color w:val="auto"/>
          <w:kern w:val="0"/>
          <w:szCs w:val="21"/>
          <w:highlight w:val="none"/>
          <w:lang w:val="en-US" w:eastAsia="zh-CN"/>
        </w:rPr>
        <w:t>*</w:t>
      </w:r>
      <w:r>
        <w:rPr>
          <w:rFonts w:hint="default" w:ascii="宋体" w:hAnsi="宋体" w:eastAsia="宋体" w:cs="宋体"/>
          <w:color w:val="auto"/>
          <w:kern w:val="0"/>
          <w:szCs w:val="21"/>
          <w:highlight w:val="none"/>
          <w:lang w:val="en-US" w:eastAsia="zh-CN"/>
        </w:rPr>
        <w:t>实际监测样品个数</w:t>
      </w:r>
      <w:r>
        <w:rPr>
          <w:rFonts w:hint="eastAsia" w:ascii="宋体" w:hAnsi="宋体" w:eastAsia="宋体" w:cs="宋体"/>
          <w:color w:val="auto"/>
          <w:kern w:val="0"/>
          <w:szCs w:val="21"/>
          <w:highlight w:val="none"/>
          <w:lang w:val="en-US" w:eastAsia="zh-CN"/>
        </w:rPr>
        <w:t>。</w:t>
      </w:r>
    </w:p>
    <w:p w14:paraId="32896CF8">
      <w:pPr>
        <w:keepNext w:val="0"/>
        <w:keepLines w:val="0"/>
        <w:pageBreakBefore w:val="0"/>
        <w:widowControl/>
        <w:kinsoku/>
        <w:wordWrap/>
        <w:overflowPunct/>
        <w:topLinePunct w:val="0"/>
        <w:autoSpaceDE/>
        <w:autoSpaceDN/>
        <w:bidi w:val="0"/>
        <w:adjustRightInd/>
        <w:spacing w:line="360" w:lineRule="auto"/>
        <w:ind w:firstLine="412"/>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15E12C5D">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第五章 合同主要条款</w:t>
      </w:r>
    </w:p>
    <w:p w14:paraId="336D92A4">
      <w:pPr>
        <w:pStyle w:val="51"/>
        <w:keepNext w:val="0"/>
        <w:keepLines w:val="0"/>
        <w:pageBreakBefore w:val="0"/>
        <w:widowControl w:val="0"/>
        <w:kinsoku/>
        <w:wordWrap/>
        <w:overflowPunct/>
        <w:topLinePunct w:val="0"/>
        <w:bidi w:val="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（此稿为合同样本，最终定稿待双方协商后定）</w:t>
      </w:r>
    </w:p>
    <w:p w14:paraId="507BCCD3">
      <w:pPr>
        <w:keepNext w:val="0"/>
        <w:keepLines w:val="0"/>
        <w:pageBreakBefore w:val="0"/>
        <w:widowControl w:val="0"/>
        <w:kinsoku/>
        <w:wordWrap/>
        <w:overflowPunct/>
        <w:topLinePunct w:val="0"/>
        <w:bidi w:val="0"/>
        <w:outlineLvl w:val="9"/>
        <w:rPr>
          <w:rFonts w:hint="eastAsia" w:ascii="宋体" w:hAnsi="宋体" w:eastAsia="宋体" w:cs="宋体"/>
          <w:color w:val="auto"/>
          <w:highlight w:val="none"/>
        </w:rPr>
      </w:pPr>
    </w:p>
    <w:p w14:paraId="60C5D6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合同将由</w:t>
      </w:r>
      <w:r>
        <w:rPr>
          <w:rFonts w:hint="eastAsia" w:ascii="宋体" w:hAnsi="宋体" w:eastAsia="宋体" w:cs="宋体"/>
          <w:color w:val="auto"/>
          <w:szCs w:val="21"/>
          <w:highlight w:val="none"/>
          <w:lang w:eastAsia="zh-CN"/>
        </w:rPr>
        <w:t>台州市生态环境局路桥分局</w:t>
      </w:r>
      <w:r>
        <w:rPr>
          <w:rFonts w:hint="eastAsia" w:ascii="宋体" w:hAnsi="宋体" w:eastAsia="宋体" w:cs="宋体"/>
          <w:color w:val="auto"/>
          <w:szCs w:val="21"/>
          <w:highlight w:val="none"/>
        </w:rPr>
        <w:t>（以下简称甲方）与经评审最终确定的中标人（以下简称乙方）结合本项目具体情况协商后签订。以下为采购人提出涉及乙方的主要条款，投标人在投标文件中应对其进行确认或拒绝。如投标人在其投标文件中未做拒绝或提出调整完善要求的，采购人将视作认同。具体如下：</w:t>
      </w:r>
    </w:p>
    <w:p w14:paraId="266CBD4C">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rPr>
        <w:t>：</w:t>
      </w:r>
    </w:p>
    <w:p w14:paraId="1A1BA568">
      <w:pPr>
        <w:pStyle w:val="1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color w:val="auto"/>
          <w:sz w:val="21"/>
          <w:szCs w:val="21"/>
          <w:highlight w:val="none"/>
        </w:rPr>
        <w:t>（采购方）</w:t>
      </w:r>
    </w:p>
    <w:p w14:paraId="4F581985">
      <w:pPr>
        <w:pStyle w:val="1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乙方：</w:t>
      </w:r>
      <w:r>
        <w:rPr>
          <w:rFonts w:hint="eastAsia" w:ascii="宋体" w:hAnsi="宋体" w:eastAsia="宋体" w:cs="宋体"/>
          <w:color w:val="auto"/>
          <w:sz w:val="21"/>
          <w:szCs w:val="21"/>
          <w:highlight w:val="none"/>
        </w:rPr>
        <w:t>（供应商）</w:t>
      </w:r>
      <w:r>
        <w:rPr>
          <w:rFonts w:hint="eastAsia" w:ascii="宋体" w:hAnsi="宋体" w:eastAsia="宋体" w:cs="宋体"/>
          <w:b/>
          <w:color w:val="auto"/>
          <w:sz w:val="21"/>
          <w:szCs w:val="21"/>
          <w:highlight w:val="none"/>
        </w:rPr>
        <w:t xml:space="preserve"> </w:t>
      </w:r>
    </w:p>
    <w:p w14:paraId="1ADBC848">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甲、乙双方根据</w:t>
      </w:r>
      <w:r>
        <w:rPr>
          <w:rFonts w:hint="eastAsia" w:ascii="宋体" w:hAnsi="宋体" w:eastAsia="宋体" w:cs="宋体"/>
          <w:color w:val="auto"/>
          <w:sz w:val="21"/>
          <w:szCs w:val="21"/>
          <w:highlight w:val="none"/>
          <w:u w:val="single"/>
          <w:lang w:eastAsia="zh-CN"/>
        </w:rPr>
        <w:t>台州市生态环境局路桥分局</w:t>
      </w:r>
      <w:r>
        <w:rPr>
          <w:rFonts w:hint="eastAsia" w:hAnsi="宋体" w:cs="宋体"/>
          <w:color w:val="auto"/>
          <w:sz w:val="21"/>
          <w:szCs w:val="21"/>
          <w:highlight w:val="none"/>
          <w:u w:val="single"/>
          <w:lang w:eastAsia="zh-CN"/>
        </w:rPr>
        <w:t>2026年路桥区农田灌溉用水水质调查检测、重点监管企业监督检测、二噁英监测及地下水点位水质分析采购项目</w:t>
      </w:r>
      <w:r>
        <w:rPr>
          <w:rFonts w:hint="eastAsia" w:ascii="宋体" w:hAnsi="宋体" w:eastAsia="宋体" w:cs="宋体"/>
          <w:color w:val="auto"/>
          <w:sz w:val="21"/>
          <w:szCs w:val="21"/>
          <w:highlight w:val="none"/>
          <w:u w:val="single"/>
          <w:lang w:eastAsia="zh-CN"/>
        </w:rPr>
        <w:t>竞争性磋商</w:t>
      </w:r>
      <w:r>
        <w:rPr>
          <w:rFonts w:hint="eastAsia" w:ascii="宋体" w:hAnsi="宋体" w:eastAsia="宋体" w:cs="宋体"/>
          <w:color w:val="auto"/>
          <w:sz w:val="21"/>
          <w:szCs w:val="21"/>
          <w:highlight w:val="none"/>
        </w:rPr>
        <w:t>的结果，签署本合同。</w:t>
      </w:r>
    </w:p>
    <w:p w14:paraId="6F1AEDD5">
      <w:pPr>
        <w:pStyle w:val="11"/>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color w:val="auto"/>
          <w:sz w:val="21"/>
          <w:szCs w:val="21"/>
          <w:highlight w:val="none"/>
        </w:rPr>
        <w:t>一、</w:t>
      </w:r>
      <w:r>
        <w:rPr>
          <w:rFonts w:hint="eastAsia" w:ascii="宋体" w:hAnsi="宋体" w:eastAsia="宋体" w:cs="宋体"/>
          <w:b/>
          <w:bCs/>
          <w:color w:val="auto"/>
          <w:kern w:val="0"/>
          <w:szCs w:val="21"/>
          <w:highlight w:val="none"/>
        </w:rPr>
        <w:t>项目内容及要求</w:t>
      </w:r>
    </w:p>
    <w:p w14:paraId="74FE8DB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需在样品有效期内对样品进行分析，并在采样全部结束后7个工作日内出具检测报告</w:t>
      </w:r>
      <w:r>
        <w:rPr>
          <w:rFonts w:hint="eastAsia" w:ascii="宋体" w:hAnsi="宋体" w:eastAsia="宋体" w:cs="宋体"/>
          <w:color w:val="auto"/>
          <w:kern w:val="0"/>
          <w:szCs w:val="21"/>
          <w:highlight w:val="none"/>
          <w:lang w:val="en-US" w:eastAsia="zh-CN"/>
        </w:rPr>
        <w:t>（二噁英除外）</w:t>
      </w:r>
      <w:r>
        <w:rPr>
          <w:rFonts w:hint="eastAsia" w:ascii="宋体" w:hAnsi="宋体" w:eastAsia="宋体" w:cs="宋体"/>
          <w:color w:val="auto"/>
          <w:kern w:val="0"/>
          <w:szCs w:val="21"/>
          <w:highlight w:val="none"/>
          <w:lang w:eastAsia="zh-CN"/>
        </w:rPr>
        <w:t>，并向</w:t>
      </w:r>
      <w:r>
        <w:rPr>
          <w:rFonts w:hint="eastAsia" w:ascii="宋体" w:hAnsi="宋体" w:cs="宋体"/>
          <w:color w:val="auto"/>
          <w:kern w:val="0"/>
          <w:szCs w:val="21"/>
          <w:highlight w:val="none"/>
          <w:lang w:val="en-US" w:eastAsia="zh-CN"/>
        </w:rPr>
        <w:t>甲方</w:t>
      </w:r>
      <w:r>
        <w:rPr>
          <w:rFonts w:hint="eastAsia" w:ascii="宋体" w:hAnsi="宋体" w:eastAsia="宋体" w:cs="宋体"/>
          <w:color w:val="auto"/>
          <w:kern w:val="0"/>
          <w:szCs w:val="21"/>
          <w:highlight w:val="none"/>
          <w:lang w:eastAsia="zh-CN"/>
        </w:rPr>
        <w:t>报送检测报告书面文本及电子文本。</w:t>
      </w:r>
    </w:p>
    <w:p w14:paraId="25A3256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详见本项目</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部分《</w:t>
      </w:r>
      <w:r>
        <w:rPr>
          <w:rFonts w:hint="eastAsia" w:ascii="宋体" w:hAnsi="宋体" w:eastAsia="宋体" w:cs="宋体"/>
          <w:color w:val="auto"/>
          <w:szCs w:val="21"/>
          <w:highlight w:val="none"/>
          <w:lang w:val="en-US" w:eastAsia="zh-CN"/>
        </w:rPr>
        <w:t>项目需求</w:t>
      </w:r>
      <w:r>
        <w:rPr>
          <w:rFonts w:hint="eastAsia" w:ascii="宋体" w:hAnsi="宋体" w:eastAsia="宋体" w:cs="宋体"/>
          <w:color w:val="auto"/>
          <w:szCs w:val="21"/>
          <w:highlight w:val="none"/>
        </w:rPr>
        <w:t>》。</w:t>
      </w:r>
    </w:p>
    <w:p w14:paraId="7F1C84EF">
      <w:pPr>
        <w:pStyle w:val="11"/>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二、合同金额</w:t>
      </w:r>
    </w:p>
    <w:p w14:paraId="2D71C582">
      <w:pPr>
        <w:pStyle w:val="11"/>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本合同金额为（大写）：_____________________元（￥_________元）人民币。</w:t>
      </w:r>
    </w:p>
    <w:tbl>
      <w:tblPr>
        <w:tblStyle w:val="22"/>
        <w:tblW w:w="60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614"/>
        <w:gridCol w:w="3113"/>
        <w:gridCol w:w="936"/>
        <w:gridCol w:w="1015"/>
        <w:gridCol w:w="1015"/>
        <w:gridCol w:w="1032"/>
      </w:tblGrid>
      <w:tr w14:paraId="229D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79" w:type="pct"/>
            <w:noWrap w:val="0"/>
            <w:vAlign w:val="center"/>
          </w:tcPr>
          <w:p w14:paraId="1F1DB15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类别</w:t>
            </w:r>
          </w:p>
        </w:tc>
        <w:tc>
          <w:tcPr>
            <w:tcW w:w="781" w:type="pct"/>
            <w:noWrap w:val="0"/>
            <w:vAlign w:val="center"/>
          </w:tcPr>
          <w:p w14:paraId="2AC0208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检测内容</w:t>
            </w:r>
          </w:p>
        </w:tc>
        <w:tc>
          <w:tcPr>
            <w:tcW w:w="1506" w:type="pct"/>
            <w:noWrap w:val="0"/>
            <w:vAlign w:val="center"/>
          </w:tcPr>
          <w:p w14:paraId="379A662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项目指标</w:t>
            </w:r>
          </w:p>
        </w:tc>
        <w:tc>
          <w:tcPr>
            <w:tcW w:w="453" w:type="pct"/>
            <w:noWrap w:val="0"/>
            <w:vAlign w:val="center"/>
          </w:tcPr>
          <w:p w14:paraId="5BFD9CC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点位数</w:t>
            </w:r>
          </w:p>
        </w:tc>
        <w:tc>
          <w:tcPr>
            <w:tcW w:w="491" w:type="pct"/>
            <w:noWrap w:val="0"/>
            <w:vAlign w:val="center"/>
          </w:tcPr>
          <w:p w14:paraId="7C5AD44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周期</w:t>
            </w:r>
          </w:p>
        </w:tc>
        <w:tc>
          <w:tcPr>
            <w:tcW w:w="491" w:type="pct"/>
            <w:noWrap w:val="0"/>
            <w:vAlign w:val="center"/>
          </w:tcPr>
          <w:p w14:paraId="2D57152A">
            <w:pPr>
              <w:keepNext w:val="0"/>
              <w:keepLines w:val="0"/>
              <w:pageBreakBefore w:val="0"/>
              <w:kinsoku/>
              <w:overflowPunct/>
              <w:topLinePunct w:val="0"/>
              <w:autoSpaceDE w:val="0"/>
              <w:autoSpaceDN w:val="0"/>
              <w:bidi w:val="0"/>
              <w:spacing w:line="240" w:lineRule="auto"/>
              <w:jc w:val="center"/>
              <w:textAlignment w:val="bottom"/>
              <w:outlineLvl w:val="9"/>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color w:val="auto"/>
                <w:sz w:val="21"/>
                <w:szCs w:val="21"/>
                <w:highlight w:val="none"/>
                <w:lang w:val="en-US" w:eastAsia="zh-CN"/>
              </w:rPr>
              <w:t>投标单价</w:t>
            </w:r>
            <w:r>
              <w:rPr>
                <w:rFonts w:hint="eastAsia" w:ascii="宋体" w:hAnsi="宋体" w:cs="宋体"/>
                <w:b/>
                <w:bCs/>
                <w:color w:val="auto"/>
                <w:sz w:val="21"/>
                <w:szCs w:val="21"/>
                <w:highlight w:val="none"/>
                <w:lang w:val="en-US" w:eastAsia="zh-CN"/>
              </w:rPr>
              <w:t>（元/点位·周期）</w:t>
            </w:r>
          </w:p>
        </w:tc>
        <w:tc>
          <w:tcPr>
            <w:tcW w:w="495" w:type="pct"/>
            <w:noWrap w:val="0"/>
            <w:vAlign w:val="center"/>
          </w:tcPr>
          <w:p w14:paraId="6EB41940">
            <w:pPr>
              <w:keepNext w:val="0"/>
              <w:keepLines w:val="0"/>
              <w:pageBreakBefore w:val="0"/>
              <w:kinsoku/>
              <w:overflowPunct/>
              <w:topLinePunct w:val="0"/>
              <w:autoSpaceDE w:val="0"/>
              <w:autoSpaceDN w:val="0"/>
              <w:bidi w:val="0"/>
              <w:spacing w:line="240" w:lineRule="auto"/>
              <w:jc w:val="center"/>
              <w:textAlignment w:val="bottom"/>
              <w:outlineLvl w:val="9"/>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小计</w:t>
            </w:r>
          </w:p>
        </w:tc>
      </w:tr>
      <w:tr w14:paraId="6971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79" w:type="pct"/>
            <w:vMerge w:val="restart"/>
            <w:noWrap w:val="0"/>
            <w:vAlign w:val="center"/>
          </w:tcPr>
          <w:p w14:paraId="596337B5">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color w:val="auto"/>
                <w:kern w:val="0"/>
                <w:szCs w:val="21"/>
                <w:highlight w:val="none"/>
                <w:lang w:val="en-US" w:eastAsia="zh-CN"/>
              </w:rPr>
              <w:t>其他检测项目</w:t>
            </w:r>
          </w:p>
        </w:tc>
        <w:tc>
          <w:tcPr>
            <w:tcW w:w="781" w:type="pct"/>
            <w:noWrap w:val="0"/>
            <w:vAlign w:val="center"/>
          </w:tcPr>
          <w:p w14:paraId="1A733D4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 xml:space="preserve">台州市路桥中科成污水净化有限公司 </w:t>
            </w:r>
          </w:p>
        </w:tc>
        <w:tc>
          <w:tcPr>
            <w:tcW w:w="1506" w:type="pct"/>
            <w:noWrap w:val="0"/>
            <w:vAlign w:val="center"/>
          </w:tcPr>
          <w:p w14:paraId="477DA06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废水：总铅、总镉、烷基汞、粪大肠菌群</w:t>
            </w:r>
          </w:p>
        </w:tc>
        <w:tc>
          <w:tcPr>
            <w:tcW w:w="453" w:type="pct"/>
            <w:noWrap w:val="0"/>
            <w:vAlign w:val="center"/>
          </w:tcPr>
          <w:p w14:paraId="6AEE998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8</w:t>
            </w:r>
          </w:p>
        </w:tc>
        <w:tc>
          <w:tcPr>
            <w:tcW w:w="491" w:type="pct"/>
            <w:noWrap w:val="0"/>
            <w:vAlign w:val="center"/>
          </w:tcPr>
          <w:p w14:paraId="491E401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491" w:type="pct"/>
            <w:noWrap w:val="0"/>
            <w:vAlign w:val="center"/>
          </w:tcPr>
          <w:p w14:paraId="118D195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392D778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034C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9" w:type="pct"/>
            <w:vMerge w:val="continue"/>
            <w:noWrap w:val="0"/>
            <w:vAlign w:val="center"/>
          </w:tcPr>
          <w:p w14:paraId="1901275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81" w:type="pct"/>
            <w:noWrap w:val="0"/>
            <w:vAlign w:val="center"/>
          </w:tcPr>
          <w:p w14:paraId="2F422A9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台州市路桥北控水务有限公司</w:t>
            </w:r>
          </w:p>
        </w:tc>
        <w:tc>
          <w:tcPr>
            <w:tcW w:w="1506" w:type="pct"/>
            <w:noWrap w:val="0"/>
            <w:vAlign w:val="center"/>
          </w:tcPr>
          <w:p w14:paraId="6F0947A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废水：总铅、总镉、烷基汞、粪大肠菌群</w:t>
            </w:r>
          </w:p>
        </w:tc>
        <w:tc>
          <w:tcPr>
            <w:tcW w:w="453" w:type="pct"/>
            <w:noWrap w:val="0"/>
            <w:vAlign w:val="center"/>
          </w:tcPr>
          <w:p w14:paraId="50C5E09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1" w:type="pct"/>
            <w:noWrap w:val="0"/>
            <w:vAlign w:val="center"/>
          </w:tcPr>
          <w:p w14:paraId="10921AD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1</w:t>
            </w:r>
          </w:p>
        </w:tc>
        <w:tc>
          <w:tcPr>
            <w:tcW w:w="491" w:type="pct"/>
            <w:noWrap w:val="0"/>
            <w:vAlign w:val="center"/>
          </w:tcPr>
          <w:p w14:paraId="19B3569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c>
          <w:tcPr>
            <w:tcW w:w="495" w:type="pct"/>
            <w:noWrap w:val="0"/>
            <w:vAlign w:val="center"/>
          </w:tcPr>
          <w:p w14:paraId="4370202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r>
      <w:tr w14:paraId="6001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9" w:type="pct"/>
            <w:vMerge w:val="continue"/>
            <w:noWrap w:val="0"/>
            <w:vAlign w:val="center"/>
          </w:tcPr>
          <w:p w14:paraId="23C6ED4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81" w:type="pct"/>
            <w:vMerge w:val="restart"/>
            <w:noWrap w:val="0"/>
            <w:vAlign w:val="center"/>
          </w:tcPr>
          <w:p w14:paraId="31194C0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台州市路桥区环卫园林服务中心</w:t>
            </w:r>
          </w:p>
        </w:tc>
        <w:tc>
          <w:tcPr>
            <w:tcW w:w="1506" w:type="pct"/>
            <w:noWrap w:val="0"/>
            <w:vAlign w:val="center"/>
          </w:tcPr>
          <w:p w14:paraId="6870A7F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废水：总铅、总镉、粪大肠菌群</w:t>
            </w:r>
          </w:p>
        </w:tc>
        <w:tc>
          <w:tcPr>
            <w:tcW w:w="453" w:type="pct"/>
            <w:noWrap w:val="0"/>
            <w:vAlign w:val="center"/>
          </w:tcPr>
          <w:p w14:paraId="6B04505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1" w:type="pct"/>
            <w:noWrap w:val="0"/>
            <w:vAlign w:val="center"/>
          </w:tcPr>
          <w:p w14:paraId="70D77C8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1" w:type="pct"/>
            <w:noWrap w:val="0"/>
            <w:vAlign w:val="center"/>
          </w:tcPr>
          <w:p w14:paraId="2F54AB6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218DBB3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4A01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9" w:type="pct"/>
            <w:vMerge w:val="continue"/>
            <w:noWrap w:val="0"/>
            <w:vAlign w:val="center"/>
          </w:tcPr>
          <w:p w14:paraId="4E32285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2222EBF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234E93F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地下水：总硬度、溶解性总固体、粪大肠菌群</w:t>
            </w:r>
          </w:p>
        </w:tc>
        <w:tc>
          <w:tcPr>
            <w:tcW w:w="453" w:type="pct"/>
            <w:noWrap w:val="0"/>
            <w:vAlign w:val="center"/>
          </w:tcPr>
          <w:p w14:paraId="77D0718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1" w:type="pct"/>
            <w:noWrap w:val="0"/>
            <w:vAlign w:val="center"/>
          </w:tcPr>
          <w:p w14:paraId="24EDA54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1</w:t>
            </w:r>
          </w:p>
        </w:tc>
        <w:tc>
          <w:tcPr>
            <w:tcW w:w="491" w:type="pct"/>
            <w:noWrap w:val="0"/>
            <w:vAlign w:val="center"/>
          </w:tcPr>
          <w:p w14:paraId="024C6DF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c>
          <w:tcPr>
            <w:tcW w:w="495" w:type="pct"/>
            <w:noWrap w:val="0"/>
            <w:vAlign w:val="center"/>
          </w:tcPr>
          <w:p w14:paraId="2E5E49C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r>
      <w:tr w14:paraId="5C5A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79" w:type="pct"/>
            <w:vMerge w:val="continue"/>
            <w:noWrap w:val="0"/>
            <w:vAlign w:val="center"/>
          </w:tcPr>
          <w:p w14:paraId="41E6B36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320041B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5859359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废气：恶臭</w:t>
            </w:r>
          </w:p>
        </w:tc>
        <w:tc>
          <w:tcPr>
            <w:tcW w:w="453" w:type="pct"/>
            <w:noWrap w:val="0"/>
            <w:vAlign w:val="center"/>
          </w:tcPr>
          <w:p w14:paraId="652BB0F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491" w:type="pct"/>
            <w:noWrap w:val="0"/>
            <w:vAlign w:val="center"/>
          </w:tcPr>
          <w:p w14:paraId="504EDD7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491" w:type="pct"/>
            <w:noWrap w:val="0"/>
            <w:vAlign w:val="center"/>
          </w:tcPr>
          <w:p w14:paraId="76D4AFC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343B436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4CE6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9" w:type="pct"/>
            <w:vMerge w:val="continue"/>
            <w:noWrap w:val="0"/>
            <w:vAlign w:val="center"/>
          </w:tcPr>
          <w:p w14:paraId="46C5F52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81" w:type="pct"/>
            <w:vMerge w:val="restart"/>
            <w:noWrap w:val="0"/>
            <w:vAlign w:val="center"/>
          </w:tcPr>
          <w:p w14:paraId="31A2C93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台州旺能再生资源利用有限公司</w:t>
            </w:r>
          </w:p>
        </w:tc>
        <w:tc>
          <w:tcPr>
            <w:tcW w:w="1506" w:type="pct"/>
            <w:noWrap w:val="0"/>
            <w:vAlign w:val="center"/>
          </w:tcPr>
          <w:p w14:paraId="5CC3EC6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废水：总铅、总镉、粪大肠菌群</w:t>
            </w:r>
          </w:p>
        </w:tc>
        <w:tc>
          <w:tcPr>
            <w:tcW w:w="453" w:type="pct"/>
            <w:noWrap w:val="0"/>
            <w:vAlign w:val="center"/>
          </w:tcPr>
          <w:p w14:paraId="5431022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8</w:t>
            </w:r>
          </w:p>
        </w:tc>
        <w:tc>
          <w:tcPr>
            <w:tcW w:w="491" w:type="pct"/>
            <w:noWrap w:val="0"/>
            <w:vAlign w:val="center"/>
          </w:tcPr>
          <w:p w14:paraId="0BA6BB3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491" w:type="pct"/>
            <w:noWrap w:val="0"/>
            <w:vAlign w:val="center"/>
          </w:tcPr>
          <w:p w14:paraId="18B74BB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103780E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DD7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79" w:type="pct"/>
            <w:vMerge w:val="continue"/>
            <w:noWrap w:val="0"/>
            <w:vAlign w:val="center"/>
          </w:tcPr>
          <w:p w14:paraId="2B03DB1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344351A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133662C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废气：汞、铊</w:t>
            </w:r>
          </w:p>
        </w:tc>
        <w:tc>
          <w:tcPr>
            <w:tcW w:w="453" w:type="pct"/>
            <w:noWrap w:val="0"/>
            <w:vAlign w:val="center"/>
          </w:tcPr>
          <w:p w14:paraId="71BD7FE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w:t>
            </w:r>
          </w:p>
        </w:tc>
        <w:tc>
          <w:tcPr>
            <w:tcW w:w="491" w:type="pct"/>
            <w:noWrap w:val="0"/>
            <w:vAlign w:val="center"/>
          </w:tcPr>
          <w:p w14:paraId="5297CA6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491" w:type="pct"/>
            <w:noWrap w:val="0"/>
            <w:vAlign w:val="center"/>
          </w:tcPr>
          <w:p w14:paraId="7BD7C70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71F75CA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2331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79" w:type="pct"/>
            <w:vMerge w:val="continue"/>
            <w:noWrap w:val="0"/>
            <w:vAlign w:val="center"/>
          </w:tcPr>
          <w:p w14:paraId="2861FEC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555D974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2C2BEFD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固废：热灼减率</w:t>
            </w:r>
          </w:p>
        </w:tc>
        <w:tc>
          <w:tcPr>
            <w:tcW w:w="453" w:type="pct"/>
            <w:noWrap w:val="0"/>
            <w:vAlign w:val="center"/>
          </w:tcPr>
          <w:p w14:paraId="04D8C5D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w:t>
            </w:r>
          </w:p>
        </w:tc>
        <w:tc>
          <w:tcPr>
            <w:tcW w:w="491" w:type="pct"/>
            <w:noWrap w:val="0"/>
            <w:vAlign w:val="center"/>
          </w:tcPr>
          <w:p w14:paraId="11915A1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491" w:type="pct"/>
            <w:noWrap w:val="0"/>
            <w:vAlign w:val="center"/>
          </w:tcPr>
          <w:p w14:paraId="325EAD7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41C9E5C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1390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79" w:type="pct"/>
            <w:vMerge w:val="continue"/>
            <w:noWrap w:val="0"/>
            <w:vAlign w:val="center"/>
          </w:tcPr>
          <w:p w14:paraId="77B9A69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81" w:type="pct"/>
            <w:noWrap w:val="0"/>
            <w:vAlign w:val="center"/>
          </w:tcPr>
          <w:p w14:paraId="3B3782B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路桥区农田灌溉用水水质监测</w:t>
            </w:r>
          </w:p>
        </w:tc>
        <w:tc>
          <w:tcPr>
            <w:tcW w:w="1506" w:type="pct"/>
            <w:noWrap w:val="0"/>
            <w:vAlign w:val="center"/>
          </w:tcPr>
          <w:p w14:paraId="6636278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地表水：蛔虫卵数、苯胺、三氯乙醛、丙烯醛、氯苯、1，2-二氯苯、1,4二氯苯、硝基苯</w:t>
            </w:r>
          </w:p>
        </w:tc>
        <w:tc>
          <w:tcPr>
            <w:tcW w:w="453" w:type="pct"/>
            <w:noWrap w:val="0"/>
            <w:vAlign w:val="center"/>
          </w:tcPr>
          <w:p w14:paraId="176747F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491" w:type="pct"/>
            <w:noWrap w:val="0"/>
            <w:vAlign w:val="center"/>
          </w:tcPr>
          <w:p w14:paraId="6A4B599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w:t>
            </w:r>
          </w:p>
        </w:tc>
        <w:tc>
          <w:tcPr>
            <w:tcW w:w="491" w:type="pct"/>
            <w:noWrap w:val="0"/>
            <w:vAlign w:val="center"/>
          </w:tcPr>
          <w:p w14:paraId="78AF243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7C7B169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0AC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79" w:type="pct"/>
            <w:vMerge w:val="continue"/>
            <w:noWrap w:val="0"/>
            <w:vAlign w:val="center"/>
          </w:tcPr>
          <w:p w14:paraId="376D29F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81" w:type="pct"/>
            <w:vMerge w:val="restart"/>
            <w:noWrap w:val="0"/>
            <w:vAlign w:val="center"/>
          </w:tcPr>
          <w:p w14:paraId="5CAC251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地下水</w:t>
            </w:r>
          </w:p>
        </w:tc>
        <w:tc>
          <w:tcPr>
            <w:tcW w:w="1506" w:type="pct"/>
            <w:noWrap w:val="0"/>
            <w:vAlign w:val="center"/>
          </w:tcPr>
          <w:p w14:paraId="277EAF0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碘化物</w:t>
            </w:r>
          </w:p>
        </w:tc>
        <w:tc>
          <w:tcPr>
            <w:tcW w:w="453" w:type="pct"/>
            <w:noWrap w:val="0"/>
            <w:vAlign w:val="center"/>
          </w:tcPr>
          <w:p w14:paraId="1AE109B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1" w:type="pct"/>
            <w:noWrap w:val="0"/>
            <w:vAlign w:val="center"/>
          </w:tcPr>
          <w:p w14:paraId="2243076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1" w:type="pct"/>
            <w:noWrap w:val="0"/>
            <w:vAlign w:val="center"/>
          </w:tcPr>
          <w:p w14:paraId="63A6D6A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332D059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207D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79" w:type="pct"/>
            <w:vMerge w:val="continue"/>
            <w:noWrap w:val="0"/>
            <w:vAlign w:val="center"/>
          </w:tcPr>
          <w:p w14:paraId="3EF5E77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0A7CD53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2FD2A84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氨氮、铅、铍、锑、镍、钴、银、钡、锰、铁、铜、锌、铝、钠、镉</w:t>
            </w:r>
          </w:p>
        </w:tc>
        <w:tc>
          <w:tcPr>
            <w:tcW w:w="453" w:type="pct"/>
            <w:noWrap w:val="0"/>
            <w:vAlign w:val="center"/>
          </w:tcPr>
          <w:p w14:paraId="55412C6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1" w:type="pct"/>
            <w:noWrap w:val="0"/>
            <w:vAlign w:val="center"/>
          </w:tcPr>
          <w:p w14:paraId="4B925D2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1" w:type="pct"/>
            <w:noWrap w:val="0"/>
            <w:vAlign w:val="center"/>
          </w:tcPr>
          <w:p w14:paraId="648B62D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77CD47C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3F0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79" w:type="pct"/>
            <w:vMerge w:val="continue"/>
            <w:noWrap w:val="0"/>
            <w:vAlign w:val="center"/>
          </w:tcPr>
          <w:p w14:paraId="3F6EA4A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34822A6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19D0566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三氯甲烷、四氯化碳、苯、甲苯、二氯甲烷、1,2-二氯乙烷、氯乙烯、氯苯、乙苯、二甲苯、苯乙烯</w:t>
            </w:r>
          </w:p>
        </w:tc>
        <w:tc>
          <w:tcPr>
            <w:tcW w:w="453" w:type="pct"/>
            <w:noWrap w:val="0"/>
            <w:vAlign w:val="center"/>
          </w:tcPr>
          <w:p w14:paraId="0944B65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1" w:type="pct"/>
            <w:noWrap w:val="0"/>
            <w:vAlign w:val="center"/>
          </w:tcPr>
          <w:p w14:paraId="68C8A07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1" w:type="pct"/>
            <w:noWrap w:val="0"/>
            <w:vAlign w:val="center"/>
          </w:tcPr>
          <w:p w14:paraId="25AD607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3F794A6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22A9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79" w:type="pct"/>
            <w:vMerge w:val="continue"/>
            <w:noWrap w:val="0"/>
            <w:vAlign w:val="center"/>
          </w:tcPr>
          <w:p w14:paraId="1D7FA0C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2643627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5A6C463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2,4-二硝基甲苯、2,6-二硝基甲苯</w:t>
            </w:r>
          </w:p>
        </w:tc>
        <w:tc>
          <w:tcPr>
            <w:tcW w:w="453" w:type="pct"/>
            <w:noWrap w:val="0"/>
            <w:vAlign w:val="center"/>
          </w:tcPr>
          <w:p w14:paraId="3082FBD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1" w:type="pct"/>
            <w:noWrap w:val="0"/>
            <w:vAlign w:val="center"/>
          </w:tcPr>
          <w:p w14:paraId="0315285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1" w:type="pct"/>
            <w:noWrap w:val="0"/>
            <w:vAlign w:val="center"/>
          </w:tcPr>
          <w:p w14:paraId="759DC13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1E588E2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4A6C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79" w:type="pct"/>
            <w:vMerge w:val="continue"/>
            <w:noWrap w:val="0"/>
            <w:vAlign w:val="center"/>
          </w:tcPr>
          <w:p w14:paraId="5D78DFD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1FC90F8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612A058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苯并[a]芘</w:t>
            </w:r>
          </w:p>
        </w:tc>
        <w:tc>
          <w:tcPr>
            <w:tcW w:w="453" w:type="pct"/>
            <w:noWrap w:val="0"/>
            <w:vAlign w:val="center"/>
          </w:tcPr>
          <w:p w14:paraId="7D157E9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1" w:type="pct"/>
            <w:noWrap w:val="0"/>
            <w:vAlign w:val="center"/>
          </w:tcPr>
          <w:p w14:paraId="12C1545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1" w:type="pct"/>
            <w:noWrap w:val="0"/>
            <w:vAlign w:val="center"/>
          </w:tcPr>
          <w:p w14:paraId="40546C5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6DCFBBD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061C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79" w:type="pct"/>
            <w:vMerge w:val="continue"/>
            <w:noWrap w:val="0"/>
            <w:vAlign w:val="center"/>
          </w:tcPr>
          <w:p w14:paraId="16A1BC8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24CCB428">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59E1CC5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五氯酚、乐果</w:t>
            </w:r>
          </w:p>
        </w:tc>
        <w:tc>
          <w:tcPr>
            <w:tcW w:w="453" w:type="pct"/>
            <w:noWrap w:val="0"/>
            <w:vAlign w:val="center"/>
          </w:tcPr>
          <w:p w14:paraId="648F99D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1" w:type="pct"/>
            <w:noWrap w:val="0"/>
            <w:vAlign w:val="center"/>
          </w:tcPr>
          <w:p w14:paraId="62C6C55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1" w:type="pct"/>
            <w:noWrap w:val="0"/>
            <w:vAlign w:val="center"/>
          </w:tcPr>
          <w:p w14:paraId="3EC075B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7E87DAF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74FE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1" w:hRule="atLeast"/>
          <w:jc w:val="center"/>
        </w:trPr>
        <w:tc>
          <w:tcPr>
            <w:tcW w:w="779" w:type="pct"/>
            <w:vMerge w:val="continue"/>
            <w:noWrap w:val="0"/>
            <w:vAlign w:val="center"/>
          </w:tcPr>
          <w:p w14:paraId="42D1DC6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403BCE5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78B4F11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仿宋"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pH、硫酸盐、氯化物、铁、锰、铜、锌、铝、挥发性酚类 （以苯酚计）、阴离子表面活性剂、耗氧量（</w:t>
            </w:r>
            <w:r>
              <w:rPr>
                <w:rFonts w:hint="default" w:ascii="宋体" w:hAnsi="宋体" w:eastAsia="宋体" w:cs="宋体"/>
                <w:i w:val="0"/>
                <w:iCs w:val="0"/>
                <w:color w:val="auto"/>
                <w:kern w:val="0"/>
                <w:sz w:val="21"/>
                <w:szCs w:val="21"/>
                <w:highlight w:val="none"/>
                <w:u w:val="none"/>
                <w:lang w:val="en-US" w:eastAsia="zh-CN"/>
              </w:rPr>
              <w:t>CODMn</w:t>
            </w:r>
            <w:r>
              <w:rPr>
                <w:rFonts w:hint="eastAsia" w:ascii="宋体" w:hAnsi="宋体" w:eastAsia="宋体" w:cs="宋体"/>
                <w:i w:val="0"/>
                <w:iCs w:val="0"/>
                <w:color w:val="auto"/>
                <w:kern w:val="0"/>
                <w:sz w:val="21"/>
                <w:szCs w:val="21"/>
                <w:highlight w:val="none"/>
                <w:u w:val="none"/>
                <w:lang w:val="en-US" w:eastAsia="zh-CN"/>
              </w:rPr>
              <w:t xml:space="preserve">法，以 </w:t>
            </w:r>
            <w:r>
              <w:rPr>
                <w:rFonts w:hint="default" w:ascii="宋体" w:hAnsi="宋体" w:eastAsia="宋体" w:cs="宋体"/>
                <w:i w:val="0"/>
                <w:iCs w:val="0"/>
                <w:color w:val="auto"/>
                <w:kern w:val="0"/>
                <w:sz w:val="21"/>
                <w:szCs w:val="21"/>
                <w:highlight w:val="none"/>
                <w:u w:val="none"/>
                <w:lang w:val="en-US" w:eastAsia="zh-CN"/>
              </w:rPr>
              <w:t>O2</w:t>
            </w:r>
            <w:r>
              <w:rPr>
                <w:rFonts w:hint="eastAsia" w:ascii="宋体" w:hAnsi="宋体" w:eastAsia="宋体" w:cs="宋体"/>
                <w:i w:val="0"/>
                <w:iCs w:val="0"/>
                <w:color w:val="auto"/>
                <w:kern w:val="0"/>
                <w:sz w:val="21"/>
                <w:szCs w:val="21"/>
                <w:highlight w:val="none"/>
                <w:u w:val="none"/>
                <w:lang w:val="en-US" w:eastAsia="zh-CN"/>
              </w:rPr>
              <w:t xml:space="preserve">计）、氨氮（以 </w:t>
            </w:r>
            <w:r>
              <w:rPr>
                <w:rFonts w:hint="default" w:ascii="宋体" w:hAnsi="宋体" w:eastAsia="宋体" w:cs="宋体"/>
                <w:i w:val="0"/>
                <w:iCs w:val="0"/>
                <w:color w:val="auto"/>
                <w:kern w:val="0"/>
                <w:sz w:val="21"/>
                <w:szCs w:val="21"/>
                <w:highlight w:val="none"/>
                <w:u w:val="none"/>
                <w:lang w:val="en-US" w:eastAsia="zh-CN"/>
              </w:rPr>
              <w:t xml:space="preserve">N </w:t>
            </w:r>
            <w:r>
              <w:rPr>
                <w:rFonts w:hint="eastAsia" w:ascii="宋体" w:hAnsi="宋体" w:eastAsia="宋体" w:cs="宋体"/>
                <w:i w:val="0"/>
                <w:iCs w:val="0"/>
                <w:color w:val="auto"/>
                <w:kern w:val="0"/>
                <w:sz w:val="21"/>
                <w:szCs w:val="21"/>
                <w:highlight w:val="none"/>
                <w:u w:val="none"/>
                <w:lang w:val="en-US" w:eastAsia="zh-CN"/>
              </w:rPr>
              <w:t xml:space="preserve">计）、硫化物、钠、亚硝酸盐（以 </w:t>
            </w:r>
            <w:r>
              <w:rPr>
                <w:rFonts w:hint="default" w:ascii="宋体" w:hAnsi="宋体" w:eastAsia="宋体" w:cs="宋体"/>
                <w:i w:val="0"/>
                <w:iCs w:val="0"/>
                <w:color w:val="auto"/>
                <w:kern w:val="0"/>
                <w:sz w:val="21"/>
                <w:szCs w:val="21"/>
                <w:highlight w:val="none"/>
                <w:u w:val="none"/>
                <w:lang w:val="en-US" w:eastAsia="zh-CN"/>
              </w:rPr>
              <w:t xml:space="preserve">N </w:t>
            </w:r>
            <w:r>
              <w:rPr>
                <w:rFonts w:hint="eastAsia" w:ascii="宋体" w:hAnsi="宋体" w:eastAsia="宋体" w:cs="宋体"/>
                <w:i w:val="0"/>
                <w:iCs w:val="0"/>
                <w:color w:val="auto"/>
                <w:kern w:val="0"/>
                <w:sz w:val="21"/>
                <w:szCs w:val="21"/>
                <w:highlight w:val="none"/>
                <w:u w:val="none"/>
                <w:lang w:val="en-US" w:eastAsia="zh-CN"/>
              </w:rPr>
              <w:t xml:space="preserve">计）、硝酸盐（以 </w:t>
            </w:r>
            <w:r>
              <w:rPr>
                <w:rFonts w:hint="default" w:ascii="宋体" w:hAnsi="宋体" w:eastAsia="宋体" w:cs="宋体"/>
                <w:i w:val="0"/>
                <w:iCs w:val="0"/>
                <w:color w:val="auto"/>
                <w:kern w:val="0"/>
                <w:sz w:val="21"/>
                <w:szCs w:val="21"/>
                <w:highlight w:val="none"/>
                <w:u w:val="none"/>
                <w:lang w:val="en-US" w:eastAsia="zh-CN"/>
              </w:rPr>
              <w:t xml:space="preserve">N </w:t>
            </w:r>
            <w:r>
              <w:rPr>
                <w:rFonts w:hint="eastAsia" w:ascii="宋体" w:hAnsi="宋体" w:eastAsia="宋体" w:cs="宋体"/>
                <w:i w:val="0"/>
                <w:iCs w:val="0"/>
                <w:color w:val="auto"/>
                <w:kern w:val="0"/>
                <w:sz w:val="21"/>
                <w:szCs w:val="21"/>
                <w:highlight w:val="none"/>
                <w:u w:val="none"/>
                <w:lang w:val="en-US" w:eastAsia="zh-CN"/>
              </w:rPr>
              <w:t xml:space="preserve">计）、氰化物、氟化物、碘化物、汞、砷、硒、镉、铬（六价）、铅、三氯甲烷、四氯化碳、苯、甲苯、色（铂钴色度单位）、嗅和味、浑浊度/NTU、肉眼可见物、 总硬度（以 </w:t>
            </w:r>
            <w:r>
              <w:rPr>
                <w:rFonts w:hint="default" w:ascii="宋体" w:hAnsi="宋体" w:eastAsia="宋体" w:cs="宋体"/>
                <w:i w:val="0"/>
                <w:iCs w:val="0"/>
                <w:color w:val="auto"/>
                <w:kern w:val="0"/>
                <w:sz w:val="21"/>
                <w:szCs w:val="21"/>
                <w:highlight w:val="none"/>
                <w:u w:val="none"/>
                <w:lang w:val="en-US" w:eastAsia="zh-CN"/>
              </w:rPr>
              <w:t>CaCO3</w:t>
            </w:r>
            <w:r>
              <w:rPr>
                <w:rFonts w:hint="eastAsia" w:ascii="宋体" w:hAnsi="宋体" w:eastAsia="宋体" w:cs="宋体"/>
                <w:i w:val="0"/>
                <w:iCs w:val="0"/>
                <w:color w:val="auto"/>
                <w:kern w:val="0"/>
                <w:sz w:val="21"/>
                <w:szCs w:val="21"/>
                <w:highlight w:val="none"/>
                <w:u w:val="none"/>
                <w:lang w:val="en-US" w:eastAsia="zh-CN"/>
              </w:rPr>
              <w:t>计）、溶解性总固体、钾、钙、镁、重碳酸根、碳酸根、游离二氧化碳和总氮</w:t>
            </w:r>
          </w:p>
        </w:tc>
        <w:tc>
          <w:tcPr>
            <w:tcW w:w="453" w:type="pct"/>
            <w:noWrap w:val="0"/>
            <w:vAlign w:val="center"/>
          </w:tcPr>
          <w:p w14:paraId="57182EA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1</w:t>
            </w:r>
          </w:p>
        </w:tc>
        <w:tc>
          <w:tcPr>
            <w:tcW w:w="491" w:type="pct"/>
            <w:noWrap w:val="0"/>
            <w:vAlign w:val="center"/>
          </w:tcPr>
          <w:p w14:paraId="2A230AC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6</w:t>
            </w:r>
          </w:p>
        </w:tc>
        <w:tc>
          <w:tcPr>
            <w:tcW w:w="491" w:type="pct"/>
            <w:noWrap w:val="0"/>
            <w:vAlign w:val="center"/>
          </w:tcPr>
          <w:p w14:paraId="45C4121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c>
          <w:tcPr>
            <w:tcW w:w="495" w:type="pct"/>
            <w:noWrap w:val="0"/>
            <w:vAlign w:val="center"/>
          </w:tcPr>
          <w:p w14:paraId="6E0911E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r>
      <w:tr w14:paraId="014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79" w:type="pct"/>
            <w:vMerge w:val="continue"/>
            <w:noWrap w:val="0"/>
            <w:vAlign w:val="center"/>
          </w:tcPr>
          <w:p w14:paraId="331FCB6B">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781" w:type="pct"/>
            <w:noWrap w:val="0"/>
            <w:vAlign w:val="center"/>
          </w:tcPr>
          <w:p w14:paraId="6DD0BDC7">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其他项目</w:t>
            </w:r>
          </w:p>
        </w:tc>
        <w:tc>
          <w:tcPr>
            <w:tcW w:w="1506" w:type="pct"/>
            <w:noWrap w:val="0"/>
            <w:vAlign w:val="center"/>
          </w:tcPr>
          <w:p w14:paraId="2574985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地表水：粪大肠菌群</w:t>
            </w:r>
          </w:p>
        </w:tc>
        <w:tc>
          <w:tcPr>
            <w:tcW w:w="453" w:type="pct"/>
            <w:noWrap w:val="0"/>
            <w:vAlign w:val="center"/>
          </w:tcPr>
          <w:p w14:paraId="597E3B8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4</w:t>
            </w:r>
          </w:p>
        </w:tc>
        <w:tc>
          <w:tcPr>
            <w:tcW w:w="491" w:type="pct"/>
            <w:noWrap w:val="0"/>
            <w:vAlign w:val="center"/>
          </w:tcPr>
          <w:p w14:paraId="4D929CB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2</w:t>
            </w:r>
          </w:p>
        </w:tc>
        <w:tc>
          <w:tcPr>
            <w:tcW w:w="491" w:type="pct"/>
            <w:noWrap w:val="0"/>
            <w:vAlign w:val="center"/>
          </w:tcPr>
          <w:p w14:paraId="36DB258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c>
          <w:tcPr>
            <w:tcW w:w="495" w:type="pct"/>
            <w:noWrap w:val="0"/>
            <w:vAlign w:val="center"/>
          </w:tcPr>
          <w:p w14:paraId="1DC714C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r>
      <w:tr w14:paraId="3899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79" w:type="pct"/>
            <w:noWrap w:val="0"/>
            <w:vAlign w:val="center"/>
          </w:tcPr>
          <w:p w14:paraId="6B1CBF0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auto"/>
                <w:sz w:val="21"/>
                <w:szCs w:val="21"/>
                <w:highlight w:val="none"/>
                <w:u w:val="none"/>
                <w:lang w:val="en-US" w:eastAsia="zh-CN"/>
              </w:rPr>
            </w:pPr>
            <w:r>
              <w:rPr>
                <w:rFonts w:ascii="宋体" w:hAnsi="宋体" w:eastAsia="宋体" w:cs="宋体"/>
                <w:b/>
                <w:bCs/>
                <w:color w:val="auto"/>
                <w:kern w:val="0"/>
                <w:szCs w:val="21"/>
                <w:highlight w:val="none"/>
                <w:lang w:val="en-US" w:eastAsia="zh-CN"/>
              </w:rPr>
              <w:t>二噁英</w:t>
            </w:r>
            <w:r>
              <w:rPr>
                <w:rFonts w:hint="eastAsia" w:ascii="宋体" w:hAnsi="宋体" w:eastAsia="宋体" w:cs="宋体"/>
                <w:b/>
                <w:bCs/>
                <w:color w:val="auto"/>
                <w:kern w:val="0"/>
                <w:szCs w:val="21"/>
                <w:highlight w:val="none"/>
                <w:lang w:val="en-US" w:eastAsia="zh-CN"/>
              </w:rPr>
              <w:t>检测项目</w:t>
            </w:r>
          </w:p>
        </w:tc>
        <w:tc>
          <w:tcPr>
            <w:tcW w:w="781" w:type="pct"/>
            <w:noWrap w:val="0"/>
            <w:vAlign w:val="center"/>
          </w:tcPr>
          <w:p w14:paraId="5BFEE015">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其他项目</w:t>
            </w:r>
          </w:p>
        </w:tc>
        <w:tc>
          <w:tcPr>
            <w:tcW w:w="1506" w:type="pct"/>
            <w:noWrap w:val="0"/>
            <w:vAlign w:val="center"/>
          </w:tcPr>
          <w:p w14:paraId="6550EB8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废气：二噁英</w:t>
            </w:r>
          </w:p>
        </w:tc>
        <w:tc>
          <w:tcPr>
            <w:tcW w:w="453" w:type="pct"/>
            <w:noWrap w:val="0"/>
            <w:vAlign w:val="center"/>
          </w:tcPr>
          <w:p w14:paraId="75AD384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15</w:t>
            </w:r>
          </w:p>
        </w:tc>
        <w:tc>
          <w:tcPr>
            <w:tcW w:w="491" w:type="pct"/>
            <w:noWrap w:val="0"/>
            <w:vAlign w:val="center"/>
          </w:tcPr>
          <w:p w14:paraId="57B47FE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1" w:type="pct"/>
            <w:noWrap w:val="0"/>
            <w:vAlign w:val="center"/>
          </w:tcPr>
          <w:p w14:paraId="79C0795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6B1A14A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961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5000" w:type="pct"/>
            <w:gridSpan w:val="7"/>
            <w:noWrap w:val="0"/>
            <w:vAlign w:val="center"/>
          </w:tcPr>
          <w:p w14:paraId="270FD51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报价合计：</w:t>
            </w:r>
          </w:p>
          <w:p w14:paraId="3BD750E1">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大写：</w:t>
            </w:r>
          </w:p>
          <w:p w14:paraId="1382850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小写：</w:t>
            </w:r>
          </w:p>
        </w:tc>
      </w:tr>
    </w:tbl>
    <w:p w14:paraId="530CAF7D">
      <w:pPr>
        <w:pStyle w:val="4"/>
        <w:rPr>
          <w:rFonts w:hint="eastAsia"/>
          <w:color w:val="auto"/>
          <w:highlight w:val="none"/>
        </w:rPr>
      </w:pPr>
    </w:p>
    <w:p w14:paraId="23EDDE84">
      <w:pPr>
        <w:pStyle w:val="11"/>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三、技术资料</w:t>
      </w:r>
    </w:p>
    <w:p w14:paraId="7582C61B">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w:t>
      </w:r>
      <w:r>
        <w:rPr>
          <w:rFonts w:hint="eastAsia" w:hAnsi="宋体" w:cs="宋体"/>
          <w:color w:val="auto"/>
          <w:szCs w:val="21"/>
          <w:highlight w:val="none"/>
          <w:lang w:val="en-US" w:eastAsia="zh-CN"/>
        </w:rPr>
        <w:t>采购</w:t>
      </w:r>
      <w:r>
        <w:rPr>
          <w:rFonts w:hint="eastAsia" w:ascii="宋体" w:hAnsi="宋体" w:eastAsia="宋体" w:cs="宋体"/>
          <w:color w:val="auto"/>
          <w:szCs w:val="21"/>
          <w:highlight w:val="none"/>
        </w:rPr>
        <w:t>文件规定的要求向甲方提供有关技术资料。</w:t>
      </w:r>
    </w:p>
    <w:p w14:paraId="24B3E685">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42CABF6">
      <w:pPr>
        <w:pStyle w:val="11"/>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四、知识产权</w:t>
      </w:r>
    </w:p>
    <w:p w14:paraId="286A0D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1、乙方应保证提供服务过程中不会侵犯任何第三方的知识产权和其他权利。</w:t>
      </w:r>
    </w:p>
    <w:p w14:paraId="4436E4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2、本项目所有成果以及采集的数据的知识产权和其他权利属甲方所有，乙方不得以任何形式向第三方提供，否则，按国家法律和有关规定追究乙方的一切责任，并要求乙方承担甲方因此造成的损失。</w:t>
      </w:r>
    </w:p>
    <w:p w14:paraId="2435571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3、本项目作业过程中提供的或涉及的所有数据属甲方拥有，乙方无权在技术要求规定之外自行处置数据，不得自行删除、复制、调整完善、转移数据，不得以任何形式擅自使用或向第三方提供。</w:t>
      </w:r>
    </w:p>
    <w:p w14:paraId="317D3D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4、若侵犯,除承担本协议中的违约责任外，还应由乙方赔偿甲方因此遭受的损失（包括但不限于应对及追偿过程中所支付的律师费、差旅费、诉讼费、保全费、鉴定费、评估费等）。</w:t>
      </w:r>
    </w:p>
    <w:p w14:paraId="6049E55E">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五、合同履行时间及履行地点</w:t>
      </w:r>
    </w:p>
    <w:p w14:paraId="23C6165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b/>
          <w:bCs/>
          <w:color w:val="auto"/>
          <w:kern w:val="0"/>
          <w:szCs w:val="21"/>
          <w:highlight w:val="none"/>
        </w:rPr>
        <w:t>服务期：</w:t>
      </w:r>
      <w:r>
        <w:rPr>
          <w:rFonts w:hint="eastAsia" w:ascii="宋体" w:hAnsi="宋体" w:eastAsia="宋体" w:cs="宋体"/>
          <w:color w:val="auto"/>
          <w:kern w:val="0"/>
          <w:szCs w:val="21"/>
          <w:highlight w:val="none"/>
        </w:rPr>
        <w:t>202</w:t>
      </w:r>
      <w:ins w:id="2" w:author="崽崽" w:date="2025-11-05T15:45:21Z">
        <w:r>
          <w:rPr>
            <w:rFonts w:hint="eastAsia" w:ascii="宋体" w:hAnsi="宋体" w:cs="宋体"/>
            <w:color w:val="auto"/>
            <w:kern w:val="0"/>
            <w:szCs w:val="21"/>
            <w:highlight w:val="none"/>
            <w:lang w:val="en-US" w:eastAsia="zh-CN"/>
          </w:rPr>
          <w:t>6</w:t>
        </w:r>
      </w:ins>
      <w:r>
        <w:rPr>
          <w:rFonts w:hint="eastAsia" w:ascii="宋体" w:hAnsi="宋体" w:eastAsia="宋体" w:cs="宋体"/>
          <w:color w:val="auto"/>
          <w:kern w:val="0"/>
          <w:szCs w:val="21"/>
          <w:highlight w:val="none"/>
        </w:rPr>
        <w:t>年12月</w:t>
      </w:r>
      <w:r>
        <w:rPr>
          <w:rFonts w:hint="eastAsia" w:ascii="宋体" w:hAnsi="宋体" w:eastAsia="宋体" w:cs="宋体"/>
          <w:color w:val="auto"/>
          <w:kern w:val="0"/>
          <w:szCs w:val="21"/>
          <w:highlight w:val="none"/>
          <w:lang w:val="en-US" w:eastAsia="zh-CN"/>
        </w:rPr>
        <w:t>底前</w:t>
      </w:r>
      <w:r>
        <w:rPr>
          <w:rFonts w:hint="eastAsia" w:ascii="宋体" w:hAnsi="宋体" w:eastAsia="宋体" w:cs="宋体"/>
          <w:color w:val="auto"/>
          <w:kern w:val="0"/>
          <w:szCs w:val="21"/>
          <w:highlight w:val="none"/>
        </w:rPr>
        <w:t>完成检测。</w:t>
      </w:r>
    </w:p>
    <w:p w14:paraId="62B7852A">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2、履行地点：台州市路桥区</w:t>
      </w:r>
    </w:p>
    <w:p w14:paraId="0ED51476">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1"/>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六、款项支付</w:t>
      </w:r>
    </w:p>
    <w:p w14:paraId="080EDDA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b/>
          <w:bCs/>
          <w:color w:val="auto"/>
          <w:kern w:val="0"/>
          <w:szCs w:val="21"/>
          <w:highlight w:val="none"/>
        </w:rPr>
      </w:pPr>
      <w:r>
        <w:rPr>
          <w:rFonts w:hint="eastAsia" w:ascii="宋体" w:hAnsi="宋体" w:eastAsia="宋体" w:cs="宋体"/>
          <w:snapToGrid w:val="0"/>
          <w:color w:val="auto"/>
          <w:sz w:val="21"/>
          <w:szCs w:val="21"/>
          <w:highlight w:val="none"/>
          <w:lang w:val="en-US" w:eastAsia="zh-CN" w:bidi="ar-SA"/>
        </w:rPr>
        <w:t>总结算金额不得超过</w:t>
      </w:r>
      <w:r>
        <w:rPr>
          <w:rFonts w:hint="eastAsia" w:ascii="宋体" w:hAnsi="宋体" w:cs="宋体"/>
          <w:snapToGrid w:val="0"/>
          <w:color w:val="auto"/>
          <w:sz w:val="21"/>
          <w:szCs w:val="21"/>
          <w:highlight w:val="none"/>
          <w:lang w:val="en-US" w:eastAsia="zh-CN" w:bidi="ar-SA"/>
        </w:rPr>
        <w:t>采购</w:t>
      </w:r>
      <w:r>
        <w:rPr>
          <w:rFonts w:hint="eastAsia" w:ascii="宋体" w:hAnsi="宋体" w:eastAsia="宋体" w:cs="宋体"/>
          <w:snapToGrid w:val="0"/>
          <w:color w:val="auto"/>
          <w:sz w:val="21"/>
          <w:szCs w:val="21"/>
          <w:highlight w:val="none"/>
          <w:lang w:val="en-US" w:eastAsia="zh-CN" w:bidi="ar-SA"/>
        </w:rPr>
        <w:t>上限金额20万</w:t>
      </w:r>
      <w:r>
        <w:rPr>
          <w:rFonts w:hint="eastAsia" w:ascii="宋体" w:hAnsi="宋体" w:eastAsia="宋体" w:cs="宋体"/>
          <w:color w:val="auto"/>
          <w:kern w:val="0"/>
          <w:szCs w:val="21"/>
          <w:highlight w:val="none"/>
        </w:rPr>
        <w:t>。</w:t>
      </w:r>
    </w:p>
    <w:p w14:paraId="565F7C3B">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color w:val="auto"/>
          <w:sz w:val="21"/>
          <w:szCs w:val="21"/>
          <w:highlight w:val="none"/>
          <w:lang w:val="en-US" w:eastAsia="zh-CN" w:bidi="ar"/>
        </w:rPr>
      </w:pP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其他检测项目：</w:t>
      </w:r>
      <w:r>
        <w:rPr>
          <w:rFonts w:hint="eastAsia" w:ascii="宋体" w:hAnsi="宋体" w:eastAsia="宋体" w:cs="宋体"/>
          <w:color w:val="auto"/>
          <w:sz w:val="21"/>
          <w:szCs w:val="21"/>
          <w:highlight w:val="none"/>
          <w:lang w:val="en-US" w:eastAsia="zh-CN" w:bidi="ar"/>
        </w:rPr>
        <w:t>签订合同后支付</w:t>
      </w:r>
      <w:r>
        <w:rPr>
          <w:rFonts w:hint="eastAsia" w:ascii="宋体" w:hAnsi="宋体" w:eastAsia="宋体" w:cs="宋体"/>
          <w:b/>
          <w:bCs/>
          <w:color w:val="auto"/>
          <w:kern w:val="0"/>
          <w:szCs w:val="21"/>
          <w:highlight w:val="none"/>
          <w:lang w:val="en-US" w:eastAsia="zh-CN"/>
        </w:rPr>
        <w:t>“其他检测项目”</w:t>
      </w:r>
      <w:r>
        <w:rPr>
          <w:rFonts w:hint="eastAsia" w:ascii="宋体" w:hAnsi="宋体" w:eastAsia="宋体" w:cs="宋体"/>
          <w:color w:val="auto"/>
          <w:sz w:val="21"/>
          <w:szCs w:val="21"/>
          <w:highlight w:val="none"/>
          <w:lang w:val="en-US" w:eastAsia="zh-CN" w:bidi="ar"/>
        </w:rPr>
        <w:t>金额的40%作为预付款，全部报告经</w:t>
      </w:r>
      <w:r>
        <w:rPr>
          <w:rFonts w:hint="eastAsia" w:ascii="宋体" w:hAnsi="宋体" w:cs="宋体"/>
          <w:color w:val="auto"/>
          <w:sz w:val="21"/>
          <w:szCs w:val="21"/>
          <w:highlight w:val="none"/>
          <w:lang w:val="en-US" w:eastAsia="zh-CN" w:bidi="ar"/>
        </w:rPr>
        <w:t>甲方</w:t>
      </w:r>
      <w:r>
        <w:rPr>
          <w:rFonts w:hint="eastAsia" w:ascii="宋体" w:hAnsi="宋体" w:eastAsia="宋体" w:cs="宋体"/>
          <w:color w:val="auto"/>
          <w:sz w:val="21"/>
          <w:szCs w:val="21"/>
          <w:highlight w:val="none"/>
          <w:lang w:val="en-US" w:eastAsia="zh-CN" w:bidi="ar"/>
        </w:rPr>
        <w:t>审核通过后支付剩下的部分。</w:t>
      </w:r>
    </w:p>
    <w:p w14:paraId="249E66DD">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outlineLvl w:val="9"/>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（2）二噁英检测项目：</w:t>
      </w:r>
      <w:r>
        <w:rPr>
          <w:rFonts w:hint="eastAsia" w:ascii="宋体" w:hAnsi="宋体" w:eastAsia="宋体" w:cs="宋体"/>
          <w:color w:val="auto"/>
          <w:kern w:val="0"/>
          <w:szCs w:val="21"/>
          <w:highlight w:val="none"/>
          <w:lang w:val="en-US" w:eastAsia="zh-CN"/>
        </w:rPr>
        <w:t>按实结算，结算价=二噁英项目的中标单价*实际监测样品个数。</w:t>
      </w:r>
    </w:p>
    <w:p w14:paraId="06690F04">
      <w:pPr>
        <w:pStyle w:val="11"/>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七、税费</w:t>
      </w:r>
    </w:p>
    <w:p w14:paraId="745582AC">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本合同执行中相关的一切税费均由乙方负担。</w:t>
      </w:r>
    </w:p>
    <w:p w14:paraId="4CFC001C">
      <w:pPr>
        <w:pStyle w:val="11"/>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八、质量保证及后续服务</w:t>
      </w:r>
    </w:p>
    <w:p w14:paraId="54FABCA6">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1、乙方应按</w:t>
      </w:r>
      <w:r>
        <w:rPr>
          <w:rFonts w:hint="eastAsia" w:hAnsi="宋体" w:cs="宋体"/>
          <w:color w:val="auto"/>
          <w:szCs w:val="21"/>
          <w:highlight w:val="none"/>
          <w:lang w:val="en-US" w:eastAsia="zh-CN"/>
        </w:rPr>
        <w:t>采购</w:t>
      </w:r>
      <w:r>
        <w:rPr>
          <w:rFonts w:hint="eastAsia" w:ascii="宋体" w:hAnsi="宋体" w:eastAsia="宋体" w:cs="宋体"/>
          <w:color w:val="auto"/>
          <w:szCs w:val="21"/>
          <w:highlight w:val="none"/>
          <w:lang w:val="en-US" w:eastAsia="zh-CN"/>
        </w:rPr>
        <w:t>文件规定向甲方提供服务。</w:t>
      </w:r>
    </w:p>
    <w:p w14:paraId="3E7782EF">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2、乙方提供的服务成果在服务期内出现问题，乙方应负责免费提供后续服务。对达不到要求者，根据实际情况，经双方协商，可按以下办法处理：</w:t>
      </w:r>
    </w:p>
    <w:p w14:paraId="56935186">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（1）重做：由乙方承担所发生的全部费用。</w:t>
      </w:r>
    </w:p>
    <w:p w14:paraId="0209A2A9">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（2）贬值处理：由甲乙双方合议定价。</w:t>
      </w:r>
    </w:p>
    <w:p w14:paraId="6ECEA9E9">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（3）解除合同。</w:t>
      </w:r>
    </w:p>
    <w:p w14:paraId="4E1DB560">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3、如在使用过程中发生问题，乙方在接到甲方通知后在</w:t>
      </w:r>
      <w:r>
        <w:rPr>
          <w:rFonts w:hint="eastAsia" w:hAnsi="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小时内到达甲方现场。</w:t>
      </w:r>
    </w:p>
    <w:p w14:paraId="6CF63915">
      <w:pPr>
        <w:pStyle w:val="11"/>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九、违约责任</w:t>
      </w:r>
    </w:p>
    <w:p w14:paraId="1C0D01FF">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1、甲方无正当理由拒收接受服务的，甲方向乙方支付合同款项百分之五作为违约金。</w:t>
      </w:r>
    </w:p>
    <w:p w14:paraId="722E38FE">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2、甲方无故逾期验收和办理款项支付手续的，甲方应按逾期付款总额向乙方支付每日万分之五违约金。</w:t>
      </w:r>
    </w:p>
    <w:p w14:paraId="7B1A0A9A">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乙方逾期提供服务的，乙方应按逾期天数向甲方支付每日万分之五违约金。逾期超过约定日期10个工作日的，甲方可解除本合同。乙方因逾期实施或因其他违约行为导致甲方解除合同的，乙方应向甲方支付合同款项百分之五的违约金，如造成甲方损失超过违约金的，超出部分由乙方继续承担赔偿责任。 </w:t>
      </w:r>
    </w:p>
    <w:p w14:paraId="227990AB">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4、若发生纠纷，由违约方赔偿守约方因纠纷所支付的费用（包括但不限于律师费、差旅费、诉讼费、保全费、鉴定费、评估费等）。</w:t>
      </w:r>
    </w:p>
    <w:p w14:paraId="72B73DAC">
      <w:pPr>
        <w:pStyle w:val="11"/>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baseline"/>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lang w:val="en-US" w:eastAsia="zh-CN"/>
        </w:rPr>
        <w:t>十、</w:t>
      </w:r>
      <w:r>
        <w:rPr>
          <w:rFonts w:hint="eastAsia" w:ascii="宋体" w:hAnsi="宋体" w:eastAsia="宋体" w:cs="宋体"/>
          <w:b/>
          <w:bCs/>
          <w:snapToGrid w:val="0"/>
          <w:color w:val="auto"/>
          <w:sz w:val="21"/>
          <w:szCs w:val="21"/>
          <w:highlight w:val="none"/>
        </w:rPr>
        <w:t>不可抗力事件处理</w:t>
      </w:r>
    </w:p>
    <w:p w14:paraId="1194A3F2">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1、在合同有效期内，任何一方因不可抗力事件导致不能履行合同，则合同履行期可延长，其延长期与不可抗力影响期相同。</w:t>
      </w:r>
    </w:p>
    <w:p w14:paraId="225F95CE">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2、不可抗力事件发生后，应立即通知对方，并寄送有关权威机构出具的证明。</w:t>
      </w:r>
    </w:p>
    <w:p w14:paraId="15C139CD">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3、不可抗力事件延续120天以上，双方应通过友好协商，确定是否继续履行合同。</w:t>
      </w:r>
    </w:p>
    <w:p w14:paraId="41C7F91A">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Cs w:val="21"/>
          <w:highlight w:val="none"/>
        </w:rPr>
        <w:t>4、如合同履行时间内，因</w:t>
      </w:r>
      <w:r>
        <w:rPr>
          <w:rFonts w:hint="eastAsia" w:ascii="宋体" w:hAnsi="宋体" w:eastAsia="宋体" w:cs="宋体"/>
          <w:snapToGrid w:val="0"/>
          <w:color w:val="auto"/>
          <w:sz w:val="21"/>
          <w:szCs w:val="21"/>
          <w:highlight w:val="none"/>
        </w:rPr>
        <w:t>不可抗力</w:t>
      </w:r>
      <w:r>
        <w:rPr>
          <w:rFonts w:hint="eastAsia" w:ascii="宋体" w:hAnsi="宋体" w:eastAsia="宋体" w:cs="宋体"/>
          <w:snapToGrid w:val="0"/>
          <w:color w:val="auto"/>
          <w:szCs w:val="21"/>
          <w:highlight w:val="none"/>
        </w:rPr>
        <w:t>原因需要延迟相关活动或解除合同的，由双方进行协商；合同解除后，双方根据乙方的实际履行支付情况及凭证（发票）进行结算。</w:t>
      </w:r>
    </w:p>
    <w:p w14:paraId="590B17B0">
      <w:pPr>
        <w:pStyle w:val="11"/>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baseline"/>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rPr>
        <w:t>十</w:t>
      </w:r>
      <w:r>
        <w:rPr>
          <w:rFonts w:hint="eastAsia" w:ascii="宋体" w:hAnsi="宋体" w:eastAsia="宋体" w:cs="宋体"/>
          <w:b/>
          <w:bCs/>
          <w:snapToGrid w:val="0"/>
          <w:color w:val="auto"/>
          <w:sz w:val="21"/>
          <w:szCs w:val="21"/>
          <w:highlight w:val="none"/>
          <w:lang w:val="en-US" w:eastAsia="zh-CN"/>
        </w:rPr>
        <w:t>一</w:t>
      </w:r>
      <w:r>
        <w:rPr>
          <w:rFonts w:hint="eastAsia" w:ascii="宋体" w:hAnsi="宋体" w:eastAsia="宋体" w:cs="宋体"/>
          <w:b/>
          <w:bCs/>
          <w:snapToGrid w:val="0"/>
          <w:color w:val="auto"/>
          <w:sz w:val="21"/>
          <w:szCs w:val="21"/>
          <w:highlight w:val="none"/>
        </w:rPr>
        <w:t>、诉讼</w:t>
      </w:r>
    </w:p>
    <w:p w14:paraId="293D74C1">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双方在执行合同中所发生的一切争议，应通过协商解决。如协商不成，可向甲方所在地法院起诉。</w:t>
      </w:r>
    </w:p>
    <w:p w14:paraId="33B61BCB">
      <w:pPr>
        <w:pStyle w:val="11"/>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baseline"/>
        <w:rPr>
          <w:rFonts w:hint="eastAsia" w:ascii="宋体" w:hAnsi="宋体" w:eastAsia="宋体" w:cs="宋体"/>
          <w:b/>
          <w:bCs/>
          <w:snapToGrid w:val="0"/>
          <w:color w:val="auto"/>
          <w:sz w:val="21"/>
          <w:szCs w:val="21"/>
          <w:highlight w:val="none"/>
        </w:rPr>
      </w:pPr>
      <w:r>
        <w:rPr>
          <w:rFonts w:hint="eastAsia" w:ascii="宋体" w:hAnsi="宋体" w:eastAsia="宋体" w:cs="宋体"/>
          <w:b/>
          <w:bCs/>
          <w:snapToGrid w:val="0"/>
          <w:color w:val="auto"/>
          <w:sz w:val="21"/>
          <w:szCs w:val="21"/>
          <w:highlight w:val="none"/>
        </w:rPr>
        <w:t>十</w:t>
      </w:r>
      <w:r>
        <w:rPr>
          <w:rFonts w:hint="eastAsia" w:ascii="宋体" w:hAnsi="宋体" w:eastAsia="宋体" w:cs="宋体"/>
          <w:b/>
          <w:bCs/>
          <w:snapToGrid w:val="0"/>
          <w:color w:val="auto"/>
          <w:sz w:val="21"/>
          <w:szCs w:val="21"/>
          <w:highlight w:val="none"/>
          <w:lang w:val="en-US" w:eastAsia="zh-CN"/>
        </w:rPr>
        <w:t>二</w:t>
      </w:r>
      <w:r>
        <w:rPr>
          <w:rFonts w:hint="eastAsia" w:ascii="宋体" w:hAnsi="宋体" w:eastAsia="宋体" w:cs="宋体"/>
          <w:b/>
          <w:bCs/>
          <w:snapToGrid w:val="0"/>
          <w:color w:val="auto"/>
          <w:sz w:val="21"/>
          <w:szCs w:val="21"/>
          <w:highlight w:val="none"/>
        </w:rPr>
        <w:t>、合同生效及其它</w:t>
      </w:r>
    </w:p>
    <w:p w14:paraId="497A9C3D">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1、合同经双方法定代表人或授权代表签字并加盖单位公章后生效。</w:t>
      </w:r>
    </w:p>
    <w:p w14:paraId="5277B4F5">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2、合同执行中涉及采购资金和采购内容修改或补充的，须签书面补充协议方可作为主合同不可分割的一部分。</w:t>
      </w:r>
    </w:p>
    <w:p w14:paraId="1832536D">
      <w:pPr>
        <w:pStyle w:val="11"/>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baseline"/>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3、本合同未尽事宜，遵照《</w:t>
      </w:r>
      <w:r>
        <w:rPr>
          <w:rFonts w:hint="eastAsia" w:ascii="宋体" w:hAnsi="宋体" w:eastAsia="宋体" w:cs="宋体"/>
          <w:snapToGrid w:val="0"/>
          <w:color w:val="auto"/>
          <w:sz w:val="21"/>
          <w:szCs w:val="21"/>
          <w:highlight w:val="none"/>
          <w:lang w:val="en-US" w:eastAsia="zh-CN"/>
        </w:rPr>
        <w:t>民法典</w:t>
      </w:r>
      <w:r>
        <w:rPr>
          <w:rFonts w:hint="eastAsia" w:ascii="宋体" w:hAnsi="宋体" w:eastAsia="宋体" w:cs="宋体"/>
          <w:snapToGrid w:val="0"/>
          <w:color w:val="auto"/>
          <w:sz w:val="21"/>
          <w:szCs w:val="21"/>
          <w:highlight w:val="none"/>
        </w:rPr>
        <w:t>》有关条文执行。</w:t>
      </w:r>
    </w:p>
    <w:p w14:paraId="35FADAC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spacing w:val="-6"/>
          <w:kern w:val="0"/>
          <w:sz w:val="21"/>
          <w:szCs w:val="21"/>
          <w:highlight w:val="none"/>
        </w:rPr>
        <w:t>、本合同壹式陆份，甲、乙双方、</w:t>
      </w:r>
      <w:r>
        <w:rPr>
          <w:rFonts w:hint="eastAsia" w:ascii="宋体" w:hAnsi="宋体" w:cs="宋体"/>
          <w:color w:val="auto"/>
          <w:spacing w:val="-6"/>
          <w:kern w:val="0"/>
          <w:sz w:val="21"/>
          <w:szCs w:val="21"/>
          <w:highlight w:val="none"/>
          <w:lang w:val="en-US" w:eastAsia="zh-CN"/>
        </w:rPr>
        <w:t>采购代理机构</w:t>
      </w:r>
      <w:r>
        <w:rPr>
          <w:rFonts w:hint="eastAsia" w:ascii="宋体" w:hAnsi="宋体" w:eastAsia="宋体" w:cs="宋体"/>
          <w:color w:val="auto"/>
          <w:spacing w:val="-6"/>
          <w:kern w:val="0"/>
          <w:sz w:val="21"/>
          <w:szCs w:val="21"/>
          <w:highlight w:val="none"/>
        </w:rPr>
        <w:t>各执贰份。本项目未尽事宜以</w:t>
      </w:r>
      <w:r>
        <w:rPr>
          <w:rFonts w:hint="eastAsia" w:ascii="宋体" w:hAnsi="宋体" w:cs="宋体"/>
          <w:color w:val="auto"/>
          <w:spacing w:val="-6"/>
          <w:kern w:val="0"/>
          <w:sz w:val="21"/>
          <w:szCs w:val="21"/>
          <w:highlight w:val="none"/>
          <w:lang w:val="en-US" w:eastAsia="zh-CN"/>
        </w:rPr>
        <w:t>采购</w:t>
      </w:r>
      <w:r>
        <w:rPr>
          <w:rFonts w:hint="eastAsia" w:ascii="宋体" w:hAnsi="宋体" w:eastAsia="宋体" w:cs="宋体"/>
          <w:color w:val="auto"/>
          <w:spacing w:val="-6"/>
          <w:kern w:val="0"/>
          <w:sz w:val="21"/>
          <w:szCs w:val="21"/>
          <w:highlight w:val="none"/>
        </w:rPr>
        <w:t>文件、投标文件及澄清文件等为准。</w:t>
      </w:r>
    </w:p>
    <w:p w14:paraId="219CEB4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spacing w:val="-6"/>
          <w:kern w:val="0"/>
          <w:sz w:val="21"/>
          <w:szCs w:val="21"/>
          <w:highlight w:val="none"/>
        </w:rPr>
        <w:t>、与本合同有关标书及记录同本合同具有同等法律效果。</w:t>
      </w:r>
    </w:p>
    <w:p w14:paraId="02663FCF">
      <w:pPr>
        <w:keepNext w:val="0"/>
        <w:keepLines w:val="0"/>
        <w:pageBreakBefore w:val="0"/>
        <w:widowControl/>
        <w:kinsoku/>
        <w:wordWrap/>
        <w:overflowPunct/>
        <w:topLinePunct w:val="0"/>
        <w:autoSpaceDE/>
        <w:autoSpaceDN/>
        <w:bidi w:val="0"/>
        <w:spacing w:line="360" w:lineRule="auto"/>
        <w:ind w:firstLine="420" w:firstLineChars="200"/>
        <w:jc w:val="left"/>
        <w:rPr>
          <w:rFonts w:hint="eastAsia" w:ascii="宋体" w:hAnsi="宋体" w:eastAsia="宋体" w:cs="宋体"/>
          <w:color w:val="auto"/>
          <w:kern w:val="0"/>
          <w:sz w:val="21"/>
          <w:szCs w:val="21"/>
          <w:highlight w:val="none"/>
        </w:rPr>
      </w:pPr>
    </w:p>
    <w:p w14:paraId="3287A6E6">
      <w:pPr>
        <w:widowControl/>
        <w:spacing w:line="360" w:lineRule="auto"/>
        <w:ind w:firstLine="31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甲方（公章）：                            乙方（公章）：          </w:t>
      </w:r>
    </w:p>
    <w:p w14:paraId="69513518">
      <w:pPr>
        <w:widowControl/>
        <w:spacing w:line="360" w:lineRule="auto"/>
        <w:ind w:firstLine="31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法定代表人或授权委托代理人签字</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法定代表人或授权委托代理人签字</w:t>
      </w:r>
      <w:r>
        <w:rPr>
          <w:rFonts w:hint="eastAsia" w:ascii="宋体" w:hAnsi="宋体" w:eastAsia="宋体" w:cs="宋体"/>
          <w:color w:val="auto"/>
          <w:kern w:val="0"/>
          <w:sz w:val="21"/>
          <w:szCs w:val="21"/>
          <w:highlight w:val="none"/>
        </w:rPr>
        <w:t xml:space="preserve">：         </w:t>
      </w:r>
    </w:p>
    <w:p w14:paraId="6166016C">
      <w:pPr>
        <w:widowControl/>
        <w:spacing w:line="360" w:lineRule="auto"/>
        <w:ind w:firstLine="31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联系电话：                                联系电话：</w:t>
      </w:r>
    </w:p>
    <w:p w14:paraId="0668D446">
      <w:pPr>
        <w:widowControl/>
        <w:spacing w:line="360" w:lineRule="auto"/>
        <w:ind w:firstLine="31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开户银行：                                开户银行：    </w:t>
      </w:r>
    </w:p>
    <w:p w14:paraId="6125E5E4">
      <w:pPr>
        <w:widowControl/>
        <w:spacing w:line="360" w:lineRule="auto"/>
        <w:ind w:firstLine="31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                                账    号：</w:t>
      </w:r>
    </w:p>
    <w:p w14:paraId="3C6C44D3">
      <w:pPr>
        <w:widowControl/>
        <w:spacing w:line="360" w:lineRule="auto"/>
        <w:ind w:firstLine="315"/>
        <w:rPr>
          <w:rFonts w:hint="eastAsia" w:ascii="宋体" w:hAnsi="宋体" w:eastAsia="宋体" w:cs="宋体"/>
          <w:color w:val="auto"/>
          <w:kern w:val="0"/>
          <w:sz w:val="21"/>
          <w:szCs w:val="21"/>
          <w:highlight w:val="none"/>
        </w:rPr>
      </w:pPr>
    </w:p>
    <w:p w14:paraId="7463E6D7">
      <w:pPr>
        <w:widowControl/>
        <w:spacing w:line="360" w:lineRule="auto"/>
        <w:ind w:firstLine="315"/>
        <w:rPr>
          <w:rFonts w:hint="eastAsia" w:ascii="宋体" w:hAnsi="宋体" w:eastAsia="宋体" w:cs="宋体"/>
          <w:color w:val="auto"/>
          <w:kern w:val="0"/>
          <w:sz w:val="21"/>
          <w:szCs w:val="21"/>
          <w:highlight w:val="none"/>
        </w:rPr>
      </w:pPr>
    </w:p>
    <w:p w14:paraId="51357524">
      <w:pPr>
        <w:widowControl/>
        <w:spacing w:line="360" w:lineRule="auto"/>
        <w:ind w:firstLine="315"/>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w:t>
      </w:r>
      <w:r>
        <w:rPr>
          <w:rFonts w:hint="eastAsia" w:ascii="宋体" w:hAnsi="宋体" w:eastAsia="宋体" w:cs="宋体"/>
          <w:color w:val="auto"/>
          <w:kern w:val="0"/>
          <w:sz w:val="21"/>
          <w:szCs w:val="21"/>
          <w:highlight w:val="none"/>
          <w:lang w:val="en-US" w:eastAsia="zh-CN"/>
        </w:rPr>
        <w:t>见</w:t>
      </w:r>
      <w:r>
        <w:rPr>
          <w:rFonts w:hint="eastAsia" w:ascii="宋体" w:hAnsi="宋体" w:eastAsia="宋体" w:cs="宋体"/>
          <w:color w:val="auto"/>
          <w:kern w:val="0"/>
          <w:sz w:val="21"/>
          <w:szCs w:val="21"/>
          <w:highlight w:val="none"/>
        </w:rPr>
        <w:t>证方：</w:t>
      </w:r>
    </w:p>
    <w:p w14:paraId="66C4779F">
      <w:pPr>
        <w:widowControl/>
        <w:spacing w:line="360" w:lineRule="auto"/>
        <w:ind w:firstLine="3675" w:firstLineChars="17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签订日期：       年     月     日</w:t>
      </w:r>
    </w:p>
    <w:p w14:paraId="319DBB5C">
      <w:pPr>
        <w:widowControl/>
        <w:spacing w:line="360" w:lineRule="auto"/>
        <w:ind w:firstLine="315"/>
        <w:rPr>
          <w:rFonts w:hint="eastAsia" w:ascii="宋体" w:hAnsi="宋体" w:eastAsia="宋体" w:cs="宋体"/>
          <w:color w:val="auto"/>
          <w:kern w:val="0"/>
          <w:sz w:val="21"/>
          <w:szCs w:val="21"/>
          <w:highlight w:val="none"/>
        </w:rPr>
      </w:pPr>
    </w:p>
    <w:p w14:paraId="506791D6">
      <w:pPr>
        <w:widowControl/>
        <w:spacing w:line="360" w:lineRule="auto"/>
        <w:ind w:firstLine="315"/>
        <w:rPr>
          <w:rFonts w:hint="eastAsia" w:ascii="宋体" w:hAnsi="宋体" w:eastAsia="宋体" w:cs="宋体"/>
          <w:color w:val="auto"/>
          <w:kern w:val="0"/>
          <w:sz w:val="21"/>
          <w:szCs w:val="21"/>
          <w:highlight w:val="none"/>
        </w:rPr>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45C0968">
      <w:pPr>
        <w:spacing w:line="360" w:lineRule="auto"/>
        <w:jc w:val="center"/>
        <w:outlineLvl w:val="0"/>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 xml:space="preserve">第六章 </w:t>
      </w:r>
      <w:r>
        <w:rPr>
          <w:rFonts w:hint="eastAsia" w:ascii="宋体" w:hAnsi="宋体" w:eastAsia="宋体" w:cs="宋体"/>
          <w:b/>
          <w:color w:val="auto"/>
          <w:sz w:val="36"/>
          <w:szCs w:val="36"/>
          <w:highlight w:val="none"/>
          <w:lang w:eastAsia="zh-CN"/>
        </w:rPr>
        <w:t>响应文件格式附件</w:t>
      </w:r>
    </w:p>
    <w:p w14:paraId="71D3398B">
      <w:pPr>
        <w:keepNext w:val="0"/>
        <w:keepLines w:val="0"/>
        <w:pageBreakBefore w:val="0"/>
        <w:kinsoku/>
        <w:overflowPunct/>
        <w:topLinePunct w:val="0"/>
        <w:bidi w:val="0"/>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附件1</w:t>
      </w:r>
      <w:r>
        <w:rPr>
          <w:rFonts w:hint="eastAsia" w:ascii="宋体" w:hAnsi="宋体" w:eastAsia="宋体" w:cs="宋体"/>
          <w:b/>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b/>
          <w:color w:val="auto"/>
          <w:sz w:val="28"/>
          <w:highlight w:val="none"/>
        </w:rPr>
        <w:t xml:space="preserve">        </w:t>
      </w:r>
      <w:r>
        <w:rPr>
          <w:rFonts w:hint="eastAsia" w:ascii="宋体" w:hAnsi="宋体" w:eastAsia="宋体" w:cs="宋体"/>
          <w:b/>
          <w:color w:val="auto"/>
          <w:sz w:val="28"/>
          <w:highlight w:val="none"/>
          <w:u w:val="single"/>
        </w:rPr>
        <w:t xml:space="preserve">     </w:t>
      </w:r>
      <w:r>
        <w:rPr>
          <w:rFonts w:hint="eastAsia" w:ascii="宋体" w:hAnsi="宋体" w:eastAsia="宋体" w:cs="宋体"/>
          <w:bCs/>
          <w:color w:val="auto"/>
          <w:sz w:val="24"/>
          <w:highlight w:val="none"/>
        </w:rPr>
        <w:t>本</w:t>
      </w:r>
    </w:p>
    <w:p w14:paraId="395AD4E0">
      <w:pPr>
        <w:keepNext w:val="0"/>
        <w:keepLines w:val="0"/>
        <w:pageBreakBefore w:val="0"/>
        <w:kinsoku/>
        <w:overflowPunct/>
        <w:topLinePunct w:val="0"/>
        <w:bidi w:val="0"/>
        <w:ind w:right="-110"/>
        <w:jc w:val="center"/>
        <w:outlineLvl w:val="9"/>
        <w:rPr>
          <w:rFonts w:hint="eastAsia" w:ascii="宋体" w:hAnsi="宋体" w:eastAsia="宋体" w:cs="宋体"/>
          <w:color w:val="auto"/>
          <w:spacing w:val="40"/>
          <w:sz w:val="52"/>
          <w:szCs w:val="52"/>
          <w:highlight w:val="none"/>
        </w:rPr>
      </w:pPr>
    </w:p>
    <w:p w14:paraId="62E7F566">
      <w:pPr>
        <w:keepNext w:val="0"/>
        <w:keepLines w:val="0"/>
        <w:pageBreakBefore w:val="0"/>
        <w:kinsoku/>
        <w:overflowPunct/>
        <w:topLinePunct w:val="0"/>
        <w:bidi w:val="0"/>
        <w:spacing w:line="360" w:lineRule="auto"/>
        <w:ind w:right="-110"/>
        <w:jc w:val="center"/>
        <w:outlineLvl w:val="9"/>
        <w:rPr>
          <w:rFonts w:hint="eastAsia" w:ascii="宋体" w:hAnsi="宋体" w:eastAsia="宋体" w:cs="宋体"/>
          <w:color w:val="auto"/>
          <w:spacing w:val="40"/>
          <w:sz w:val="52"/>
          <w:szCs w:val="52"/>
          <w:highlight w:val="none"/>
        </w:rPr>
      </w:pPr>
      <w:r>
        <w:rPr>
          <w:rFonts w:hint="eastAsia" w:ascii="宋体" w:hAnsi="宋体" w:eastAsia="宋体" w:cs="宋体"/>
          <w:color w:val="auto"/>
          <w:spacing w:val="40"/>
          <w:sz w:val="52"/>
          <w:szCs w:val="52"/>
          <w:highlight w:val="none"/>
        </w:rPr>
        <w:t>项目名称</w:t>
      </w:r>
    </w:p>
    <w:p w14:paraId="7359C128">
      <w:pPr>
        <w:keepNext w:val="0"/>
        <w:keepLines w:val="0"/>
        <w:pageBreakBefore w:val="0"/>
        <w:kinsoku/>
        <w:overflowPunct/>
        <w:topLinePunct w:val="0"/>
        <w:bidi w:val="0"/>
        <w:spacing w:before="312" w:beforeLines="100" w:line="360" w:lineRule="auto"/>
        <w:ind w:right="-108" w:firstLine="2160" w:firstLineChars="600"/>
        <w:jc w:val="both"/>
        <w:outlineLvl w:val="9"/>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p>
    <w:p w14:paraId="04D43241">
      <w:pPr>
        <w:keepNext w:val="0"/>
        <w:keepLines w:val="0"/>
        <w:pageBreakBefore w:val="0"/>
        <w:kinsoku/>
        <w:overflowPunct/>
        <w:topLinePunct w:val="0"/>
        <w:bidi w:val="0"/>
        <w:spacing w:before="312" w:beforeLines="100" w:line="240" w:lineRule="atLeast"/>
        <w:ind w:right="-108"/>
        <w:jc w:val="center"/>
        <w:outlineLvl w:val="9"/>
        <w:rPr>
          <w:rFonts w:hint="eastAsia" w:ascii="宋体" w:hAnsi="宋体" w:eastAsia="宋体" w:cs="宋体"/>
          <w:color w:val="auto"/>
          <w:sz w:val="32"/>
          <w:szCs w:val="32"/>
          <w:highlight w:val="none"/>
        </w:rPr>
      </w:pPr>
    </w:p>
    <w:p w14:paraId="6BD75E4C">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磋</w:t>
      </w:r>
    </w:p>
    <w:p w14:paraId="0F50653C">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商</w:t>
      </w:r>
    </w:p>
    <w:p w14:paraId="411DB07E">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响</w:t>
      </w:r>
    </w:p>
    <w:p w14:paraId="50076997">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应</w:t>
      </w:r>
    </w:p>
    <w:p w14:paraId="6341E59A">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文</w:t>
      </w:r>
    </w:p>
    <w:p w14:paraId="0A590113">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件</w:t>
      </w:r>
    </w:p>
    <w:p w14:paraId="1A35F5C9">
      <w:pPr>
        <w:keepNext w:val="0"/>
        <w:keepLines w:val="0"/>
        <w:pageBreakBefore w:val="0"/>
        <w:kinsoku/>
        <w:overflowPunct/>
        <w:topLinePunct w:val="0"/>
        <w:bidi w:val="0"/>
        <w:spacing w:line="500" w:lineRule="exact"/>
        <w:ind w:right="532"/>
        <w:jc w:val="center"/>
        <w:outlineLvl w:val="9"/>
        <w:rPr>
          <w:rFonts w:hint="eastAsia" w:ascii="宋体" w:hAnsi="宋体" w:eastAsia="宋体" w:cs="宋体"/>
          <w:color w:val="auto"/>
          <w:sz w:val="36"/>
          <w:szCs w:val="36"/>
          <w:highlight w:val="none"/>
        </w:rPr>
      </w:pPr>
      <w:r>
        <w:rPr>
          <w:rFonts w:hint="eastAsia" w:ascii="宋体" w:hAnsi="宋体" w:eastAsia="宋体" w:cs="宋体"/>
          <w:color w:val="auto"/>
          <w:sz w:val="28"/>
          <w:szCs w:val="28"/>
          <w:highlight w:val="none"/>
          <w:lang w:val="zh-CN"/>
        </w:rPr>
        <w:t>（</w:t>
      </w:r>
      <w:r>
        <w:rPr>
          <w:rFonts w:hint="eastAsia" w:ascii="宋体" w:hAnsi="宋体" w:eastAsia="宋体" w:cs="宋体"/>
          <w:b/>
          <w:color w:val="auto"/>
          <w:spacing w:val="40"/>
          <w:sz w:val="28"/>
          <w:szCs w:val="28"/>
          <w:highlight w:val="none"/>
        </w:rPr>
        <w:t>资格证明文件）</w:t>
      </w:r>
    </w:p>
    <w:p w14:paraId="731D31E8">
      <w:pPr>
        <w:keepNext w:val="0"/>
        <w:keepLines w:val="0"/>
        <w:pageBreakBefore w:val="0"/>
        <w:kinsoku/>
        <w:overflowPunct/>
        <w:topLinePunct w:val="0"/>
        <w:bidi w:val="0"/>
        <w:spacing w:line="500" w:lineRule="exact"/>
        <w:ind w:right="532" w:firstLine="64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供应商全称（公章）：</w:t>
      </w:r>
    </w:p>
    <w:p w14:paraId="20A7DB65">
      <w:pPr>
        <w:keepNext w:val="0"/>
        <w:keepLines w:val="0"/>
        <w:pageBreakBefore w:val="0"/>
        <w:kinsoku/>
        <w:wordWrap w:val="0"/>
        <w:overflowPunct/>
        <w:topLinePunct w:val="0"/>
        <w:bidi w:val="0"/>
        <w:spacing w:line="500" w:lineRule="exact"/>
        <w:ind w:right="-108" w:firstLine="64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地    址：</w:t>
      </w:r>
    </w:p>
    <w:p w14:paraId="121ED378">
      <w:pPr>
        <w:keepNext w:val="0"/>
        <w:keepLines w:val="0"/>
        <w:pageBreakBefore w:val="0"/>
        <w:kinsoku/>
        <w:wordWrap w:val="0"/>
        <w:overflowPunct/>
        <w:topLinePunct w:val="0"/>
        <w:bidi w:val="0"/>
        <w:spacing w:line="500" w:lineRule="exact"/>
        <w:ind w:right="-108" w:firstLine="640" w:firstLineChars="200"/>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32"/>
          <w:szCs w:val="32"/>
          <w:highlight w:val="none"/>
        </w:rPr>
        <w:t>时    间：</w:t>
      </w:r>
    </w:p>
    <w:p w14:paraId="3E264F64">
      <w:pPr>
        <w:keepNext w:val="0"/>
        <w:keepLines w:val="0"/>
        <w:pageBreakBefore w:val="0"/>
        <w:widowControl w:val="0"/>
        <w:kinsoku/>
        <w:wordWrap/>
        <w:overflowPunct/>
        <w:topLinePunct w:val="0"/>
        <w:autoSpaceDE/>
        <w:autoSpaceDN/>
        <w:bidi w:val="0"/>
        <w:adjustRightInd/>
        <w:snapToGrid w:val="0"/>
        <w:spacing w:before="50" w:after="50" w:line="360" w:lineRule="auto"/>
        <w:jc w:val="center"/>
        <w:textAlignment w:val="auto"/>
        <w:outlineLvl w:val="1"/>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资格证明文件目录</w:t>
      </w:r>
    </w:p>
    <w:p w14:paraId="731958A4">
      <w:pPr>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bCs/>
          <w:color w:val="auto"/>
          <w:sz w:val="24"/>
          <w:highlight w:val="none"/>
          <w:lang w:val="en-US" w:eastAsia="zh-CN"/>
        </w:rPr>
      </w:pPr>
    </w:p>
    <w:p w14:paraId="55A40D51">
      <w:pPr>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1、磋商声明书（附件2）</w:t>
      </w:r>
    </w:p>
    <w:p w14:paraId="39D88EB2">
      <w:pPr>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2、授权委托书（附件3）</w:t>
      </w:r>
    </w:p>
    <w:p w14:paraId="666CD3AF">
      <w:pPr>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3、法人或者其他组织的营业执照等证明文件，自然人的身份证明</w:t>
      </w:r>
    </w:p>
    <w:p w14:paraId="1D1CCFED">
      <w:pPr>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b/>
          <w:color w:val="auto"/>
          <w:sz w:val="28"/>
          <w:highlight w:val="none"/>
        </w:rPr>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bCs/>
          <w:color w:val="auto"/>
          <w:sz w:val="24"/>
          <w:highlight w:val="none"/>
          <w:lang w:val="en-US" w:eastAsia="zh-CN"/>
        </w:rPr>
        <w:t>4、投标人提供有效的检验检测机构资质认定证书，且证书编号第5-6位编号须为12（代表：环境与环保）或13（代表：水质）</w:t>
      </w:r>
    </w:p>
    <w:p w14:paraId="75BDA782">
      <w:pPr>
        <w:keepNext w:val="0"/>
        <w:keepLines w:val="0"/>
        <w:pageBreakBefore w:val="0"/>
        <w:kinsoku/>
        <w:overflowPunct/>
        <w:topLinePunct w:val="0"/>
        <w:bidi w:val="0"/>
        <w:spacing w:line="360" w:lineRule="auto"/>
        <w:outlineLvl w:val="9"/>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附件2</w:t>
      </w:r>
    </w:p>
    <w:p w14:paraId="3DB160E5">
      <w:pPr>
        <w:keepNext w:val="0"/>
        <w:keepLines w:val="0"/>
        <w:pageBreakBefore w:val="0"/>
        <w:kinsoku/>
        <w:overflowPunct/>
        <w:topLinePunct w:val="0"/>
        <w:bidi w:val="0"/>
        <w:snapToGrid w:val="0"/>
        <w:spacing w:before="156" w:beforeLines="50" w:after="50" w:line="360" w:lineRule="auto"/>
        <w:ind w:firstLine="643" w:firstLineChars="200"/>
        <w:jc w:val="center"/>
        <w:outlineLvl w:val="9"/>
        <w:rPr>
          <w:rStyle w:val="27"/>
          <w:rFonts w:hint="eastAsia" w:ascii="宋体" w:hAnsi="宋体" w:eastAsia="宋体" w:cs="宋体"/>
          <w:b/>
          <w:color w:val="auto"/>
          <w:sz w:val="32"/>
          <w:szCs w:val="32"/>
          <w:highlight w:val="none"/>
          <w:u w:val="none"/>
        </w:rPr>
      </w:pPr>
      <w:r>
        <w:rPr>
          <w:rStyle w:val="27"/>
          <w:rFonts w:hint="eastAsia" w:ascii="宋体" w:hAnsi="宋体" w:eastAsia="宋体" w:cs="宋体"/>
          <w:b/>
          <w:color w:val="auto"/>
          <w:sz w:val="32"/>
          <w:szCs w:val="32"/>
          <w:highlight w:val="none"/>
          <w:u w:val="none"/>
        </w:rPr>
        <w:t>磋商声明书</w:t>
      </w:r>
    </w:p>
    <w:p w14:paraId="54B254E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台州市生态环境局路桥分局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台州永安工程咨询有限公司</w:t>
      </w:r>
      <w:r>
        <w:rPr>
          <w:rFonts w:hint="eastAsia" w:ascii="宋体" w:hAnsi="宋体" w:eastAsia="宋体" w:cs="宋体"/>
          <w:color w:val="auto"/>
          <w:sz w:val="21"/>
          <w:szCs w:val="21"/>
          <w:highlight w:val="none"/>
          <w:u w:val="single"/>
        </w:rPr>
        <w:t>：</w:t>
      </w:r>
    </w:p>
    <w:p w14:paraId="101053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供应商</w:t>
      </w:r>
      <w:r>
        <w:rPr>
          <w:rFonts w:hint="eastAsia" w:ascii="宋体" w:hAnsi="宋体" w:eastAsia="宋体" w:cs="宋体"/>
          <w:color w:val="auto"/>
          <w:sz w:val="21"/>
          <w:szCs w:val="21"/>
          <w:highlight w:val="none"/>
          <w:u w:val="single"/>
        </w:rPr>
        <w:t xml:space="preserve">名称 </w:t>
      </w:r>
      <w:r>
        <w:rPr>
          <w:rFonts w:hint="eastAsia" w:ascii="宋体" w:hAnsi="宋体" w:eastAsia="宋体" w:cs="宋体"/>
          <w:color w:val="auto"/>
          <w:sz w:val="21"/>
          <w:szCs w:val="21"/>
          <w:highlight w:val="none"/>
        </w:rPr>
        <w:t>）系中华人民共和国合法企业，经营地址</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213C32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w:t>
      </w:r>
      <w:r>
        <w:rPr>
          <w:rFonts w:hint="eastAsia" w:ascii="宋体" w:hAnsi="宋体" w:eastAsia="宋体" w:cs="宋体"/>
          <w:color w:val="auto"/>
          <w:kern w:val="0"/>
          <w:sz w:val="21"/>
          <w:szCs w:val="21"/>
          <w:highlight w:val="none"/>
          <w:u w:val="single"/>
        </w:rPr>
        <w:t xml:space="preserve"> 姓名 </w:t>
      </w:r>
      <w:r>
        <w:rPr>
          <w:rFonts w:hint="eastAsia" w:ascii="宋体" w:hAnsi="宋体" w:eastAsia="宋体" w:cs="宋体"/>
          <w:color w:val="auto"/>
          <w:kern w:val="0"/>
          <w:sz w:val="21"/>
          <w:szCs w:val="21"/>
          <w:highlight w:val="none"/>
        </w:rPr>
        <w:t>）系（</w:t>
      </w:r>
      <w:r>
        <w:rPr>
          <w:rFonts w:hint="eastAsia" w:ascii="宋体" w:hAnsi="宋体" w:eastAsia="宋体" w:cs="宋体"/>
          <w:color w:val="auto"/>
          <w:kern w:val="0"/>
          <w:sz w:val="21"/>
          <w:szCs w:val="21"/>
          <w:highlight w:val="none"/>
          <w:u w:val="single"/>
        </w:rPr>
        <w:t xml:space="preserve"> 供应商名称 </w:t>
      </w:r>
      <w:r>
        <w:rPr>
          <w:rFonts w:hint="eastAsia" w:ascii="宋体" w:hAnsi="宋体" w:eastAsia="宋体" w:cs="宋体"/>
          <w:color w:val="auto"/>
          <w:kern w:val="0"/>
          <w:sz w:val="21"/>
          <w:szCs w:val="21"/>
          <w:highlight w:val="none"/>
        </w:rPr>
        <w:t>）的法定代表人，我公司自愿参加贵方组织的</w:t>
      </w:r>
      <w:r>
        <w:rPr>
          <w:rFonts w:hint="eastAsia" w:ascii="宋体" w:hAnsi="宋体" w:cs="宋体"/>
          <w:color w:val="auto"/>
          <w:kern w:val="0"/>
          <w:sz w:val="21"/>
          <w:szCs w:val="21"/>
          <w:highlight w:val="none"/>
          <w:u w:val="single"/>
          <w:lang w:eastAsia="zh-CN"/>
        </w:rPr>
        <w:t>2026年路桥区农田灌溉用水水质调查检测、重点监管企业监督检测、二噁英监测及地下水点位水质分析采购项目</w:t>
      </w:r>
      <w:r>
        <w:rPr>
          <w:rFonts w:hint="eastAsia" w:ascii="宋体" w:hAnsi="宋体" w:eastAsia="宋体" w:cs="宋体"/>
          <w:color w:val="auto"/>
          <w:kern w:val="0"/>
          <w:sz w:val="21"/>
          <w:szCs w:val="21"/>
          <w:highlight w:val="none"/>
        </w:rPr>
        <w:t>（编号为</w:t>
      </w:r>
      <w:r>
        <w:rPr>
          <w:rFonts w:hint="eastAsia" w:ascii="宋体" w:hAnsi="宋体" w:cs="宋体"/>
          <w:color w:val="auto"/>
          <w:kern w:val="0"/>
          <w:sz w:val="21"/>
          <w:szCs w:val="21"/>
          <w:highlight w:val="none"/>
          <w:lang w:eastAsia="zh-CN"/>
        </w:rPr>
        <w:t>tzya2025-lq75</w:t>
      </w:r>
      <w:r>
        <w:rPr>
          <w:rFonts w:hint="eastAsia" w:ascii="宋体" w:hAnsi="宋体" w:eastAsia="宋体" w:cs="宋体"/>
          <w:color w:val="auto"/>
          <w:kern w:val="0"/>
          <w:sz w:val="21"/>
          <w:szCs w:val="21"/>
          <w:highlight w:val="none"/>
        </w:rPr>
        <w:t>）的磋商，为此，我公司就本次磋商有关事项郑重声明如下：</w:t>
      </w:r>
    </w:p>
    <w:p w14:paraId="2ED1779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、我公司声明截止投标时间前三年内：在经营活动中没有重大违法记录（重大违法记录是指供应商因违法经营受到刑事处罚或者责令停产停业、吊销许可证或者执照、较大数额罚款等行政处罚）。</w:t>
      </w:r>
    </w:p>
    <w:p w14:paraId="737043E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zh-CN"/>
        </w:rPr>
        <w:t>公司</w:t>
      </w:r>
      <w:r>
        <w:rPr>
          <w:rFonts w:hint="eastAsia" w:ascii="宋体" w:hAnsi="宋体" w:eastAsia="宋体" w:cs="宋体"/>
          <w:color w:val="auto"/>
          <w:sz w:val="21"/>
          <w:szCs w:val="21"/>
          <w:highlight w:val="none"/>
        </w:rPr>
        <w:t>不是采购人的附属机构；在获知本项目采购信息后，与采购人聘请的为此项目提供咨询服务的公司及其附属机构没有任何联系。</w:t>
      </w:r>
    </w:p>
    <w:p w14:paraId="4D27FDA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lang w:val="af-ZA"/>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zh-CN"/>
        </w:rPr>
        <w:t>公司</w:t>
      </w:r>
      <w:r>
        <w:rPr>
          <w:rFonts w:hint="eastAsia" w:ascii="宋体" w:hAnsi="宋体" w:eastAsia="宋体" w:cs="宋体"/>
          <w:color w:val="auto"/>
          <w:sz w:val="21"/>
          <w:szCs w:val="21"/>
          <w:highlight w:val="none"/>
        </w:rPr>
        <w:t>保证，</w:t>
      </w:r>
      <w:r>
        <w:rPr>
          <w:rFonts w:hint="eastAsia" w:ascii="宋体" w:hAnsi="宋体" w:eastAsia="宋体" w:cs="宋体"/>
          <w:color w:val="auto"/>
          <w:sz w:val="21"/>
          <w:szCs w:val="21"/>
          <w:highlight w:val="none"/>
          <w:lang w:val="af-ZA"/>
        </w:rPr>
        <w:t>采购人在中华人民共和国境内使用</w:t>
      </w: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zh-CN"/>
        </w:rPr>
        <w:t>公司</w:t>
      </w:r>
      <w:r>
        <w:rPr>
          <w:rFonts w:hint="eastAsia" w:ascii="宋体" w:hAnsi="宋体" w:eastAsia="宋体" w:cs="宋体"/>
          <w:color w:val="auto"/>
          <w:sz w:val="21"/>
          <w:szCs w:val="21"/>
          <w:highlight w:val="none"/>
          <w:lang w:val="af-ZA"/>
        </w:rPr>
        <w:t>磋商</w:t>
      </w:r>
      <w:r>
        <w:rPr>
          <w:rFonts w:hint="eastAsia" w:ascii="宋体" w:hAnsi="宋体" w:eastAsia="宋体" w:cs="宋体"/>
          <w:color w:val="auto"/>
          <w:sz w:val="21"/>
          <w:szCs w:val="21"/>
          <w:highlight w:val="none"/>
          <w:lang w:val="af-ZA" w:eastAsia="zh-CN"/>
        </w:rPr>
        <w:t>响应的</w:t>
      </w:r>
      <w:r>
        <w:rPr>
          <w:rFonts w:hint="eastAsia" w:ascii="宋体" w:hAnsi="宋体" w:eastAsia="宋体" w:cs="宋体"/>
          <w:color w:val="auto"/>
          <w:sz w:val="21"/>
          <w:szCs w:val="21"/>
          <w:highlight w:val="none"/>
          <w:lang w:val="af-ZA"/>
        </w:rPr>
        <w:t>货物、资料、技术、服务或其任何一部分时，享有不受限制的无偿使用权，如有第三方向采购人提出侵犯其专利权、商标权或其它知识产权的主张，该责任由我方承担。我方的总报价已包含所有应向所有权人支付的专利权、商标权或其它知识产权的一切相关费用。</w:t>
      </w:r>
    </w:p>
    <w:p w14:paraId="08670A3D">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val="af-ZA"/>
        </w:rPr>
        <w:t>、我</w:t>
      </w:r>
      <w:r>
        <w:rPr>
          <w:rFonts w:hint="eastAsia" w:ascii="宋体" w:hAnsi="宋体" w:eastAsia="宋体" w:cs="宋体"/>
          <w:color w:val="auto"/>
          <w:sz w:val="21"/>
          <w:szCs w:val="21"/>
          <w:highlight w:val="none"/>
          <w:lang w:val="zh-CN"/>
        </w:rPr>
        <w:t>公司</w:t>
      </w:r>
      <w:r>
        <w:rPr>
          <w:rFonts w:hint="eastAsia" w:ascii="宋体" w:hAnsi="宋体" w:eastAsia="宋体" w:cs="宋体"/>
          <w:color w:val="auto"/>
          <w:sz w:val="21"/>
          <w:szCs w:val="21"/>
          <w:highlight w:val="none"/>
          <w:lang w:val="af-ZA"/>
        </w:rPr>
        <w:t>严格履行采购合同，不降低合同约定的产品质量和服务，不擅自变更、中止、终止合同，或拒绝履行合同义务；</w:t>
      </w:r>
    </w:p>
    <w:p w14:paraId="3A9ED7F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、我公司承诺（若代理服务费由中标单位支付）：如在本项目中标，我公司在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公告发布之日起5个工作日内按采购文件约定支付代理服务费。</w:t>
      </w:r>
    </w:p>
    <w:p w14:paraId="36D9A97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以上事项如有虚假或隐瞒，我</w:t>
      </w:r>
      <w:r>
        <w:rPr>
          <w:rFonts w:hint="eastAsia" w:ascii="宋体" w:hAnsi="宋体" w:eastAsia="宋体" w:cs="宋体"/>
          <w:color w:val="auto"/>
          <w:sz w:val="21"/>
          <w:szCs w:val="21"/>
          <w:highlight w:val="none"/>
          <w:lang w:val="zh-CN"/>
        </w:rPr>
        <w:t>公司</w:t>
      </w:r>
      <w:r>
        <w:rPr>
          <w:rFonts w:hint="eastAsia" w:ascii="宋体" w:hAnsi="宋体" w:eastAsia="宋体" w:cs="宋体"/>
          <w:color w:val="auto"/>
          <w:sz w:val="21"/>
          <w:szCs w:val="21"/>
          <w:highlight w:val="none"/>
        </w:rPr>
        <w:t>愿意承担一切后果，并不再寻求任何旨在减轻或免除法律责任的辩解。</w:t>
      </w:r>
    </w:p>
    <w:p w14:paraId="3A04327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w:t>
      </w:r>
    </w:p>
    <w:p w14:paraId="32592B7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lang w:val="zh-CN"/>
        </w:rPr>
      </w:pPr>
    </w:p>
    <w:p w14:paraId="2E2A0793">
      <w:pPr>
        <w:keepNext w:val="0"/>
        <w:keepLines w:val="0"/>
        <w:pageBreakBefore w:val="0"/>
        <w:kinsoku/>
        <w:overflowPunct/>
        <w:topLinePunct w:val="0"/>
        <w:bidi w:val="0"/>
        <w:adjustRightInd w:val="0"/>
        <w:snapToGrid w:val="0"/>
        <w:spacing w:line="360" w:lineRule="auto"/>
        <w:ind w:firstLine="4095" w:firstLineChars="1950"/>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供应商名称（公章）：</w:t>
      </w:r>
    </w:p>
    <w:p w14:paraId="6A872E88">
      <w:pPr>
        <w:keepNext w:val="0"/>
        <w:keepLines w:val="0"/>
        <w:pageBreakBefore w:val="0"/>
        <w:kinsoku/>
        <w:overflowPunct/>
        <w:topLinePunct w:val="0"/>
        <w:bidi w:val="0"/>
        <w:adjustRightInd w:val="0"/>
        <w:snapToGrid w:val="0"/>
        <w:spacing w:line="360" w:lineRule="auto"/>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法定代表人或授权委托</w:t>
      </w:r>
      <w:r>
        <w:rPr>
          <w:rFonts w:hint="eastAsia" w:ascii="宋体" w:hAnsi="宋体" w:eastAsia="宋体" w:cs="宋体"/>
          <w:color w:val="auto"/>
          <w:kern w:val="0"/>
          <w:sz w:val="21"/>
          <w:szCs w:val="21"/>
          <w:highlight w:val="none"/>
          <w:lang w:val="en-US" w:eastAsia="zh-CN"/>
        </w:rPr>
        <w:t>代理</w:t>
      </w:r>
      <w:r>
        <w:rPr>
          <w:rFonts w:hint="eastAsia" w:ascii="宋体" w:hAnsi="宋体" w:eastAsia="宋体" w:cs="宋体"/>
          <w:color w:val="auto"/>
          <w:kern w:val="0"/>
          <w:sz w:val="21"/>
          <w:szCs w:val="21"/>
          <w:highlight w:val="none"/>
          <w:lang w:val="zh-CN"/>
        </w:rPr>
        <w:t>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lang w:val="zh-CN"/>
        </w:rPr>
        <w:t>：</w:t>
      </w:r>
    </w:p>
    <w:p w14:paraId="5F28DD4F">
      <w:pPr>
        <w:keepNext w:val="0"/>
        <w:keepLines w:val="0"/>
        <w:pageBreakBefore w:val="0"/>
        <w:kinsoku/>
        <w:overflowPunct/>
        <w:topLinePunct w:val="0"/>
        <w:bidi w:val="0"/>
        <w:adjustRightInd w:val="0"/>
        <w:snapToGrid w:val="0"/>
        <w:spacing w:line="360" w:lineRule="auto"/>
        <w:ind w:right="480"/>
        <w:jc w:val="center"/>
        <w:outlineLvl w:val="9"/>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日期：年  月   日</w:t>
      </w:r>
    </w:p>
    <w:p w14:paraId="612387C1">
      <w:pPr>
        <w:keepNext w:val="0"/>
        <w:keepLines w:val="0"/>
        <w:pageBreakBefore w:val="0"/>
        <w:kinsoku/>
        <w:overflowPunct/>
        <w:topLinePunct w:val="0"/>
        <w:bidi w:val="0"/>
        <w:adjustRightInd w:val="0"/>
        <w:snapToGrid w:val="0"/>
        <w:spacing w:line="360" w:lineRule="auto"/>
        <w:ind w:right="480"/>
        <w:outlineLvl w:val="9"/>
        <w:rPr>
          <w:rFonts w:hint="eastAsia" w:ascii="宋体" w:hAnsi="宋体" w:eastAsia="宋体" w:cs="宋体"/>
          <w:b/>
          <w:color w:val="auto"/>
          <w:sz w:val="28"/>
          <w:highlight w:val="none"/>
        </w:rPr>
        <w:sectPr>
          <w:headerReference r:id="rId21" w:type="first"/>
          <w:footerReference r:id="rId24" w:type="first"/>
          <w:headerReference r:id="rId19" w:type="default"/>
          <w:footerReference r:id="rId22" w:type="default"/>
          <w:headerReference r:id="rId20" w:type="even"/>
          <w:footerReference r:id="rId23"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D55C75F">
      <w:pPr>
        <w:keepNext w:val="0"/>
        <w:keepLines w:val="0"/>
        <w:pageBreakBefore w:val="0"/>
        <w:kinsoku/>
        <w:overflowPunct/>
        <w:topLinePunct w:val="0"/>
        <w:bidi w:val="0"/>
        <w:adjustRightInd w:val="0"/>
        <w:snapToGrid w:val="0"/>
        <w:spacing w:line="360" w:lineRule="auto"/>
        <w:ind w:right="480"/>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28"/>
          <w:highlight w:val="none"/>
        </w:rPr>
        <w:t>附件3</w:t>
      </w:r>
    </w:p>
    <w:p w14:paraId="7D2B0D93">
      <w:pPr>
        <w:keepNext w:val="0"/>
        <w:keepLines w:val="0"/>
        <w:pageBreakBefore w:val="0"/>
        <w:kinsoku/>
        <w:overflowPunct/>
        <w:topLinePunct w:val="0"/>
        <w:bidi w:val="0"/>
        <w:spacing w:line="360" w:lineRule="auto"/>
        <w:ind w:firstLine="321" w:firstLineChars="100"/>
        <w:jc w:val="center"/>
        <w:outlineLvl w:val="9"/>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授权委托书</w:t>
      </w:r>
    </w:p>
    <w:p w14:paraId="1F1ABB99">
      <w:pPr>
        <w:pStyle w:val="11"/>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1"/>
          <w:szCs w:val="21"/>
          <w:highlight w:val="none"/>
        </w:rPr>
      </w:pPr>
      <w:r>
        <w:rPr>
          <w:rFonts w:hint="eastAsia" w:hAnsi="宋体" w:cs="宋体"/>
          <w:b w:val="0"/>
          <w:bCs/>
          <w:color w:val="auto"/>
          <w:sz w:val="21"/>
          <w:szCs w:val="21"/>
          <w:highlight w:val="none"/>
          <w:u w:val="single"/>
          <w:lang w:eastAsia="zh-CN"/>
        </w:rPr>
        <w:t>台州市生态环境局路桥分局</w:t>
      </w:r>
      <w:r>
        <w:rPr>
          <w:rFonts w:hint="eastAsia" w:ascii="宋体" w:hAnsi="宋体" w:eastAsia="宋体" w:cs="宋体"/>
          <w:b w:val="0"/>
          <w:bCs/>
          <w:color w:val="auto"/>
          <w:sz w:val="21"/>
          <w:szCs w:val="21"/>
          <w:highlight w:val="none"/>
          <w:u w:val="single"/>
        </w:rPr>
        <w:t>、台州永安工程咨询有限公司：</w:t>
      </w:r>
    </w:p>
    <w:p w14:paraId="1EDF65A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（供应商全称）  </w:t>
      </w:r>
      <w:r>
        <w:rPr>
          <w:rFonts w:hint="eastAsia" w:ascii="宋体" w:hAnsi="宋体" w:eastAsia="宋体" w:cs="宋体"/>
          <w:color w:val="auto"/>
          <w:sz w:val="21"/>
          <w:szCs w:val="21"/>
          <w:highlight w:val="none"/>
        </w:rPr>
        <w:t>法定代表人（或营业执照中单位负责人）</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（法定代表人或营业执照中单位负责人姓名） </w:t>
      </w:r>
      <w:r>
        <w:rPr>
          <w:rFonts w:hint="eastAsia" w:ascii="宋体" w:hAnsi="宋体" w:eastAsia="宋体" w:cs="宋体"/>
          <w:color w:val="auto"/>
          <w:sz w:val="21"/>
          <w:szCs w:val="21"/>
          <w:highlight w:val="none"/>
        </w:rPr>
        <w:t>授权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授权</w:t>
      </w:r>
      <w:r>
        <w:rPr>
          <w:rFonts w:hint="eastAsia" w:ascii="宋体" w:hAnsi="宋体" w:eastAsia="宋体" w:cs="宋体"/>
          <w:color w:val="auto"/>
          <w:sz w:val="21"/>
          <w:szCs w:val="21"/>
          <w:highlight w:val="none"/>
          <w:u w:val="single"/>
        </w:rPr>
        <w:t xml:space="preserve">代表姓名） </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授权委托代理人</w:t>
      </w:r>
      <w:r>
        <w:rPr>
          <w:rFonts w:hint="eastAsia" w:ascii="宋体" w:hAnsi="宋体" w:eastAsia="宋体" w:cs="宋体"/>
          <w:color w:val="auto"/>
          <w:sz w:val="21"/>
          <w:szCs w:val="21"/>
          <w:highlight w:val="none"/>
        </w:rPr>
        <w:t>，参加贵单位组织的</w:t>
      </w:r>
      <w:r>
        <w:rPr>
          <w:rFonts w:hint="eastAsia" w:hAnsi="宋体" w:cs="宋体"/>
          <w:color w:val="auto"/>
          <w:sz w:val="21"/>
          <w:szCs w:val="21"/>
          <w:highlight w:val="none"/>
          <w:u w:val="single"/>
          <w:lang w:eastAsia="zh-CN"/>
        </w:rPr>
        <w:t>2026年路桥区农田灌溉用水水质调查检测、重点监管企业监督检测、二噁英监测及地下水点位水质分析采购项目</w:t>
      </w:r>
      <w:r>
        <w:rPr>
          <w:rFonts w:hint="eastAsia" w:ascii="宋体" w:hAnsi="宋体" w:eastAsia="宋体" w:cs="宋体"/>
          <w:color w:val="auto"/>
          <w:sz w:val="21"/>
          <w:szCs w:val="21"/>
          <w:highlight w:val="none"/>
          <w:u w:val="single"/>
        </w:rPr>
        <w:t>（编号为</w:t>
      </w:r>
      <w:r>
        <w:rPr>
          <w:rFonts w:hint="eastAsia" w:hAnsi="宋体" w:cs="宋体"/>
          <w:color w:val="auto"/>
          <w:sz w:val="21"/>
          <w:szCs w:val="21"/>
          <w:highlight w:val="none"/>
          <w:u w:val="single"/>
          <w:lang w:eastAsia="zh-CN"/>
        </w:rPr>
        <w:t>tzya2025-lq75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的采购活动，并代表我方全权办理针对上述项目的磋商、签约等具体事务和签署相关文件。我方对</w:t>
      </w:r>
      <w:r>
        <w:rPr>
          <w:rFonts w:hint="eastAsia" w:ascii="宋体" w:hAnsi="宋体" w:eastAsia="宋体" w:cs="宋体"/>
          <w:color w:val="auto"/>
          <w:sz w:val="21"/>
          <w:szCs w:val="21"/>
          <w:highlight w:val="none"/>
          <w:lang w:eastAsia="zh-CN"/>
        </w:rPr>
        <w:t>授权委托代理人</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签字</w:t>
      </w:r>
      <w:r>
        <w:rPr>
          <w:rFonts w:hint="eastAsia" w:ascii="宋体" w:hAnsi="宋体" w:eastAsia="宋体" w:cs="宋体"/>
          <w:color w:val="auto"/>
          <w:sz w:val="21"/>
          <w:szCs w:val="21"/>
          <w:highlight w:val="none"/>
        </w:rPr>
        <w:t>事项负全部责任。</w:t>
      </w:r>
    </w:p>
    <w:p w14:paraId="462142F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在撤销授权的书面通知以前，本授权书一直有效。</w:t>
      </w:r>
      <w:r>
        <w:rPr>
          <w:rFonts w:hint="eastAsia" w:ascii="宋体" w:hAnsi="宋体" w:eastAsia="宋体" w:cs="宋体"/>
          <w:color w:val="auto"/>
          <w:sz w:val="21"/>
          <w:szCs w:val="21"/>
          <w:highlight w:val="none"/>
          <w:lang w:eastAsia="zh-CN"/>
        </w:rPr>
        <w:t>授权委托代理人</w:t>
      </w:r>
      <w:r>
        <w:rPr>
          <w:rFonts w:hint="eastAsia" w:ascii="宋体" w:hAnsi="宋体" w:eastAsia="宋体" w:cs="宋体"/>
          <w:color w:val="auto"/>
          <w:sz w:val="21"/>
          <w:szCs w:val="21"/>
          <w:highlight w:val="none"/>
        </w:rPr>
        <w:t>在授权委托书有效期内签署的所有文件不因授权的撤销而失效。</w:t>
      </w:r>
    </w:p>
    <w:p w14:paraId="07952598">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授权委托代理人</w:t>
      </w:r>
      <w:r>
        <w:rPr>
          <w:rFonts w:hint="eastAsia" w:ascii="宋体" w:hAnsi="宋体" w:eastAsia="宋体" w:cs="宋体"/>
          <w:color w:val="auto"/>
          <w:sz w:val="21"/>
          <w:szCs w:val="21"/>
          <w:highlight w:val="none"/>
        </w:rPr>
        <w:t>无转委托权，特此委托。</w:t>
      </w:r>
    </w:p>
    <w:p w14:paraId="55C9460E">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p w14:paraId="36BC8FA7">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（签字</w:t>
      </w:r>
      <w:r>
        <w:rPr>
          <w:rFonts w:hint="eastAsia" w:ascii="宋体" w:hAnsi="宋体" w:eastAsia="宋体" w:cs="宋体"/>
          <w:color w:val="auto"/>
          <w:sz w:val="21"/>
          <w:szCs w:val="21"/>
          <w:highlight w:val="none"/>
        </w:rPr>
        <w:t>或盖章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C856626">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供应商全称（公章）：                              </w:t>
      </w:r>
    </w:p>
    <w:p w14:paraId="157FD3D0">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4C799C18">
      <w:pPr>
        <w:keepNext w:val="0"/>
        <w:keepLines w:val="0"/>
        <w:pageBreakBefore w:val="0"/>
        <w:kinsoku/>
        <w:overflowPunct/>
        <w:topLinePunct w:val="0"/>
        <w:bidi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w:t>
      </w:r>
    </w:p>
    <w:tbl>
      <w:tblPr>
        <w:tblStyle w:val="22"/>
        <w:tblpPr w:leftFromText="180" w:rightFromText="180" w:vertAnchor="text" w:tblpX="4209" w:tblpY="3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5C5A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14:paraId="402CD9B6">
            <w:pPr>
              <w:keepNext w:val="0"/>
              <w:keepLines w:val="0"/>
              <w:pageBreakBefore w:val="0"/>
              <w:kinsoku/>
              <w:overflowPunct/>
              <w:topLinePunct w:val="0"/>
              <w:bidi w:val="0"/>
              <w:spacing w:line="360" w:lineRule="auto"/>
              <w:outlineLvl w:val="9"/>
              <w:rPr>
                <w:rFonts w:hint="eastAsia" w:ascii="宋体" w:hAnsi="宋体" w:eastAsia="宋体" w:cs="宋体"/>
                <w:b/>
                <w:color w:val="auto"/>
                <w:sz w:val="21"/>
                <w:szCs w:val="21"/>
                <w:highlight w:val="none"/>
              </w:rPr>
            </w:pPr>
          </w:p>
          <w:p w14:paraId="1C1A2A18">
            <w:pPr>
              <w:keepNext w:val="0"/>
              <w:keepLines w:val="0"/>
              <w:pageBreakBefore w:val="0"/>
              <w:kinsoku/>
              <w:overflowPunct/>
              <w:topLinePunct w:val="0"/>
              <w:bidi w:val="0"/>
              <w:spacing w:line="360" w:lineRule="auto"/>
              <w:ind w:firstLine="316" w:firstLineChars="15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法定代表身份证复印件</w:t>
            </w:r>
            <w:r>
              <w:rPr>
                <w:rFonts w:hint="eastAsia" w:ascii="宋体" w:hAnsi="宋体" w:eastAsia="宋体" w:cs="宋体"/>
                <w:b/>
                <w:color w:val="auto"/>
                <w:sz w:val="21"/>
                <w:szCs w:val="21"/>
                <w:highlight w:val="none"/>
                <w:lang w:eastAsia="zh-CN"/>
              </w:rPr>
              <w:t>粘贴</w:t>
            </w:r>
            <w:r>
              <w:rPr>
                <w:rFonts w:hint="eastAsia" w:ascii="宋体" w:hAnsi="宋体" w:eastAsia="宋体" w:cs="宋体"/>
                <w:b/>
                <w:color w:val="auto"/>
                <w:sz w:val="21"/>
                <w:szCs w:val="21"/>
                <w:highlight w:val="none"/>
              </w:rPr>
              <w:t>处</w:t>
            </w:r>
          </w:p>
        </w:tc>
      </w:tr>
    </w:tbl>
    <w:p w14:paraId="6307AF8C">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法定代表人姓名：                                 </w:t>
      </w:r>
    </w:p>
    <w:p w14:paraId="4FEF4091">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6D958344">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6BA10B7C">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详细通讯地址：</w:t>
      </w:r>
    </w:p>
    <w:p w14:paraId="10AB49D1">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p w14:paraId="67F4889C">
      <w:pPr>
        <w:keepNext w:val="0"/>
        <w:keepLines w:val="0"/>
        <w:pageBreakBefore w:val="0"/>
        <w:kinsoku/>
        <w:overflowPunct/>
        <w:topLinePunct w:val="0"/>
        <w:bidi w:val="0"/>
        <w:spacing w:line="360" w:lineRule="auto"/>
        <w:outlineLvl w:val="9"/>
        <w:rPr>
          <w:rFonts w:hint="eastAsia" w:ascii="宋体" w:hAnsi="宋体" w:eastAsia="宋体" w:cs="宋体"/>
          <w:b/>
          <w:color w:val="auto"/>
          <w:sz w:val="21"/>
          <w:szCs w:val="21"/>
          <w:highlight w:val="none"/>
        </w:rPr>
      </w:pPr>
    </w:p>
    <w:tbl>
      <w:tblPr>
        <w:tblStyle w:val="22"/>
        <w:tblpPr w:leftFromText="180" w:rightFromText="180" w:vertAnchor="text" w:tblpX="4209" w:tblpY="3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5FC2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noWrap w:val="0"/>
            <w:vAlign w:val="top"/>
          </w:tcPr>
          <w:p w14:paraId="1CE1499D">
            <w:pPr>
              <w:keepNext w:val="0"/>
              <w:keepLines w:val="0"/>
              <w:pageBreakBefore w:val="0"/>
              <w:kinsoku/>
              <w:overflowPunct/>
              <w:topLinePunct w:val="0"/>
              <w:bidi w:val="0"/>
              <w:spacing w:line="360" w:lineRule="auto"/>
              <w:outlineLvl w:val="9"/>
              <w:rPr>
                <w:rFonts w:hint="eastAsia" w:ascii="宋体" w:hAnsi="宋体" w:eastAsia="宋体" w:cs="宋体"/>
                <w:b/>
                <w:color w:val="auto"/>
                <w:sz w:val="21"/>
                <w:szCs w:val="21"/>
                <w:highlight w:val="none"/>
              </w:rPr>
            </w:pPr>
          </w:p>
          <w:p w14:paraId="678B3D71">
            <w:pPr>
              <w:keepNext w:val="0"/>
              <w:keepLines w:val="0"/>
              <w:pageBreakBefore w:val="0"/>
              <w:kinsoku/>
              <w:overflowPunct/>
              <w:topLinePunct w:val="0"/>
              <w:bidi w:val="0"/>
              <w:spacing w:line="360" w:lineRule="auto"/>
              <w:ind w:firstLine="316" w:firstLineChars="15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授权委托代理人</w:t>
            </w:r>
            <w:r>
              <w:rPr>
                <w:rFonts w:hint="eastAsia" w:ascii="宋体" w:hAnsi="宋体" w:eastAsia="宋体" w:cs="宋体"/>
                <w:b/>
                <w:color w:val="auto"/>
                <w:sz w:val="21"/>
                <w:szCs w:val="21"/>
                <w:highlight w:val="none"/>
              </w:rPr>
              <w:t>身份证复印件</w:t>
            </w:r>
            <w:r>
              <w:rPr>
                <w:rFonts w:hint="eastAsia" w:ascii="宋体" w:hAnsi="宋体" w:eastAsia="宋体" w:cs="宋体"/>
                <w:b/>
                <w:color w:val="auto"/>
                <w:sz w:val="21"/>
                <w:szCs w:val="21"/>
                <w:highlight w:val="none"/>
                <w:lang w:eastAsia="zh-CN"/>
              </w:rPr>
              <w:t>粘贴</w:t>
            </w:r>
            <w:r>
              <w:rPr>
                <w:rFonts w:hint="eastAsia" w:ascii="宋体" w:hAnsi="宋体" w:eastAsia="宋体" w:cs="宋体"/>
                <w:b/>
                <w:color w:val="auto"/>
                <w:sz w:val="21"/>
                <w:szCs w:val="21"/>
                <w:highlight w:val="none"/>
              </w:rPr>
              <w:t>处</w:t>
            </w:r>
          </w:p>
        </w:tc>
      </w:tr>
    </w:tbl>
    <w:p w14:paraId="3F459708">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授权委托代理人</w:t>
      </w:r>
      <w:r>
        <w:rPr>
          <w:rFonts w:hint="eastAsia" w:ascii="宋体" w:hAnsi="宋体" w:eastAsia="宋体" w:cs="宋体"/>
          <w:color w:val="auto"/>
          <w:sz w:val="21"/>
          <w:szCs w:val="21"/>
          <w:highlight w:val="none"/>
        </w:rPr>
        <w:t xml:space="preserve">姓名：       </w:t>
      </w:r>
    </w:p>
    <w:p w14:paraId="2A397B38">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职务：                           </w:t>
      </w:r>
    </w:p>
    <w:p w14:paraId="0EA54BD7">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3B406A90">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59F0A1AF">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详细通讯地址：</w:t>
      </w:r>
    </w:p>
    <w:p w14:paraId="3A3FB2DC">
      <w:pPr>
        <w:pStyle w:val="54"/>
        <w:keepNext w:val="0"/>
        <w:keepLines w:val="0"/>
        <w:pageBreakBefore w:val="0"/>
        <w:widowControl w:val="0"/>
        <w:kinsoku/>
        <w:overflowPunct/>
        <w:topLinePunct w:val="0"/>
        <w:bidi w:val="0"/>
        <w:snapToGrid w:val="0"/>
        <w:spacing w:line="50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p w14:paraId="532129CE">
      <w:pPr>
        <w:keepNext w:val="0"/>
        <w:keepLines w:val="0"/>
        <w:pageBreakBefore w:val="0"/>
        <w:kinsoku/>
        <w:overflowPunct/>
        <w:topLinePunct w:val="0"/>
        <w:bidi w:val="0"/>
        <w:outlineLvl w:val="9"/>
        <w:rPr>
          <w:rFonts w:hint="eastAsia" w:ascii="宋体" w:hAnsi="宋体" w:eastAsia="宋体" w:cs="宋体"/>
          <w:b/>
          <w:color w:val="auto"/>
          <w:kern w:val="0"/>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52C7950">
      <w:pPr>
        <w:keepNext w:val="0"/>
        <w:keepLines w:val="0"/>
        <w:pageBreakBefore w:val="0"/>
        <w:kinsoku/>
        <w:overflowPunct/>
        <w:topLinePunct w:val="0"/>
        <w:bidi w:val="0"/>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附件</w:t>
      </w:r>
      <w:r>
        <w:rPr>
          <w:rFonts w:hint="eastAsia" w:ascii="宋体" w:hAnsi="宋体" w:eastAsia="宋体" w:cs="宋体"/>
          <w:b/>
          <w:color w:val="auto"/>
          <w:kern w:val="0"/>
          <w:sz w:val="28"/>
          <w:szCs w:val="28"/>
          <w:highlight w:val="none"/>
          <w:lang w:val="en-US" w:eastAsia="zh-CN"/>
        </w:rPr>
        <w:t>4</w:t>
      </w:r>
      <w:r>
        <w:rPr>
          <w:rFonts w:hint="eastAsia" w:ascii="宋体" w:hAnsi="宋体" w:eastAsia="宋体" w:cs="宋体"/>
          <w:b/>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b/>
          <w:color w:val="auto"/>
          <w:sz w:val="28"/>
          <w:highlight w:val="none"/>
        </w:rPr>
        <w:t xml:space="preserve">        </w:t>
      </w:r>
      <w:r>
        <w:rPr>
          <w:rFonts w:hint="eastAsia" w:ascii="宋体" w:hAnsi="宋体" w:eastAsia="宋体" w:cs="宋体"/>
          <w:b/>
          <w:color w:val="auto"/>
          <w:sz w:val="28"/>
          <w:highlight w:val="none"/>
          <w:u w:val="single"/>
        </w:rPr>
        <w:t xml:space="preserve">     </w:t>
      </w:r>
      <w:r>
        <w:rPr>
          <w:rFonts w:hint="eastAsia" w:ascii="宋体" w:hAnsi="宋体" w:eastAsia="宋体" w:cs="宋体"/>
          <w:bCs/>
          <w:color w:val="auto"/>
          <w:sz w:val="24"/>
          <w:highlight w:val="none"/>
        </w:rPr>
        <w:t>本</w:t>
      </w:r>
    </w:p>
    <w:p w14:paraId="6418EF68">
      <w:pPr>
        <w:keepNext w:val="0"/>
        <w:keepLines w:val="0"/>
        <w:pageBreakBefore w:val="0"/>
        <w:kinsoku/>
        <w:overflowPunct/>
        <w:topLinePunct w:val="0"/>
        <w:bidi w:val="0"/>
        <w:ind w:right="-110"/>
        <w:jc w:val="center"/>
        <w:outlineLvl w:val="9"/>
        <w:rPr>
          <w:rFonts w:hint="eastAsia" w:ascii="宋体" w:hAnsi="宋体" w:eastAsia="宋体" w:cs="宋体"/>
          <w:color w:val="auto"/>
          <w:spacing w:val="40"/>
          <w:sz w:val="52"/>
          <w:szCs w:val="52"/>
          <w:highlight w:val="none"/>
        </w:rPr>
      </w:pPr>
    </w:p>
    <w:p w14:paraId="49D04345">
      <w:pPr>
        <w:keepNext w:val="0"/>
        <w:keepLines w:val="0"/>
        <w:pageBreakBefore w:val="0"/>
        <w:kinsoku/>
        <w:overflowPunct/>
        <w:topLinePunct w:val="0"/>
        <w:bidi w:val="0"/>
        <w:spacing w:line="360" w:lineRule="auto"/>
        <w:ind w:right="-110"/>
        <w:jc w:val="center"/>
        <w:outlineLvl w:val="9"/>
        <w:rPr>
          <w:rFonts w:hint="eastAsia" w:ascii="宋体" w:hAnsi="宋体" w:eastAsia="宋体" w:cs="宋体"/>
          <w:color w:val="auto"/>
          <w:spacing w:val="40"/>
          <w:sz w:val="52"/>
          <w:szCs w:val="52"/>
          <w:highlight w:val="none"/>
        </w:rPr>
      </w:pPr>
      <w:r>
        <w:rPr>
          <w:rFonts w:hint="eastAsia" w:ascii="宋体" w:hAnsi="宋体" w:eastAsia="宋体" w:cs="宋体"/>
          <w:color w:val="auto"/>
          <w:spacing w:val="40"/>
          <w:sz w:val="52"/>
          <w:szCs w:val="52"/>
          <w:highlight w:val="none"/>
        </w:rPr>
        <w:t>项目名称</w:t>
      </w:r>
    </w:p>
    <w:p w14:paraId="29E36CCA">
      <w:pPr>
        <w:keepNext w:val="0"/>
        <w:keepLines w:val="0"/>
        <w:pageBreakBefore w:val="0"/>
        <w:kinsoku/>
        <w:overflowPunct/>
        <w:topLinePunct w:val="0"/>
        <w:bidi w:val="0"/>
        <w:spacing w:before="312" w:beforeLines="100" w:line="360" w:lineRule="auto"/>
        <w:ind w:right="-108" w:firstLine="2160" w:firstLineChars="600"/>
        <w:jc w:val="both"/>
        <w:outlineLvl w:val="9"/>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p>
    <w:p w14:paraId="7ACC883B">
      <w:pPr>
        <w:pStyle w:val="20"/>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color w:val="auto"/>
          <w:highlight w:val="none"/>
        </w:rPr>
      </w:pPr>
    </w:p>
    <w:p w14:paraId="582F6AC9">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磋</w:t>
      </w:r>
    </w:p>
    <w:p w14:paraId="27C60050">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商</w:t>
      </w:r>
    </w:p>
    <w:p w14:paraId="525DB987">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响</w:t>
      </w:r>
    </w:p>
    <w:p w14:paraId="7BA5BA70">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应</w:t>
      </w:r>
    </w:p>
    <w:p w14:paraId="00122D98">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文</w:t>
      </w:r>
    </w:p>
    <w:p w14:paraId="7DEF7F43">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件</w:t>
      </w:r>
    </w:p>
    <w:p w14:paraId="516124CF">
      <w:pPr>
        <w:spacing w:after="100" w:afterAutospacing="1" w:line="360" w:lineRule="auto"/>
        <w:ind w:right="-108"/>
        <w:jc w:val="center"/>
        <w:rPr>
          <w:rFonts w:hint="eastAsia" w:ascii="宋体" w:hAnsi="宋体" w:eastAsia="宋体" w:cs="宋体"/>
          <w:color w:val="auto"/>
          <w:sz w:val="36"/>
          <w:szCs w:val="36"/>
          <w:highlight w:val="none"/>
        </w:rPr>
      </w:pPr>
      <w:r>
        <w:rPr>
          <w:rFonts w:hint="eastAsia" w:ascii="宋体" w:hAnsi="宋体" w:eastAsia="宋体" w:cs="宋体"/>
          <w:color w:val="auto"/>
          <w:sz w:val="28"/>
          <w:szCs w:val="28"/>
          <w:highlight w:val="none"/>
          <w:lang w:val="zh-CN"/>
        </w:rPr>
        <w:t>（</w:t>
      </w:r>
      <w:r>
        <w:rPr>
          <w:rFonts w:hint="eastAsia" w:ascii="宋体" w:hAnsi="宋体" w:eastAsia="宋体" w:cs="宋体"/>
          <w:bCs/>
          <w:color w:val="auto"/>
          <w:sz w:val="24"/>
          <w:highlight w:val="none"/>
          <w:lang w:val="zh-CN"/>
        </w:rPr>
        <w:t>商务与技术文件</w:t>
      </w:r>
      <w:r>
        <w:rPr>
          <w:rFonts w:hint="eastAsia" w:ascii="宋体" w:hAnsi="宋体" w:eastAsia="宋体" w:cs="宋体"/>
          <w:b/>
          <w:color w:val="auto"/>
          <w:spacing w:val="40"/>
          <w:sz w:val="28"/>
          <w:szCs w:val="28"/>
          <w:highlight w:val="none"/>
        </w:rPr>
        <w:t>）</w:t>
      </w:r>
    </w:p>
    <w:p w14:paraId="3911A7E2">
      <w:pPr>
        <w:keepNext w:val="0"/>
        <w:keepLines w:val="0"/>
        <w:pageBreakBefore w:val="0"/>
        <w:kinsoku/>
        <w:overflowPunct/>
        <w:topLinePunct w:val="0"/>
        <w:bidi w:val="0"/>
        <w:spacing w:line="500" w:lineRule="exact"/>
        <w:ind w:right="532" w:firstLine="64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供应商全称（公章）：</w:t>
      </w:r>
    </w:p>
    <w:p w14:paraId="5E63CC57">
      <w:pPr>
        <w:keepNext w:val="0"/>
        <w:keepLines w:val="0"/>
        <w:pageBreakBefore w:val="0"/>
        <w:kinsoku/>
        <w:wordWrap w:val="0"/>
        <w:overflowPunct/>
        <w:topLinePunct w:val="0"/>
        <w:bidi w:val="0"/>
        <w:spacing w:line="500" w:lineRule="exact"/>
        <w:ind w:right="-108" w:firstLine="64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地    址：</w:t>
      </w:r>
    </w:p>
    <w:p w14:paraId="0E3745FA">
      <w:pPr>
        <w:keepNext w:val="0"/>
        <w:keepLines w:val="0"/>
        <w:pageBreakBefore w:val="0"/>
        <w:kinsoku/>
        <w:wordWrap w:val="0"/>
        <w:overflowPunct/>
        <w:topLinePunct w:val="0"/>
        <w:bidi w:val="0"/>
        <w:spacing w:line="500" w:lineRule="exact"/>
        <w:ind w:right="-108" w:firstLine="640" w:firstLineChars="200"/>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32"/>
          <w:szCs w:val="32"/>
          <w:highlight w:val="none"/>
        </w:rPr>
        <w:t>时    间：</w:t>
      </w:r>
    </w:p>
    <w:p w14:paraId="3651BF2F">
      <w:pPr>
        <w:keepNext w:val="0"/>
        <w:keepLines w:val="0"/>
        <w:pageBreakBefore w:val="0"/>
        <w:kinsoku/>
        <w:overflowPunct/>
        <w:topLinePunct w:val="0"/>
        <w:bidi w:val="0"/>
        <w:snapToGrid w:val="0"/>
        <w:spacing w:before="0" w:after="0" w:line="360" w:lineRule="auto"/>
        <w:ind w:firstLine="422" w:firstLineChars="200"/>
        <w:outlineLvl w:val="9"/>
        <w:rPr>
          <w:rFonts w:hint="eastAsia" w:ascii="宋体" w:hAnsi="宋体" w:eastAsia="宋体" w:cs="宋体"/>
          <w:b/>
          <w:bCs/>
          <w:color w:val="auto"/>
          <w:sz w:val="21"/>
          <w:szCs w:val="21"/>
          <w:highlight w:val="none"/>
          <w:lang w:val="zh-CN"/>
        </w:rPr>
      </w:pPr>
    </w:p>
    <w:p w14:paraId="41FF66DE">
      <w:pPr>
        <w:keepNext w:val="0"/>
        <w:keepLines w:val="0"/>
        <w:pageBreakBefore w:val="0"/>
        <w:kinsoku/>
        <w:overflowPunct/>
        <w:topLinePunct w:val="0"/>
        <w:bidi w:val="0"/>
        <w:snapToGrid w:val="0"/>
        <w:spacing w:before="0" w:after="0" w:line="360" w:lineRule="auto"/>
        <w:ind w:firstLine="422" w:firstLineChars="200"/>
        <w:outlineLvl w:val="9"/>
        <w:rPr>
          <w:rFonts w:hint="eastAsia" w:ascii="宋体" w:hAnsi="宋体" w:eastAsia="宋体" w:cs="宋体"/>
          <w:b/>
          <w:bCs/>
          <w:color w:val="auto"/>
          <w:sz w:val="21"/>
          <w:szCs w:val="21"/>
          <w:highlight w:val="none"/>
          <w:lang w:val="zh-CN"/>
        </w:rPr>
      </w:pPr>
    </w:p>
    <w:p w14:paraId="2A6B7053">
      <w:pPr>
        <w:keepNext w:val="0"/>
        <w:keepLines w:val="0"/>
        <w:pageBreakBefore w:val="0"/>
        <w:widowControl w:val="0"/>
        <w:kinsoku/>
        <w:wordWrap/>
        <w:overflowPunct/>
        <w:topLinePunct w:val="0"/>
        <w:autoSpaceDE/>
        <w:autoSpaceDN/>
        <w:bidi w:val="0"/>
        <w:adjustRightInd/>
        <w:snapToGrid w:val="0"/>
        <w:spacing w:before="0" w:after="0" w:line="360" w:lineRule="auto"/>
        <w:jc w:val="center"/>
        <w:textAlignment w:val="auto"/>
        <w:outlineLvl w:val="1"/>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zh-CN"/>
        </w:rPr>
        <w:t>商务与技术文件</w:t>
      </w:r>
      <w:r>
        <w:rPr>
          <w:rFonts w:hint="eastAsia" w:ascii="宋体" w:hAnsi="宋体" w:eastAsia="宋体" w:cs="宋体"/>
          <w:b/>
          <w:bCs/>
          <w:color w:val="auto"/>
          <w:sz w:val="32"/>
          <w:szCs w:val="32"/>
          <w:highlight w:val="none"/>
        </w:rPr>
        <w:t>目录</w:t>
      </w:r>
    </w:p>
    <w:p w14:paraId="0E667725">
      <w:pPr>
        <w:keepNext w:val="0"/>
        <w:keepLines w:val="0"/>
        <w:pageBreakBefore w:val="0"/>
        <w:kinsoku/>
        <w:wordWrap/>
        <w:overflowPunct/>
        <w:topLinePunct w:val="0"/>
        <w:bidi w:val="0"/>
        <w:snapToGrid w:val="0"/>
        <w:spacing w:line="360" w:lineRule="auto"/>
        <w:ind w:firstLine="482" w:firstLineChars="200"/>
        <w:outlineLvl w:val="9"/>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zh-CN" w:eastAsia="zh-CN"/>
        </w:rPr>
        <w:t>第</w:t>
      </w:r>
      <w:r>
        <w:rPr>
          <w:rFonts w:hint="eastAsia" w:ascii="宋体" w:hAnsi="宋体" w:eastAsia="宋体" w:cs="宋体"/>
          <w:b/>
          <w:bCs w:val="0"/>
          <w:color w:val="auto"/>
          <w:sz w:val="24"/>
          <w:highlight w:val="none"/>
          <w:lang w:val="en-US" w:eastAsia="zh-CN"/>
        </w:rPr>
        <w:t>一</w:t>
      </w:r>
      <w:r>
        <w:rPr>
          <w:rFonts w:hint="eastAsia" w:ascii="宋体" w:hAnsi="宋体" w:eastAsia="宋体" w:cs="宋体"/>
          <w:b/>
          <w:bCs w:val="0"/>
          <w:color w:val="auto"/>
          <w:sz w:val="24"/>
          <w:highlight w:val="none"/>
          <w:lang w:val="zh-CN" w:eastAsia="zh-CN"/>
        </w:rPr>
        <w:t>部分：</w:t>
      </w:r>
      <w:r>
        <w:rPr>
          <w:rFonts w:hint="eastAsia" w:ascii="宋体" w:hAnsi="宋体" w:eastAsia="宋体" w:cs="宋体"/>
          <w:b/>
          <w:bCs w:val="0"/>
          <w:color w:val="auto"/>
          <w:sz w:val="24"/>
          <w:highlight w:val="none"/>
          <w:lang w:val="en-US" w:eastAsia="zh-CN"/>
        </w:rPr>
        <w:t>评标索引</w:t>
      </w:r>
    </w:p>
    <w:p w14:paraId="134E4B2D">
      <w:pPr>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评标索引：自评表（附件5）</w:t>
      </w:r>
    </w:p>
    <w:p w14:paraId="185E7E8B">
      <w:pPr>
        <w:keepNext w:val="0"/>
        <w:keepLines w:val="0"/>
        <w:pageBreakBefore w:val="0"/>
        <w:kinsoku/>
        <w:wordWrap/>
        <w:overflowPunct/>
        <w:topLinePunct w:val="0"/>
        <w:bidi w:val="0"/>
        <w:snapToGrid w:val="0"/>
        <w:spacing w:line="360" w:lineRule="auto"/>
        <w:ind w:firstLine="482" w:firstLineChars="200"/>
        <w:outlineLvl w:val="9"/>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第二部分 ：</w:t>
      </w:r>
      <w:r>
        <w:rPr>
          <w:rFonts w:hint="eastAsia" w:ascii="宋体" w:hAnsi="宋体" w:eastAsia="宋体" w:cs="宋体"/>
          <w:b/>
          <w:bCs w:val="0"/>
          <w:color w:val="auto"/>
          <w:sz w:val="24"/>
          <w:highlight w:val="none"/>
          <w:lang w:val="zh-CN" w:eastAsia="zh-CN"/>
        </w:rPr>
        <w:t>商务与技术</w:t>
      </w:r>
      <w:r>
        <w:rPr>
          <w:rFonts w:hint="eastAsia" w:ascii="宋体" w:hAnsi="宋体" w:eastAsia="宋体" w:cs="宋体"/>
          <w:b/>
          <w:bCs w:val="0"/>
          <w:color w:val="auto"/>
          <w:sz w:val="24"/>
          <w:highlight w:val="none"/>
          <w:lang w:val="en-US" w:eastAsia="zh-CN"/>
        </w:rPr>
        <w:t>部分</w:t>
      </w:r>
    </w:p>
    <w:p w14:paraId="6727C339">
      <w:pPr>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1、供应商基本情况表（附件6）</w:t>
      </w:r>
    </w:p>
    <w:p w14:paraId="6D185715">
      <w:pPr>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 xml:space="preserve">2、项目组织实施方案； </w:t>
      </w:r>
    </w:p>
    <w:p w14:paraId="34CFC2C1">
      <w:pPr>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3、项目实施人员一览表（附件7）；</w:t>
      </w:r>
    </w:p>
    <w:p w14:paraId="3AC8AEB3">
      <w:pPr>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4、项目负责人资格情况表（附件8)；</w:t>
      </w:r>
    </w:p>
    <w:p w14:paraId="174AFFC8">
      <w:pPr>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5、商务及技术响应表（附件9）</w:t>
      </w:r>
    </w:p>
    <w:p w14:paraId="3B7650DE">
      <w:pPr>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6、企业证书一览表（附件10）；</w:t>
      </w:r>
    </w:p>
    <w:p w14:paraId="04B62FBA">
      <w:pPr>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7、类似项目实施情况一览表（附件11）</w:t>
      </w:r>
    </w:p>
    <w:p w14:paraId="38C36602">
      <w:pPr>
        <w:keepNext w:val="0"/>
        <w:keepLines w:val="0"/>
        <w:pageBreakBefore w:val="0"/>
        <w:kinsoku/>
        <w:wordWrap/>
        <w:overflowPunct/>
        <w:topLinePunct w:val="0"/>
        <w:bidi w:val="0"/>
        <w:snapToGrid w:val="0"/>
        <w:spacing w:line="360" w:lineRule="auto"/>
        <w:ind w:firstLine="480" w:firstLineChars="200"/>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8、售后服务措施及承诺（可视情选用附件12）；</w:t>
      </w:r>
    </w:p>
    <w:p w14:paraId="491551F5">
      <w:pPr>
        <w:pStyle w:val="39"/>
        <w:keepNext w:val="0"/>
        <w:keepLines w:val="0"/>
        <w:pageBreakBefore w:val="0"/>
        <w:shd w:val="clear" w:color="auto" w:fill="FFFFFF"/>
        <w:kinsoku/>
        <w:overflowPunct/>
        <w:topLinePunct w:val="0"/>
        <w:bidi w:val="0"/>
        <w:spacing w:before="0" w:beforeAutospacing="0" w:after="0" w:afterAutospacing="0" w:line="240" w:lineRule="auto"/>
        <w:outlineLvl w:val="9"/>
        <w:rPr>
          <w:rFonts w:hint="eastAsia" w:ascii="宋体" w:hAnsi="宋体" w:eastAsia="宋体" w:cs="宋体"/>
          <w:b/>
          <w:color w:val="auto"/>
          <w:sz w:val="28"/>
          <w:highlight w:val="none"/>
        </w:rPr>
      </w:pPr>
    </w:p>
    <w:p w14:paraId="5CF0803E">
      <w:pPr>
        <w:pStyle w:val="39"/>
        <w:keepNext w:val="0"/>
        <w:keepLines w:val="0"/>
        <w:pageBreakBefore w:val="0"/>
        <w:shd w:val="clear" w:color="auto" w:fill="FFFFFF"/>
        <w:kinsoku/>
        <w:overflowPunct/>
        <w:topLinePunct w:val="0"/>
        <w:bidi w:val="0"/>
        <w:spacing w:before="0" w:beforeAutospacing="0" w:after="0" w:afterAutospacing="0" w:line="240" w:lineRule="auto"/>
        <w:outlineLvl w:val="9"/>
        <w:rPr>
          <w:rFonts w:hint="eastAsia" w:ascii="宋体" w:hAnsi="宋体" w:eastAsia="宋体" w:cs="宋体"/>
          <w:b/>
          <w:color w:val="auto"/>
          <w:sz w:val="28"/>
          <w:highlight w:val="none"/>
        </w:rPr>
      </w:pPr>
    </w:p>
    <w:p w14:paraId="52579AD0">
      <w:pPr>
        <w:pStyle w:val="39"/>
        <w:keepNext w:val="0"/>
        <w:keepLines w:val="0"/>
        <w:pageBreakBefore w:val="0"/>
        <w:shd w:val="clear" w:color="auto" w:fill="FFFFFF"/>
        <w:kinsoku/>
        <w:overflowPunct/>
        <w:topLinePunct w:val="0"/>
        <w:bidi w:val="0"/>
        <w:spacing w:before="0" w:beforeAutospacing="0" w:after="0" w:afterAutospacing="0" w:line="240" w:lineRule="auto"/>
        <w:outlineLvl w:val="9"/>
        <w:rPr>
          <w:rFonts w:hint="eastAsia" w:ascii="宋体" w:hAnsi="宋体" w:eastAsia="宋体" w:cs="宋体"/>
          <w:b/>
          <w:color w:val="auto"/>
          <w:sz w:val="28"/>
          <w:highlight w:val="none"/>
        </w:rPr>
      </w:pPr>
    </w:p>
    <w:p w14:paraId="245D680A">
      <w:pPr>
        <w:pStyle w:val="39"/>
        <w:keepNext w:val="0"/>
        <w:keepLines w:val="0"/>
        <w:pageBreakBefore w:val="0"/>
        <w:shd w:val="clear" w:color="auto" w:fill="FFFFFF"/>
        <w:kinsoku/>
        <w:overflowPunct/>
        <w:topLinePunct w:val="0"/>
        <w:bidi w:val="0"/>
        <w:spacing w:before="0" w:beforeAutospacing="0" w:after="0" w:afterAutospacing="0" w:line="240" w:lineRule="auto"/>
        <w:outlineLvl w:val="9"/>
        <w:rPr>
          <w:rFonts w:hint="eastAsia" w:ascii="宋体" w:hAnsi="宋体" w:eastAsia="宋体" w:cs="宋体"/>
          <w:b/>
          <w:color w:val="auto"/>
          <w:sz w:val="28"/>
          <w:highlight w:val="none"/>
        </w:rPr>
      </w:pPr>
    </w:p>
    <w:p w14:paraId="1D98E86C">
      <w:pPr>
        <w:pStyle w:val="39"/>
        <w:keepNext w:val="0"/>
        <w:keepLines w:val="0"/>
        <w:pageBreakBefore w:val="0"/>
        <w:shd w:val="clear" w:color="auto" w:fill="FFFFFF"/>
        <w:kinsoku/>
        <w:overflowPunct/>
        <w:topLinePunct w:val="0"/>
        <w:bidi w:val="0"/>
        <w:spacing w:before="0" w:beforeAutospacing="0" w:after="0" w:afterAutospacing="0" w:line="240" w:lineRule="auto"/>
        <w:outlineLvl w:val="9"/>
        <w:rPr>
          <w:rFonts w:hint="eastAsia" w:ascii="宋体" w:hAnsi="宋体" w:eastAsia="宋体" w:cs="宋体"/>
          <w:b/>
          <w:color w:val="auto"/>
          <w:sz w:val="28"/>
          <w:highlight w:val="none"/>
        </w:rPr>
      </w:pPr>
    </w:p>
    <w:p w14:paraId="2644058D">
      <w:pPr>
        <w:pStyle w:val="39"/>
        <w:keepNext w:val="0"/>
        <w:keepLines w:val="0"/>
        <w:pageBreakBefore w:val="0"/>
        <w:shd w:val="clear" w:color="auto" w:fill="FFFFFF"/>
        <w:kinsoku/>
        <w:overflowPunct/>
        <w:topLinePunct w:val="0"/>
        <w:bidi w:val="0"/>
        <w:spacing w:before="0" w:beforeAutospacing="0" w:after="0" w:afterAutospacing="0" w:line="240" w:lineRule="auto"/>
        <w:outlineLvl w:val="9"/>
        <w:rPr>
          <w:rFonts w:hint="eastAsia" w:ascii="宋体" w:hAnsi="宋体" w:eastAsia="宋体" w:cs="宋体"/>
          <w:b/>
          <w:color w:val="auto"/>
          <w:sz w:val="28"/>
          <w:highlight w:val="none"/>
        </w:rPr>
      </w:pPr>
    </w:p>
    <w:p w14:paraId="72E013C3">
      <w:pPr>
        <w:pStyle w:val="39"/>
        <w:keepNext w:val="0"/>
        <w:keepLines w:val="0"/>
        <w:pageBreakBefore w:val="0"/>
        <w:shd w:val="clear" w:color="auto" w:fill="FFFFFF"/>
        <w:kinsoku/>
        <w:overflowPunct/>
        <w:topLinePunct w:val="0"/>
        <w:bidi w:val="0"/>
        <w:spacing w:before="0" w:beforeAutospacing="0" w:after="0" w:afterAutospacing="0" w:line="240" w:lineRule="auto"/>
        <w:outlineLvl w:val="9"/>
        <w:rPr>
          <w:rFonts w:hint="eastAsia" w:ascii="宋体" w:hAnsi="宋体" w:eastAsia="宋体" w:cs="宋体"/>
          <w:b/>
          <w:color w:val="auto"/>
          <w:sz w:val="28"/>
          <w:highlight w:val="none"/>
        </w:rPr>
      </w:pPr>
    </w:p>
    <w:p w14:paraId="70443F6C">
      <w:pPr>
        <w:pStyle w:val="39"/>
        <w:keepNext w:val="0"/>
        <w:keepLines w:val="0"/>
        <w:pageBreakBefore w:val="0"/>
        <w:shd w:val="clear" w:color="auto" w:fill="FFFFFF"/>
        <w:kinsoku/>
        <w:overflowPunct/>
        <w:topLinePunct w:val="0"/>
        <w:bidi w:val="0"/>
        <w:spacing w:before="0" w:beforeAutospacing="0" w:after="0" w:afterAutospacing="0" w:line="240" w:lineRule="auto"/>
        <w:outlineLvl w:val="9"/>
        <w:rPr>
          <w:rFonts w:hint="eastAsia" w:ascii="宋体" w:hAnsi="宋体" w:eastAsia="宋体" w:cs="宋体"/>
          <w:b/>
          <w:color w:val="auto"/>
          <w:sz w:val="28"/>
          <w:highlight w:val="none"/>
        </w:rPr>
      </w:pPr>
    </w:p>
    <w:p w14:paraId="362EB7E6">
      <w:pPr>
        <w:pStyle w:val="39"/>
        <w:keepNext w:val="0"/>
        <w:keepLines w:val="0"/>
        <w:pageBreakBefore w:val="0"/>
        <w:shd w:val="clear" w:color="auto" w:fill="FFFFFF"/>
        <w:kinsoku/>
        <w:overflowPunct/>
        <w:topLinePunct w:val="0"/>
        <w:bidi w:val="0"/>
        <w:spacing w:before="0" w:beforeAutospacing="0" w:after="0" w:afterAutospacing="0" w:line="240" w:lineRule="auto"/>
        <w:outlineLvl w:val="9"/>
        <w:rPr>
          <w:rFonts w:hint="eastAsia" w:ascii="宋体" w:hAnsi="宋体" w:eastAsia="宋体" w:cs="宋体"/>
          <w:b/>
          <w:color w:val="auto"/>
          <w:sz w:val="28"/>
          <w:highlight w:val="none"/>
        </w:rPr>
      </w:pPr>
    </w:p>
    <w:p w14:paraId="10CA4826">
      <w:pPr>
        <w:pStyle w:val="39"/>
        <w:keepNext w:val="0"/>
        <w:keepLines w:val="0"/>
        <w:pageBreakBefore w:val="0"/>
        <w:shd w:val="clear" w:color="auto" w:fill="FFFFFF"/>
        <w:kinsoku/>
        <w:overflowPunct/>
        <w:topLinePunct w:val="0"/>
        <w:bidi w:val="0"/>
        <w:spacing w:before="0" w:beforeAutospacing="0" w:after="0" w:afterAutospacing="0" w:line="240" w:lineRule="auto"/>
        <w:outlineLvl w:val="9"/>
        <w:rPr>
          <w:rFonts w:hint="eastAsia" w:ascii="宋体" w:hAnsi="宋体" w:eastAsia="宋体" w:cs="宋体"/>
          <w:b/>
          <w:color w:val="auto"/>
          <w:sz w:val="28"/>
          <w:highlight w:val="none"/>
        </w:rPr>
      </w:pPr>
    </w:p>
    <w:p w14:paraId="799A129B">
      <w:pPr>
        <w:pStyle w:val="39"/>
        <w:keepNext w:val="0"/>
        <w:keepLines w:val="0"/>
        <w:pageBreakBefore w:val="0"/>
        <w:shd w:val="clear" w:color="auto" w:fill="FFFFFF"/>
        <w:kinsoku/>
        <w:overflowPunct/>
        <w:topLinePunct w:val="0"/>
        <w:bidi w:val="0"/>
        <w:spacing w:before="0" w:beforeAutospacing="0" w:after="0" w:afterAutospacing="0" w:line="240" w:lineRule="auto"/>
        <w:outlineLvl w:val="9"/>
        <w:rPr>
          <w:rFonts w:hint="eastAsia" w:ascii="宋体" w:hAnsi="宋体" w:eastAsia="宋体" w:cs="宋体"/>
          <w:b/>
          <w:color w:val="auto"/>
          <w:sz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6C90295">
      <w:pPr>
        <w:pStyle w:val="39"/>
        <w:keepNext w:val="0"/>
        <w:keepLines w:val="0"/>
        <w:pageBreakBefore w:val="0"/>
        <w:shd w:val="clear" w:color="auto" w:fill="FFFFFF"/>
        <w:kinsoku/>
        <w:overflowPunct/>
        <w:topLinePunct w:val="0"/>
        <w:bidi w:val="0"/>
        <w:spacing w:before="0" w:beforeAutospacing="0" w:after="0" w:afterAutospacing="0" w:line="240" w:lineRule="auto"/>
        <w:outlineLvl w:val="9"/>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附件</w:t>
      </w:r>
      <w:r>
        <w:rPr>
          <w:rFonts w:hint="eastAsia" w:ascii="宋体" w:hAnsi="宋体" w:eastAsia="宋体" w:cs="宋体"/>
          <w:b/>
          <w:color w:val="auto"/>
          <w:sz w:val="28"/>
          <w:highlight w:val="none"/>
          <w:lang w:val="en-US" w:eastAsia="zh-CN"/>
        </w:rPr>
        <w:t>5</w:t>
      </w:r>
    </w:p>
    <w:p w14:paraId="46026A1A">
      <w:pPr>
        <w:keepNext w:val="0"/>
        <w:keepLines w:val="0"/>
        <w:pageBreakBefore w:val="0"/>
        <w:kinsoku/>
        <w:overflowPunct/>
        <w:topLinePunct w:val="0"/>
        <w:bidi w:val="0"/>
        <w:spacing w:line="300" w:lineRule="exact"/>
        <w:ind w:firstLine="422" w:firstLineChars="200"/>
        <w:jc w:val="center"/>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评标索引：自评表</w:t>
      </w:r>
    </w:p>
    <w:tbl>
      <w:tblPr>
        <w:tblStyle w:val="2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090"/>
        <w:gridCol w:w="5764"/>
        <w:gridCol w:w="629"/>
        <w:gridCol w:w="629"/>
        <w:gridCol w:w="629"/>
      </w:tblGrid>
      <w:tr w14:paraId="3B82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87" w:type="dxa"/>
            <w:gridSpan w:val="2"/>
            <w:noWrap w:val="0"/>
            <w:vAlign w:val="center"/>
          </w:tcPr>
          <w:p w14:paraId="4671A186">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评标因素</w:t>
            </w:r>
          </w:p>
        </w:tc>
        <w:tc>
          <w:tcPr>
            <w:tcW w:w="5764" w:type="dxa"/>
            <w:noWrap w:val="0"/>
            <w:vAlign w:val="center"/>
          </w:tcPr>
          <w:p w14:paraId="42A558BB">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629" w:type="dxa"/>
            <w:noWrap w:val="0"/>
            <w:vAlign w:val="center"/>
          </w:tcPr>
          <w:p w14:paraId="75F9A5DF">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629" w:type="dxa"/>
            <w:noWrap w:val="0"/>
            <w:vAlign w:val="center"/>
          </w:tcPr>
          <w:p w14:paraId="47E43722">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对应页码</w:t>
            </w:r>
          </w:p>
        </w:tc>
        <w:tc>
          <w:tcPr>
            <w:tcW w:w="629" w:type="dxa"/>
            <w:noWrap w:val="0"/>
            <w:vAlign w:val="center"/>
          </w:tcPr>
          <w:p w14:paraId="02B757C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自评分</w:t>
            </w:r>
          </w:p>
        </w:tc>
      </w:tr>
      <w:tr w14:paraId="2186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97" w:type="dxa"/>
            <w:vMerge w:val="restart"/>
            <w:noWrap w:val="0"/>
            <w:vAlign w:val="center"/>
          </w:tcPr>
          <w:p w14:paraId="511331AA">
            <w:pPr>
              <w:keepNext w:val="0"/>
              <w:keepLines w:val="0"/>
              <w:pageBreakBefore w:val="0"/>
              <w:widowControl/>
              <w:kinsoku/>
              <w:wordWrap/>
              <w:overflowPunct/>
              <w:topLinePunct w:val="0"/>
              <w:bidi w:val="0"/>
              <w:adjustRightInd w:val="0"/>
              <w:snapToGrid w:val="0"/>
              <w:spacing w:line="240" w:lineRule="auto"/>
              <w:ind w:left="0" w:firstLine="0" w:firstLineChars="0"/>
              <w:rPr>
                <w:rFonts w:hint="eastAsia" w:ascii="宋体" w:hAnsi="宋体" w:eastAsia="宋体" w:cs="宋体"/>
                <w:color w:val="auto"/>
                <w:sz w:val="21"/>
                <w:szCs w:val="21"/>
                <w:highlight w:val="none"/>
              </w:rPr>
            </w:pPr>
          </w:p>
          <w:p w14:paraId="095A1B3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p w14:paraId="0F777563">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p w14:paraId="477CE28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商务分</w:t>
            </w:r>
          </w:p>
          <w:p w14:paraId="7EF08C8C">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1090" w:type="dxa"/>
            <w:noWrap w:val="0"/>
            <w:vAlign w:val="center"/>
          </w:tcPr>
          <w:p w14:paraId="12B108B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企业</w:t>
            </w:r>
            <w:r>
              <w:rPr>
                <w:rFonts w:hint="eastAsia" w:ascii="宋体" w:hAnsi="宋体" w:eastAsia="宋体" w:cs="宋体"/>
                <w:color w:val="auto"/>
                <w:sz w:val="21"/>
                <w:szCs w:val="21"/>
                <w:highlight w:val="none"/>
                <w:lang w:val="en-US" w:eastAsia="zh-CN"/>
              </w:rPr>
              <w:t>认证证书</w:t>
            </w:r>
          </w:p>
        </w:tc>
        <w:tc>
          <w:tcPr>
            <w:tcW w:w="5764" w:type="dxa"/>
            <w:noWrap w:val="0"/>
            <w:vAlign w:val="center"/>
          </w:tcPr>
          <w:p w14:paraId="745A9532">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投标人具有有效期内的质量管理体系、环境管理体系、职业健康安全管理体系认证证书，每具有1项证书得1分，最高得3分。</w:t>
            </w:r>
          </w:p>
          <w:p w14:paraId="3953252C">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（须提供有效的证书复印件并加盖投标人公章编入投标文件中，未提供的不得分）</w:t>
            </w:r>
          </w:p>
        </w:tc>
        <w:tc>
          <w:tcPr>
            <w:tcW w:w="629" w:type="dxa"/>
            <w:noWrap w:val="0"/>
            <w:vAlign w:val="center"/>
          </w:tcPr>
          <w:p w14:paraId="77F87769">
            <w:pPr>
              <w:pStyle w:val="11"/>
              <w:keepNext w:val="0"/>
              <w:keepLines w:val="0"/>
              <w:pageBreakBefore w:val="0"/>
              <w:widowControl/>
              <w:kinsoku/>
              <w:wordWrap/>
              <w:overflowPunct/>
              <w:topLinePunct w:val="0"/>
              <w:bidi w:val="0"/>
              <w:spacing w:line="240" w:lineRule="auto"/>
              <w:ind w:left="0" w:firstLine="0" w:firstLineChars="0"/>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p>
        </w:tc>
        <w:tc>
          <w:tcPr>
            <w:tcW w:w="629" w:type="dxa"/>
            <w:noWrap w:val="0"/>
            <w:vAlign w:val="center"/>
          </w:tcPr>
          <w:p w14:paraId="766858AE">
            <w:pPr>
              <w:pStyle w:val="11"/>
              <w:keepNext w:val="0"/>
              <w:keepLines w:val="0"/>
              <w:pageBreakBefore w:val="0"/>
              <w:widowControl/>
              <w:kinsoku/>
              <w:wordWrap/>
              <w:overflowPunct/>
              <w:topLinePunct w:val="0"/>
              <w:bidi w:val="0"/>
              <w:spacing w:line="240" w:lineRule="auto"/>
              <w:ind w:left="0" w:firstLine="0" w:firstLineChars="0"/>
              <w:jc w:val="center"/>
              <w:rPr>
                <w:rFonts w:hint="eastAsia" w:hAnsi="宋体" w:cs="宋体"/>
                <w:color w:val="auto"/>
                <w:sz w:val="21"/>
                <w:szCs w:val="21"/>
                <w:highlight w:val="none"/>
                <w:lang w:val="en-US" w:eastAsia="zh-CN"/>
              </w:rPr>
            </w:pPr>
          </w:p>
        </w:tc>
        <w:tc>
          <w:tcPr>
            <w:tcW w:w="629" w:type="dxa"/>
            <w:noWrap w:val="0"/>
            <w:vAlign w:val="center"/>
          </w:tcPr>
          <w:p w14:paraId="7DE451FA">
            <w:pPr>
              <w:pStyle w:val="11"/>
              <w:keepNext w:val="0"/>
              <w:keepLines w:val="0"/>
              <w:pageBreakBefore w:val="0"/>
              <w:widowControl/>
              <w:kinsoku/>
              <w:wordWrap/>
              <w:overflowPunct/>
              <w:topLinePunct w:val="0"/>
              <w:bidi w:val="0"/>
              <w:spacing w:line="240" w:lineRule="auto"/>
              <w:ind w:left="0" w:firstLine="0" w:firstLineChars="0"/>
              <w:jc w:val="center"/>
              <w:rPr>
                <w:rFonts w:hint="eastAsia" w:hAnsi="宋体" w:cs="宋体"/>
                <w:color w:val="auto"/>
                <w:sz w:val="21"/>
                <w:szCs w:val="21"/>
                <w:highlight w:val="none"/>
                <w:lang w:val="en-US" w:eastAsia="zh-CN"/>
              </w:rPr>
            </w:pPr>
          </w:p>
        </w:tc>
      </w:tr>
      <w:tr w14:paraId="6BBD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Merge w:val="continue"/>
            <w:noWrap w:val="0"/>
            <w:vAlign w:val="center"/>
          </w:tcPr>
          <w:p w14:paraId="126DC5C6">
            <w:pPr>
              <w:keepNext w:val="0"/>
              <w:keepLines w:val="0"/>
              <w:pageBreakBefore w:val="0"/>
              <w:widowControl/>
              <w:kinsoku/>
              <w:wordWrap/>
              <w:overflowPunct/>
              <w:topLinePunct w:val="0"/>
              <w:autoSpaceDE w:val="0"/>
              <w:autoSpaceDN w:val="0"/>
              <w:bidi w:val="0"/>
              <w:adjustRightInd w:val="0"/>
              <w:spacing w:line="240" w:lineRule="auto"/>
              <w:ind w:left="0" w:firstLine="0" w:firstLineChars="0"/>
              <w:jc w:val="center"/>
              <w:rPr>
                <w:rFonts w:hint="eastAsia" w:ascii="宋体" w:hAnsi="宋体" w:eastAsia="宋体" w:cs="宋体"/>
                <w:color w:val="auto"/>
                <w:sz w:val="21"/>
                <w:szCs w:val="21"/>
                <w:highlight w:val="none"/>
              </w:rPr>
            </w:pPr>
          </w:p>
        </w:tc>
        <w:tc>
          <w:tcPr>
            <w:tcW w:w="1090" w:type="dxa"/>
            <w:noWrap w:val="0"/>
            <w:vAlign w:val="center"/>
          </w:tcPr>
          <w:p w14:paraId="2CE6F995">
            <w:pPr>
              <w:keepNext w:val="0"/>
              <w:keepLines w:val="0"/>
              <w:pageBreakBefore w:val="0"/>
              <w:widowControl/>
              <w:kinsoku/>
              <w:wordWrap/>
              <w:overflowPunct/>
              <w:topLinePunct w:val="0"/>
              <w:autoSpaceDE w:val="0"/>
              <w:autoSpaceDN w:val="0"/>
              <w:bidi w:val="0"/>
              <w:adjustRightInd w:val="0"/>
              <w:spacing w:line="240" w:lineRule="auto"/>
              <w:ind w:left="0" w:firstLine="0" w:firstLine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承接经验</w:t>
            </w:r>
          </w:p>
        </w:tc>
        <w:tc>
          <w:tcPr>
            <w:tcW w:w="5764" w:type="dxa"/>
            <w:noWrap w:val="0"/>
            <w:vAlign w:val="center"/>
          </w:tcPr>
          <w:p w14:paraId="14BCDC7F">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投标人</w:t>
            </w:r>
            <w:r>
              <w:rPr>
                <w:rFonts w:hint="eastAsia" w:ascii="宋体" w:hAnsi="宋体" w:eastAsia="宋体" w:cs="宋体"/>
                <w:color w:val="auto"/>
                <w:kern w:val="2"/>
                <w:sz w:val="21"/>
                <w:szCs w:val="21"/>
                <w:highlight w:val="none"/>
                <w:lang w:val="en-US" w:eastAsia="zh-CN"/>
              </w:rPr>
              <w:t>自</w:t>
            </w:r>
            <w:r>
              <w:rPr>
                <w:rFonts w:hint="eastAsia" w:ascii="宋体" w:hAnsi="宋体" w:eastAsia="宋体" w:cs="宋体"/>
                <w:color w:val="auto"/>
                <w:kern w:val="2"/>
                <w:sz w:val="21"/>
                <w:szCs w:val="21"/>
                <w:highlight w:val="none"/>
              </w:rPr>
              <w:t>20</w:t>
            </w:r>
            <w:r>
              <w:rPr>
                <w:rFonts w:hint="eastAsia" w:ascii="宋体" w:hAnsi="宋体" w:eastAsia="宋体" w:cs="宋体"/>
                <w:color w:val="auto"/>
                <w:kern w:val="2"/>
                <w:sz w:val="21"/>
                <w:szCs w:val="21"/>
                <w:highlight w:val="none"/>
                <w:lang w:val="en-US" w:eastAsia="zh-CN"/>
              </w:rPr>
              <w:t>2</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年1月1日以来（以合同签订时间为准）</w:t>
            </w:r>
            <w:r>
              <w:rPr>
                <w:rFonts w:hint="eastAsia" w:hAnsi="宋体" w:cs="宋体"/>
                <w:color w:val="auto"/>
                <w:kern w:val="2"/>
                <w:sz w:val="21"/>
                <w:szCs w:val="21"/>
                <w:highlight w:val="none"/>
                <w:lang w:val="en-US" w:eastAsia="zh-CN"/>
              </w:rPr>
              <w:t>承接过类似</w:t>
            </w:r>
            <w:r>
              <w:rPr>
                <w:rFonts w:hint="eastAsia" w:ascii="宋体" w:hAnsi="宋体" w:eastAsia="宋体" w:cs="宋体"/>
                <w:color w:val="auto"/>
                <w:sz w:val="21"/>
                <w:szCs w:val="21"/>
                <w:highlight w:val="none"/>
                <w:lang w:val="en-US" w:eastAsia="zh-CN"/>
              </w:rPr>
              <w:t>重点排污企业的检测、地表水和地下水的检测项目</w:t>
            </w:r>
            <w:r>
              <w:rPr>
                <w:rFonts w:hint="eastAsia" w:ascii="宋体" w:hAnsi="宋体" w:eastAsia="宋体" w:cs="宋体"/>
                <w:i w:val="0"/>
                <w:iCs w:val="0"/>
                <w:color w:val="auto"/>
                <w:kern w:val="0"/>
                <w:sz w:val="21"/>
                <w:szCs w:val="21"/>
                <w:highlight w:val="none"/>
                <w:u w:val="none"/>
                <w:lang w:val="en-US" w:eastAsia="zh-CN" w:bidi="ar"/>
              </w:rPr>
              <w:t>业绩的</w:t>
            </w:r>
            <w:r>
              <w:rPr>
                <w:rFonts w:hint="eastAsia" w:ascii="宋体" w:hAnsi="宋体" w:eastAsia="宋体" w:cs="宋体"/>
                <w:color w:val="auto"/>
                <w:kern w:val="2"/>
                <w:sz w:val="21"/>
                <w:szCs w:val="21"/>
                <w:highlight w:val="none"/>
              </w:rPr>
              <w:t>，每提供1项得</w:t>
            </w:r>
            <w:r>
              <w:rPr>
                <w:rFonts w:hint="eastAsia" w:hAnsi="宋体" w:cs="宋体"/>
                <w:color w:val="auto"/>
                <w:kern w:val="2"/>
                <w:sz w:val="21"/>
                <w:szCs w:val="21"/>
                <w:highlight w:val="none"/>
                <w:lang w:val="en-US" w:eastAsia="zh-CN"/>
              </w:rPr>
              <w:t>0.5</w:t>
            </w:r>
            <w:r>
              <w:rPr>
                <w:rFonts w:hint="eastAsia" w:ascii="宋体" w:hAnsi="宋体" w:eastAsia="宋体" w:cs="宋体"/>
                <w:color w:val="auto"/>
                <w:kern w:val="2"/>
                <w:sz w:val="21"/>
                <w:szCs w:val="21"/>
                <w:highlight w:val="none"/>
              </w:rPr>
              <w:t>分，最高得</w:t>
            </w:r>
            <w:r>
              <w:rPr>
                <w:rFonts w:hint="eastAsia"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w:t>
            </w:r>
            <w:r>
              <w:rPr>
                <w:rFonts w:hint="eastAsia" w:ascii="宋体" w:hAnsi="宋体" w:eastAsia="宋体" w:cs="宋体"/>
                <w:color w:val="auto"/>
                <w:sz w:val="21"/>
                <w:szCs w:val="21"/>
                <w:highlight w:val="none"/>
                <w:lang w:val="en-US" w:eastAsia="zh-CN"/>
              </w:rPr>
              <w:t>。</w:t>
            </w:r>
          </w:p>
          <w:p w14:paraId="6E2FB0D0">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（须提供相应合同</w:t>
            </w:r>
            <w:r>
              <w:rPr>
                <w:rFonts w:hint="eastAsia" w:ascii="宋体" w:hAnsi="宋体" w:eastAsia="宋体" w:cs="宋体"/>
                <w:b/>
                <w:bCs/>
                <w:snapToGrid w:val="0"/>
                <w:color w:val="auto"/>
                <w:kern w:val="0"/>
                <w:sz w:val="21"/>
                <w:szCs w:val="21"/>
                <w:highlight w:val="none"/>
                <w:lang w:val="en-US" w:eastAsia="zh-CN"/>
              </w:rPr>
              <w:t>（或委托书）</w:t>
            </w:r>
            <w:r>
              <w:rPr>
                <w:rFonts w:hint="eastAsia" w:ascii="宋体" w:hAnsi="宋体" w:eastAsia="宋体" w:cs="宋体"/>
                <w:b/>
                <w:bCs/>
                <w:color w:val="auto"/>
                <w:sz w:val="21"/>
                <w:szCs w:val="21"/>
                <w:highlight w:val="none"/>
                <w:lang w:val="en-US" w:eastAsia="zh-CN"/>
              </w:rPr>
              <w:t>复印件并加盖投标人公章编入投标文件中，未提供的不得分）</w:t>
            </w:r>
          </w:p>
        </w:tc>
        <w:tc>
          <w:tcPr>
            <w:tcW w:w="629" w:type="dxa"/>
            <w:noWrap w:val="0"/>
            <w:vAlign w:val="center"/>
          </w:tcPr>
          <w:p w14:paraId="2E25E6DD">
            <w:pPr>
              <w:keepNext w:val="0"/>
              <w:keepLines w:val="0"/>
              <w:pageBreakBefore w:val="0"/>
              <w:widowControl/>
              <w:kinsoku/>
              <w:wordWrap/>
              <w:overflowPunct/>
              <w:topLinePunct w:val="0"/>
              <w:bidi w:val="0"/>
              <w:spacing w:line="240" w:lineRule="auto"/>
              <w:ind w:left="0"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629" w:type="dxa"/>
            <w:noWrap w:val="0"/>
            <w:vAlign w:val="center"/>
          </w:tcPr>
          <w:p w14:paraId="0DB35E65">
            <w:pPr>
              <w:keepNext w:val="0"/>
              <w:keepLines w:val="0"/>
              <w:pageBreakBefore w:val="0"/>
              <w:widowControl/>
              <w:kinsoku/>
              <w:wordWrap/>
              <w:overflowPunct/>
              <w:topLinePunct w:val="0"/>
              <w:bidi w:val="0"/>
              <w:spacing w:line="240" w:lineRule="auto"/>
              <w:ind w:left="0" w:firstLine="0" w:firstLineChars="0"/>
              <w:jc w:val="center"/>
              <w:rPr>
                <w:rFonts w:hint="eastAsia" w:ascii="宋体" w:hAnsi="宋体" w:cs="宋体"/>
                <w:color w:val="auto"/>
                <w:sz w:val="21"/>
                <w:szCs w:val="21"/>
                <w:highlight w:val="none"/>
                <w:lang w:val="en-US" w:eastAsia="zh-CN"/>
              </w:rPr>
            </w:pPr>
          </w:p>
        </w:tc>
        <w:tc>
          <w:tcPr>
            <w:tcW w:w="629" w:type="dxa"/>
            <w:noWrap w:val="0"/>
            <w:vAlign w:val="center"/>
          </w:tcPr>
          <w:p w14:paraId="41310538">
            <w:pPr>
              <w:keepNext w:val="0"/>
              <w:keepLines w:val="0"/>
              <w:pageBreakBefore w:val="0"/>
              <w:widowControl/>
              <w:kinsoku/>
              <w:wordWrap/>
              <w:overflowPunct/>
              <w:topLinePunct w:val="0"/>
              <w:bidi w:val="0"/>
              <w:spacing w:line="240" w:lineRule="auto"/>
              <w:ind w:left="0" w:firstLine="0" w:firstLineChars="0"/>
              <w:jc w:val="center"/>
              <w:rPr>
                <w:rFonts w:hint="eastAsia" w:ascii="宋体" w:hAnsi="宋体" w:cs="宋体"/>
                <w:color w:val="auto"/>
                <w:sz w:val="21"/>
                <w:szCs w:val="21"/>
                <w:highlight w:val="none"/>
                <w:lang w:val="en-US" w:eastAsia="zh-CN"/>
              </w:rPr>
            </w:pPr>
          </w:p>
        </w:tc>
      </w:tr>
      <w:tr w14:paraId="0196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897" w:type="dxa"/>
            <w:vMerge w:val="continue"/>
            <w:noWrap w:val="0"/>
            <w:vAlign w:val="center"/>
          </w:tcPr>
          <w:p w14:paraId="629EF1CF">
            <w:pPr>
              <w:keepNext w:val="0"/>
              <w:keepLines w:val="0"/>
              <w:pageBreakBefore w:val="0"/>
              <w:widowControl/>
              <w:kinsoku/>
              <w:wordWrap/>
              <w:overflowPunct/>
              <w:topLinePunct w:val="0"/>
              <w:autoSpaceDE w:val="0"/>
              <w:autoSpaceDN w:val="0"/>
              <w:bidi w:val="0"/>
              <w:adjustRightInd w:val="0"/>
              <w:spacing w:line="240" w:lineRule="auto"/>
              <w:ind w:left="0" w:firstLine="0" w:firstLineChars="0"/>
              <w:jc w:val="center"/>
              <w:rPr>
                <w:rFonts w:hint="eastAsia" w:ascii="宋体" w:hAnsi="宋体" w:eastAsia="宋体" w:cs="宋体"/>
                <w:color w:val="auto"/>
                <w:sz w:val="21"/>
                <w:szCs w:val="21"/>
                <w:highlight w:val="none"/>
              </w:rPr>
            </w:pPr>
          </w:p>
        </w:tc>
        <w:tc>
          <w:tcPr>
            <w:tcW w:w="1090" w:type="dxa"/>
            <w:noWrap w:val="0"/>
            <w:vAlign w:val="center"/>
          </w:tcPr>
          <w:p w14:paraId="6650F6DC">
            <w:pPr>
              <w:keepNext w:val="0"/>
              <w:keepLines w:val="0"/>
              <w:pageBreakBefore w:val="0"/>
              <w:widowControl/>
              <w:kinsoku/>
              <w:wordWrap/>
              <w:overflowPunct/>
              <w:topLinePunct w:val="0"/>
              <w:autoSpaceDE w:val="0"/>
              <w:autoSpaceDN w:val="0"/>
              <w:bidi w:val="0"/>
              <w:adjustRightInd w:val="0"/>
              <w:spacing w:line="240" w:lineRule="auto"/>
              <w:ind w:left="0" w:firstLine="0" w:firstLineChars="0"/>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项目组</w:t>
            </w:r>
            <w:r>
              <w:rPr>
                <w:rFonts w:hint="eastAsia" w:ascii="宋体" w:hAnsi="宋体" w:cs="宋体"/>
                <w:color w:val="auto"/>
                <w:spacing w:val="-4"/>
                <w:sz w:val="21"/>
                <w:szCs w:val="21"/>
                <w:highlight w:val="none"/>
                <w:lang w:val="en-US" w:eastAsia="zh-CN"/>
              </w:rPr>
              <w:t>人</w:t>
            </w:r>
            <w:r>
              <w:rPr>
                <w:rFonts w:hint="eastAsia" w:ascii="宋体" w:hAnsi="宋体" w:eastAsia="宋体" w:cs="宋体"/>
                <w:color w:val="auto"/>
                <w:spacing w:val="-4"/>
                <w:sz w:val="21"/>
                <w:szCs w:val="21"/>
                <w:highlight w:val="none"/>
              </w:rPr>
              <w:t>员</w:t>
            </w:r>
          </w:p>
        </w:tc>
        <w:tc>
          <w:tcPr>
            <w:tcW w:w="5764" w:type="dxa"/>
            <w:noWrap w:val="0"/>
            <w:vAlign w:val="center"/>
          </w:tcPr>
          <w:p w14:paraId="081E3FE6">
            <w:pPr>
              <w:pStyle w:val="8"/>
              <w:keepNext w:val="0"/>
              <w:keepLines w:val="0"/>
              <w:pageBreakBefore w:val="0"/>
              <w:widowControl/>
              <w:kinsoku/>
              <w:wordWrap/>
              <w:overflowPunct/>
              <w:topLinePunct w:val="0"/>
              <w:bidi w:val="0"/>
              <w:spacing w:line="240" w:lineRule="auto"/>
              <w:ind w:lef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项目组成员</w:t>
            </w:r>
            <w:r>
              <w:rPr>
                <w:rFonts w:hint="eastAsia" w:ascii="宋体" w:hAnsi="宋体" w:eastAsia="宋体" w:cs="宋体"/>
                <w:color w:val="auto"/>
                <w:kern w:val="0"/>
                <w:sz w:val="21"/>
                <w:szCs w:val="21"/>
                <w:highlight w:val="none"/>
                <w:lang w:val="en-US" w:eastAsia="zh-CN"/>
              </w:rPr>
              <w:t>具有“生态环保类</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lang w:val="en-US" w:eastAsia="zh-CN"/>
              </w:rPr>
              <w:t>“生态环保类”指环境科学与工程（或环境工程、环境科学）、地理环境与污染控制、水质科学与技术、给水排水工程（或给排水科学与工程）等专业</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专业</w:t>
            </w:r>
            <w:r>
              <w:rPr>
                <w:rFonts w:hint="eastAsia" w:ascii="宋体" w:hAnsi="宋体" w:eastAsia="宋体" w:cs="宋体"/>
                <w:color w:val="auto"/>
                <w:kern w:val="0"/>
                <w:sz w:val="21"/>
                <w:szCs w:val="21"/>
                <w:highlight w:val="none"/>
              </w:rPr>
              <w:t>技术职称</w:t>
            </w:r>
            <w:r>
              <w:rPr>
                <w:rFonts w:hint="eastAsia" w:ascii="宋体" w:hAnsi="宋体" w:eastAsia="宋体" w:cs="宋体"/>
                <w:color w:val="auto"/>
                <w:kern w:val="0"/>
                <w:sz w:val="21"/>
                <w:szCs w:val="21"/>
                <w:highlight w:val="none"/>
                <w:lang w:val="en-US" w:eastAsia="zh-CN"/>
              </w:rPr>
              <w:t>的：</w:t>
            </w:r>
            <w:r>
              <w:rPr>
                <w:rFonts w:hint="eastAsia" w:ascii="宋体" w:hAnsi="宋体" w:eastAsia="宋体" w:cs="宋体"/>
                <w:color w:val="auto"/>
                <w:sz w:val="21"/>
                <w:szCs w:val="21"/>
                <w:highlight w:val="none"/>
                <w:lang w:val="en-US" w:eastAsia="zh-CN"/>
              </w:rPr>
              <w:t>中级及以上职称的每人得1分，助理工程师每人得0.5分。最高得5分</w:t>
            </w:r>
            <w:r>
              <w:rPr>
                <w:rFonts w:hint="eastAsia" w:ascii="宋体" w:hAnsi="宋体" w:eastAsia="宋体" w:cs="宋体"/>
                <w:color w:val="auto"/>
                <w:kern w:val="0"/>
                <w:sz w:val="21"/>
                <w:szCs w:val="21"/>
                <w:highlight w:val="none"/>
                <w:lang w:val="en-US" w:eastAsia="zh-CN"/>
              </w:rPr>
              <w:t>。</w:t>
            </w:r>
          </w:p>
          <w:p w14:paraId="70397EAA">
            <w:pPr>
              <w:pStyle w:val="8"/>
              <w:keepNext w:val="0"/>
              <w:keepLines w:val="0"/>
              <w:pageBreakBefore w:val="0"/>
              <w:widowControl/>
              <w:kinsoku/>
              <w:wordWrap/>
              <w:overflowPunct/>
              <w:topLinePunct w:val="0"/>
              <w:bidi w:val="0"/>
              <w:spacing w:line="240" w:lineRule="auto"/>
              <w:ind w:left="0" w:firstLine="0" w:firstLineChars="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（须提供职称证书复印件及投标截止时间前连续3个月内在投标人单位的社保缴费证明并加盖投标人公章编入投标文件中，未提供或提供不全的不得分）</w:t>
            </w:r>
          </w:p>
        </w:tc>
        <w:tc>
          <w:tcPr>
            <w:tcW w:w="629" w:type="dxa"/>
            <w:noWrap w:val="0"/>
            <w:vAlign w:val="center"/>
          </w:tcPr>
          <w:p w14:paraId="0C2CA90F">
            <w:pPr>
              <w:keepNext w:val="0"/>
              <w:keepLines w:val="0"/>
              <w:pageBreakBefore w:val="0"/>
              <w:widowControl/>
              <w:kinsoku/>
              <w:wordWrap/>
              <w:overflowPunct/>
              <w:topLinePunct w:val="0"/>
              <w:bidi w:val="0"/>
              <w:spacing w:line="240" w:lineRule="auto"/>
              <w:ind w:left="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629" w:type="dxa"/>
            <w:noWrap w:val="0"/>
            <w:vAlign w:val="center"/>
          </w:tcPr>
          <w:p w14:paraId="520D0152">
            <w:pPr>
              <w:keepNext w:val="0"/>
              <w:keepLines w:val="0"/>
              <w:pageBreakBefore w:val="0"/>
              <w:widowControl/>
              <w:kinsoku/>
              <w:wordWrap/>
              <w:overflowPunct/>
              <w:topLinePunct w:val="0"/>
              <w:bidi w:val="0"/>
              <w:spacing w:line="240" w:lineRule="auto"/>
              <w:ind w:left="0" w:firstLine="0" w:firstLineChars="0"/>
              <w:jc w:val="center"/>
              <w:rPr>
                <w:rFonts w:hint="eastAsia" w:ascii="宋体" w:hAnsi="宋体" w:cs="宋体"/>
                <w:color w:val="auto"/>
                <w:sz w:val="21"/>
                <w:szCs w:val="21"/>
                <w:highlight w:val="none"/>
                <w:lang w:val="en-US" w:eastAsia="zh-CN"/>
              </w:rPr>
            </w:pPr>
          </w:p>
        </w:tc>
        <w:tc>
          <w:tcPr>
            <w:tcW w:w="629" w:type="dxa"/>
            <w:noWrap w:val="0"/>
            <w:vAlign w:val="center"/>
          </w:tcPr>
          <w:p w14:paraId="307368C0">
            <w:pPr>
              <w:keepNext w:val="0"/>
              <w:keepLines w:val="0"/>
              <w:pageBreakBefore w:val="0"/>
              <w:widowControl/>
              <w:kinsoku/>
              <w:wordWrap/>
              <w:overflowPunct/>
              <w:topLinePunct w:val="0"/>
              <w:bidi w:val="0"/>
              <w:spacing w:line="240" w:lineRule="auto"/>
              <w:ind w:left="0" w:firstLine="0" w:firstLineChars="0"/>
              <w:jc w:val="center"/>
              <w:rPr>
                <w:rFonts w:hint="eastAsia" w:ascii="宋体" w:hAnsi="宋体" w:cs="宋体"/>
                <w:color w:val="auto"/>
                <w:sz w:val="21"/>
                <w:szCs w:val="21"/>
                <w:highlight w:val="none"/>
                <w:lang w:val="en-US" w:eastAsia="zh-CN"/>
              </w:rPr>
            </w:pPr>
          </w:p>
        </w:tc>
      </w:tr>
      <w:tr w14:paraId="4CC5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897" w:type="dxa"/>
            <w:vMerge w:val="continue"/>
            <w:noWrap w:val="0"/>
            <w:vAlign w:val="center"/>
          </w:tcPr>
          <w:p w14:paraId="607F69F4">
            <w:pPr>
              <w:keepNext w:val="0"/>
              <w:keepLines w:val="0"/>
              <w:pageBreakBefore w:val="0"/>
              <w:widowControl/>
              <w:kinsoku/>
              <w:wordWrap/>
              <w:overflowPunct/>
              <w:topLinePunct w:val="0"/>
              <w:autoSpaceDE w:val="0"/>
              <w:autoSpaceDN w:val="0"/>
              <w:bidi w:val="0"/>
              <w:adjustRightInd w:val="0"/>
              <w:spacing w:line="240" w:lineRule="auto"/>
              <w:ind w:left="0" w:firstLine="0" w:firstLineChars="0"/>
              <w:jc w:val="center"/>
              <w:rPr>
                <w:rFonts w:hint="eastAsia" w:ascii="宋体" w:hAnsi="宋体" w:eastAsia="宋体" w:cs="宋体"/>
                <w:color w:val="auto"/>
                <w:sz w:val="21"/>
                <w:szCs w:val="21"/>
                <w:highlight w:val="none"/>
              </w:rPr>
            </w:pPr>
          </w:p>
        </w:tc>
        <w:tc>
          <w:tcPr>
            <w:tcW w:w="1090" w:type="dxa"/>
            <w:vMerge w:val="restart"/>
            <w:noWrap w:val="0"/>
            <w:vAlign w:val="center"/>
          </w:tcPr>
          <w:p w14:paraId="2D69F8BB">
            <w:pPr>
              <w:pStyle w:val="11"/>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宋体" w:hAnsi="宋体" w:eastAsia="宋体" w:cs="宋体"/>
                <w:color w:val="auto"/>
                <w:spacing w:val="-4"/>
                <w:sz w:val="21"/>
                <w:szCs w:val="21"/>
                <w:highlight w:val="none"/>
              </w:rPr>
            </w:pPr>
            <w:r>
              <w:rPr>
                <w:rFonts w:hint="eastAsia" w:ascii="宋体" w:hAnsi="宋体" w:eastAsia="宋体" w:cs="宋体"/>
                <w:snapToGrid w:val="0"/>
                <w:color w:val="auto"/>
                <w:kern w:val="0"/>
                <w:sz w:val="21"/>
                <w:szCs w:val="21"/>
                <w:highlight w:val="none"/>
                <w:lang w:val="en-US" w:eastAsia="zh-CN"/>
              </w:rPr>
              <w:t>实验室</w:t>
            </w:r>
            <w:r>
              <w:rPr>
                <w:rFonts w:hint="eastAsia" w:ascii="宋体" w:hAnsi="宋体" w:eastAsia="宋体" w:cs="宋体"/>
                <w:snapToGrid w:val="0"/>
                <w:color w:val="auto"/>
                <w:kern w:val="0"/>
                <w:sz w:val="21"/>
                <w:szCs w:val="21"/>
                <w:highlight w:val="none"/>
              </w:rPr>
              <w:t>配备</w:t>
            </w:r>
          </w:p>
        </w:tc>
        <w:tc>
          <w:tcPr>
            <w:tcW w:w="5764" w:type="dxa"/>
            <w:noWrap w:val="0"/>
            <w:vAlign w:val="center"/>
          </w:tcPr>
          <w:p w14:paraId="08A5EEFF">
            <w:pPr>
              <w:pStyle w:val="11"/>
              <w:numPr>
                <w:ilvl w:val="0"/>
                <w:numId w:val="2"/>
              </w:numPr>
              <w:snapToGrid w:val="0"/>
              <w:spacing w:line="24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投标人为本项目配备有电感耦合等离子体发射光谱仪、离子色谱仪、气相色谱仪、石墨炉/火焰原子吸收光谱仪、原子荧光光度计、气相质谱分析仪，每个得0.5分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最高得</w:t>
            </w:r>
            <w:r>
              <w:rPr>
                <w:rFonts w:hint="eastAsia" w:ascii="宋体" w:hAnsi="宋体" w:eastAsia="宋体" w:cs="宋体"/>
                <w:color w:val="auto"/>
                <w:sz w:val="21"/>
                <w:szCs w:val="21"/>
                <w:highlight w:val="none"/>
              </w:rPr>
              <w:t>3分。</w:t>
            </w:r>
          </w:p>
          <w:p w14:paraId="2E4D6052">
            <w:pPr>
              <w:pStyle w:val="8"/>
              <w:keepNext w:val="0"/>
              <w:keepLines w:val="0"/>
              <w:pageBreakBefore w:val="0"/>
              <w:widowControl/>
              <w:kinsoku/>
              <w:wordWrap/>
              <w:overflowPunct/>
              <w:topLinePunct w:val="0"/>
              <w:bidi w:val="0"/>
              <w:spacing w:line="240" w:lineRule="auto"/>
              <w:ind w:left="0" w:leftChars="0" w:firstLine="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（自有设备须提供购置发票的</w:t>
            </w:r>
            <w:r>
              <w:rPr>
                <w:rFonts w:hint="eastAsia" w:ascii="宋体" w:hAnsi="宋体" w:cs="宋体"/>
                <w:b/>
                <w:bCs/>
                <w:color w:val="auto"/>
                <w:sz w:val="21"/>
                <w:szCs w:val="21"/>
                <w:highlight w:val="none"/>
                <w:lang w:val="en-US" w:eastAsia="zh-CN"/>
              </w:rPr>
              <w:t>复印</w:t>
            </w:r>
            <w:r>
              <w:rPr>
                <w:rFonts w:hint="eastAsia" w:ascii="宋体" w:hAnsi="宋体" w:eastAsia="宋体" w:cs="宋体"/>
                <w:b/>
                <w:bCs/>
                <w:color w:val="auto"/>
                <w:sz w:val="21"/>
                <w:szCs w:val="21"/>
                <w:highlight w:val="none"/>
                <w:lang w:val="en-US" w:eastAsia="zh-CN"/>
              </w:rPr>
              <w:t>件加盖投标人公章编入投标文件中；租赁设备须提供购置发票、租赁合同的</w:t>
            </w:r>
            <w:r>
              <w:rPr>
                <w:rFonts w:hint="eastAsia" w:ascii="宋体" w:hAnsi="宋体" w:cs="宋体"/>
                <w:b/>
                <w:bCs/>
                <w:color w:val="auto"/>
                <w:sz w:val="21"/>
                <w:szCs w:val="21"/>
                <w:highlight w:val="none"/>
                <w:lang w:val="en-US" w:eastAsia="zh-CN"/>
              </w:rPr>
              <w:t>复印</w:t>
            </w:r>
            <w:r>
              <w:rPr>
                <w:rFonts w:hint="eastAsia" w:ascii="宋体" w:hAnsi="宋体" w:eastAsia="宋体" w:cs="宋体"/>
                <w:b/>
                <w:bCs/>
                <w:color w:val="auto"/>
                <w:sz w:val="21"/>
                <w:szCs w:val="21"/>
                <w:highlight w:val="none"/>
                <w:lang w:val="en-US" w:eastAsia="zh-CN"/>
              </w:rPr>
              <w:t>件加盖投标人公章编入投标文件中。未提供或提供不全的不得分）</w:t>
            </w:r>
          </w:p>
        </w:tc>
        <w:tc>
          <w:tcPr>
            <w:tcW w:w="629" w:type="dxa"/>
            <w:noWrap w:val="0"/>
            <w:vAlign w:val="center"/>
          </w:tcPr>
          <w:p w14:paraId="4A7E46B9">
            <w:pPr>
              <w:keepNext w:val="0"/>
              <w:keepLines w:val="0"/>
              <w:pageBreakBefore w:val="0"/>
              <w:widowControl/>
              <w:kinsoku/>
              <w:wordWrap/>
              <w:overflowPunct/>
              <w:topLinePunct w:val="0"/>
              <w:bidi w:val="0"/>
              <w:spacing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p>
        </w:tc>
        <w:tc>
          <w:tcPr>
            <w:tcW w:w="629" w:type="dxa"/>
            <w:noWrap w:val="0"/>
            <w:vAlign w:val="center"/>
          </w:tcPr>
          <w:p w14:paraId="6C1CBAF5">
            <w:pPr>
              <w:keepNext w:val="0"/>
              <w:keepLines w:val="0"/>
              <w:pageBreakBefore w:val="0"/>
              <w:widowControl/>
              <w:kinsoku/>
              <w:wordWrap/>
              <w:overflowPunct/>
              <w:topLinePunct w:val="0"/>
              <w:bidi w:val="0"/>
              <w:spacing w:line="240" w:lineRule="auto"/>
              <w:ind w:left="0" w:leftChars="0" w:firstLine="0" w:firstLineChars="0"/>
              <w:jc w:val="center"/>
              <w:rPr>
                <w:rFonts w:hint="eastAsia" w:ascii="宋体" w:hAnsi="宋体" w:cs="宋体"/>
                <w:color w:val="auto"/>
                <w:sz w:val="21"/>
                <w:szCs w:val="21"/>
                <w:highlight w:val="none"/>
                <w:lang w:val="en-US" w:eastAsia="zh-CN"/>
              </w:rPr>
            </w:pPr>
          </w:p>
        </w:tc>
        <w:tc>
          <w:tcPr>
            <w:tcW w:w="629" w:type="dxa"/>
            <w:noWrap w:val="0"/>
            <w:vAlign w:val="center"/>
          </w:tcPr>
          <w:p w14:paraId="3A5C13F1">
            <w:pPr>
              <w:keepNext w:val="0"/>
              <w:keepLines w:val="0"/>
              <w:pageBreakBefore w:val="0"/>
              <w:widowControl/>
              <w:kinsoku/>
              <w:wordWrap/>
              <w:overflowPunct/>
              <w:topLinePunct w:val="0"/>
              <w:bidi w:val="0"/>
              <w:spacing w:line="240" w:lineRule="auto"/>
              <w:ind w:left="0" w:leftChars="0" w:firstLine="0" w:firstLineChars="0"/>
              <w:jc w:val="center"/>
              <w:rPr>
                <w:rFonts w:hint="eastAsia" w:ascii="宋体" w:hAnsi="宋体" w:cs="宋体"/>
                <w:color w:val="auto"/>
                <w:sz w:val="21"/>
                <w:szCs w:val="21"/>
                <w:highlight w:val="none"/>
                <w:lang w:val="en-US" w:eastAsia="zh-CN"/>
              </w:rPr>
            </w:pPr>
          </w:p>
        </w:tc>
      </w:tr>
      <w:tr w14:paraId="734D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jc w:val="center"/>
        </w:trPr>
        <w:tc>
          <w:tcPr>
            <w:tcW w:w="897" w:type="dxa"/>
            <w:vMerge w:val="continue"/>
            <w:noWrap w:val="0"/>
            <w:vAlign w:val="center"/>
          </w:tcPr>
          <w:p w14:paraId="7BC8E090">
            <w:pPr>
              <w:keepNext w:val="0"/>
              <w:keepLines w:val="0"/>
              <w:pageBreakBefore w:val="0"/>
              <w:widowControl/>
              <w:kinsoku/>
              <w:wordWrap/>
              <w:overflowPunct/>
              <w:topLinePunct w:val="0"/>
              <w:autoSpaceDE w:val="0"/>
              <w:autoSpaceDN w:val="0"/>
              <w:bidi w:val="0"/>
              <w:adjustRightInd w:val="0"/>
              <w:spacing w:line="240" w:lineRule="auto"/>
              <w:ind w:left="0" w:firstLine="0" w:firstLineChars="0"/>
              <w:jc w:val="center"/>
              <w:rPr>
                <w:rFonts w:hint="eastAsia" w:ascii="宋体" w:hAnsi="宋体" w:eastAsia="宋体" w:cs="宋体"/>
                <w:color w:val="auto"/>
                <w:sz w:val="21"/>
                <w:szCs w:val="21"/>
                <w:highlight w:val="none"/>
              </w:rPr>
            </w:pPr>
          </w:p>
        </w:tc>
        <w:tc>
          <w:tcPr>
            <w:tcW w:w="1090" w:type="dxa"/>
            <w:vMerge w:val="continue"/>
            <w:noWrap w:val="0"/>
            <w:vAlign w:val="center"/>
          </w:tcPr>
          <w:p w14:paraId="2A466554">
            <w:pPr>
              <w:pStyle w:val="11"/>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宋体" w:hAnsi="宋体" w:eastAsia="宋体" w:cs="宋体"/>
                <w:color w:val="auto"/>
                <w:spacing w:val="-4"/>
                <w:sz w:val="21"/>
                <w:szCs w:val="21"/>
                <w:highlight w:val="none"/>
              </w:rPr>
            </w:pPr>
          </w:p>
        </w:tc>
        <w:tc>
          <w:tcPr>
            <w:tcW w:w="5764" w:type="dxa"/>
            <w:noWrap w:val="0"/>
            <w:vAlign w:val="center"/>
          </w:tcPr>
          <w:p w14:paraId="4E725D44">
            <w:pPr>
              <w:autoSpaceDE w:val="0"/>
              <w:autoSpaceDN w:val="0"/>
              <w:adjustRightIn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14:ligatures w14:val="none"/>
              </w:rPr>
              <w:t>根据</w:t>
            </w:r>
            <w:r>
              <w:rPr>
                <w:rFonts w:hint="eastAsia" w:ascii="宋体" w:hAnsi="宋体" w:eastAsia="宋体" w:cs="宋体"/>
                <w:color w:val="auto"/>
                <w:sz w:val="21"/>
                <w:szCs w:val="21"/>
                <w:highlight w:val="none"/>
                <w:lang w:val="en-US" w:eastAsia="zh-CN"/>
              </w:rPr>
              <w:t>投标人为本项目配备的其他相关设备、工器具的齐全性、功能性</w:t>
            </w:r>
            <w:r>
              <w:rPr>
                <w:rFonts w:hint="eastAsia" w:ascii="宋体" w:hAnsi="宋体" w:eastAsia="宋体" w:cs="宋体"/>
                <w:color w:val="auto"/>
                <w:szCs w:val="21"/>
                <w:highlight w:val="none"/>
                <w:lang w:val="en-US" w:eastAsia="zh-CN"/>
              </w:rPr>
              <w:t>进行打分。</w:t>
            </w:r>
          </w:p>
          <w:p w14:paraId="2504372D">
            <w:pPr>
              <w:autoSpaceDE w:val="0"/>
              <w:autoSpaceDN w:val="0"/>
              <w:adjustRightInd w:val="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检测仪器设备先进且能满足检测精度等要求，功能丰富，数量充足，能有效保障检测服务质量的得1.0-2.0</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359E2CD9">
            <w:pPr>
              <w:autoSpaceDE w:val="0"/>
              <w:autoSpaceDN w:val="0"/>
              <w:adjustRightInd w:val="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检测仪器设备基本能满足要求</w:t>
            </w:r>
            <w:r>
              <w:rPr>
                <w:rFonts w:hint="eastAsia" w:ascii="宋体" w:hAnsi="宋体" w:eastAsia="宋体" w:cs="宋体"/>
                <w:color w:val="auto"/>
                <w:szCs w:val="21"/>
                <w:highlight w:val="none"/>
              </w:rPr>
              <w:t>的得</w:t>
            </w:r>
            <w:r>
              <w:rPr>
                <w:rFonts w:hint="eastAsia" w:ascii="宋体" w:hAnsi="宋体" w:eastAsia="宋体" w:cs="宋体"/>
                <w:color w:val="auto"/>
                <w:spacing w:val="-4"/>
                <w:szCs w:val="21"/>
                <w:highlight w:val="none"/>
              </w:rPr>
              <w:t>0.1-</w:t>
            </w:r>
            <w:r>
              <w:rPr>
                <w:rFonts w:hint="eastAsia" w:ascii="宋体" w:hAnsi="宋体" w:cs="宋体"/>
                <w:color w:val="auto"/>
                <w:spacing w:val="-4"/>
                <w:szCs w:val="21"/>
                <w:highlight w:val="none"/>
                <w:lang w:val="en-US" w:eastAsia="zh-CN"/>
              </w:rPr>
              <w:t>0</w:t>
            </w:r>
            <w:r>
              <w:rPr>
                <w:rFonts w:hint="eastAsia" w:ascii="宋体" w:hAnsi="宋体" w:eastAsia="宋体" w:cs="宋体"/>
                <w:color w:val="auto"/>
                <w:spacing w:val="-4"/>
                <w:szCs w:val="21"/>
                <w:highlight w:val="none"/>
                <w:lang w:val="en-US" w:eastAsia="zh-CN"/>
              </w:rPr>
              <w:t>.9</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353AA716">
            <w:pPr>
              <w:keepNext w:val="0"/>
              <w:keepLines w:val="0"/>
              <w:pageBreakBefore w:val="0"/>
              <w:kinsoku/>
              <w:wordWrap/>
              <w:overflowPunct/>
              <w:topLinePunct w:val="0"/>
              <w:autoSpaceDE w:val="0"/>
              <w:autoSpaceDN w:val="0"/>
              <w:bidi w:val="0"/>
              <w:adjustRightInd w:val="0"/>
              <w:spacing w:beforeAutospacing="0" w:afterAutospacing="0" w:line="240" w:lineRule="auto"/>
              <w:ind w:left="0" w:leftChars="0"/>
              <w:jc w:val="lef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未提及此项不得分。</w:t>
            </w:r>
          </w:p>
        </w:tc>
        <w:tc>
          <w:tcPr>
            <w:tcW w:w="629" w:type="dxa"/>
            <w:noWrap w:val="0"/>
            <w:vAlign w:val="center"/>
          </w:tcPr>
          <w:p w14:paraId="6CC400AE">
            <w:pPr>
              <w:pStyle w:val="11"/>
              <w:keepLines w:val="0"/>
              <w:pageBreakBefore w:val="0"/>
              <w:kinsoku/>
              <w:wordWrap/>
              <w:overflowPunct/>
              <w:topLinePunct w:val="0"/>
              <w:bidi w:val="0"/>
              <w:snapToGrid w:val="0"/>
              <w:spacing w:beforeAutospacing="0" w:afterAutospacing="0" w:line="240" w:lineRule="auto"/>
              <w:ind w:left="0" w:leftChars="0"/>
              <w:jc w:val="center"/>
              <w:textAlignment w:val="auto"/>
              <w:rPr>
                <w:rFonts w:hint="default" w:ascii="宋体" w:hAnsi="宋体" w:cs="宋体"/>
                <w:color w:val="auto"/>
                <w:sz w:val="21"/>
                <w:szCs w:val="21"/>
                <w:highlight w:val="none"/>
                <w:lang w:val="en-US" w:eastAsia="zh-CN"/>
              </w:rPr>
            </w:pPr>
            <w:r>
              <w:rPr>
                <w:rFonts w:hint="eastAsia" w:hAnsi="宋体" w:cs="宋体"/>
                <w:color w:val="auto"/>
                <w:kern w:val="2"/>
                <w:sz w:val="21"/>
                <w:szCs w:val="21"/>
                <w:highlight w:val="none"/>
                <w:lang w:val="en-US" w:eastAsia="zh-CN" w:bidi="ar-SA"/>
              </w:rPr>
              <w:t>2</w:t>
            </w:r>
          </w:p>
        </w:tc>
        <w:tc>
          <w:tcPr>
            <w:tcW w:w="629" w:type="dxa"/>
            <w:noWrap w:val="0"/>
            <w:vAlign w:val="center"/>
          </w:tcPr>
          <w:p w14:paraId="4496A532">
            <w:pPr>
              <w:pStyle w:val="11"/>
              <w:keepLines w:val="0"/>
              <w:pageBreakBefore w:val="0"/>
              <w:kinsoku/>
              <w:wordWrap/>
              <w:overflowPunct/>
              <w:topLinePunct w:val="0"/>
              <w:bidi w:val="0"/>
              <w:snapToGrid w:val="0"/>
              <w:spacing w:beforeAutospacing="0" w:afterAutospacing="0" w:line="240" w:lineRule="auto"/>
              <w:ind w:left="0" w:leftChars="0"/>
              <w:jc w:val="center"/>
              <w:textAlignment w:val="auto"/>
              <w:rPr>
                <w:rFonts w:hint="eastAsia" w:hAnsi="宋体" w:cs="宋体"/>
                <w:color w:val="auto"/>
                <w:kern w:val="2"/>
                <w:sz w:val="21"/>
                <w:szCs w:val="21"/>
                <w:highlight w:val="none"/>
                <w:lang w:val="en-US" w:eastAsia="zh-CN" w:bidi="ar-SA"/>
              </w:rPr>
            </w:pPr>
          </w:p>
        </w:tc>
        <w:tc>
          <w:tcPr>
            <w:tcW w:w="629" w:type="dxa"/>
            <w:noWrap w:val="0"/>
            <w:vAlign w:val="center"/>
          </w:tcPr>
          <w:p w14:paraId="250C7657">
            <w:pPr>
              <w:pStyle w:val="11"/>
              <w:keepLines w:val="0"/>
              <w:pageBreakBefore w:val="0"/>
              <w:kinsoku/>
              <w:wordWrap/>
              <w:overflowPunct/>
              <w:topLinePunct w:val="0"/>
              <w:bidi w:val="0"/>
              <w:snapToGrid w:val="0"/>
              <w:spacing w:beforeAutospacing="0" w:afterAutospacing="0" w:line="240" w:lineRule="auto"/>
              <w:ind w:left="0" w:leftChars="0"/>
              <w:jc w:val="center"/>
              <w:textAlignment w:val="auto"/>
              <w:rPr>
                <w:rFonts w:hint="eastAsia" w:hAnsi="宋体" w:cs="宋体"/>
                <w:color w:val="auto"/>
                <w:kern w:val="2"/>
                <w:sz w:val="21"/>
                <w:szCs w:val="21"/>
                <w:highlight w:val="none"/>
                <w:lang w:val="en-US" w:eastAsia="zh-CN" w:bidi="ar-SA"/>
              </w:rPr>
            </w:pPr>
          </w:p>
        </w:tc>
      </w:tr>
      <w:tr w14:paraId="326F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897" w:type="dxa"/>
            <w:vMerge w:val="restart"/>
            <w:noWrap w:val="0"/>
            <w:vAlign w:val="center"/>
          </w:tcPr>
          <w:p w14:paraId="3F0621F0">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技术分</w:t>
            </w:r>
          </w:p>
          <w:p w14:paraId="6E57931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color w:val="auto"/>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65</w:t>
            </w:r>
            <w:r>
              <w:rPr>
                <w:rFonts w:hint="eastAsia" w:ascii="宋体" w:hAnsi="宋体" w:eastAsia="宋体" w:cs="宋体"/>
                <w:color w:val="auto"/>
                <w:sz w:val="21"/>
                <w:szCs w:val="21"/>
                <w:highlight w:val="none"/>
              </w:rPr>
              <w:t>分）</w:t>
            </w:r>
          </w:p>
        </w:tc>
        <w:tc>
          <w:tcPr>
            <w:tcW w:w="1090" w:type="dxa"/>
            <w:noWrap w:val="0"/>
            <w:vAlign w:val="center"/>
          </w:tcPr>
          <w:p w14:paraId="2FC1CD0D">
            <w:pPr>
              <w:pStyle w:val="11"/>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总体方案</w:t>
            </w:r>
          </w:p>
        </w:tc>
        <w:tc>
          <w:tcPr>
            <w:tcW w:w="5764" w:type="dxa"/>
            <w:noWrap w:val="0"/>
            <w:vAlign w:val="center"/>
          </w:tcPr>
          <w:p w14:paraId="6A7830A6">
            <w:pPr>
              <w:keepNext w:val="0"/>
              <w:keepLines w:val="0"/>
              <w:pageBreakBefore w:val="0"/>
              <w:widowControl/>
              <w:suppressLineNumbers w:val="0"/>
              <w:tabs>
                <w:tab w:val="left" w:pos="78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根据投标人针对本项目制定的总体方案进行打分。</w:t>
            </w:r>
          </w:p>
          <w:p w14:paraId="079FD269">
            <w:pPr>
              <w:keepNext w:val="0"/>
              <w:keepLines w:val="0"/>
              <w:pageBreakBefore w:val="0"/>
              <w:widowControl/>
              <w:suppressLineNumbers w:val="0"/>
              <w:tabs>
                <w:tab w:val="left" w:pos="78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1.方案要点明确，阐述具体，针对性、合理性、操作性较强的得6.7-10.0分</w:t>
            </w:r>
            <w:r>
              <w:rPr>
                <w:rFonts w:hint="eastAsia" w:ascii="宋体" w:hAnsi="宋体" w:cs="宋体"/>
                <w:color w:val="auto"/>
                <w:sz w:val="21"/>
                <w:szCs w:val="21"/>
                <w:highlight w:val="none"/>
                <w:lang w:val="en-US" w:eastAsia="zh-CN"/>
              </w:rPr>
              <w:t>；</w:t>
            </w:r>
          </w:p>
          <w:p w14:paraId="11C1D43C">
            <w:pPr>
              <w:keepNext w:val="0"/>
              <w:keepLines w:val="0"/>
              <w:pageBreakBefore w:val="0"/>
              <w:widowControl/>
              <w:suppressLineNumbers w:val="0"/>
              <w:tabs>
                <w:tab w:val="left" w:pos="78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2.方案要点明确、阐述具体，但针对性、合理性、操作有缺陷的得3.3-6.6分</w:t>
            </w:r>
            <w:r>
              <w:rPr>
                <w:rFonts w:hint="eastAsia" w:ascii="宋体" w:hAnsi="宋体" w:cs="宋体"/>
                <w:color w:val="auto"/>
                <w:sz w:val="21"/>
                <w:szCs w:val="21"/>
                <w:highlight w:val="none"/>
                <w:lang w:val="en-US" w:eastAsia="zh-CN"/>
              </w:rPr>
              <w:t>；</w:t>
            </w:r>
          </w:p>
          <w:p w14:paraId="581ED4B2">
            <w:pPr>
              <w:keepNext w:val="0"/>
              <w:keepLines w:val="0"/>
              <w:pageBreakBefore w:val="0"/>
              <w:widowControl/>
              <w:suppressLineNumbers w:val="0"/>
              <w:tabs>
                <w:tab w:val="left" w:pos="78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3.有方案要点，但阐述不够具体，针对性、合理性、操作性较差的得0.1-3.2分</w:t>
            </w:r>
            <w:r>
              <w:rPr>
                <w:rFonts w:hint="eastAsia" w:ascii="宋体" w:hAnsi="宋体" w:cs="宋体"/>
                <w:color w:val="auto"/>
                <w:sz w:val="21"/>
                <w:szCs w:val="21"/>
                <w:highlight w:val="none"/>
                <w:lang w:val="en-US" w:eastAsia="zh-CN"/>
              </w:rPr>
              <w:t>；</w:t>
            </w:r>
          </w:p>
          <w:p w14:paraId="205883F6">
            <w:pPr>
              <w:keepNext w:val="0"/>
              <w:keepLines w:val="0"/>
              <w:pageBreakBefore w:val="0"/>
              <w:widowControl/>
              <w:suppressLineNumbers w:val="0"/>
              <w:tabs>
                <w:tab w:val="left" w:pos="78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4.未提及此项不得分。</w:t>
            </w:r>
          </w:p>
        </w:tc>
        <w:tc>
          <w:tcPr>
            <w:tcW w:w="629" w:type="dxa"/>
            <w:noWrap w:val="0"/>
            <w:vAlign w:val="center"/>
          </w:tcPr>
          <w:p w14:paraId="026FF3E1">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10</w:t>
            </w:r>
          </w:p>
        </w:tc>
        <w:tc>
          <w:tcPr>
            <w:tcW w:w="629" w:type="dxa"/>
            <w:noWrap w:val="0"/>
            <w:vAlign w:val="center"/>
          </w:tcPr>
          <w:p w14:paraId="5C985828">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cs="宋体"/>
                <w:color w:val="auto"/>
                <w:sz w:val="21"/>
                <w:szCs w:val="21"/>
                <w:highlight w:val="none"/>
                <w:vertAlign w:val="baseline"/>
                <w:lang w:val="en-US" w:eastAsia="zh-CN"/>
              </w:rPr>
            </w:pPr>
          </w:p>
        </w:tc>
        <w:tc>
          <w:tcPr>
            <w:tcW w:w="629" w:type="dxa"/>
            <w:noWrap w:val="0"/>
            <w:vAlign w:val="center"/>
          </w:tcPr>
          <w:p w14:paraId="04EC9981">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cs="宋体"/>
                <w:color w:val="auto"/>
                <w:sz w:val="21"/>
                <w:szCs w:val="21"/>
                <w:highlight w:val="none"/>
                <w:vertAlign w:val="baseline"/>
                <w:lang w:val="en-US" w:eastAsia="zh-CN"/>
              </w:rPr>
            </w:pPr>
          </w:p>
        </w:tc>
      </w:tr>
      <w:tr w14:paraId="5CB7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jc w:val="center"/>
        </w:trPr>
        <w:tc>
          <w:tcPr>
            <w:tcW w:w="897" w:type="dxa"/>
            <w:vMerge w:val="continue"/>
            <w:noWrap w:val="0"/>
            <w:vAlign w:val="center"/>
          </w:tcPr>
          <w:p w14:paraId="43632F44">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tc>
        <w:tc>
          <w:tcPr>
            <w:tcW w:w="1090" w:type="dxa"/>
            <w:shd w:val="clear" w:color="auto" w:fill="auto"/>
            <w:noWrap w:val="0"/>
            <w:vAlign w:val="center"/>
          </w:tcPr>
          <w:p w14:paraId="7CE7C940">
            <w:pPr>
              <w:pStyle w:val="11"/>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质控措施</w:t>
            </w:r>
          </w:p>
        </w:tc>
        <w:tc>
          <w:tcPr>
            <w:tcW w:w="5764" w:type="dxa"/>
            <w:shd w:val="clear" w:color="auto" w:fill="auto"/>
            <w:noWrap w:val="0"/>
            <w:vAlign w:val="center"/>
          </w:tcPr>
          <w:p w14:paraId="016C91D6">
            <w:pPr>
              <w:keepNext w:val="0"/>
              <w:keepLines w:val="0"/>
              <w:pageBreakBefore w:val="0"/>
              <w:widowControl/>
              <w:suppressLineNumbers w:val="0"/>
              <w:tabs>
                <w:tab w:val="left" w:pos="78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根据投标人针对本项目制定的质控措施进行打分。</w:t>
            </w:r>
          </w:p>
          <w:p w14:paraId="2100DEFF">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1.质控措施内容明确、具体，措施完善，原始记录齐全</w:t>
            </w:r>
            <w:r>
              <w:rPr>
                <w:rFonts w:hint="eastAsia" w:hAnsi="宋体" w:cs="宋体"/>
                <w:color w:val="auto"/>
                <w:sz w:val="21"/>
                <w:szCs w:val="21"/>
                <w:highlight w:val="none"/>
                <w:lang w:val="en-US" w:eastAsia="zh-CN"/>
              </w:rPr>
              <w:t>的得6.7-10.0分；</w:t>
            </w:r>
          </w:p>
          <w:p w14:paraId="538E4F5F">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2.质控措施尚可，但提供的原始记录不够齐全的得3.3-6.6分</w:t>
            </w:r>
            <w:r>
              <w:rPr>
                <w:rFonts w:hint="eastAsia" w:ascii="宋体" w:hAnsi="宋体" w:cs="宋体"/>
                <w:color w:val="auto"/>
                <w:sz w:val="21"/>
                <w:szCs w:val="21"/>
                <w:highlight w:val="none"/>
                <w:lang w:val="en-US" w:eastAsia="zh-CN"/>
              </w:rPr>
              <w:t>；</w:t>
            </w:r>
          </w:p>
          <w:p w14:paraId="66DEBAC9">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3.质量措施简略，未有提供原始记录证明的得0.1-3.2分</w:t>
            </w:r>
            <w:r>
              <w:rPr>
                <w:rFonts w:hint="eastAsia" w:ascii="宋体" w:hAnsi="宋体" w:cs="宋体"/>
                <w:color w:val="auto"/>
                <w:sz w:val="21"/>
                <w:szCs w:val="21"/>
                <w:highlight w:val="none"/>
                <w:lang w:val="en-US" w:eastAsia="zh-CN"/>
              </w:rPr>
              <w:t>；</w:t>
            </w:r>
          </w:p>
          <w:p w14:paraId="557F6183">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4.未提及此项不得分。</w:t>
            </w:r>
          </w:p>
          <w:p w14:paraId="1CA32A7D">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注：原始记录指</w:t>
            </w:r>
            <w:ins w:id="3" w:author="崽崽" w:date="2025-11-05T14:49:34Z">
              <w:r>
                <w:rPr>
                  <w:rFonts w:hint="eastAsia" w:ascii="宋体" w:hAnsi="宋体" w:eastAsia="宋体" w:cs="宋体"/>
                  <w:b/>
                  <w:bCs/>
                  <w:color w:val="auto"/>
                  <w:sz w:val="21"/>
                  <w:szCs w:val="21"/>
                  <w:highlight w:val="none"/>
                  <w:lang w:val="en-US" w:eastAsia="zh-CN"/>
                </w:rPr>
                <w:t>2025年</w:t>
              </w:r>
            </w:ins>
            <w:r>
              <w:rPr>
                <w:rFonts w:hint="eastAsia" w:ascii="宋体" w:hAnsi="宋体" w:eastAsia="宋体" w:cs="宋体"/>
                <w:b/>
                <w:bCs/>
                <w:color w:val="auto"/>
                <w:sz w:val="21"/>
                <w:szCs w:val="21"/>
                <w:highlight w:val="none"/>
                <w:lang w:val="en-US" w:eastAsia="zh-CN"/>
              </w:rPr>
              <w:t>试剂购买记录和实验室使用记录。</w:t>
            </w:r>
          </w:p>
        </w:tc>
        <w:tc>
          <w:tcPr>
            <w:tcW w:w="629" w:type="dxa"/>
            <w:shd w:val="clear" w:color="auto" w:fill="auto"/>
            <w:noWrap w:val="0"/>
            <w:vAlign w:val="center"/>
          </w:tcPr>
          <w:p w14:paraId="2EAFE2B1">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10</w:t>
            </w:r>
          </w:p>
        </w:tc>
        <w:tc>
          <w:tcPr>
            <w:tcW w:w="629" w:type="dxa"/>
            <w:shd w:val="clear" w:color="auto" w:fill="auto"/>
            <w:noWrap w:val="0"/>
            <w:vAlign w:val="center"/>
          </w:tcPr>
          <w:p w14:paraId="1CA5B4DF">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cs="宋体"/>
                <w:color w:val="auto"/>
                <w:sz w:val="21"/>
                <w:szCs w:val="21"/>
                <w:highlight w:val="none"/>
                <w:vertAlign w:val="baseline"/>
                <w:lang w:val="en-US" w:eastAsia="zh-CN"/>
              </w:rPr>
            </w:pPr>
          </w:p>
        </w:tc>
        <w:tc>
          <w:tcPr>
            <w:tcW w:w="629" w:type="dxa"/>
            <w:shd w:val="clear" w:color="auto" w:fill="auto"/>
            <w:noWrap w:val="0"/>
            <w:vAlign w:val="center"/>
          </w:tcPr>
          <w:p w14:paraId="37C95D16">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cs="宋体"/>
                <w:color w:val="auto"/>
                <w:sz w:val="21"/>
                <w:szCs w:val="21"/>
                <w:highlight w:val="none"/>
                <w:vertAlign w:val="baseline"/>
                <w:lang w:val="en-US" w:eastAsia="zh-CN"/>
              </w:rPr>
            </w:pPr>
          </w:p>
        </w:tc>
      </w:tr>
      <w:tr w14:paraId="7C91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jc w:val="center"/>
        </w:trPr>
        <w:tc>
          <w:tcPr>
            <w:tcW w:w="897" w:type="dxa"/>
            <w:vMerge w:val="continue"/>
            <w:noWrap w:val="0"/>
            <w:vAlign w:val="center"/>
          </w:tcPr>
          <w:p w14:paraId="69A57108">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tc>
        <w:tc>
          <w:tcPr>
            <w:tcW w:w="1090" w:type="dxa"/>
            <w:shd w:val="clear" w:color="auto" w:fill="auto"/>
            <w:noWrap w:val="0"/>
            <w:vAlign w:val="center"/>
          </w:tcPr>
          <w:p w14:paraId="1AD0FD2F">
            <w:pPr>
              <w:pStyle w:val="11"/>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检</w:t>
            </w:r>
            <w:r>
              <w:rPr>
                <w:rFonts w:hint="eastAsia" w:ascii="宋体" w:hAnsi="宋体" w:eastAsia="宋体" w:cs="宋体"/>
                <w:snapToGrid w:val="0"/>
                <w:color w:val="auto"/>
                <w:kern w:val="0"/>
                <w:sz w:val="21"/>
                <w:szCs w:val="21"/>
                <w:highlight w:val="none"/>
              </w:rPr>
              <w:t>测</w:t>
            </w:r>
            <w:r>
              <w:rPr>
                <w:rFonts w:hint="eastAsia" w:hAnsi="宋体" w:cs="宋体"/>
                <w:snapToGrid w:val="0"/>
                <w:color w:val="auto"/>
                <w:kern w:val="0"/>
                <w:sz w:val="21"/>
                <w:szCs w:val="21"/>
                <w:highlight w:val="none"/>
                <w:lang w:val="en-US" w:eastAsia="zh-CN"/>
              </w:rPr>
              <w:t>重难点分析</w:t>
            </w:r>
          </w:p>
        </w:tc>
        <w:tc>
          <w:tcPr>
            <w:tcW w:w="5764" w:type="dxa"/>
            <w:shd w:val="clear" w:color="auto" w:fill="auto"/>
            <w:noWrap w:val="0"/>
            <w:vAlign w:val="center"/>
          </w:tcPr>
          <w:p w14:paraId="14679E83">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根据投标人</w:t>
            </w:r>
            <w:r>
              <w:rPr>
                <w:rFonts w:hint="eastAsia" w:ascii="宋体" w:hAnsi="宋体" w:eastAsia="宋体" w:cs="宋体"/>
                <w:color w:val="auto"/>
                <w:sz w:val="21"/>
                <w:szCs w:val="21"/>
                <w:highlight w:val="none"/>
                <w:lang w:val="en-US" w:eastAsia="zh-CN"/>
              </w:rPr>
              <w:t>在遵照规定的检测方法的基础上，对本项目检测的重难点梳理、分析</w:t>
            </w:r>
            <w:r>
              <w:rPr>
                <w:rFonts w:hint="eastAsia" w:hAnsi="宋体" w:cs="宋体"/>
                <w:color w:val="auto"/>
                <w:sz w:val="21"/>
                <w:szCs w:val="21"/>
                <w:highlight w:val="none"/>
                <w:lang w:val="en-US" w:eastAsia="zh-CN"/>
              </w:rPr>
              <w:t>进行打分</w:t>
            </w:r>
            <w:r>
              <w:rPr>
                <w:rFonts w:hint="eastAsia" w:ascii="宋体" w:hAnsi="宋体" w:eastAsia="宋体" w:cs="宋体"/>
                <w:color w:val="auto"/>
                <w:sz w:val="21"/>
                <w:szCs w:val="21"/>
                <w:highlight w:val="none"/>
                <w:lang w:val="en-US" w:eastAsia="zh-CN"/>
              </w:rPr>
              <w:t>。</w:t>
            </w:r>
          </w:p>
          <w:p w14:paraId="6D49A4C1">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1.重难点突出，措施切实、有针对性</w:t>
            </w:r>
            <w:r>
              <w:rPr>
                <w:rFonts w:hint="eastAsia" w:hAnsi="宋体" w:cs="宋体"/>
                <w:color w:val="auto"/>
                <w:sz w:val="21"/>
                <w:szCs w:val="21"/>
                <w:highlight w:val="none"/>
                <w:lang w:val="en-US" w:eastAsia="zh-CN"/>
              </w:rPr>
              <w:t>的得6.7-10.0分；</w:t>
            </w:r>
          </w:p>
          <w:p w14:paraId="46BDCD48">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2.难重点内容尚有，尚能切合实际，措施有一定针对性，但有缺陷的得3.3-6.6分</w:t>
            </w:r>
            <w:r>
              <w:rPr>
                <w:rFonts w:hint="eastAsia" w:ascii="宋体" w:hAnsi="宋体" w:cs="宋体"/>
                <w:color w:val="auto"/>
                <w:sz w:val="21"/>
                <w:szCs w:val="21"/>
                <w:highlight w:val="none"/>
                <w:lang w:val="en-US" w:eastAsia="zh-CN"/>
              </w:rPr>
              <w:t>；</w:t>
            </w:r>
          </w:p>
          <w:p w14:paraId="1BE6C03D">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3.难重点内容尚有，但针对性不强，可采纳内容很少的得0.1-3.2分</w:t>
            </w:r>
            <w:r>
              <w:rPr>
                <w:rFonts w:hint="eastAsia" w:ascii="宋体" w:hAnsi="宋体" w:cs="宋体"/>
                <w:color w:val="auto"/>
                <w:sz w:val="21"/>
                <w:szCs w:val="21"/>
                <w:highlight w:val="none"/>
                <w:lang w:val="en-US" w:eastAsia="zh-CN"/>
              </w:rPr>
              <w:t>；</w:t>
            </w:r>
          </w:p>
          <w:p w14:paraId="2F08EF3F">
            <w:pPr>
              <w:widowControl/>
              <w:adjustRightInd w:val="0"/>
              <w:snapToGrid w:val="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4.未提及此项不得分。</w:t>
            </w:r>
          </w:p>
        </w:tc>
        <w:tc>
          <w:tcPr>
            <w:tcW w:w="629" w:type="dxa"/>
            <w:shd w:val="clear" w:color="auto" w:fill="auto"/>
            <w:noWrap w:val="0"/>
            <w:vAlign w:val="center"/>
          </w:tcPr>
          <w:p w14:paraId="3C0C5BF4">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10</w:t>
            </w:r>
          </w:p>
        </w:tc>
        <w:tc>
          <w:tcPr>
            <w:tcW w:w="629" w:type="dxa"/>
            <w:shd w:val="clear" w:color="auto" w:fill="auto"/>
            <w:noWrap w:val="0"/>
            <w:vAlign w:val="center"/>
          </w:tcPr>
          <w:p w14:paraId="4B6D01EB">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cs="宋体"/>
                <w:color w:val="auto"/>
                <w:sz w:val="21"/>
                <w:szCs w:val="21"/>
                <w:highlight w:val="none"/>
                <w:vertAlign w:val="baseline"/>
                <w:lang w:val="en-US" w:eastAsia="zh-CN"/>
              </w:rPr>
            </w:pPr>
          </w:p>
        </w:tc>
        <w:tc>
          <w:tcPr>
            <w:tcW w:w="629" w:type="dxa"/>
            <w:shd w:val="clear" w:color="auto" w:fill="auto"/>
            <w:noWrap w:val="0"/>
            <w:vAlign w:val="center"/>
          </w:tcPr>
          <w:p w14:paraId="236BABE9">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cs="宋体"/>
                <w:color w:val="auto"/>
                <w:sz w:val="21"/>
                <w:szCs w:val="21"/>
                <w:highlight w:val="none"/>
                <w:vertAlign w:val="baseline"/>
                <w:lang w:val="en-US" w:eastAsia="zh-CN"/>
              </w:rPr>
            </w:pPr>
          </w:p>
        </w:tc>
      </w:tr>
      <w:tr w14:paraId="3030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897" w:type="dxa"/>
            <w:vMerge w:val="continue"/>
            <w:noWrap w:val="0"/>
            <w:vAlign w:val="center"/>
          </w:tcPr>
          <w:p w14:paraId="56E9AA73">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tc>
        <w:tc>
          <w:tcPr>
            <w:tcW w:w="1090" w:type="dxa"/>
            <w:shd w:val="clear" w:color="auto" w:fill="auto"/>
            <w:noWrap w:val="0"/>
            <w:vAlign w:val="center"/>
          </w:tcPr>
          <w:p w14:paraId="50711C08">
            <w:pPr>
              <w:pStyle w:val="11"/>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检测报告</w:t>
            </w:r>
          </w:p>
        </w:tc>
        <w:tc>
          <w:tcPr>
            <w:tcW w:w="5764" w:type="dxa"/>
            <w:shd w:val="clear" w:color="auto" w:fill="auto"/>
            <w:noWrap w:val="0"/>
            <w:vAlign w:val="center"/>
          </w:tcPr>
          <w:p w14:paraId="4EEF49E6">
            <w:pPr>
              <w:autoSpaceDE w:val="0"/>
              <w:autoSpaceDN w:val="0"/>
              <w:adjustRightIn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根据投标人提供的检测报告提交方案进行打分。</w:t>
            </w:r>
          </w:p>
          <w:p w14:paraId="0A0E27B0">
            <w:pPr>
              <w:autoSpaceDE w:val="0"/>
              <w:autoSpaceDN w:val="0"/>
              <w:adjustRightIn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1.检测报告提交方案科学合理，整体框架内容完整、条理清晰、报告格式规范且对本项目有针对性的得6.7-</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.0分；</w:t>
            </w:r>
          </w:p>
          <w:p w14:paraId="7173550A">
            <w:pPr>
              <w:autoSpaceDE w:val="0"/>
              <w:autoSpaceDN w:val="0"/>
              <w:adjustRightInd w:val="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2.检测报告提交方案框架合理，报告格式基本符合要求的得3.3-6.6分；</w:t>
            </w:r>
          </w:p>
          <w:p w14:paraId="09C02546">
            <w:pPr>
              <w:autoSpaceDE w:val="0"/>
              <w:autoSpaceDN w:val="0"/>
              <w:adjustRightIn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3.检测报告提交方案缺乏科学性和合理性，缺乏对本项目的针对性的得0.1-3.2分；</w:t>
            </w:r>
          </w:p>
          <w:p w14:paraId="4DE21B89">
            <w:pPr>
              <w:autoSpaceDE w:val="0"/>
              <w:autoSpaceDN w:val="0"/>
              <w:adjustRightIn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4.未提及此项不得分。</w:t>
            </w:r>
          </w:p>
        </w:tc>
        <w:tc>
          <w:tcPr>
            <w:tcW w:w="629" w:type="dxa"/>
            <w:shd w:val="clear" w:color="auto" w:fill="auto"/>
            <w:noWrap w:val="0"/>
            <w:vAlign w:val="center"/>
          </w:tcPr>
          <w:p w14:paraId="40EB932D">
            <w:pPr>
              <w:keepNext w:val="0"/>
              <w:keepLines w:val="0"/>
              <w:pageBreakBefore w:val="0"/>
              <w:kinsoku/>
              <w:wordWrap/>
              <w:overflowPunct/>
              <w:topLinePunct w:val="0"/>
              <w:autoSpaceDE w:val="0"/>
              <w:autoSpaceDN w:val="0"/>
              <w:bidi w:val="0"/>
              <w:adjustRightInd w:val="0"/>
              <w:spacing w:beforeAutospacing="0" w:afterAutospacing="0" w:line="240" w:lineRule="auto"/>
              <w:ind w:left="0" w:leftChars="0"/>
              <w:jc w:val="center"/>
              <w:textAlignment w:val="auto"/>
              <w:rPr>
                <w:rFonts w:hint="default" w:ascii="宋体" w:hAnsi="宋体" w:cs="宋体"/>
                <w:color w:val="auto"/>
                <w:sz w:val="21"/>
                <w:szCs w:val="21"/>
                <w:highlight w:val="none"/>
                <w:vertAlign w:val="baseline"/>
                <w:lang w:val="en-US" w:eastAsia="zh-CN"/>
              </w:rPr>
            </w:pPr>
            <w:r>
              <w:rPr>
                <w:rFonts w:hint="eastAsia" w:ascii="宋体" w:hAnsi="宋体" w:cs="宋体"/>
                <w:b w:val="0"/>
                <w:bCs w:val="0"/>
                <w:color w:val="auto"/>
                <w:kern w:val="2"/>
                <w:sz w:val="21"/>
                <w:szCs w:val="21"/>
                <w:highlight w:val="none"/>
                <w:lang w:val="en-US" w:eastAsia="zh-CN" w:bidi="ar-SA"/>
              </w:rPr>
              <w:t>10</w:t>
            </w:r>
          </w:p>
        </w:tc>
        <w:tc>
          <w:tcPr>
            <w:tcW w:w="629" w:type="dxa"/>
            <w:shd w:val="clear" w:color="auto" w:fill="auto"/>
            <w:noWrap w:val="0"/>
            <w:vAlign w:val="center"/>
          </w:tcPr>
          <w:p w14:paraId="3869850F">
            <w:pPr>
              <w:keepNext w:val="0"/>
              <w:keepLines w:val="0"/>
              <w:pageBreakBefore w:val="0"/>
              <w:kinsoku/>
              <w:wordWrap/>
              <w:overflowPunct/>
              <w:topLinePunct w:val="0"/>
              <w:autoSpaceDE w:val="0"/>
              <w:autoSpaceDN w:val="0"/>
              <w:bidi w:val="0"/>
              <w:adjustRightInd w:val="0"/>
              <w:spacing w:beforeAutospacing="0" w:afterAutospacing="0" w:line="240" w:lineRule="auto"/>
              <w:ind w:left="0" w:leftChars="0"/>
              <w:jc w:val="center"/>
              <w:textAlignment w:val="auto"/>
              <w:rPr>
                <w:rFonts w:hint="eastAsia" w:ascii="宋体" w:hAnsi="宋体" w:cs="宋体"/>
                <w:b w:val="0"/>
                <w:bCs w:val="0"/>
                <w:color w:val="auto"/>
                <w:kern w:val="2"/>
                <w:sz w:val="21"/>
                <w:szCs w:val="21"/>
                <w:highlight w:val="none"/>
                <w:lang w:val="en-US" w:eastAsia="zh-CN" w:bidi="ar-SA"/>
              </w:rPr>
            </w:pPr>
          </w:p>
        </w:tc>
        <w:tc>
          <w:tcPr>
            <w:tcW w:w="629" w:type="dxa"/>
            <w:shd w:val="clear" w:color="auto" w:fill="auto"/>
            <w:noWrap w:val="0"/>
            <w:vAlign w:val="center"/>
          </w:tcPr>
          <w:p w14:paraId="439CA911">
            <w:pPr>
              <w:keepNext w:val="0"/>
              <w:keepLines w:val="0"/>
              <w:pageBreakBefore w:val="0"/>
              <w:kinsoku/>
              <w:wordWrap/>
              <w:overflowPunct/>
              <w:topLinePunct w:val="0"/>
              <w:autoSpaceDE w:val="0"/>
              <w:autoSpaceDN w:val="0"/>
              <w:bidi w:val="0"/>
              <w:adjustRightInd w:val="0"/>
              <w:spacing w:beforeAutospacing="0" w:afterAutospacing="0" w:line="240" w:lineRule="auto"/>
              <w:ind w:left="0" w:leftChars="0"/>
              <w:jc w:val="center"/>
              <w:textAlignment w:val="auto"/>
              <w:rPr>
                <w:rFonts w:hint="eastAsia" w:ascii="宋体" w:hAnsi="宋体" w:cs="宋体"/>
                <w:b w:val="0"/>
                <w:bCs w:val="0"/>
                <w:color w:val="auto"/>
                <w:kern w:val="2"/>
                <w:sz w:val="21"/>
                <w:szCs w:val="21"/>
                <w:highlight w:val="none"/>
                <w:lang w:val="en-US" w:eastAsia="zh-CN" w:bidi="ar-SA"/>
              </w:rPr>
            </w:pPr>
          </w:p>
        </w:tc>
      </w:tr>
      <w:tr w14:paraId="680B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97" w:type="dxa"/>
            <w:vMerge w:val="continue"/>
            <w:noWrap w:val="0"/>
            <w:vAlign w:val="center"/>
          </w:tcPr>
          <w:p w14:paraId="68827705">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tc>
        <w:tc>
          <w:tcPr>
            <w:tcW w:w="1090" w:type="dxa"/>
            <w:shd w:val="clear" w:color="auto" w:fill="auto"/>
            <w:noWrap w:val="0"/>
            <w:vAlign w:val="center"/>
          </w:tcPr>
          <w:p w14:paraId="1C3D02BB">
            <w:pPr>
              <w:pStyle w:val="11"/>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应急检测方案</w:t>
            </w:r>
          </w:p>
        </w:tc>
        <w:tc>
          <w:tcPr>
            <w:tcW w:w="5764" w:type="dxa"/>
            <w:shd w:val="clear" w:color="auto" w:fill="auto"/>
            <w:noWrap w:val="0"/>
            <w:vAlign w:val="center"/>
          </w:tcPr>
          <w:p w14:paraId="1256DE65">
            <w:pPr>
              <w:keepNext w:val="0"/>
              <w:keepLines w:val="0"/>
              <w:pageBreakBefore w:val="0"/>
              <w:kinsoku/>
              <w:wordWrap/>
              <w:overflowPunct/>
              <w:topLinePunct w:val="0"/>
              <w:bidi w:val="0"/>
              <w:spacing w:beforeAutospacing="0" w:afterAutospacing="0" w:line="240" w:lineRule="auto"/>
              <w:ind w:left="0"/>
              <w:jc w:val="left"/>
              <w:textAlignment w:val="auto"/>
              <w:outlineLvl w:val="9"/>
              <w:rPr>
                <w:rFonts w:hint="eastAsia"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根据投标人针对后续实际项目实施中可能遇到的紧急事件、异常处理等是否具有详细完善的应急响应制度、实施保障方案进行打分。</w:t>
            </w:r>
          </w:p>
          <w:p w14:paraId="5FEAC413">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1.思路清晰，亮点、特点明显。且切合实际，有实质性作用的得6.7-10.0分；</w:t>
            </w:r>
          </w:p>
          <w:p w14:paraId="0A3E0ABF">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2.思路清晰，基本切合实际，但没有亮点，合理性、可行性尚可的得3.3-6.6分； </w:t>
            </w:r>
          </w:p>
          <w:p w14:paraId="2EB0321C">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3.思路混乱，方案空洞，实质性内容缺乏，合理性、可行很少的得0.1-3.2分； </w:t>
            </w:r>
          </w:p>
          <w:p w14:paraId="7067A49E">
            <w:pPr>
              <w:keepNext w:val="0"/>
              <w:keepLines w:val="0"/>
              <w:pageBreakBefore w:val="0"/>
              <w:widowControl/>
              <w:suppressLineNumbers w:val="0"/>
              <w:tabs>
                <w:tab w:val="left" w:pos="780"/>
              </w:tabs>
              <w:kinsoku/>
              <w:wordWrap/>
              <w:overflowPunct/>
              <w:topLinePunct w:val="0"/>
              <w:autoSpaceDE w:val="0"/>
              <w:autoSpaceDN w:val="0"/>
              <w:bidi w:val="0"/>
              <w:adjustRightInd w:val="0"/>
              <w:snapToGrid/>
              <w:spacing w:before="0" w:beforeAutospacing="0" w:after="0" w:afterAutospacing="0" w:line="240" w:lineRule="auto"/>
              <w:ind w:left="0" w:right="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4.未提及此项不得分。</w:t>
            </w:r>
          </w:p>
        </w:tc>
        <w:tc>
          <w:tcPr>
            <w:tcW w:w="629" w:type="dxa"/>
            <w:shd w:val="clear" w:color="auto" w:fill="auto"/>
            <w:noWrap w:val="0"/>
            <w:vAlign w:val="center"/>
          </w:tcPr>
          <w:p w14:paraId="5A6CBDDF">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w:t>
            </w:r>
          </w:p>
        </w:tc>
        <w:tc>
          <w:tcPr>
            <w:tcW w:w="629" w:type="dxa"/>
            <w:shd w:val="clear" w:color="auto" w:fill="auto"/>
            <w:noWrap w:val="0"/>
            <w:vAlign w:val="center"/>
          </w:tcPr>
          <w:p w14:paraId="1E0E3A72">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cs="宋体"/>
                <w:color w:val="auto"/>
                <w:sz w:val="21"/>
                <w:szCs w:val="21"/>
                <w:highlight w:val="none"/>
                <w:lang w:val="en-US" w:eastAsia="zh-CN"/>
              </w:rPr>
            </w:pPr>
          </w:p>
        </w:tc>
        <w:tc>
          <w:tcPr>
            <w:tcW w:w="629" w:type="dxa"/>
            <w:shd w:val="clear" w:color="auto" w:fill="auto"/>
            <w:noWrap w:val="0"/>
            <w:vAlign w:val="center"/>
          </w:tcPr>
          <w:p w14:paraId="1911AFD2">
            <w:pPr>
              <w:pStyle w:val="3"/>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cs="宋体"/>
                <w:color w:val="auto"/>
                <w:sz w:val="21"/>
                <w:szCs w:val="21"/>
                <w:highlight w:val="none"/>
                <w:lang w:val="en-US" w:eastAsia="zh-CN"/>
              </w:rPr>
            </w:pPr>
          </w:p>
        </w:tc>
      </w:tr>
      <w:tr w14:paraId="0117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jc w:val="center"/>
        </w:trPr>
        <w:tc>
          <w:tcPr>
            <w:tcW w:w="897" w:type="dxa"/>
            <w:vMerge w:val="continue"/>
            <w:noWrap w:val="0"/>
            <w:vAlign w:val="center"/>
          </w:tcPr>
          <w:p w14:paraId="533ABC07">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tc>
        <w:tc>
          <w:tcPr>
            <w:tcW w:w="1090" w:type="dxa"/>
            <w:shd w:val="clear" w:color="auto" w:fill="auto"/>
            <w:noWrap w:val="0"/>
            <w:vAlign w:val="center"/>
          </w:tcPr>
          <w:p w14:paraId="7A5FC6CF">
            <w:pPr>
              <w:keepLines w:val="0"/>
              <w:pageBreakBefore w:val="0"/>
              <w:kinsoku/>
              <w:wordWrap/>
              <w:overflowPunct/>
              <w:topLinePunct w:val="0"/>
              <w:bidi w:val="0"/>
              <w:spacing w:beforeAutospacing="0" w:afterAutospacing="0" w:line="240" w:lineRule="auto"/>
              <w:ind w:left="0" w:leftChars="0"/>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检测时效性</w:t>
            </w:r>
          </w:p>
        </w:tc>
        <w:tc>
          <w:tcPr>
            <w:tcW w:w="5764" w:type="dxa"/>
            <w:shd w:val="clear" w:color="auto" w:fill="auto"/>
            <w:noWrap w:val="0"/>
            <w:vAlign w:val="center"/>
          </w:tcPr>
          <w:p w14:paraId="2E2E2AA5">
            <w:pPr>
              <w:jc w:val="left"/>
              <w:rPr>
                <w:rFonts w:hint="default" w:ascii="宋体" w:hAnsi="宋体" w:eastAsia="宋体" w:cs="宋体"/>
                <w:b w:val="0"/>
                <w:bCs/>
                <w:color w:val="auto"/>
                <w:szCs w:val="21"/>
                <w:highlight w:val="none"/>
                <w:lang w:val="en-US" w:bidi="zh-CN"/>
              </w:rPr>
            </w:pPr>
            <w:r>
              <w:rPr>
                <w:rFonts w:hint="eastAsia" w:ascii="宋体" w:hAnsi="宋体" w:eastAsia="宋体" w:cs="宋体"/>
                <w:bCs/>
                <w:color w:val="auto"/>
                <w:szCs w:val="21"/>
                <w:highlight w:val="none"/>
                <w:lang w:val="en-US" w:bidi="zh-CN"/>
              </w:rPr>
              <w:t>根据投标人针对本项目提供的</w:t>
            </w:r>
            <w:r>
              <w:rPr>
                <w:rFonts w:hint="eastAsia" w:ascii="宋体" w:hAnsi="宋体" w:eastAsia="宋体" w:cs="宋体"/>
                <w:b/>
                <w:bCs w:val="0"/>
                <w:color w:val="auto"/>
                <w:szCs w:val="21"/>
                <w:highlight w:val="none"/>
                <w:lang w:val="zh-CN" w:bidi="zh-CN"/>
              </w:rPr>
              <w:t>保证检测工作进度的方案和措施</w:t>
            </w:r>
            <w:r>
              <w:rPr>
                <w:rFonts w:hint="eastAsia" w:ascii="宋体" w:hAnsi="宋体" w:eastAsia="宋体" w:cs="宋体"/>
                <w:b w:val="0"/>
                <w:bCs/>
                <w:color w:val="auto"/>
                <w:szCs w:val="21"/>
                <w:highlight w:val="none"/>
                <w:lang w:val="en-US" w:bidi="zh-CN"/>
              </w:rPr>
              <w:t>进行打分。</w:t>
            </w:r>
          </w:p>
          <w:p w14:paraId="1F31817B">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1.检测实验室与检测地距离合理，能有效检测、保证数据准确</w:t>
            </w:r>
            <w:r>
              <w:rPr>
                <w:rFonts w:hint="eastAsia" w:ascii="宋体" w:hAnsi="宋体" w:eastAsia="宋体" w:cs="宋体"/>
                <w:bCs/>
                <w:color w:val="auto"/>
                <w:szCs w:val="21"/>
                <w:highlight w:val="none"/>
                <w:lang w:val="zh-CN" w:bidi="zh-CN"/>
              </w:rPr>
              <w:t>的得</w:t>
            </w:r>
            <w:r>
              <w:rPr>
                <w:rFonts w:hint="eastAsia" w:ascii="宋体" w:hAnsi="宋体" w:eastAsia="宋体" w:cs="宋体"/>
                <w:color w:val="auto"/>
                <w:sz w:val="21"/>
                <w:szCs w:val="21"/>
                <w:highlight w:val="none"/>
                <w:lang w:val="en-US" w:eastAsia="zh-CN"/>
              </w:rPr>
              <w:t>6.7-10.0分</w:t>
            </w:r>
            <w:r>
              <w:rPr>
                <w:rFonts w:hint="eastAsia" w:ascii="宋体" w:hAnsi="宋体" w:eastAsia="宋体" w:cs="宋体"/>
                <w:color w:val="auto"/>
                <w:szCs w:val="21"/>
                <w:highlight w:val="none"/>
              </w:rPr>
              <w:t>；</w:t>
            </w:r>
          </w:p>
          <w:p w14:paraId="2233C862">
            <w:pPr>
              <w:jc w:val="left"/>
              <w:rPr>
                <w:rFonts w:hint="default" w:ascii="宋体" w:hAnsi="宋体" w:eastAsia="宋体" w:cs="宋体"/>
                <w:color w:val="auto"/>
                <w:szCs w:val="21"/>
                <w:highlight w:val="none"/>
                <w:lang w:val="en-US" w:eastAsia="zh-CN"/>
                <w14:ligatures w14:val="none"/>
              </w:rPr>
            </w:pPr>
            <w:r>
              <w:rPr>
                <w:rFonts w:hint="eastAsia" w:ascii="宋体" w:hAnsi="宋体" w:eastAsia="宋体" w:cs="宋体"/>
                <w:color w:val="auto"/>
                <w:sz w:val="21"/>
                <w:szCs w:val="21"/>
                <w:highlight w:val="none"/>
                <w:lang w:val="en-US" w:eastAsia="zh-CN"/>
              </w:rPr>
              <w:t>2.检测实验室与检测地距离尚合理，基本能有效检测、保证数据准确</w:t>
            </w:r>
            <w:r>
              <w:rPr>
                <w:rFonts w:hint="eastAsia" w:ascii="宋体" w:hAnsi="宋体" w:eastAsia="宋体" w:cs="宋体"/>
                <w:color w:val="auto"/>
                <w:szCs w:val="21"/>
                <w:highlight w:val="none"/>
                <w:lang w:val="en-US" w:eastAsia="zh-CN"/>
                <w14:ligatures w14:val="none"/>
              </w:rPr>
              <w:t>的得</w:t>
            </w:r>
            <w:r>
              <w:rPr>
                <w:rFonts w:hint="eastAsia" w:ascii="宋体" w:hAnsi="宋体" w:eastAsia="宋体" w:cs="宋体"/>
                <w:color w:val="auto"/>
                <w:sz w:val="21"/>
                <w:szCs w:val="21"/>
                <w:highlight w:val="none"/>
                <w:lang w:val="en-US" w:eastAsia="zh-CN"/>
              </w:rPr>
              <w:t>3.3-6.6分</w:t>
            </w:r>
            <w:r>
              <w:rPr>
                <w:rFonts w:hint="eastAsia" w:ascii="宋体" w:hAnsi="宋体" w:eastAsia="宋体" w:cs="宋体"/>
                <w:color w:val="auto"/>
                <w:szCs w:val="21"/>
                <w:highlight w:val="none"/>
                <w:lang w:val="en-US" w:eastAsia="zh-CN"/>
                <w14:ligatures w14:val="none"/>
              </w:rPr>
              <w:t>；</w:t>
            </w:r>
          </w:p>
          <w:p w14:paraId="31838416">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3.检测实验室与检测地距离较远，有效检测难度大、数据准确保证差</w:t>
            </w:r>
            <w:r>
              <w:rPr>
                <w:rFonts w:hint="eastAsia" w:ascii="宋体" w:hAnsi="宋体" w:eastAsia="宋体" w:cs="宋体"/>
                <w:color w:val="auto"/>
                <w:szCs w:val="21"/>
                <w:highlight w:val="none"/>
                <w:lang w:val="en-US" w:eastAsia="zh-CN"/>
                <w14:ligatures w14:val="none"/>
              </w:rPr>
              <w:t>的</w:t>
            </w:r>
            <w:r>
              <w:rPr>
                <w:rFonts w:hint="eastAsia" w:ascii="宋体" w:hAnsi="宋体" w:eastAsia="宋体" w:cs="宋体"/>
                <w:color w:val="auto"/>
                <w:szCs w:val="21"/>
                <w:highlight w:val="none"/>
                <w:lang w:val="zh-CN"/>
                <w14:ligatures w14:val="none"/>
              </w:rPr>
              <w:t>得</w:t>
            </w:r>
            <w:r>
              <w:rPr>
                <w:rFonts w:hint="eastAsia" w:ascii="宋体" w:hAnsi="宋体" w:eastAsia="宋体" w:cs="宋体"/>
                <w:color w:val="auto"/>
                <w:sz w:val="21"/>
                <w:szCs w:val="21"/>
                <w:highlight w:val="none"/>
                <w:lang w:val="en-US" w:eastAsia="zh-CN"/>
              </w:rPr>
              <w:t>0.1-3.2分</w:t>
            </w:r>
            <w:r>
              <w:rPr>
                <w:rFonts w:hint="eastAsia" w:ascii="宋体" w:hAnsi="宋体" w:eastAsia="宋体" w:cs="宋体"/>
                <w:color w:val="auto"/>
                <w:szCs w:val="21"/>
                <w:highlight w:val="none"/>
                <w:lang w:val="zh-CN"/>
                <w14:ligatures w14:val="none"/>
              </w:rPr>
              <w:t>；</w:t>
            </w:r>
          </w:p>
          <w:p w14:paraId="24305C8A">
            <w:pPr>
              <w:pStyle w:val="11"/>
              <w:keepNext w:val="0"/>
              <w:keepLines w:val="0"/>
              <w:pageBreakBefore w:val="0"/>
              <w:widowControl/>
              <w:kinsoku/>
              <w:wordWrap/>
              <w:overflowPunct/>
              <w:topLinePunct w:val="0"/>
              <w:bidi w:val="0"/>
              <w:spacing w:line="240" w:lineRule="auto"/>
              <w:ind w:lef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4.未提及此项不得分。</w:t>
            </w:r>
          </w:p>
          <w:p w14:paraId="67C052CD">
            <w:pPr>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注：以检验检测机构资质认定证书的地址为检测实验室地址。</w:t>
            </w:r>
          </w:p>
          <w:p w14:paraId="19435C72">
            <w:pP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（须提供检验检测机构资质认定证书复印件并加盖投标人公章编入投标文件中，未提供的不得分）</w:t>
            </w:r>
          </w:p>
        </w:tc>
        <w:tc>
          <w:tcPr>
            <w:tcW w:w="629" w:type="dxa"/>
            <w:shd w:val="clear" w:color="auto" w:fill="auto"/>
            <w:noWrap w:val="0"/>
            <w:vAlign w:val="center"/>
          </w:tcPr>
          <w:p w14:paraId="1CCA436F">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10</w:t>
            </w:r>
          </w:p>
        </w:tc>
        <w:tc>
          <w:tcPr>
            <w:tcW w:w="629" w:type="dxa"/>
            <w:shd w:val="clear" w:color="auto" w:fill="auto"/>
            <w:noWrap w:val="0"/>
            <w:vAlign w:val="center"/>
          </w:tcPr>
          <w:p w14:paraId="23958938">
            <w:pPr>
              <w:jc w:val="center"/>
              <w:rPr>
                <w:rFonts w:hint="eastAsia" w:ascii="宋体" w:hAnsi="宋体" w:cs="宋体"/>
                <w:b w:val="0"/>
                <w:bCs w:val="0"/>
                <w:color w:val="auto"/>
                <w:kern w:val="2"/>
                <w:sz w:val="21"/>
                <w:szCs w:val="21"/>
                <w:highlight w:val="none"/>
                <w:lang w:val="en-US" w:eastAsia="zh-CN" w:bidi="ar-SA"/>
              </w:rPr>
            </w:pPr>
          </w:p>
        </w:tc>
        <w:tc>
          <w:tcPr>
            <w:tcW w:w="629" w:type="dxa"/>
            <w:shd w:val="clear" w:color="auto" w:fill="auto"/>
            <w:noWrap w:val="0"/>
            <w:vAlign w:val="center"/>
          </w:tcPr>
          <w:p w14:paraId="7A927CD1">
            <w:pPr>
              <w:jc w:val="center"/>
              <w:rPr>
                <w:rFonts w:hint="eastAsia" w:ascii="宋体" w:hAnsi="宋体" w:cs="宋体"/>
                <w:b w:val="0"/>
                <w:bCs w:val="0"/>
                <w:color w:val="auto"/>
                <w:kern w:val="2"/>
                <w:sz w:val="21"/>
                <w:szCs w:val="21"/>
                <w:highlight w:val="none"/>
                <w:lang w:val="en-US" w:eastAsia="zh-CN" w:bidi="ar-SA"/>
              </w:rPr>
            </w:pPr>
          </w:p>
        </w:tc>
      </w:tr>
      <w:tr w14:paraId="5AEC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97" w:type="dxa"/>
            <w:vMerge w:val="continue"/>
            <w:noWrap w:val="0"/>
            <w:vAlign w:val="center"/>
          </w:tcPr>
          <w:p w14:paraId="13708F5E">
            <w:pPr>
              <w:keepNext w:val="0"/>
              <w:keepLines w:val="0"/>
              <w:pageBreakBefore w:val="0"/>
              <w:widowControl/>
              <w:kinsoku/>
              <w:wordWrap/>
              <w:overflowPunct/>
              <w:topLinePunct w:val="0"/>
              <w:bidi w:val="0"/>
              <w:adjustRightInd w:val="0"/>
              <w:snapToGrid w:val="0"/>
              <w:spacing w:line="240" w:lineRule="auto"/>
              <w:ind w:left="0" w:firstLine="0" w:firstLineChars="0"/>
              <w:jc w:val="center"/>
              <w:rPr>
                <w:rFonts w:hint="eastAsia" w:ascii="宋体" w:hAnsi="宋体" w:eastAsia="宋体" w:cs="宋体"/>
                <w:color w:val="auto"/>
                <w:sz w:val="21"/>
                <w:szCs w:val="21"/>
                <w:highlight w:val="none"/>
              </w:rPr>
            </w:pPr>
          </w:p>
        </w:tc>
        <w:tc>
          <w:tcPr>
            <w:tcW w:w="1090" w:type="dxa"/>
            <w:shd w:val="clear" w:color="auto" w:fill="auto"/>
            <w:noWrap w:val="0"/>
            <w:vAlign w:val="center"/>
          </w:tcPr>
          <w:p w14:paraId="63C4AE1E">
            <w:pPr>
              <w:snapToGrid w:val="0"/>
              <w:spacing w:line="240" w:lineRule="auto"/>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服务承诺</w:t>
            </w:r>
          </w:p>
        </w:tc>
        <w:tc>
          <w:tcPr>
            <w:tcW w:w="5764" w:type="dxa"/>
            <w:shd w:val="clear" w:color="auto" w:fill="auto"/>
            <w:noWrap w:val="0"/>
            <w:vAlign w:val="center"/>
          </w:tcPr>
          <w:p w14:paraId="29D04117">
            <w:pPr>
              <w:widowControl/>
              <w:spacing w:line="24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pacing w:val="-4"/>
                <w:szCs w:val="21"/>
                <w:highlight w:val="none"/>
              </w:rPr>
              <w:t>投标人承诺</w:t>
            </w:r>
            <w:r>
              <w:rPr>
                <w:rFonts w:hint="eastAsia" w:ascii="宋体" w:hAnsi="宋体" w:eastAsia="宋体" w:cs="宋体"/>
                <w:snapToGrid w:val="0"/>
                <w:color w:val="auto"/>
                <w:kern w:val="0"/>
                <w:sz w:val="21"/>
                <w:szCs w:val="21"/>
                <w:highlight w:val="none"/>
                <w:lang w:val="en-US" w:eastAsia="zh-CN"/>
              </w:rPr>
              <w:t>接到检测任务后48小时内（含）安排采样、7天内（含）</w:t>
            </w:r>
            <w:r>
              <w:rPr>
                <w:rFonts w:hint="eastAsia" w:ascii="宋体" w:hAnsi="宋体" w:eastAsia="宋体" w:cs="宋体"/>
                <w:color w:val="auto"/>
                <w:sz w:val="21"/>
                <w:szCs w:val="21"/>
                <w:highlight w:val="none"/>
                <w:lang w:val="en-US" w:eastAsia="zh-CN"/>
              </w:rPr>
              <w:t>出检测报告（二噁英除外</w:t>
            </w:r>
            <w:r>
              <w:rPr>
                <w:rFonts w:hint="eastAsia" w:ascii="宋体" w:hAnsi="宋体" w:eastAsia="宋体" w:cs="宋体"/>
                <w:snapToGrid w:val="0"/>
                <w:color w:val="auto"/>
                <w:kern w:val="0"/>
                <w:sz w:val="21"/>
                <w:szCs w:val="21"/>
                <w:highlight w:val="none"/>
                <w:lang w:val="en-US" w:eastAsia="zh-CN"/>
              </w:rPr>
              <w:t>）的得5分；</w:t>
            </w:r>
          </w:p>
          <w:p w14:paraId="50378F78">
            <w:pPr>
              <w:widowControl/>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rPr>
              <w:t>接到检测任务后超过48小时内（含）安排采样、7天内（含）出检测报告（二噁英除外）</w:t>
            </w:r>
            <w:r>
              <w:rPr>
                <w:rFonts w:hint="eastAsia" w:ascii="宋体" w:hAnsi="宋体" w:eastAsia="宋体" w:cs="宋体"/>
                <w:color w:val="auto"/>
                <w:spacing w:val="-4"/>
                <w:szCs w:val="21"/>
                <w:highlight w:val="none"/>
              </w:rPr>
              <w:t>的或未提及此项不得分。</w:t>
            </w:r>
          </w:p>
        </w:tc>
        <w:tc>
          <w:tcPr>
            <w:tcW w:w="629" w:type="dxa"/>
            <w:shd w:val="clear" w:color="auto" w:fill="auto"/>
            <w:noWrap w:val="0"/>
            <w:vAlign w:val="center"/>
          </w:tcPr>
          <w:p w14:paraId="63DB8901">
            <w:pPr>
              <w:tabs>
                <w:tab w:val="left" w:pos="780"/>
              </w:tabs>
              <w:autoSpaceDE w:val="0"/>
              <w:autoSpaceDN w:val="0"/>
              <w:adjustRightIn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w:t>
            </w:r>
          </w:p>
        </w:tc>
        <w:tc>
          <w:tcPr>
            <w:tcW w:w="629" w:type="dxa"/>
            <w:shd w:val="clear" w:color="auto" w:fill="auto"/>
            <w:noWrap w:val="0"/>
            <w:vAlign w:val="center"/>
          </w:tcPr>
          <w:p w14:paraId="663E0E51">
            <w:pPr>
              <w:tabs>
                <w:tab w:val="left" w:pos="780"/>
              </w:tabs>
              <w:autoSpaceDE w:val="0"/>
              <w:autoSpaceDN w:val="0"/>
              <w:adjustRightInd w:val="0"/>
              <w:spacing w:line="240" w:lineRule="auto"/>
              <w:jc w:val="center"/>
              <w:rPr>
                <w:rFonts w:hint="eastAsia" w:ascii="宋体" w:hAnsi="宋体" w:eastAsia="宋体" w:cs="宋体"/>
                <w:color w:val="auto"/>
                <w:szCs w:val="21"/>
                <w:highlight w:val="none"/>
                <w:lang w:val="en-US" w:eastAsia="zh-CN"/>
              </w:rPr>
            </w:pPr>
          </w:p>
        </w:tc>
        <w:tc>
          <w:tcPr>
            <w:tcW w:w="629" w:type="dxa"/>
            <w:shd w:val="clear" w:color="auto" w:fill="auto"/>
            <w:noWrap w:val="0"/>
            <w:vAlign w:val="center"/>
          </w:tcPr>
          <w:p w14:paraId="48D6A1C4">
            <w:pPr>
              <w:tabs>
                <w:tab w:val="left" w:pos="780"/>
              </w:tabs>
              <w:autoSpaceDE w:val="0"/>
              <w:autoSpaceDN w:val="0"/>
              <w:adjustRightInd w:val="0"/>
              <w:spacing w:line="240" w:lineRule="auto"/>
              <w:jc w:val="center"/>
              <w:rPr>
                <w:rFonts w:hint="eastAsia" w:ascii="宋体" w:hAnsi="宋体" w:eastAsia="宋体" w:cs="宋体"/>
                <w:color w:val="auto"/>
                <w:szCs w:val="21"/>
                <w:highlight w:val="none"/>
                <w:lang w:val="en-US" w:eastAsia="zh-CN"/>
              </w:rPr>
            </w:pPr>
          </w:p>
        </w:tc>
      </w:tr>
    </w:tbl>
    <w:p w14:paraId="1F6A6167">
      <w:pPr>
        <w:pStyle w:val="39"/>
        <w:keepNext w:val="0"/>
        <w:keepLines w:val="0"/>
        <w:pageBreakBefore w:val="0"/>
        <w:shd w:val="clear" w:color="auto" w:fill="FFFFFF"/>
        <w:kinsoku/>
        <w:overflowPunct/>
        <w:topLinePunct w:val="0"/>
        <w:bidi w:val="0"/>
        <w:spacing w:before="0" w:beforeAutospacing="0" w:after="0" w:afterAutospacing="0" w:line="360" w:lineRule="auto"/>
        <w:outlineLvl w:val="9"/>
        <w:rPr>
          <w:rFonts w:hint="eastAsia" w:ascii="宋体" w:hAnsi="宋体" w:eastAsia="宋体" w:cs="宋体"/>
          <w:b/>
          <w:color w:val="auto"/>
          <w:sz w:val="28"/>
          <w:highlight w:val="none"/>
        </w:rPr>
      </w:pPr>
    </w:p>
    <w:p w14:paraId="1A962A15">
      <w:pPr>
        <w:pStyle w:val="39"/>
        <w:keepNext w:val="0"/>
        <w:keepLines w:val="0"/>
        <w:pageBreakBefore w:val="0"/>
        <w:shd w:val="clear" w:color="auto" w:fill="FFFFFF"/>
        <w:kinsoku/>
        <w:overflowPunct/>
        <w:topLinePunct w:val="0"/>
        <w:bidi w:val="0"/>
        <w:spacing w:before="0" w:beforeAutospacing="0" w:after="0" w:afterAutospacing="0" w:line="360" w:lineRule="auto"/>
        <w:outlineLvl w:val="9"/>
        <w:rPr>
          <w:rFonts w:hint="eastAsia" w:ascii="宋体" w:hAnsi="宋体" w:eastAsia="宋体" w:cs="宋体"/>
          <w:b/>
          <w:color w:val="auto"/>
          <w:sz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8BFEA1">
      <w:pPr>
        <w:pStyle w:val="39"/>
        <w:keepNext w:val="0"/>
        <w:keepLines w:val="0"/>
        <w:pageBreakBefore w:val="0"/>
        <w:shd w:val="clear" w:color="auto" w:fill="FFFFFF"/>
        <w:kinsoku/>
        <w:overflowPunct/>
        <w:topLinePunct w:val="0"/>
        <w:bidi w:val="0"/>
        <w:spacing w:before="0" w:beforeAutospacing="0" w:after="0" w:afterAutospacing="0" w:line="360" w:lineRule="auto"/>
        <w:outlineLvl w:val="9"/>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w:t>
      </w:r>
      <w:r>
        <w:rPr>
          <w:rFonts w:hint="eastAsia" w:ascii="宋体" w:hAnsi="宋体" w:eastAsia="宋体" w:cs="宋体"/>
          <w:b/>
          <w:color w:val="auto"/>
          <w:sz w:val="28"/>
          <w:highlight w:val="none"/>
          <w:lang w:val="en-US" w:eastAsia="zh-CN"/>
        </w:rPr>
        <w:t>6</w:t>
      </w:r>
      <w:r>
        <w:rPr>
          <w:rFonts w:hint="eastAsia" w:ascii="宋体" w:hAnsi="宋体" w:eastAsia="宋体" w:cs="宋体"/>
          <w:b/>
          <w:color w:val="auto"/>
          <w:sz w:val="28"/>
          <w:highlight w:val="none"/>
        </w:rPr>
        <w:t xml:space="preserve">       </w:t>
      </w:r>
    </w:p>
    <w:p w14:paraId="7458C6AE">
      <w:pPr>
        <w:pStyle w:val="39"/>
        <w:keepNext w:val="0"/>
        <w:keepLines w:val="0"/>
        <w:pageBreakBefore w:val="0"/>
        <w:shd w:val="clear" w:color="auto" w:fill="FFFFFF"/>
        <w:kinsoku/>
        <w:overflowPunct/>
        <w:topLinePunct w:val="0"/>
        <w:bidi w:val="0"/>
        <w:spacing w:before="0" w:beforeAutospacing="0" w:after="0" w:afterAutospacing="0" w:line="360" w:lineRule="auto"/>
        <w:jc w:val="center"/>
        <w:outlineLvl w:val="9"/>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kern w:val="2"/>
          <w:sz w:val="32"/>
          <w:szCs w:val="32"/>
          <w:highlight w:val="none"/>
          <w:lang w:val="en-US" w:eastAsia="zh-CN" w:bidi="ar-SA"/>
        </w:rPr>
        <w:t>供应商基本情况表</w:t>
      </w:r>
    </w:p>
    <w:tbl>
      <w:tblPr>
        <w:tblStyle w:val="22"/>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669"/>
        <w:gridCol w:w="709"/>
        <w:gridCol w:w="286"/>
        <w:gridCol w:w="935"/>
        <w:gridCol w:w="112"/>
        <w:gridCol w:w="1093"/>
        <w:gridCol w:w="325"/>
        <w:gridCol w:w="1276"/>
        <w:gridCol w:w="400"/>
        <w:gridCol w:w="1218"/>
        <w:gridCol w:w="933"/>
      </w:tblGrid>
      <w:tr w14:paraId="3323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57" w:type="dxa"/>
            <w:noWrap w:val="0"/>
            <w:vAlign w:val="top"/>
          </w:tcPr>
          <w:p w14:paraId="429D4352">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pacing w:val="27"/>
                <w:sz w:val="21"/>
                <w:szCs w:val="21"/>
                <w:highlight w:val="none"/>
              </w:rPr>
              <w:t>企业名称</w:t>
            </w:r>
          </w:p>
        </w:tc>
        <w:tc>
          <w:tcPr>
            <w:tcW w:w="3804" w:type="dxa"/>
            <w:gridSpan w:val="6"/>
            <w:noWrap w:val="0"/>
            <w:vAlign w:val="top"/>
          </w:tcPr>
          <w:p w14:paraId="289BF4A6">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z w:val="21"/>
                <w:szCs w:val="21"/>
                <w:highlight w:val="none"/>
              </w:rPr>
            </w:pPr>
          </w:p>
        </w:tc>
        <w:tc>
          <w:tcPr>
            <w:tcW w:w="2001" w:type="dxa"/>
            <w:gridSpan w:val="3"/>
            <w:noWrap w:val="0"/>
            <w:vAlign w:val="top"/>
          </w:tcPr>
          <w:p w14:paraId="03BEAEFA">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pacing w:val="16"/>
                <w:sz w:val="21"/>
                <w:szCs w:val="21"/>
                <w:highlight w:val="none"/>
              </w:rPr>
              <w:t>法人代表</w:t>
            </w:r>
          </w:p>
        </w:tc>
        <w:tc>
          <w:tcPr>
            <w:tcW w:w="2151" w:type="dxa"/>
            <w:gridSpan w:val="2"/>
            <w:noWrap w:val="0"/>
            <w:vAlign w:val="top"/>
          </w:tcPr>
          <w:p w14:paraId="66E8B401">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z w:val="21"/>
                <w:szCs w:val="21"/>
                <w:highlight w:val="none"/>
              </w:rPr>
            </w:pPr>
          </w:p>
        </w:tc>
      </w:tr>
      <w:tr w14:paraId="1D7D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57" w:type="dxa"/>
            <w:noWrap w:val="0"/>
            <w:vAlign w:val="top"/>
          </w:tcPr>
          <w:p w14:paraId="5268B7DB">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27"/>
                <w:sz w:val="21"/>
                <w:szCs w:val="21"/>
                <w:highlight w:val="none"/>
              </w:rPr>
              <w:t>地址</w:t>
            </w:r>
          </w:p>
        </w:tc>
        <w:tc>
          <w:tcPr>
            <w:tcW w:w="3804" w:type="dxa"/>
            <w:gridSpan w:val="6"/>
            <w:tcBorders>
              <w:bottom w:val="single" w:color="auto" w:sz="4" w:space="0"/>
            </w:tcBorders>
            <w:noWrap w:val="0"/>
            <w:vAlign w:val="top"/>
          </w:tcPr>
          <w:p w14:paraId="4C83F80C">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c>
          <w:tcPr>
            <w:tcW w:w="2001" w:type="dxa"/>
            <w:gridSpan w:val="3"/>
            <w:noWrap w:val="0"/>
            <w:vAlign w:val="top"/>
          </w:tcPr>
          <w:p w14:paraId="017F36CD">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16"/>
                <w:sz w:val="21"/>
                <w:szCs w:val="21"/>
                <w:highlight w:val="none"/>
              </w:rPr>
              <w:t>企业性质</w:t>
            </w:r>
          </w:p>
        </w:tc>
        <w:tc>
          <w:tcPr>
            <w:tcW w:w="2151" w:type="dxa"/>
            <w:gridSpan w:val="2"/>
            <w:noWrap w:val="0"/>
            <w:vAlign w:val="top"/>
          </w:tcPr>
          <w:p w14:paraId="373DD2A8">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r>
      <w:tr w14:paraId="72A4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857" w:type="dxa"/>
            <w:tcBorders>
              <w:bottom w:val="single" w:color="auto" w:sz="4" w:space="0"/>
            </w:tcBorders>
            <w:noWrap w:val="0"/>
            <w:vAlign w:val="top"/>
          </w:tcPr>
          <w:p w14:paraId="107D93D7">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27"/>
                <w:sz w:val="21"/>
                <w:szCs w:val="21"/>
                <w:highlight w:val="none"/>
              </w:rPr>
              <w:t>股东姓名</w:t>
            </w:r>
          </w:p>
        </w:tc>
        <w:tc>
          <w:tcPr>
            <w:tcW w:w="669" w:type="dxa"/>
            <w:tcBorders>
              <w:bottom w:val="single" w:color="auto" w:sz="4" w:space="0"/>
            </w:tcBorders>
            <w:noWrap w:val="0"/>
            <w:vAlign w:val="top"/>
          </w:tcPr>
          <w:p w14:paraId="3729FFAE">
            <w:pPr>
              <w:pStyle w:val="39"/>
              <w:keepNext w:val="0"/>
              <w:keepLines w:val="0"/>
              <w:pageBreakBefore w:val="0"/>
              <w:shd w:val="clear" w:color="auto" w:fill="FFFFFF"/>
              <w:kinsoku/>
              <w:overflowPunct/>
              <w:topLinePunct w:val="0"/>
              <w:bidi w:val="0"/>
              <w:spacing w:before="0" w:beforeAutospacing="0" w:after="0" w:afterAutospacing="0" w:line="360" w:lineRule="auto"/>
              <w:outlineLvl w:val="9"/>
              <w:rPr>
                <w:rFonts w:hint="eastAsia" w:ascii="宋体" w:hAnsi="宋体" w:eastAsia="宋体" w:cs="宋体"/>
                <w:bCs/>
                <w:color w:val="auto"/>
                <w:spacing w:val="16"/>
                <w:sz w:val="21"/>
                <w:szCs w:val="21"/>
                <w:highlight w:val="none"/>
              </w:rPr>
            </w:pPr>
          </w:p>
        </w:tc>
        <w:tc>
          <w:tcPr>
            <w:tcW w:w="995" w:type="dxa"/>
            <w:gridSpan w:val="2"/>
            <w:tcBorders>
              <w:bottom w:val="single" w:color="auto" w:sz="4" w:space="0"/>
            </w:tcBorders>
            <w:noWrap w:val="0"/>
            <w:vAlign w:val="top"/>
          </w:tcPr>
          <w:p w14:paraId="5F1DBFAD">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16"/>
                <w:sz w:val="21"/>
                <w:szCs w:val="21"/>
                <w:highlight w:val="none"/>
              </w:rPr>
              <w:t>股权结构（%）</w:t>
            </w:r>
          </w:p>
        </w:tc>
        <w:tc>
          <w:tcPr>
            <w:tcW w:w="2140" w:type="dxa"/>
            <w:gridSpan w:val="3"/>
            <w:tcBorders>
              <w:bottom w:val="single" w:color="auto" w:sz="4" w:space="0"/>
            </w:tcBorders>
            <w:noWrap w:val="0"/>
            <w:vAlign w:val="top"/>
          </w:tcPr>
          <w:p w14:paraId="5574A70B">
            <w:pPr>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pacing w:val="16"/>
                <w:kern w:val="0"/>
                <w:sz w:val="21"/>
                <w:szCs w:val="21"/>
                <w:highlight w:val="none"/>
              </w:rPr>
            </w:pPr>
          </w:p>
          <w:p w14:paraId="25D6477A">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c>
          <w:tcPr>
            <w:tcW w:w="2001" w:type="dxa"/>
            <w:gridSpan w:val="3"/>
            <w:noWrap w:val="0"/>
            <w:vAlign w:val="top"/>
          </w:tcPr>
          <w:p w14:paraId="035A6D8B">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16"/>
                <w:sz w:val="21"/>
                <w:szCs w:val="21"/>
                <w:highlight w:val="none"/>
              </w:rPr>
              <w:t>股东关系</w:t>
            </w:r>
          </w:p>
        </w:tc>
        <w:tc>
          <w:tcPr>
            <w:tcW w:w="2151" w:type="dxa"/>
            <w:gridSpan w:val="2"/>
            <w:noWrap w:val="0"/>
            <w:vAlign w:val="top"/>
          </w:tcPr>
          <w:p w14:paraId="14385AAA">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pacing w:val="16"/>
                <w:sz w:val="21"/>
                <w:szCs w:val="21"/>
                <w:highlight w:val="none"/>
              </w:rPr>
            </w:pPr>
          </w:p>
        </w:tc>
      </w:tr>
      <w:tr w14:paraId="6B99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7" w:type="dxa"/>
            <w:vMerge w:val="restart"/>
            <w:noWrap w:val="0"/>
            <w:vAlign w:val="top"/>
          </w:tcPr>
          <w:p w14:paraId="4BD6AA2C">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12"/>
                <w:sz w:val="21"/>
                <w:szCs w:val="21"/>
                <w:highlight w:val="none"/>
              </w:rPr>
              <w:t>联系人</w:t>
            </w:r>
            <w:r>
              <w:rPr>
                <w:rFonts w:hint="eastAsia" w:ascii="宋体" w:hAnsi="宋体" w:eastAsia="宋体" w:cs="宋体"/>
                <w:bCs/>
                <w:color w:val="auto"/>
                <w:spacing w:val="27"/>
                <w:sz w:val="21"/>
                <w:szCs w:val="21"/>
                <w:highlight w:val="none"/>
              </w:rPr>
              <w:t>姓名</w:t>
            </w:r>
          </w:p>
        </w:tc>
        <w:tc>
          <w:tcPr>
            <w:tcW w:w="669" w:type="dxa"/>
            <w:vMerge w:val="restart"/>
            <w:tcBorders>
              <w:top w:val="nil"/>
            </w:tcBorders>
            <w:noWrap w:val="0"/>
            <w:vAlign w:val="top"/>
          </w:tcPr>
          <w:p w14:paraId="56604750">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c>
          <w:tcPr>
            <w:tcW w:w="995" w:type="dxa"/>
            <w:gridSpan w:val="2"/>
            <w:tcBorders>
              <w:top w:val="nil"/>
              <w:bottom w:val="single" w:color="auto" w:sz="4" w:space="0"/>
            </w:tcBorders>
            <w:noWrap w:val="0"/>
            <w:vAlign w:val="top"/>
          </w:tcPr>
          <w:p w14:paraId="0F663667">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16"/>
                <w:sz w:val="21"/>
                <w:szCs w:val="21"/>
                <w:highlight w:val="none"/>
              </w:rPr>
              <w:t>固定电话</w:t>
            </w:r>
          </w:p>
        </w:tc>
        <w:tc>
          <w:tcPr>
            <w:tcW w:w="2140" w:type="dxa"/>
            <w:gridSpan w:val="3"/>
            <w:tcBorders>
              <w:top w:val="nil"/>
              <w:bottom w:val="single" w:color="auto" w:sz="4" w:space="0"/>
            </w:tcBorders>
            <w:noWrap w:val="0"/>
            <w:vAlign w:val="top"/>
          </w:tcPr>
          <w:p w14:paraId="4C0732C8">
            <w:pPr>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pacing w:val="16"/>
                <w:kern w:val="0"/>
                <w:sz w:val="21"/>
                <w:szCs w:val="21"/>
                <w:highlight w:val="none"/>
              </w:rPr>
            </w:pPr>
          </w:p>
          <w:p w14:paraId="282E34D9">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c>
          <w:tcPr>
            <w:tcW w:w="2001" w:type="dxa"/>
            <w:gridSpan w:val="3"/>
            <w:vMerge w:val="restart"/>
            <w:noWrap w:val="0"/>
            <w:vAlign w:val="top"/>
          </w:tcPr>
          <w:p w14:paraId="56D59A06">
            <w:pPr>
              <w:pStyle w:val="39"/>
              <w:keepNext w:val="0"/>
              <w:keepLines w:val="0"/>
              <w:pageBreakBefore w:val="0"/>
              <w:shd w:val="clear" w:color="auto" w:fill="FFFFFF"/>
              <w:kinsoku/>
              <w:overflowPunct/>
              <w:topLinePunct w:val="0"/>
              <w:bidi w:val="0"/>
              <w:spacing w:before="0" w:beforeAutospacing="0" w:after="0" w:afterAutospacing="0" w:line="360" w:lineRule="auto"/>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16"/>
                <w:sz w:val="21"/>
                <w:szCs w:val="21"/>
                <w:highlight w:val="none"/>
              </w:rPr>
              <w:t>传真</w:t>
            </w:r>
          </w:p>
        </w:tc>
        <w:tc>
          <w:tcPr>
            <w:tcW w:w="2151" w:type="dxa"/>
            <w:gridSpan w:val="2"/>
            <w:vMerge w:val="restart"/>
            <w:noWrap w:val="0"/>
            <w:vAlign w:val="top"/>
          </w:tcPr>
          <w:p w14:paraId="7272D4F3">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r>
      <w:tr w14:paraId="3FC6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57" w:type="dxa"/>
            <w:vMerge w:val="continue"/>
            <w:tcBorders>
              <w:bottom w:val="single" w:color="auto" w:sz="4" w:space="0"/>
            </w:tcBorders>
            <w:noWrap w:val="0"/>
            <w:vAlign w:val="top"/>
          </w:tcPr>
          <w:p w14:paraId="0A67D154">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rPr>
            </w:pPr>
          </w:p>
        </w:tc>
        <w:tc>
          <w:tcPr>
            <w:tcW w:w="669" w:type="dxa"/>
            <w:vMerge w:val="continue"/>
            <w:tcBorders>
              <w:bottom w:val="single" w:color="auto" w:sz="4" w:space="0"/>
            </w:tcBorders>
            <w:noWrap w:val="0"/>
            <w:vAlign w:val="top"/>
          </w:tcPr>
          <w:p w14:paraId="04BBE535">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c>
          <w:tcPr>
            <w:tcW w:w="995" w:type="dxa"/>
            <w:gridSpan w:val="2"/>
            <w:tcBorders>
              <w:bottom w:val="single" w:color="auto" w:sz="4" w:space="0"/>
            </w:tcBorders>
            <w:noWrap w:val="0"/>
            <w:vAlign w:val="top"/>
          </w:tcPr>
          <w:p w14:paraId="3FCE6C73">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27"/>
                <w:sz w:val="21"/>
                <w:szCs w:val="21"/>
                <w:highlight w:val="none"/>
              </w:rPr>
              <w:t>手机</w:t>
            </w:r>
          </w:p>
        </w:tc>
        <w:tc>
          <w:tcPr>
            <w:tcW w:w="2140" w:type="dxa"/>
            <w:gridSpan w:val="3"/>
            <w:tcBorders>
              <w:bottom w:val="single" w:color="auto" w:sz="4" w:space="0"/>
            </w:tcBorders>
            <w:noWrap w:val="0"/>
            <w:vAlign w:val="top"/>
          </w:tcPr>
          <w:p w14:paraId="4C057FE1">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c>
          <w:tcPr>
            <w:tcW w:w="2001" w:type="dxa"/>
            <w:gridSpan w:val="3"/>
            <w:vMerge w:val="continue"/>
            <w:tcBorders>
              <w:bottom w:val="single" w:color="auto" w:sz="4" w:space="0"/>
            </w:tcBorders>
            <w:noWrap w:val="0"/>
            <w:vAlign w:val="top"/>
          </w:tcPr>
          <w:p w14:paraId="08E6C744">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c>
          <w:tcPr>
            <w:tcW w:w="2151" w:type="dxa"/>
            <w:gridSpan w:val="2"/>
            <w:vMerge w:val="continue"/>
            <w:tcBorders>
              <w:bottom w:val="single" w:color="auto" w:sz="4" w:space="0"/>
            </w:tcBorders>
            <w:noWrap w:val="0"/>
            <w:vAlign w:val="top"/>
          </w:tcPr>
          <w:p w14:paraId="141FDDF0">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r>
      <w:tr w14:paraId="4C96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57" w:type="dxa"/>
            <w:vMerge w:val="restart"/>
            <w:tcBorders>
              <w:top w:val="single" w:color="auto" w:sz="4" w:space="0"/>
            </w:tcBorders>
            <w:noWrap w:val="0"/>
            <w:vAlign w:val="top"/>
          </w:tcPr>
          <w:p w14:paraId="1099BD8B">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w:t>
            </w:r>
          </w:p>
          <w:p w14:paraId="315615BC">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企</w:t>
            </w:r>
          </w:p>
          <w:p w14:paraId="74EB3687">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w:t>
            </w:r>
          </w:p>
          <w:p w14:paraId="27619D66">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pacing w:val="27"/>
                <w:sz w:val="21"/>
                <w:szCs w:val="21"/>
                <w:highlight w:val="none"/>
              </w:rPr>
            </w:pPr>
            <w:r>
              <w:rPr>
                <w:rFonts w:hint="eastAsia" w:ascii="宋体" w:hAnsi="宋体" w:eastAsia="宋体" w:cs="宋体"/>
                <w:bCs/>
                <w:color w:val="auto"/>
                <w:spacing w:val="27"/>
                <w:sz w:val="21"/>
                <w:szCs w:val="21"/>
                <w:highlight w:val="none"/>
              </w:rPr>
              <w:t>概</w:t>
            </w:r>
          </w:p>
          <w:p w14:paraId="38C4CC06">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rPr>
            </w:pPr>
            <w:r>
              <w:rPr>
                <w:rFonts w:hint="eastAsia" w:ascii="宋体" w:hAnsi="宋体" w:eastAsia="宋体" w:cs="宋体"/>
                <w:bCs/>
                <w:color w:val="auto"/>
                <w:spacing w:val="27"/>
                <w:sz w:val="21"/>
                <w:szCs w:val="21"/>
                <w:highlight w:val="none"/>
              </w:rPr>
              <w:t>况</w:t>
            </w:r>
          </w:p>
        </w:tc>
        <w:tc>
          <w:tcPr>
            <w:tcW w:w="669" w:type="dxa"/>
            <w:tcBorders>
              <w:top w:val="single" w:color="auto" w:sz="4" w:space="0"/>
            </w:tcBorders>
            <w:noWrap w:val="0"/>
            <w:vAlign w:val="top"/>
          </w:tcPr>
          <w:p w14:paraId="1338F3E8">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16"/>
                <w:sz w:val="21"/>
                <w:szCs w:val="21"/>
                <w:highlight w:val="none"/>
              </w:rPr>
              <w:t>职工人数</w:t>
            </w:r>
          </w:p>
        </w:tc>
        <w:tc>
          <w:tcPr>
            <w:tcW w:w="995" w:type="dxa"/>
            <w:gridSpan w:val="2"/>
            <w:tcBorders>
              <w:top w:val="single" w:color="auto" w:sz="4" w:space="0"/>
            </w:tcBorders>
            <w:noWrap w:val="0"/>
            <w:vAlign w:val="top"/>
          </w:tcPr>
          <w:p w14:paraId="7C81DA3E">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c>
          <w:tcPr>
            <w:tcW w:w="935" w:type="dxa"/>
            <w:tcBorders>
              <w:top w:val="single" w:color="auto" w:sz="4" w:space="0"/>
            </w:tcBorders>
            <w:noWrap w:val="0"/>
            <w:vAlign w:val="top"/>
          </w:tcPr>
          <w:p w14:paraId="7B281BA2">
            <w:pPr>
              <w:pStyle w:val="39"/>
              <w:keepNext w:val="0"/>
              <w:keepLines w:val="0"/>
              <w:pageBreakBefore w:val="0"/>
              <w:shd w:val="clear" w:color="auto" w:fill="FFFFFF"/>
              <w:kinsoku/>
              <w:overflowPunct/>
              <w:topLinePunct w:val="0"/>
              <w:bidi w:val="0"/>
              <w:spacing w:before="0" w:beforeAutospacing="0" w:after="0" w:afterAutospacing="0"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pacing w:val="18"/>
                <w:sz w:val="21"/>
                <w:szCs w:val="21"/>
                <w:highlight w:val="none"/>
              </w:rPr>
              <w:t>具备大专以</w:t>
            </w:r>
            <w:r>
              <w:rPr>
                <w:rFonts w:hint="eastAsia" w:ascii="宋体" w:hAnsi="宋体" w:eastAsia="宋体" w:cs="宋体"/>
                <w:bCs/>
                <w:color w:val="auto"/>
                <w:spacing w:val="12"/>
                <w:sz w:val="21"/>
                <w:szCs w:val="21"/>
                <w:highlight w:val="none"/>
              </w:rPr>
              <w:t>上学历人数</w:t>
            </w:r>
          </w:p>
        </w:tc>
        <w:tc>
          <w:tcPr>
            <w:tcW w:w="1205" w:type="dxa"/>
            <w:gridSpan w:val="2"/>
            <w:tcBorders>
              <w:top w:val="single" w:color="auto" w:sz="4" w:space="0"/>
            </w:tcBorders>
            <w:noWrap w:val="0"/>
            <w:vAlign w:val="top"/>
          </w:tcPr>
          <w:p w14:paraId="36F5065D">
            <w:pPr>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pacing w:val="16"/>
                <w:kern w:val="0"/>
                <w:sz w:val="21"/>
                <w:szCs w:val="21"/>
                <w:highlight w:val="none"/>
              </w:rPr>
            </w:pPr>
          </w:p>
          <w:p w14:paraId="6B3BFA9C">
            <w:pPr>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pacing w:val="16"/>
                <w:kern w:val="0"/>
                <w:sz w:val="21"/>
                <w:szCs w:val="21"/>
                <w:highlight w:val="none"/>
              </w:rPr>
            </w:pPr>
          </w:p>
          <w:p w14:paraId="725299B0">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c>
          <w:tcPr>
            <w:tcW w:w="2001" w:type="dxa"/>
            <w:gridSpan w:val="3"/>
            <w:tcBorders>
              <w:top w:val="single" w:color="auto" w:sz="4" w:space="0"/>
            </w:tcBorders>
            <w:noWrap w:val="0"/>
            <w:vAlign w:val="top"/>
          </w:tcPr>
          <w:p w14:paraId="383CA47E">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65"/>
                <w:sz w:val="21"/>
                <w:szCs w:val="21"/>
                <w:highlight w:val="none"/>
              </w:rPr>
              <w:t>国家授予技</w:t>
            </w:r>
            <w:r>
              <w:rPr>
                <w:rFonts w:hint="eastAsia" w:ascii="宋体" w:hAnsi="宋体" w:eastAsia="宋体" w:cs="宋体"/>
                <w:bCs/>
                <w:color w:val="auto"/>
                <w:spacing w:val="12"/>
                <w:sz w:val="21"/>
                <w:szCs w:val="21"/>
                <w:highlight w:val="none"/>
              </w:rPr>
              <w:t>术职称人数</w:t>
            </w:r>
          </w:p>
        </w:tc>
        <w:tc>
          <w:tcPr>
            <w:tcW w:w="2151" w:type="dxa"/>
            <w:gridSpan w:val="2"/>
            <w:tcBorders>
              <w:top w:val="single" w:color="auto" w:sz="4" w:space="0"/>
            </w:tcBorders>
            <w:noWrap w:val="0"/>
            <w:vAlign w:val="top"/>
          </w:tcPr>
          <w:p w14:paraId="20198A88">
            <w:pPr>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pacing w:val="16"/>
                <w:kern w:val="0"/>
                <w:sz w:val="21"/>
                <w:szCs w:val="21"/>
                <w:highlight w:val="none"/>
              </w:rPr>
            </w:pPr>
          </w:p>
          <w:p w14:paraId="7EEC869C">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r>
      <w:tr w14:paraId="614C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857" w:type="dxa"/>
            <w:vMerge w:val="continue"/>
            <w:noWrap w:val="0"/>
            <w:vAlign w:val="top"/>
          </w:tcPr>
          <w:p w14:paraId="6187C96C">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rPr>
            </w:pPr>
          </w:p>
        </w:tc>
        <w:tc>
          <w:tcPr>
            <w:tcW w:w="669" w:type="dxa"/>
            <w:noWrap w:val="0"/>
            <w:vAlign w:val="top"/>
          </w:tcPr>
          <w:p w14:paraId="29D10844">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pacing w:val="16"/>
                <w:sz w:val="21"/>
                <w:szCs w:val="21"/>
                <w:highlight w:val="none"/>
              </w:rPr>
              <w:t>占地面积</w:t>
            </w:r>
          </w:p>
        </w:tc>
        <w:tc>
          <w:tcPr>
            <w:tcW w:w="995" w:type="dxa"/>
            <w:gridSpan w:val="2"/>
            <w:noWrap w:val="0"/>
            <w:vAlign w:val="top"/>
          </w:tcPr>
          <w:p w14:paraId="419A07E4">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z w:val="21"/>
                <w:szCs w:val="21"/>
                <w:highlight w:val="none"/>
              </w:rPr>
            </w:pPr>
          </w:p>
        </w:tc>
        <w:tc>
          <w:tcPr>
            <w:tcW w:w="935" w:type="dxa"/>
            <w:noWrap w:val="0"/>
            <w:vAlign w:val="top"/>
          </w:tcPr>
          <w:p w14:paraId="46B34F11">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pacing w:val="16"/>
                <w:sz w:val="21"/>
                <w:szCs w:val="21"/>
                <w:highlight w:val="none"/>
              </w:rPr>
              <w:t>建筑面积</w:t>
            </w:r>
          </w:p>
        </w:tc>
        <w:tc>
          <w:tcPr>
            <w:tcW w:w="1205" w:type="dxa"/>
            <w:gridSpan w:val="2"/>
            <w:noWrap w:val="0"/>
            <w:vAlign w:val="top"/>
          </w:tcPr>
          <w:p w14:paraId="322221FB">
            <w:pPr>
              <w:pStyle w:val="39"/>
              <w:keepNext w:val="0"/>
              <w:keepLines w:val="0"/>
              <w:pageBreakBefore w:val="0"/>
              <w:shd w:val="clear" w:color="auto" w:fill="FFFFFF"/>
              <w:kinsoku/>
              <w:overflowPunct/>
              <w:topLinePunct w:val="0"/>
              <w:bidi w:val="0"/>
              <w:spacing w:line="360" w:lineRule="auto"/>
              <w:ind w:firstLine="420" w:firstLineChars="20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平方米 </w:t>
            </w:r>
          </w:p>
          <w:p w14:paraId="14686144">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pacing w:val="16"/>
                <w:sz w:val="21"/>
                <w:szCs w:val="21"/>
                <w:highlight w:val="none"/>
              </w:rPr>
              <w:t>□自有□租賃</w:t>
            </w:r>
          </w:p>
        </w:tc>
        <w:tc>
          <w:tcPr>
            <w:tcW w:w="2001" w:type="dxa"/>
            <w:gridSpan w:val="3"/>
            <w:noWrap w:val="0"/>
            <w:vAlign w:val="top"/>
          </w:tcPr>
          <w:p w14:paraId="40701FEB">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pacing w:val="16"/>
                <w:sz w:val="21"/>
                <w:szCs w:val="21"/>
                <w:highlight w:val="none"/>
              </w:rPr>
              <w:t>生产经营场所及场所的设施与设备</w:t>
            </w:r>
          </w:p>
        </w:tc>
        <w:tc>
          <w:tcPr>
            <w:tcW w:w="2151" w:type="dxa"/>
            <w:gridSpan w:val="2"/>
            <w:noWrap w:val="0"/>
            <w:vAlign w:val="top"/>
          </w:tcPr>
          <w:p w14:paraId="36A3814D">
            <w:pPr>
              <w:pStyle w:val="39"/>
              <w:keepNext w:val="0"/>
              <w:keepLines w:val="0"/>
              <w:pageBreakBefore w:val="0"/>
              <w:shd w:val="clear" w:color="auto" w:fill="FFFFFF"/>
              <w:kinsoku/>
              <w:overflowPunct/>
              <w:topLinePunct w:val="0"/>
              <w:bidi w:val="0"/>
              <w:spacing w:before="0" w:beforeAutospacing="0" w:after="0" w:afterAutospacing="0" w:line="360" w:lineRule="auto"/>
              <w:outlineLvl w:val="9"/>
              <w:rPr>
                <w:rFonts w:hint="eastAsia" w:ascii="宋体" w:hAnsi="宋体" w:eastAsia="宋体" w:cs="宋体"/>
                <w:bCs/>
                <w:color w:val="auto"/>
                <w:spacing w:val="16"/>
                <w:sz w:val="21"/>
                <w:szCs w:val="21"/>
                <w:highlight w:val="none"/>
              </w:rPr>
            </w:pPr>
          </w:p>
        </w:tc>
      </w:tr>
      <w:tr w14:paraId="7376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7" w:type="dxa"/>
            <w:vMerge w:val="continue"/>
            <w:noWrap w:val="0"/>
            <w:vAlign w:val="top"/>
          </w:tcPr>
          <w:p w14:paraId="7D1C74E1">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rPr>
            </w:pPr>
          </w:p>
        </w:tc>
        <w:tc>
          <w:tcPr>
            <w:tcW w:w="669" w:type="dxa"/>
            <w:noWrap w:val="0"/>
            <w:vAlign w:val="top"/>
          </w:tcPr>
          <w:p w14:paraId="0FE90CCB">
            <w:pPr>
              <w:pStyle w:val="39"/>
              <w:keepNext w:val="0"/>
              <w:keepLines w:val="0"/>
              <w:pageBreakBefore w:val="0"/>
              <w:shd w:val="clear" w:color="auto" w:fill="FFFFFF"/>
              <w:kinsoku/>
              <w:overflowPunct/>
              <w:topLinePunct w:val="0"/>
              <w:bidi w:val="0"/>
              <w:spacing w:line="360" w:lineRule="auto"/>
              <w:ind w:left="2"/>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16"/>
                <w:sz w:val="21"/>
                <w:szCs w:val="21"/>
                <w:highlight w:val="none"/>
              </w:rPr>
              <w:t>注册资金</w:t>
            </w:r>
          </w:p>
        </w:tc>
        <w:tc>
          <w:tcPr>
            <w:tcW w:w="995" w:type="dxa"/>
            <w:gridSpan w:val="2"/>
            <w:noWrap w:val="0"/>
            <w:vAlign w:val="top"/>
          </w:tcPr>
          <w:p w14:paraId="4881EDE3">
            <w:pPr>
              <w:pStyle w:val="39"/>
              <w:keepNext w:val="0"/>
              <w:keepLines w:val="0"/>
              <w:pageBreakBefore w:val="0"/>
              <w:shd w:val="clear" w:color="auto" w:fill="FFFFFF"/>
              <w:kinsoku/>
              <w:overflowPunct/>
              <w:topLinePunct w:val="0"/>
              <w:bidi w:val="0"/>
              <w:spacing w:line="360" w:lineRule="auto"/>
              <w:ind w:left="2"/>
              <w:outlineLvl w:val="9"/>
              <w:rPr>
                <w:rFonts w:hint="eastAsia" w:ascii="宋体" w:hAnsi="宋体" w:eastAsia="宋体" w:cs="宋体"/>
                <w:bCs/>
                <w:color w:val="auto"/>
                <w:sz w:val="21"/>
                <w:szCs w:val="21"/>
                <w:highlight w:val="none"/>
              </w:rPr>
            </w:pPr>
          </w:p>
        </w:tc>
        <w:tc>
          <w:tcPr>
            <w:tcW w:w="935" w:type="dxa"/>
            <w:noWrap w:val="0"/>
            <w:vAlign w:val="top"/>
          </w:tcPr>
          <w:p w14:paraId="30D2C78A">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rPr>
            </w:pPr>
            <w:r>
              <w:rPr>
                <w:rFonts w:hint="eastAsia" w:ascii="宋体" w:hAnsi="宋体" w:eastAsia="宋体" w:cs="宋体"/>
                <w:bCs/>
                <w:color w:val="auto"/>
                <w:spacing w:val="16"/>
                <w:sz w:val="21"/>
                <w:szCs w:val="21"/>
                <w:highlight w:val="none"/>
              </w:rPr>
              <w:t>注册发证</w:t>
            </w:r>
            <w:r>
              <w:rPr>
                <w:rFonts w:hint="eastAsia" w:ascii="宋体" w:hAnsi="宋体" w:eastAsia="宋体" w:cs="宋体"/>
                <w:bCs/>
                <w:color w:val="auto"/>
                <w:spacing w:val="27"/>
                <w:sz w:val="21"/>
                <w:szCs w:val="21"/>
                <w:highlight w:val="none"/>
              </w:rPr>
              <w:t>机关</w:t>
            </w:r>
          </w:p>
        </w:tc>
        <w:tc>
          <w:tcPr>
            <w:tcW w:w="3206" w:type="dxa"/>
            <w:gridSpan w:val="5"/>
            <w:noWrap w:val="0"/>
            <w:vAlign w:val="top"/>
          </w:tcPr>
          <w:p w14:paraId="6789D3C4">
            <w:pPr>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kern w:val="0"/>
                <w:sz w:val="21"/>
                <w:szCs w:val="21"/>
                <w:highlight w:val="none"/>
              </w:rPr>
            </w:pPr>
          </w:p>
          <w:p w14:paraId="1A60EA9A">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rPr>
            </w:pPr>
          </w:p>
        </w:tc>
        <w:tc>
          <w:tcPr>
            <w:tcW w:w="1218" w:type="dxa"/>
            <w:noWrap w:val="0"/>
            <w:vAlign w:val="top"/>
          </w:tcPr>
          <w:p w14:paraId="411BA730">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公司成</w:t>
            </w:r>
            <w:r>
              <w:rPr>
                <w:rFonts w:hint="eastAsia" w:ascii="宋体" w:hAnsi="宋体" w:eastAsia="宋体" w:cs="宋体"/>
                <w:bCs/>
                <w:color w:val="auto"/>
                <w:spacing w:val="12"/>
                <w:sz w:val="21"/>
                <w:szCs w:val="21"/>
                <w:highlight w:val="none"/>
              </w:rPr>
              <w:t>立时间</w:t>
            </w:r>
          </w:p>
        </w:tc>
        <w:tc>
          <w:tcPr>
            <w:tcW w:w="933" w:type="dxa"/>
            <w:noWrap w:val="0"/>
            <w:vAlign w:val="top"/>
          </w:tcPr>
          <w:p w14:paraId="40FE6C8C">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rPr>
            </w:pPr>
          </w:p>
        </w:tc>
      </w:tr>
      <w:tr w14:paraId="48A9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857" w:type="dxa"/>
            <w:vMerge w:val="continue"/>
            <w:noWrap w:val="0"/>
            <w:vAlign w:val="top"/>
          </w:tcPr>
          <w:p w14:paraId="58E859A8">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rPr>
            </w:pPr>
          </w:p>
        </w:tc>
        <w:tc>
          <w:tcPr>
            <w:tcW w:w="669" w:type="dxa"/>
            <w:noWrap w:val="0"/>
            <w:vAlign w:val="top"/>
          </w:tcPr>
          <w:p w14:paraId="4CFB2D72">
            <w:pPr>
              <w:pStyle w:val="39"/>
              <w:keepNext w:val="0"/>
              <w:keepLines w:val="0"/>
              <w:pageBreakBefore w:val="0"/>
              <w:shd w:val="clear" w:color="auto" w:fill="FFFFFF"/>
              <w:kinsoku/>
              <w:overflowPunct/>
              <w:topLinePunct w:val="0"/>
              <w:bidi w:val="0"/>
              <w:spacing w:line="360" w:lineRule="auto"/>
              <w:ind w:left="2"/>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核准经营范围</w:t>
            </w:r>
          </w:p>
        </w:tc>
        <w:tc>
          <w:tcPr>
            <w:tcW w:w="7287" w:type="dxa"/>
            <w:gridSpan w:val="10"/>
            <w:noWrap w:val="0"/>
            <w:vAlign w:val="top"/>
          </w:tcPr>
          <w:p w14:paraId="5031B424">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rPr>
            </w:pPr>
          </w:p>
        </w:tc>
      </w:tr>
      <w:tr w14:paraId="6B1C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57" w:type="dxa"/>
            <w:vMerge w:val="continue"/>
            <w:noWrap w:val="0"/>
            <w:vAlign w:val="top"/>
          </w:tcPr>
          <w:p w14:paraId="33F19265">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rPr>
            </w:pPr>
          </w:p>
        </w:tc>
        <w:tc>
          <w:tcPr>
            <w:tcW w:w="7956" w:type="dxa"/>
            <w:gridSpan w:val="11"/>
            <w:noWrap w:val="0"/>
            <w:vAlign w:val="top"/>
          </w:tcPr>
          <w:p w14:paraId="67FC20AC">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3"/>
                <w:sz w:val="21"/>
                <w:szCs w:val="21"/>
                <w:highlight w:val="none"/>
              </w:rPr>
            </w:pPr>
            <w:r>
              <w:rPr>
                <w:rFonts w:hint="eastAsia" w:ascii="宋体" w:hAnsi="宋体" w:eastAsia="宋体" w:cs="宋体"/>
                <w:bCs/>
                <w:color w:val="auto"/>
                <w:spacing w:val="13"/>
                <w:sz w:val="21"/>
                <w:szCs w:val="21"/>
                <w:highlight w:val="none"/>
              </w:rPr>
              <w:t>发展历程及主要荣誉：</w:t>
            </w:r>
          </w:p>
        </w:tc>
      </w:tr>
      <w:tr w14:paraId="3323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57" w:type="dxa"/>
            <w:vMerge w:val="restart"/>
            <w:noWrap w:val="0"/>
            <w:vAlign w:val="top"/>
          </w:tcPr>
          <w:p w14:paraId="60C72FAE">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二、</w:t>
            </w:r>
          </w:p>
          <w:p w14:paraId="56520318">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z w:val="21"/>
                <w:szCs w:val="21"/>
                <w:highlight w:val="none"/>
              </w:rPr>
              <w:t>企</w:t>
            </w:r>
            <w:r>
              <w:rPr>
                <w:rFonts w:hint="eastAsia" w:ascii="宋体" w:hAnsi="宋体" w:eastAsia="宋体" w:cs="宋体"/>
                <w:bCs/>
                <w:color w:val="auto"/>
                <w:spacing w:val="12"/>
                <w:sz w:val="21"/>
                <w:szCs w:val="21"/>
                <w:highlight w:val="none"/>
              </w:rPr>
              <w:t>业有关资质获证情况</w:t>
            </w:r>
          </w:p>
        </w:tc>
        <w:tc>
          <w:tcPr>
            <w:tcW w:w="1378" w:type="dxa"/>
            <w:gridSpan w:val="2"/>
            <w:vMerge w:val="restart"/>
            <w:noWrap w:val="0"/>
            <w:vAlign w:val="top"/>
          </w:tcPr>
          <w:p w14:paraId="54F1DC87">
            <w:pPr>
              <w:pStyle w:val="39"/>
              <w:keepNext w:val="0"/>
              <w:keepLines w:val="0"/>
              <w:pageBreakBefore w:val="0"/>
              <w:shd w:val="clear" w:color="auto" w:fill="FFFFFF"/>
              <w:kinsoku/>
              <w:overflowPunct/>
              <w:topLinePunct w:val="0"/>
              <w:bidi w:val="0"/>
              <w:spacing w:before="0" w:beforeAutospacing="0" w:after="0" w:afterAutospacing="0" w:line="360" w:lineRule="auto"/>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12"/>
                <w:sz w:val="21"/>
                <w:szCs w:val="21"/>
                <w:highlight w:val="none"/>
              </w:rPr>
              <w:t>产品生产许可证情况</w:t>
            </w:r>
            <w:r>
              <w:rPr>
                <w:rFonts w:hint="eastAsia" w:ascii="宋体" w:hAnsi="宋体" w:eastAsia="宋体" w:cs="宋体"/>
                <w:bCs/>
                <w:color w:val="auto"/>
                <w:spacing w:val="41"/>
                <w:sz w:val="21"/>
                <w:szCs w:val="21"/>
                <w:highlight w:val="none"/>
              </w:rPr>
              <w:t>（对需获得生产许可证的</w:t>
            </w:r>
            <w:r>
              <w:rPr>
                <w:rFonts w:hint="eastAsia" w:ascii="宋体" w:hAnsi="宋体" w:eastAsia="宋体" w:cs="宋体"/>
                <w:bCs/>
                <w:color w:val="auto"/>
                <w:spacing w:val="11"/>
                <w:sz w:val="21"/>
                <w:szCs w:val="21"/>
                <w:highlight w:val="none"/>
              </w:rPr>
              <w:t>产品要填写此栏）</w:t>
            </w:r>
          </w:p>
        </w:tc>
        <w:tc>
          <w:tcPr>
            <w:tcW w:w="1333" w:type="dxa"/>
            <w:gridSpan w:val="3"/>
            <w:noWrap w:val="0"/>
            <w:vAlign w:val="top"/>
          </w:tcPr>
          <w:p w14:paraId="7B5C6E72">
            <w:pPr>
              <w:pStyle w:val="39"/>
              <w:keepNext w:val="0"/>
              <w:keepLines w:val="0"/>
              <w:pageBreakBefore w:val="0"/>
              <w:shd w:val="clear" w:color="auto" w:fill="FFFFFF"/>
              <w:kinsoku/>
              <w:overflowPunct/>
              <w:topLinePunct w:val="0"/>
              <w:bidi w:val="0"/>
              <w:spacing w:line="360" w:lineRule="auto"/>
              <w:ind w:right="-78" w:rightChars="-37"/>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16"/>
                <w:sz w:val="21"/>
                <w:szCs w:val="21"/>
                <w:highlight w:val="none"/>
              </w:rPr>
              <w:t>产品名称</w:t>
            </w:r>
          </w:p>
        </w:tc>
        <w:tc>
          <w:tcPr>
            <w:tcW w:w="1418" w:type="dxa"/>
            <w:gridSpan w:val="2"/>
            <w:noWrap w:val="0"/>
            <w:vAlign w:val="top"/>
          </w:tcPr>
          <w:p w14:paraId="1020FD70">
            <w:pPr>
              <w:pStyle w:val="39"/>
              <w:keepNext w:val="0"/>
              <w:keepLines w:val="0"/>
              <w:pageBreakBefore w:val="0"/>
              <w:shd w:val="clear" w:color="auto" w:fill="FFFFFF"/>
              <w:kinsoku/>
              <w:overflowPunct/>
              <w:topLinePunct w:val="0"/>
              <w:bidi w:val="0"/>
              <w:spacing w:before="0" w:beforeAutospacing="0" w:after="0" w:afterAutospacing="0"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pacing w:val="16"/>
                <w:sz w:val="21"/>
                <w:szCs w:val="21"/>
                <w:highlight w:val="none"/>
              </w:rPr>
              <w:t>发证机关</w:t>
            </w:r>
          </w:p>
        </w:tc>
        <w:tc>
          <w:tcPr>
            <w:tcW w:w="1276" w:type="dxa"/>
            <w:noWrap w:val="0"/>
            <w:vAlign w:val="top"/>
          </w:tcPr>
          <w:p w14:paraId="795FC45E">
            <w:pPr>
              <w:pStyle w:val="39"/>
              <w:keepNext w:val="0"/>
              <w:keepLines w:val="0"/>
              <w:pageBreakBefore w:val="0"/>
              <w:shd w:val="clear" w:color="auto" w:fill="FFFFFF"/>
              <w:kinsoku/>
              <w:overflowPunct/>
              <w:topLinePunct w:val="0"/>
              <w:bidi w:val="0"/>
              <w:spacing w:line="360" w:lineRule="auto"/>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pacing w:val="27"/>
                <w:sz w:val="21"/>
                <w:szCs w:val="21"/>
                <w:highlight w:val="none"/>
              </w:rPr>
              <w:t>编号</w:t>
            </w:r>
          </w:p>
        </w:tc>
        <w:tc>
          <w:tcPr>
            <w:tcW w:w="1618" w:type="dxa"/>
            <w:gridSpan w:val="2"/>
            <w:noWrap w:val="0"/>
            <w:vAlign w:val="top"/>
          </w:tcPr>
          <w:p w14:paraId="013C5194">
            <w:pPr>
              <w:pStyle w:val="39"/>
              <w:keepNext w:val="0"/>
              <w:keepLines w:val="0"/>
              <w:pageBreakBefore w:val="0"/>
              <w:shd w:val="clear" w:color="auto" w:fill="FFFFFF"/>
              <w:kinsoku/>
              <w:overflowPunct/>
              <w:topLinePunct w:val="0"/>
              <w:bidi w:val="0"/>
              <w:spacing w:line="360" w:lineRule="auto"/>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pacing w:val="16"/>
                <w:sz w:val="21"/>
                <w:szCs w:val="21"/>
                <w:highlight w:val="none"/>
              </w:rPr>
              <w:t>发证时间</w:t>
            </w:r>
          </w:p>
        </w:tc>
        <w:tc>
          <w:tcPr>
            <w:tcW w:w="933" w:type="dxa"/>
            <w:noWrap w:val="0"/>
            <w:vAlign w:val="top"/>
          </w:tcPr>
          <w:p w14:paraId="1B5B8302">
            <w:pPr>
              <w:pStyle w:val="39"/>
              <w:keepNext w:val="0"/>
              <w:keepLines w:val="0"/>
              <w:pageBreakBefore w:val="0"/>
              <w:shd w:val="clear" w:color="auto" w:fill="FFFFFF"/>
              <w:kinsoku/>
              <w:overflowPunct/>
              <w:topLinePunct w:val="0"/>
              <w:bidi w:val="0"/>
              <w:spacing w:before="0" w:beforeAutospacing="0" w:after="0" w:afterAutospacing="0" w:line="360" w:lineRule="auto"/>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pacing w:val="27"/>
                <w:sz w:val="21"/>
                <w:szCs w:val="21"/>
                <w:highlight w:val="none"/>
              </w:rPr>
              <w:t>期限</w:t>
            </w:r>
          </w:p>
        </w:tc>
      </w:tr>
      <w:tr w14:paraId="46F8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57" w:type="dxa"/>
            <w:vMerge w:val="continue"/>
            <w:noWrap w:val="0"/>
            <w:vAlign w:val="top"/>
          </w:tcPr>
          <w:p w14:paraId="4058FC44">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z w:val="21"/>
                <w:szCs w:val="21"/>
                <w:highlight w:val="none"/>
              </w:rPr>
            </w:pPr>
          </w:p>
        </w:tc>
        <w:tc>
          <w:tcPr>
            <w:tcW w:w="1378" w:type="dxa"/>
            <w:gridSpan w:val="2"/>
            <w:vMerge w:val="continue"/>
            <w:noWrap w:val="0"/>
            <w:vAlign w:val="top"/>
          </w:tcPr>
          <w:p w14:paraId="5CA4EE07">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z w:val="21"/>
                <w:szCs w:val="21"/>
                <w:highlight w:val="none"/>
              </w:rPr>
            </w:pPr>
          </w:p>
        </w:tc>
        <w:tc>
          <w:tcPr>
            <w:tcW w:w="1333" w:type="dxa"/>
            <w:gridSpan w:val="3"/>
            <w:noWrap w:val="0"/>
            <w:vAlign w:val="top"/>
          </w:tcPr>
          <w:p w14:paraId="127AE1BB">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z w:val="21"/>
                <w:szCs w:val="21"/>
                <w:highlight w:val="none"/>
              </w:rPr>
            </w:pPr>
          </w:p>
        </w:tc>
        <w:tc>
          <w:tcPr>
            <w:tcW w:w="1418" w:type="dxa"/>
            <w:gridSpan w:val="2"/>
            <w:noWrap w:val="0"/>
            <w:vAlign w:val="top"/>
          </w:tcPr>
          <w:p w14:paraId="6EBDB841">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z w:val="21"/>
                <w:szCs w:val="21"/>
                <w:highlight w:val="none"/>
              </w:rPr>
            </w:pPr>
          </w:p>
        </w:tc>
        <w:tc>
          <w:tcPr>
            <w:tcW w:w="1276" w:type="dxa"/>
            <w:noWrap w:val="0"/>
            <w:vAlign w:val="top"/>
          </w:tcPr>
          <w:p w14:paraId="0E76370F">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z w:val="21"/>
                <w:szCs w:val="21"/>
                <w:highlight w:val="none"/>
              </w:rPr>
            </w:pPr>
          </w:p>
        </w:tc>
        <w:tc>
          <w:tcPr>
            <w:tcW w:w="2551" w:type="dxa"/>
            <w:gridSpan w:val="3"/>
            <w:noWrap w:val="0"/>
            <w:vAlign w:val="top"/>
          </w:tcPr>
          <w:p w14:paraId="6190DEDE">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z w:val="21"/>
                <w:szCs w:val="21"/>
                <w:highlight w:val="none"/>
              </w:rPr>
            </w:pPr>
          </w:p>
        </w:tc>
      </w:tr>
      <w:tr w14:paraId="3F14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857" w:type="dxa"/>
            <w:vMerge w:val="continue"/>
            <w:noWrap w:val="0"/>
            <w:vAlign w:val="top"/>
          </w:tcPr>
          <w:p w14:paraId="0E93E7F1">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pacing w:val="16"/>
                <w:sz w:val="21"/>
                <w:szCs w:val="21"/>
                <w:highlight w:val="none"/>
              </w:rPr>
            </w:pPr>
          </w:p>
        </w:tc>
        <w:tc>
          <w:tcPr>
            <w:tcW w:w="1378" w:type="dxa"/>
            <w:gridSpan w:val="2"/>
            <w:noWrap w:val="0"/>
            <w:vAlign w:val="top"/>
          </w:tcPr>
          <w:p w14:paraId="00E0C0E5">
            <w:pPr>
              <w:pStyle w:val="39"/>
              <w:keepNext w:val="0"/>
              <w:keepLines w:val="0"/>
              <w:pageBreakBefore w:val="0"/>
              <w:shd w:val="clear" w:color="auto" w:fill="FFFFFF"/>
              <w:kinsoku/>
              <w:overflowPunct/>
              <w:topLinePunct w:val="0"/>
              <w:bidi w:val="0"/>
              <w:spacing w:before="0" w:beforeAutospacing="0" w:after="0" w:afterAutospacing="0" w:line="360" w:lineRule="auto"/>
              <w:ind w:right="-107" w:rightChars="-51"/>
              <w:outlineLvl w:val="9"/>
              <w:rPr>
                <w:rFonts w:hint="eastAsia" w:ascii="宋体" w:hAnsi="宋体" w:eastAsia="宋体" w:cs="宋体"/>
                <w:bCs/>
                <w:color w:val="auto"/>
                <w:spacing w:val="41"/>
                <w:sz w:val="21"/>
                <w:szCs w:val="21"/>
                <w:highlight w:val="none"/>
              </w:rPr>
            </w:pPr>
            <w:r>
              <w:rPr>
                <w:rFonts w:hint="eastAsia" w:ascii="宋体" w:hAnsi="宋体" w:eastAsia="宋体" w:cs="宋体"/>
                <w:bCs/>
                <w:color w:val="auto"/>
                <w:spacing w:val="41"/>
                <w:sz w:val="21"/>
                <w:szCs w:val="21"/>
                <w:highlight w:val="none"/>
              </w:rPr>
              <w:t>企业通过质量体系、环保</w:t>
            </w:r>
            <w:r>
              <w:rPr>
                <w:rFonts w:hint="eastAsia" w:ascii="宋体" w:hAnsi="宋体" w:eastAsia="宋体" w:cs="宋体"/>
                <w:bCs/>
                <w:color w:val="auto"/>
                <w:spacing w:val="11"/>
                <w:sz w:val="21"/>
                <w:szCs w:val="21"/>
                <w:highlight w:val="none"/>
              </w:rPr>
              <w:t>体系、计量等认证情况</w:t>
            </w:r>
          </w:p>
        </w:tc>
        <w:tc>
          <w:tcPr>
            <w:tcW w:w="6578" w:type="dxa"/>
            <w:gridSpan w:val="9"/>
            <w:noWrap w:val="0"/>
            <w:vAlign w:val="top"/>
          </w:tcPr>
          <w:p w14:paraId="6325FCC0">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r>
      <w:tr w14:paraId="4CF8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57" w:type="dxa"/>
            <w:vMerge w:val="continue"/>
            <w:noWrap w:val="0"/>
            <w:vAlign w:val="top"/>
          </w:tcPr>
          <w:p w14:paraId="5DAF616A">
            <w:pPr>
              <w:pStyle w:val="39"/>
              <w:keepNext w:val="0"/>
              <w:keepLines w:val="0"/>
              <w:pageBreakBefore w:val="0"/>
              <w:shd w:val="clear" w:color="auto" w:fill="FFFFFF"/>
              <w:kinsoku/>
              <w:overflowPunct/>
              <w:topLinePunct w:val="0"/>
              <w:bidi w:val="0"/>
              <w:spacing w:line="360" w:lineRule="auto"/>
              <w:ind w:left="107"/>
              <w:outlineLvl w:val="9"/>
              <w:rPr>
                <w:rFonts w:hint="eastAsia" w:ascii="宋体" w:hAnsi="宋体" w:eastAsia="宋体" w:cs="宋体"/>
                <w:bCs/>
                <w:color w:val="auto"/>
                <w:spacing w:val="27"/>
                <w:sz w:val="21"/>
                <w:szCs w:val="21"/>
                <w:highlight w:val="none"/>
              </w:rPr>
            </w:pPr>
          </w:p>
        </w:tc>
        <w:tc>
          <w:tcPr>
            <w:tcW w:w="1378" w:type="dxa"/>
            <w:gridSpan w:val="2"/>
            <w:noWrap w:val="0"/>
            <w:vAlign w:val="top"/>
          </w:tcPr>
          <w:p w14:paraId="13879B84">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r>
              <w:rPr>
                <w:rFonts w:hint="eastAsia" w:ascii="宋体" w:hAnsi="宋体" w:eastAsia="宋体" w:cs="宋体"/>
                <w:bCs/>
                <w:color w:val="auto"/>
                <w:spacing w:val="10"/>
                <w:sz w:val="21"/>
                <w:szCs w:val="21"/>
                <w:highlight w:val="none"/>
              </w:rPr>
              <w:t>企业获得专利情况</w:t>
            </w:r>
          </w:p>
        </w:tc>
        <w:tc>
          <w:tcPr>
            <w:tcW w:w="6578" w:type="dxa"/>
            <w:gridSpan w:val="9"/>
            <w:noWrap w:val="0"/>
            <w:vAlign w:val="top"/>
          </w:tcPr>
          <w:p w14:paraId="005C13B6">
            <w:pPr>
              <w:pStyle w:val="39"/>
              <w:keepNext w:val="0"/>
              <w:keepLines w:val="0"/>
              <w:pageBreakBefore w:val="0"/>
              <w:shd w:val="clear" w:color="auto" w:fill="FFFFFF"/>
              <w:kinsoku/>
              <w:overflowPunct/>
              <w:topLinePunct w:val="0"/>
              <w:bidi w:val="0"/>
              <w:spacing w:line="360" w:lineRule="auto"/>
              <w:outlineLvl w:val="9"/>
              <w:rPr>
                <w:rFonts w:hint="eastAsia" w:ascii="宋体" w:hAnsi="宋体" w:eastAsia="宋体" w:cs="宋体"/>
                <w:bCs/>
                <w:color w:val="auto"/>
                <w:spacing w:val="16"/>
                <w:sz w:val="21"/>
                <w:szCs w:val="21"/>
                <w:highlight w:val="none"/>
              </w:rPr>
            </w:pPr>
          </w:p>
        </w:tc>
      </w:tr>
    </w:tbl>
    <w:p w14:paraId="34D5C6B9">
      <w:pPr>
        <w:pStyle w:val="39"/>
        <w:keepNext w:val="0"/>
        <w:keepLines w:val="0"/>
        <w:pageBreakBefore w:val="0"/>
        <w:shd w:val="clear" w:color="auto" w:fill="FFFFFF"/>
        <w:kinsoku/>
        <w:overflowPunct/>
        <w:topLinePunct w:val="0"/>
        <w:bidi w:val="0"/>
        <w:spacing w:before="0" w:beforeAutospacing="0" w:after="0" w:afterAutospacing="0" w:line="360" w:lineRule="auto"/>
        <w:outlineLvl w:val="9"/>
        <w:rPr>
          <w:rFonts w:hint="eastAsia" w:ascii="宋体" w:hAnsi="宋体" w:eastAsia="宋体" w:cs="宋体"/>
          <w:color w:val="auto"/>
          <w:sz w:val="21"/>
          <w:szCs w:val="21"/>
          <w:highlight w:val="none"/>
        </w:rPr>
      </w:pPr>
    </w:p>
    <w:p w14:paraId="1C2120B5">
      <w:pPr>
        <w:pStyle w:val="39"/>
        <w:keepNext w:val="0"/>
        <w:keepLines w:val="0"/>
        <w:pageBreakBefore w:val="0"/>
        <w:shd w:val="clear" w:color="auto" w:fill="FFFFFF"/>
        <w:kinsoku/>
        <w:overflowPunct/>
        <w:topLinePunct w:val="0"/>
        <w:bidi w:val="0"/>
        <w:spacing w:before="0" w:beforeAutospacing="0" w:after="0" w:afterAutospacing="0"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要求：</w:t>
      </w:r>
    </w:p>
    <w:p w14:paraId="05C52AE6">
      <w:pPr>
        <w:pStyle w:val="39"/>
        <w:keepNext w:val="0"/>
        <w:keepLines w:val="0"/>
        <w:pageBreakBefore w:val="0"/>
        <w:shd w:val="clear" w:color="auto" w:fill="FFFFFF"/>
        <w:kinsoku/>
        <w:overflowPunct/>
        <w:topLinePunct w:val="0"/>
        <w:bidi w:val="0"/>
        <w:spacing w:before="0" w:beforeAutospacing="0" w:after="0" w:afterAutospacing="0"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姓名栏必须将所有股东都统计在内，若非股份公司此行（第三行）无需填写；</w:t>
      </w:r>
    </w:p>
    <w:p w14:paraId="7454647B">
      <w:pPr>
        <w:keepNext w:val="0"/>
        <w:keepLines w:val="0"/>
        <w:pageBreakBefore w:val="0"/>
        <w:kinsoku/>
        <w:overflowPunct/>
        <w:topLinePunct w:val="0"/>
        <w:bidi w:val="0"/>
        <w:outlineLvl w:val="9"/>
        <w:rPr>
          <w:rFonts w:hint="eastAsia" w:ascii="宋体" w:hAnsi="宋体" w:eastAsia="宋体" w:cs="宋体"/>
          <w:color w:val="auto"/>
          <w:sz w:val="21"/>
          <w:szCs w:val="21"/>
          <w:highlight w:val="none"/>
        </w:rPr>
      </w:pPr>
    </w:p>
    <w:p w14:paraId="1F0CDF4A">
      <w:pPr>
        <w:keepNext w:val="0"/>
        <w:keepLines w:val="0"/>
        <w:pageBreakBefore w:val="0"/>
        <w:kinsoku/>
        <w:overflowPunct/>
        <w:topLinePunct w:val="0"/>
        <w:bidi w:val="0"/>
        <w:ind w:firstLine="371" w:firstLineChars="177"/>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1D4B87E">
      <w:pPr>
        <w:keepNext w:val="0"/>
        <w:keepLines w:val="0"/>
        <w:pageBreakBefore w:val="0"/>
        <w:kinsoku/>
        <w:overflowPunct/>
        <w:topLinePunct w:val="0"/>
        <w:bidi w:val="0"/>
        <w:ind w:left="420"/>
        <w:outlineLvl w:val="9"/>
        <w:rPr>
          <w:rFonts w:hint="eastAsia" w:ascii="宋体" w:hAnsi="宋体" w:eastAsia="宋体" w:cs="宋体"/>
          <w:color w:val="auto"/>
          <w:sz w:val="21"/>
          <w:szCs w:val="21"/>
          <w:highlight w:val="none"/>
        </w:rPr>
      </w:pPr>
    </w:p>
    <w:p w14:paraId="35385794">
      <w:pPr>
        <w:keepNext w:val="0"/>
        <w:keepLines w:val="0"/>
        <w:pageBreakBefore w:val="0"/>
        <w:kinsoku/>
        <w:overflowPunct/>
        <w:topLinePunct w:val="0"/>
        <w:bidi w:val="0"/>
        <w:ind w:firstLine="371" w:firstLineChars="177"/>
        <w:outlineLvl w:val="9"/>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lang w:eastAsia="zh-CN"/>
        </w:rPr>
        <w:t>法定代表人或授</w:t>
      </w:r>
      <w:r>
        <w:rPr>
          <w:rFonts w:hint="eastAsia" w:ascii="宋体" w:hAnsi="宋体"/>
          <w:color w:val="auto"/>
          <w:sz w:val="21"/>
          <w:szCs w:val="21"/>
          <w:highlight w:val="none"/>
          <w:lang w:eastAsia="zh-CN"/>
        </w:rPr>
        <w:t>权委托代理人</w:t>
      </w:r>
      <w:r>
        <w:rPr>
          <w:rFonts w:hint="eastAsia" w:ascii="宋体" w:hAnsi="宋体" w:eastAsia="宋体" w:cs="宋体"/>
          <w:color w:val="auto"/>
          <w:szCs w:val="21"/>
          <w:highlight w:val="none"/>
        </w:rPr>
        <w:t>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032572C6">
      <w:pPr>
        <w:keepNext w:val="0"/>
        <w:keepLines w:val="0"/>
        <w:pageBreakBefore w:val="0"/>
        <w:kinsoku/>
        <w:overflowPunct/>
        <w:topLinePunct w:val="0"/>
        <w:bidi w:val="0"/>
        <w:ind w:firstLine="435"/>
        <w:outlineLvl w:val="9"/>
        <w:rPr>
          <w:rFonts w:hint="eastAsia" w:ascii="宋体" w:hAnsi="宋体" w:eastAsia="宋体" w:cs="宋体"/>
          <w:color w:val="auto"/>
          <w:sz w:val="21"/>
          <w:szCs w:val="21"/>
          <w:highlight w:val="none"/>
        </w:rPr>
      </w:pPr>
    </w:p>
    <w:p w14:paraId="62ED3BA8">
      <w:pPr>
        <w:keepNext w:val="0"/>
        <w:keepLines w:val="0"/>
        <w:pageBreakBefore w:val="0"/>
        <w:kinsoku/>
        <w:overflowPunct/>
        <w:topLinePunct w:val="0"/>
        <w:bidi w:val="0"/>
        <w:ind w:firstLine="371" w:firstLineChars="177"/>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2668A8E1">
      <w:pPr>
        <w:keepNext w:val="0"/>
        <w:keepLines w:val="0"/>
        <w:pageBreakBefore w:val="0"/>
        <w:kinsoku/>
        <w:overflowPunct/>
        <w:topLinePunct w:val="0"/>
        <w:bidi w:val="0"/>
        <w:outlineLvl w:val="9"/>
        <w:rPr>
          <w:rFonts w:hint="eastAsia" w:ascii="宋体" w:hAnsi="宋体" w:eastAsia="宋体" w:cs="宋体"/>
          <w:color w:val="auto"/>
          <w:sz w:val="21"/>
          <w:szCs w:val="21"/>
          <w:highlight w:val="none"/>
        </w:rPr>
      </w:pPr>
    </w:p>
    <w:p w14:paraId="061CB3BE">
      <w:pPr>
        <w:pStyle w:val="39"/>
        <w:keepNext w:val="0"/>
        <w:keepLines w:val="0"/>
        <w:pageBreakBefore w:val="0"/>
        <w:shd w:val="clear" w:color="auto" w:fill="FFFFFF"/>
        <w:kinsoku/>
        <w:overflowPunct/>
        <w:topLinePunct w:val="0"/>
        <w:bidi w:val="0"/>
        <w:spacing w:before="0" w:beforeAutospacing="0" w:after="0" w:afterAutospacing="0"/>
        <w:ind w:firstLine="371" w:firstLineChars="177"/>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6C1FDCE1">
      <w:pPr>
        <w:keepNext w:val="0"/>
        <w:keepLines w:val="0"/>
        <w:pageBreakBefore w:val="0"/>
        <w:kinsoku/>
        <w:overflowPunct/>
        <w:topLinePunct w:val="0"/>
        <w:bidi w:val="0"/>
        <w:snapToGrid w:val="0"/>
        <w:spacing w:before="50" w:after="50" w:line="360" w:lineRule="auto"/>
        <w:outlineLvl w:val="9"/>
        <w:rPr>
          <w:rFonts w:hint="eastAsia" w:ascii="宋体" w:hAnsi="宋体" w:eastAsia="宋体" w:cs="宋体"/>
          <w:b/>
          <w:color w:val="auto"/>
          <w:sz w:val="28"/>
          <w:highlight w:val="none"/>
        </w:rPr>
      </w:pPr>
    </w:p>
    <w:p w14:paraId="15E98FA5">
      <w:pPr>
        <w:keepNext w:val="0"/>
        <w:keepLines w:val="0"/>
        <w:pageBreakBefore w:val="0"/>
        <w:kinsoku/>
        <w:overflowPunct/>
        <w:topLinePunct w:val="0"/>
        <w:bidi w:val="0"/>
        <w:snapToGrid w:val="0"/>
        <w:spacing w:before="50" w:after="50" w:line="360" w:lineRule="auto"/>
        <w:outlineLvl w:val="9"/>
        <w:rPr>
          <w:rFonts w:hint="eastAsia" w:ascii="宋体" w:hAnsi="宋体" w:eastAsia="宋体" w:cs="宋体"/>
          <w:b/>
          <w:color w:val="auto"/>
          <w:sz w:val="28"/>
          <w:highlight w:val="none"/>
        </w:rPr>
      </w:pPr>
    </w:p>
    <w:p w14:paraId="292FD3B3">
      <w:pPr>
        <w:pStyle w:val="2"/>
        <w:keepNext w:val="0"/>
        <w:keepLines w:val="0"/>
        <w:pageBreakBefore w:val="0"/>
        <w:kinsoku/>
        <w:overflowPunct/>
        <w:topLinePunct w:val="0"/>
        <w:bidi w:val="0"/>
        <w:outlineLvl w:val="9"/>
        <w:rPr>
          <w:rFonts w:hint="eastAsia" w:ascii="宋体" w:hAnsi="宋体" w:eastAsia="宋体" w:cs="宋体"/>
          <w:b/>
          <w:color w:val="auto"/>
          <w:sz w:val="28"/>
          <w:highlight w:val="none"/>
        </w:rPr>
      </w:pPr>
    </w:p>
    <w:p w14:paraId="4F6F0020">
      <w:pPr>
        <w:pStyle w:val="3"/>
        <w:keepNext w:val="0"/>
        <w:keepLines w:val="0"/>
        <w:pageBreakBefore w:val="0"/>
        <w:kinsoku/>
        <w:overflowPunct/>
        <w:topLinePunct w:val="0"/>
        <w:bidi w:val="0"/>
        <w:outlineLvl w:val="9"/>
        <w:rPr>
          <w:rFonts w:hint="eastAsia" w:ascii="宋体" w:hAnsi="宋体" w:eastAsia="宋体" w:cs="宋体"/>
          <w:b/>
          <w:color w:val="auto"/>
          <w:sz w:val="28"/>
          <w:highlight w:val="none"/>
        </w:rPr>
      </w:pPr>
    </w:p>
    <w:p w14:paraId="1278D66D">
      <w:pPr>
        <w:pStyle w:val="39"/>
        <w:keepNext w:val="0"/>
        <w:keepLines w:val="0"/>
        <w:pageBreakBefore w:val="0"/>
        <w:shd w:val="clear" w:color="auto" w:fill="FFFFFF"/>
        <w:kinsoku/>
        <w:overflowPunct/>
        <w:topLinePunct w:val="0"/>
        <w:bidi w:val="0"/>
        <w:spacing w:before="0" w:beforeAutospacing="0" w:after="0" w:afterAutospacing="0" w:line="360" w:lineRule="auto"/>
        <w:outlineLvl w:val="9"/>
        <w:rPr>
          <w:rFonts w:hint="eastAsia" w:ascii="宋体" w:hAnsi="宋体" w:eastAsia="宋体" w:cs="宋体"/>
          <w:color w:val="auto"/>
          <w:highlight w:val="none"/>
          <w:lang w:val="en-US" w:eastAsia="zh-CN"/>
        </w:rPr>
      </w:pPr>
      <w:r>
        <w:rPr>
          <w:rFonts w:hint="eastAsia" w:ascii="宋体" w:hAnsi="宋体" w:eastAsia="宋体" w:cs="宋体"/>
          <w:b/>
          <w:color w:val="auto"/>
          <w:sz w:val="28"/>
          <w:highlight w:val="none"/>
        </w:rPr>
        <w:t>附件</w:t>
      </w:r>
      <w:r>
        <w:rPr>
          <w:rFonts w:hint="eastAsia" w:ascii="宋体" w:hAnsi="宋体" w:eastAsia="宋体" w:cs="宋体"/>
          <w:b/>
          <w:color w:val="auto"/>
          <w:sz w:val="28"/>
          <w:highlight w:val="none"/>
          <w:lang w:val="en-US" w:eastAsia="zh-CN"/>
        </w:rPr>
        <w:t>7</w:t>
      </w:r>
    </w:p>
    <w:p w14:paraId="73DDC2C6">
      <w:pPr>
        <w:keepNext w:val="0"/>
        <w:keepLines w:val="0"/>
        <w:pageBreakBefore w:val="0"/>
        <w:kinsoku/>
        <w:overflowPunct/>
        <w:topLinePunct w:val="0"/>
        <w:bidi w:val="0"/>
        <w:snapToGrid w:val="0"/>
        <w:spacing w:beforeLines="50" w:after="50" w:line="36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2"/>
          <w:szCs w:val="32"/>
          <w:highlight w:val="none"/>
        </w:rPr>
        <w:t>项目实施人员一览表</w:t>
      </w:r>
    </w:p>
    <w:p w14:paraId="58D02D81">
      <w:pPr>
        <w:keepNext w:val="0"/>
        <w:keepLines w:val="0"/>
        <w:pageBreakBefore w:val="0"/>
        <w:kinsoku/>
        <w:overflowPunct/>
        <w:topLinePunct w:val="0"/>
        <w:bidi w:val="0"/>
        <w:snapToGrid w:val="0"/>
        <w:spacing w:beforeLines="50" w:after="50" w:line="360" w:lineRule="auto"/>
        <w:ind w:firstLine="2400" w:firstLineChars="10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（主要从业人员及其技术资格）</w:t>
      </w:r>
    </w:p>
    <w:tbl>
      <w:tblPr>
        <w:tblStyle w:val="22"/>
        <w:tblW w:w="8898"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
        <w:gridCol w:w="543"/>
        <w:gridCol w:w="1004"/>
        <w:gridCol w:w="795"/>
        <w:gridCol w:w="1276"/>
        <w:gridCol w:w="1275"/>
        <w:gridCol w:w="1418"/>
        <w:gridCol w:w="2126"/>
      </w:tblGrid>
      <w:tr w14:paraId="67339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bottom w:val="single" w:color="auto" w:sz="4" w:space="0"/>
              <w:right w:val="single" w:color="auto" w:sz="4" w:space="0"/>
            </w:tcBorders>
            <w:vAlign w:val="center"/>
          </w:tcPr>
          <w:p w14:paraId="1754AF56">
            <w:pPr>
              <w:keepNext w:val="0"/>
              <w:keepLines w:val="0"/>
              <w:pageBreakBefore w:val="0"/>
              <w:kinsoku/>
              <w:overflowPunct/>
              <w:topLinePunct w:val="0"/>
              <w:bidi w:val="0"/>
              <w:snapToGrid w:val="0"/>
              <w:spacing w:beforeLines="50" w:after="50"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543" w:type="dxa"/>
            <w:tcBorders>
              <w:top w:val="single" w:color="auto" w:sz="4" w:space="0"/>
              <w:left w:val="single" w:color="auto" w:sz="4" w:space="0"/>
              <w:bottom w:val="single" w:color="auto" w:sz="4" w:space="0"/>
              <w:right w:val="single" w:color="auto" w:sz="4" w:space="0"/>
            </w:tcBorders>
            <w:vAlign w:val="center"/>
          </w:tcPr>
          <w:p w14:paraId="731ED24C">
            <w:pPr>
              <w:keepNext w:val="0"/>
              <w:keepLines w:val="0"/>
              <w:pageBreakBefore w:val="0"/>
              <w:kinsoku/>
              <w:overflowPunct/>
              <w:topLinePunct w:val="0"/>
              <w:bidi w:val="0"/>
              <w:snapToGrid w:val="0"/>
              <w:spacing w:beforeLines="50" w:after="50"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138AC52A">
            <w:pPr>
              <w:keepNext w:val="0"/>
              <w:keepLines w:val="0"/>
              <w:pageBreakBefore w:val="0"/>
              <w:kinsoku/>
              <w:overflowPunct/>
              <w:topLinePunct w:val="0"/>
              <w:bidi w:val="0"/>
              <w:snapToGrid w:val="0"/>
              <w:spacing w:beforeLines="50" w:after="50"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职务</w:t>
            </w:r>
          </w:p>
        </w:tc>
        <w:tc>
          <w:tcPr>
            <w:tcW w:w="795" w:type="dxa"/>
            <w:tcBorders>
              <w:top w:val="single" w:color="auto" w:sz="4" w:space="0"/>
              <w:left w:val="single" w:color="auto" w:sz="4" w:space="0"/>
              <w:bottom w:val="single" w:color="auto" w:sz="4" w:space="0"/>
              <w:right w:val="single" w:color="auto" w:sz="4" w:space="0"/>
            </w:tcBorders>
            <w:vAlign w:val="center"/>
          </w:tcPr>
          <w:p w14:paraId="614DEBBB">
            <w:pPr>
              <w:keepNext w:val="0"/>
              <w:keepLines w:val="0"/>
              <w:pageBreakBefore w:val="0"/>
              <w:kinsoku/>
              <w:overflowPunct/>
              <w:topLinePunct w:val="0"/>
              <w:bidi w:val="0"/>
              <w:snapToGrid w:val="0"/>
              <w:spacing w:beforeLines="50" w:after="50"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职责</w:t>
            </w:r>
          </w:p>
        </w:tc>
        <w:tc>
          <w:tcPr>
            <w:tcW w:w="1276" w:type="dxa"/>
            <w:tcBorders>
              <w:top w:val="single" w:color="auto" w:sz="4" w:space="0"/>
              <w:left w:val="single" w:color="auto" w:sz="4" w:space="0"/>
              <w:bottom w:val="single" w:color="auto" w:sz="4" w:space="0"/>
              <w:right w:val="single" w:color="auto" w:sz="4" w:space="0"/>
            </w:tcBorders>
            <w:vAlign w:val="center"/>
          </w:tcPr>
          <w:p w14:paraId="4044161D">
            <w:pPr>
              <w:keepNext w:val="0"/>
              <w:keepLines w:val="0"/>
              <w:pageBreakBefore w:val="0"/>
              <w:kinsoku/>
              <w:overflowPunct/>
              <w:topLinePunct w:val="0"/>
              <w:bidi w:val="0"/>
              <w:snapToGrid w:val="0"/>
              <w:spacing w:beforeLines="50" w:after="50"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专业技术资格</w:t>
            </w:r>
          </w:p>
        </w:tc>
        <w:tc>
          <w:tcPr>
            <w:tcW w:w="1275" w:type="dxa"/>
            <w:tcBorders>
              <w:top w:val="single" w:color="auto" w:sz="4" w:space="0"/>
              <w:left w:val="single" w:color="auto" w:sz="4" w:space="0"/>
              <w:bottom w:val="single" w:color="auto" w:sz="4" w:space="0"/>
              <w:right w:val="single" w:color="auto" w:sz="4" w:space="0"/>
            </w:tcBorders>
            <w:vAlign w:val="center"/>
          </w:tcPr>
          <w:p w14:paraId="21412144">
            <w:pPr>
              <w:keepNext w:val="0"/>
              <w:keepLines w:val="0"/>
              <w:pageBreakBefore w:val="0"/>
              <w:kinsoku/>
              <w:overflowPunct/>
              <w:topLinePunct w:val="0"/>
              <w:bidi w:val="0"/>
              <w:snapToGrid w:val="0"/>
              <w:spacing w:beforeLines="50" w:after="50"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证书编号</w:t>
            </w:r>
          </w:p>
        </w:tc>
        <w:tc>
          <w:tcPr>
            <w:tcW w:w="1418" w:type="dxa"/>
            <w:tcBorders>
              <w:top w:val="single" w:color="auto" w:sz="4" w:space="0"/>
              <w:left w:val="single" w:color="auto" w:sz="4" w:space="0"/>
              <w:bottom w:val="single" w:color="auto" w:sz="4" w:space="0"/>
              <w:right w:val="single" w:color="auto" w:sz="4" w:space="0"/>
            </w:tcBorders>
            <w:vAlign w:val="center"/>
          </w:tcPr>
          <w:p w14:paraId="430FDC7A">
            <w:pPr>
              <w:keepNext w:val="0"/>
              <w:keepLines w:val="0"/>
              <w:pageBreakBefore w:val="0"/>
              <w:kinsoku/>
              <w:overflowPunct/>
              <w:topLinePunct w:val="0"/>
              <w:bidi w:val="0"/>
              <w:snapToGrid w:val="0"/>
              <w:spacing w:beforeLines="50" w:after="50"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参加本单位工作时间</w:t>
            </w:r>
          </w:p>
        </w:tc>
        <w:tc>
          <w:tcPr>
            <w:tcW w:w="2126" w:type="dxa"/>
            <w:tcBorders>
              <w:top w:val="single" w:color="auto" w:sz="4" w:space="0"/>
              <w:left w:val="single" w:color="auto" w:sz="4" w:space="0"/>
              <w:bottom w:val="single" w:color="auto" w:sz="4" w:space="0"/>
            </w:tcBorders>
            <w:vAlign w:val="center"/>
          </w:tcPr>
          <w:p w14:paraId="605611CD">
            <w:pPr>
              <w:keepNext w:val="0"/>
              <w:keepLines w:val="0"/>
              <w:pageBreakBefore w:val="0"/>
              <w:kinsoku/>
              <w:overflowPunct/>
              <w:topLinePunct w:val="0"/>
              <w:bidi w:val="0"/>
              <w:snapToGrid w:val="0"/>
              <w:spacing w:beforeLines="50" w:after="50"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劳动合同编号</w:t>
            </w:r>
          </w:p>
        </w:tc>
      </w:tr>
      <w:tr w14:paraId="79077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bottom w:val="single" w:color="auto" w:sz="4" w:space="0"/>
              <w:right w:val="single" w:color="auto" w:sz="4" w:space="0"/>
            </w:tcBorders>
          </w:tcPr>
          <w:p w14:paraId="0F2B31F3">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color w:val="auto"/>
                <w:sz w:val="21"/>
                <w:szCs w:val="21"/>
                <w:highlight w:val="none"/>
              </w:rPr>
            </w:pPr>
          </w:p>
        </w:tc>
        <w:tc>
          <w:tcPr>
            <w:tcW w:w="543" w:type="dxa"/>
            <w:tcBorders>
              <w:top w:val="single" w:color="auto" w:sz="4" w:space="0"/>
              <w:left w:val="single" w:color="auto" w:sz="4" w:space="0"/>
              <w:bottom w:val="single" w:color="auto" w:sz="4" w:space="0"/>
              <w:right w:val="single" w:color="auto" w:sz="4" w:space="0"/>
            </w:tcBorders>
          </w:tcPr>
          <w:p w14:paraId="54CB9398">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094BA67A">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1B9F4E40">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417B8C54">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27F37056">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51F7B00">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2126" w:type="dxa"/>
            <w:tcBorders>
              <w:top w:val="single" w:color="auto" w:sz="4" w:space="0"/>
              <w:left w:val="single" w:color="auto" w:sz="4" w:space="0"/>
              <w:bottom w:val="single" w:color="auto" w:sz="4" w:space="0"/>
            </w:tcBorders>
          </w:tcPr>
          <w:p w14:paraId="121649AD">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r>
      <w:tr w14:paraId="485B75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bottom w:val="single" w:color="auto" w:sz="4" w:space="0"/>
              <w:right w:val="single" w:color="auto" w:sz="4" w:space="0"/>
            </w:tcBorders>
          </w:tcPr>
          <w:p w14:paraId="44281238">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color w:val="auto"/>
                <w:sz w:val="21"/>
                <w:szCs w:val="21"/>
                <w:highlight w:val="none"/>
              </w:rPr>
            </w:pPr>
          </w:p>
        </w:tc>
        <w:tc>
          <w:tcPr>
            <w:tcW w:w="543" w:type="dxa"/>
            <w:tcBorders>
              <w:top w:val="single" w:color="auto" w:sz="4" w:space="0"/>
              <w:left w:val="single" w:color="auto" w:sz="4" w:space="0"/>
              <w:bottom w:val="single" w:color="auto" w:sz="4" w:space="0"/>
              <w:right w:val="single" w:color="auto" w:sz="4" w:space="0"/>
            </w:tcBorders>
          </w:tcPr>
          <w:p w14:paraId="5B6257D6">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3EE5564A">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7B9CAE5D">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5E9C11EE">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76CB7832">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B5C3DB9">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2126" w:type="dxa"/>
            <w:tcBorders>
              <w:top w:val="single" w:color="auto" w:sz="4" w:space="0"/>
              <w:left w:val="single" w:color="auto" w:sz="4" w:space="0"/>
              <w:bottom w:val="single" w:color="auto" w:sz="4" w:space="0"/>
            </w:tcBorders>
          </w:tcPr>
          <w:p w14:paraId="098EFE4F">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r>
      <w:tr w14:paraId="49BCD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bottom w:val="single" w:color="auto" w:sz="4" w:space="0"/>
              <w:right w:val="single" w:color="auto" w:sz="4" w:space="0"/>
            </w:tcBorders>
          </w:tcPr>
          <w:p w14:paraId="7B923B5D">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color w:val="auto"/>
                <w:sz w:val="21"/>
                <w:szCs w:val="21"/>
                <w:highlight w:val="none"/>
              </w:rPr>
            </w:pPr>
          </w:p>
        </w:tc>
        <w:tc>
          <w:tcPr>
            <w:tcW w:w="543" w:type="dxa"/>
            <w:tcBorders>
              <w:top w:val="single" w:color="auto" w:sz="4" w:space="0"/>
              <w:left w:val="single" w:color="auto" w:sz="4" w:space="0"/>
              <w:bottom w:val="single" w:color="auto" w:sz="4" w:space="0"/>
              <w:right w:val="single" w:color="auto" w:sz="4" w:space="0"/>
            </w:tcBorders>
          </w:tcPr>
          <w:p w14:paraId="020CB686">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36866B58">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53217694">
            <w:pPr>
              <w:pStyle w:val="12"/>
              <w:keepNext w:val="0"/>
              <w:keepLines w:val="0"/>
              <w:pageBreakBefore w:val="0"/>
              <w:kinsoku/>
              <w:overflowPunct/>
              <w:topLinePunct w:val="0"/>
              <w:bidi w:val="0"/>
              <w:snapToGrid w:val="0"/>
              <w:spacing w:beforeLines="50" w:after="50" w:line="360" w:lineRule="auto"/>
              <w:ind w:left="5250"/>
              <w:outlineLvl w:val="9"/>
              <w:rPr>
                <w:rFonts w:hint="eastAsia" w:ascii="宋体" w:hAnsi="宋体" w:eastAsia="宋体" w:cs="宋体"/>
                <w:b/>
                <w:color w:val="auto"/>
                <w:kern w:val="44"/>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E48885A">
            <w:pPr>
              <w:pStyle w:val="12"/>
              <w:keepNext w:val="0"/>
              <w:keepLines w:val="0"/>
              <w:pageBreakBefore w:val="0"/>
              <w:kinsoku/>
              <w:overflowPunct/>
              <w:topLinePunct w:val="0"/>
              <w:bidi w:val="0"/>
              <w:snapToGrid w:val="0"/>
              <w:spacing w:beforeLines="50" w:after="50" w:line="360" w:lineRule="auto"/>
              <w:ind w:left="5250"/>
              <w:outlineLvl w:val="9"/>
              <w:rPr>
                <w:rFonts w:hint="eastAsia" w:ascii="宋体" w:hAnsi="宋体" w:eastAsia="宋体" w:cs="宋体"/>
                <w:b/>
                <w:color w:val="auto"/>
                <w:kern w:val="44"/>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742C48CD">
            <w:pPr>
              <w:pStyle w:val="12"/>
              <w:keepNext w:val="0"/>
              <w:keepLines w:val="0"/>
              <w:pageBreakBefore w:val="0"/>
              <w:kinsoku/>
              <w:overflowPunct/>
              <w:topLinePunct w:val="0"/>
              <w:bidi w:val="0"/>
              <w:spacing w:line="360" w:lineRule="auto"/>
              <w:ind w:left="5250"/>
              <w:outlineLvl w:val="9"/>
              <w:rPr>
                <w:rFonts w:hint="eastAsia" w:ascii="宋体" w:hAnsi="宋体" w:eastAsia="宋体" w:cs="宋体"/>
                <w:color w:val="auto"/>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C569004">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color w:val="auto"/>
                <w:sz w:val="21"/>
                <w:szCs w:val="21"/>
                <w:highlight w:val="none"/>
              </w:rPr>
            </w:pPr>
          </w:p>
        </w:tc>
        <w:tc>
          <w:tcPr>
            <w:tcW w:w="2126" w:type="dxa"/>
            <w:tcBorders>
              <w:top w:val="single" w:color="auto" w:sz="4" w:space="0"/>
              <w:left w:val="single" w:color="auto" w:sz="4" w:space="0"/>
              <w:bottom w:val="single" w:color="auto" w:sz="4" w:space="0"/>
            </w:tcBorders>
          </w:tcPr>
          <w:p w14:paraId="2AB37511">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r>
      <w:tr w14:paraId="30CB4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bottom w:val="single" w:color="auto" w:sz="4" w:space="0"/>
              <w:right w:val="single" w:color="auto" w:sz="4" w:space="0"/>
            </w:tcBorders>
          </w:tcPr>
          <w:p w14:paraId="6C629DC1">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color w:val="auto"/>
                <w:sz w:val="21"/>
                <w:szCs w:val="21"/>
                <w:highlight w:val="none"/>
              </w:rPr>
            </w:pPr>
          </w:p>
        </w:tc>
        <w:tc>
          <w:tcPr>
            <w:tcW w:w="543" w:type="dxa"/>
            <w:tcBorders>
              <w:top w:val="single" w:color="auto" w:sz="4" w:space="0"/>
              <w:left w:val="single" w:color="auto" w:sz="4" w:space="0"/>
              <w:bottom w:val="single" w:color="auto" w:sz="4" w:space="0"/>
              <w:right w:val="single" w:color="auto" w:sz="4" w:space="0"/>
            </w:tcBorders>
          </w:tcPr>
          <w:p w14:paraId="7314B081">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12152526">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547D9E86">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7F5E260">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1ED21FB">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0D815FD7">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2126" w:type="dxa"/>
            <w:tcBorders>
              <w:top w:val="single" w:color="auto" w:sz="4" w:space="0"/>
              <w:left w:val="single" w:color="auto" w:sz="4" w:space="0"/>
              <w:bottom w:val="single" w:color="auto" w:sz="4" w:space="0"/>
            </w:tcBorders>
          </w:tcPr>
          <w:p w14:paraId="389AF221">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r>
      <w:tr w14:paraId="6145E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bottom w:val="single" w:color="auto" w:sz="4" w:space="0"/>
              <w:right w:val="single" w:color="auto" w:sz="4" w:space="0"/>
            </w:tcBorders>
          </w:tcPr>
          <w:p w14:paraId="0D1E3096">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color w:val="auto"/>
                <w:sz w:val="21"/>
                <w:szCs w:val="21"/>
                <w:highlight w:val="none"/>
              </w:rPr>
            </w:pPr>
          </w:p>
        </w:tc>
        <w:tc>
          <w:tcPr>
            <w:tcW w:w="543" w:type="dxa"/>
            <w:tcBorders>
              <w:top w:val="single" w:color="auto" w:sz="4" w:space="0"/>
              <w:left w:val="single" w:color="auto" w:sz="4" w:space="0"/>
              <w:bottom w:val="single" w:color="auto" w:sz="4" w:space="0"/>
              <w:right w:val="single" w:color="auto" w:sz="4" w:space="0"/>
            </w:tcBorders>
          </w:tcPr>
          <w:p w14:paraId="38882A40">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24F13F80">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167E588E">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74A1D7BC">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388103D5">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11E91163">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2126" w:type="dxa"/>
            <w:tcBorders>
              <w:top w:val="single" w:color="auto" w:sz="4" w:space="0"/>
              <w:left w:val="single" w:color="auto" w:sz="4" w:space="0"/>
              <w:bottom w:val="single" w:color="auto" w:sz="4" w:space="0"/>
            </w:tcBorders>
          </w:tcPr>
          <w:p w14:paraId="19C4AC37">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r>
      <w:tr w14:paraId="0E9D8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bottom w:val="single" w:color="auto" w:sz="4" w:space="0"/>
              <w:right w:val="single" w:color="auto" w:sz="4" w:space="0"/>
            </w:tcBorders>
          </w:tcPr>
          <w:p w14:paraId="4B0E7F20">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color w:val="auto"/>
                <w:sz w:val="21"/>
                <w:szCs w:val="21"/>
                <w:highlight w:val="none"/>
              </w:rPr>
            </w:pPr>
          </w:p>
        </w:tc>
        <w:tc>
          <w:tcPr>
            <w:tcW w:w="543" w:type="dxa"/>
            <w:tcBorders>
              <w:top w:val="single" w:color="auto" w:sz="4" w:space="0"/>
              <w:left w:val="single" w:color="auto" w:sz="4" w:space="0"/>
              <w:bottom w:val="single" w:color="auto" w:sz="4" w:space="0"/>
              <w:right w:val="single" w:color="auto" w:sz="4" w:space="0"/>
            </w:tcBorders>
          </w:tcPr>
          <w:p w14:paraId="34CB6BEF">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6DAFAD12">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338632F0">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061E4E52">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1917A3F1">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61D5A81A">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2126" w:type="dxa"/>
            <w:tcBorders>
              <w:top w:val="single" w:color="auto" w:sz="4" w:space="0"/>
              <w:left w:val="single" w:color="auto" w:sz="4" w:space="0"/>
              <w:bottom w:val="single" w:color="auto" w:sz="4" w:space="0"/>
            </w:tcBorders>
          </w:tcPr>
          <w:p w14:paraId="50AAC479">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r>
      <w:tr w14:paraId="58D8A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bottom w:val="single" w:color="auto" w:sz="4" w:space="0"/>
              <w:right w:val="single" w:color="auto" w:sz="4" w:space="0"/>
            </w:tcBorders>
          </w:tcPr>
          <w:p w14:paraId="5D062595">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color w:val="auto"/>
                <w:sz w:val="21"/>
                <w:szCs w:val="21"/>
                <w:highlight w:val="none"/>
              </w:rPr>
            </w:pPr>
          </w:p>
        </w:tc>
        <w:tc>
          <w:tcPr>
            <w:tcW w:w="543" w:type="dxa"/>
            <w:tcBorders>
              <w:top w:val="single" w:color="auto" w:sz="4" w:space="0"/>
              <w:left w:val="single" w:color="auto" w:sz="4" w:space="0"/>
              <w:bottom w:val="single" w:color="auto" w:sz="4" w:space="0"/>
              <w:right w:val="single" w:color="auto" w:sz="4" w:space="0"/>
            </w:tcBorders>
          </w:tcPr>
          <w:p w14:paraId="5CACCDE3">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41F601A0">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375C8EB7">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348F998">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433E3647">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1DC59229">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2126" w:type="dxa"/>
            <w:tcBorders>
              <w:top w:val="single" w:color="auto" w:sz="4" w:space="0"/>
              <w:left w:val="single" w:color="auto" w:sz="4" w:space="0"/>
              <w:bottom w:val="single" w:color="auto" w:sz="4" w:space="0"/>
            </w:tcBorders>
          </w:tcPr>
          <w:p w14:paraId="4983F5B7">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r>
      <w:tr w14:paraId="1139C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 w:type="dxa"/>
            <w:tcBorders>
              <w:top w:val="single" w:color="auto" w:sz="4" w:space="0"/>
              <w:bottom w:val="single" w:color="auto" w:sz="4" w:space="0"/>
              <w:right w:val="single" w:color="auto" w:sz="4" w:space="0"/>
            </w:tcBorders>
          </w:tcPr>
          <w:p w14:paraId="1D03D16F">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color w:val="auto"/>
                <w:sz w:val="21"/>
                <w:szCs w:val="21"/>
                <w:highlight w:val="none"/>
              </w:rPr>
            </w:pPr>
          </w:p>
        </w:tc>
        <w:tc>
          <w:tcPr>
            <w:tcW w:w="543" w:type="dxa"/>
            <w:tcBorders>
              <w:top w:val="single" w:color="auto" w:sz="4" w:space="0"/>
              <w:left w:val="single" w:color="auto" w:sz="4" w:space="0"/>
              <w:bottom w:val="single" w:color="auto" w:sz="4" w:space="0"/>
              <w:right w:val="single" w:color="auto" w:sz="4" w:space="0"/>
            </w:tcBorders>
          </w:tcPr>
          <w:p w14:paraId="55E01C28">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004" w:type="dxa"/>
            <w:tcBorders>
              <w:top w:val="single" w:color="auto" w:sz="4" w:space="0"/>
              <w:left w:val="single" w:color="auto" w:sz="4" w:space="0"/>
              <w:bottom w:val="single" w:color="auto" w:sz="4" w:space="0"/>
              <w:right w:val="single" w:color="auto" w:sz="4" w:space="0"/>
            </w:tcBorders>
          </w:tcPr>
          <w:p w14:paraId="51431763">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795" w:type="dxa"/>
            <w:tcBorders>
              <w:top w:val="single" w:color="auto" w:sz="4" w:space="0"/>
              <w:left w:val="single" w:color="auto" w:sz="4" w:space="0"/>
              <w:bottom w:val="single" w:color="auto" w:sz="4" w:space="0"/>
              <w:right w:val="single" w:color="auto" w:sz="4" w:space="0"/>
            </w:tcBorders>
          </w:tcPr>
          <w:p w14:paraId="7889172E">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4FB09BB">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32D3FD71">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18C1541E">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c>
          <w:tcPr>
            <w:tcW w:w="2126" w:type="dxa"/>
            <w:tcBorders>
              <w:top w:val="single" w:color="auto" w:sz="4" w:space="0"/>
              <w:left w:val="single" w:color="auto" w:sz="4" w:space="0"/>
              <w:bottom w:val="single" w:color="auto" w:sz="4" w:space="0"/>
            </w:tcBorders>
          </w:tcPr>
          <w:p w14:paraId="7D38BD6C">
            <w:pPr>
              <w:keepNext w:val="0"/>
              <w:keepLines w:val="0"/>
              <w:pageBreakBefore w:val="0"/>
              <w:kinsoku/>
              <w:overflowPunct/>
              <w:topLinePunct w:val="0"/>
              <w:bidi w:val="0"/>
              <w:snapToGrid w:val="0"/>
              <w:spacing w:beforeLines="50" w:after="50" w:line="360" w:lineRule="auto"/>
              <w:outlineLvl w:val="9"/>
              <w:rPr>
                <w:rFonts w:hint="eastAsia" w:ascii="宋体" w:hAnsi="宋体" w:eastAsia="宋体" w:cs="宋体"/>
                <w:b/>
                <w:color w:val="auto"/>
                <w:kern w:val="44"/>
                <w:sz w:val="21"/>
                <w:szCs w:val="21"/>
                <w:highlight w:val="none"/>
              </w:rPr>
            </w:pPr>
          </w:p>
        </w:tc>
      </w:tr>
    </w:tbl>
    <w:p w14:paraId="46567239">
      <w:pPr>
        <w:keepNext w:val="0"/>
        <w:keepLines w:val="0"/>
        <w:pageBreakBefore w:val="0"/>
        <w:kinsoku/>
        <w:overflowPunct/>
        <w:topLinePunct w:val="0"/>
        <w:bidi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要求：</w:t>
      </w:r>
    </w:p>
    <w:p w14:paraId="61206635">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在填写时，如本表格不适合投标单位的实际情况，可根据本表格式自行划表填写。</w:t>
      </w:r>
    </w:p>
    <w:p w14:paraId="43297D8F">
      <w:pPr>
        <w:pStyle w:val="40"/>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附人员证书复印件；</w:t>
      </w:r>
    </w:p>
    <w:p w14:paraId="38C64FB6">
      <w:pPr>
        <w:pStyle w:val="40"/>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出具上述人员在本单位服务的外部证明。</w:t>
      </w:r>
    </w:p>
    <w:p w14:paraId="0A95E7D9">
      <w:pPr>
        <w:keepNext w:val="0"/>
        <w:keepLines w:val="0"/>
        <w:pageBreakBefore w:val="0"/>
        <w:kinsoku/>
        <w:overflowPunct/>
        <w:topLinePunct w:val="0"/>
        <w:bidi w:val="0"/>
        <w:spacing w:line="360" w:lineRule="auto"/>
        <w:ind w:left="42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3B33A22A">
      <w:pPr>
        <w:keepNext w:val="0"/>
        <w:keepLines w:val="0"/>
        <w:pageBreakBefore w:val="0"/>
        <w:kinsoku/>
        <w:overflowPunct/>
        <w:topLinePunct w:val="0"/>
        <w:bidi w:val="0"/>
        <w:spacing w:line="360" w:lineRule="auto"/>
        <w:ind w:left="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ED53DCC">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lang w:eastAsia="zh-CN"/>
        </w:rPr>
        <w:t>法定代表人或授</w:t>
      </w:r>
      <w:r>
        <w:rPr>
          <w:rFonts w:hint="eastAsia" w:ascii="宋体" w:hAnsi="宋体"/>
          <w:color w:val="auto"/>
          <w:sz w:val="21"/>
          <w:szCs w:val="21"/>
          <w:highlight w:val="none"/>
          <w:lang w:eastAsia="zh-CN"/>
        </w:rPr>
        <w:t>权委托代理人</w:t>
      </w:r>
      <w:r>
        <w:rPr>
          <w:rFonts w:hint="eastAsia" w:ascii="宋体" w:hAnsi="宋体" w:eastAsia="宋体" w:cs="宋体"/>
          <w:color w:val="auto"/>
          <w:szCs w:val="21"/>
          <w:highlight w:val="none"/>
        </w:rPr>
        <w:t>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6D2DDB30">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p>
    <w:p w14:paraId="6928F87C">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3E0E1A98">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p>
    <w:p w14:paraId="672D5BA0">
      <w:pPr>
        <w:keepNext w:val="0"/>
        <w:keepLines w:val="0"/>
        <w:pageBreakBefore w:val="0"/>
        <w:kinsoku/>
        <w:overflowPunct/>
        <w:topLinePunct w:val="0"/>
        <w:bidi w:val="0"/>
        <w:spacing w:line="360" w:lineRule="auto"/>
        <w:ind w:firstLine="435"/>
        <w:outlineLvl w:val="9"/>
        <w:rPr>
          <w:rFonts w:hint="eastAsia" w:ascii="宋体" w:hAnsi="宋体" w:eastAsia="宋体" w:cs="宋体"/>
          <w:b/>
          <w:color w:val="auto"/>
          <w:sz w:val="28"/>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4"/>
          <w:highlight w:val="none"/>
          <w:u w:val="single"/>
        </w:rPr>
        <w:t xml:space="preserve">   </w:t>
      </w:r>
    </w:p>
    <w:p w14:paraId="0C9811BE">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06A29290">
      <w:pPr>
        <w:keepNext w:val="0"/>
        <w:keepLines w:val="0"/>
        <w:pageBreakBefore w:val="0"/>
        <w:kinsoku/>
        <w:overflowPunct/>
        <w:topLinePunct w:val="0"/>
        <w:bidi w:val="0"/>
        <w:snapToGrid w:val="0"/>
        <w:spacing w:before="50" w:after="50" w:line="360" w:lineRule="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28"/>
          <w:highlight w:val="none"/>
        </w:rPr>
        <w:t>附件</w:t>
      </w:r>
      <w:r>
        <w:rPr>
          <w:rFonts w:hint="eastAsia" w:ascii="宋体" w:hAnsi="宋体" w:eastAsia="宋体" w:cs="宋体"/>
          <w:b/>
          <w:color w:val="auto"/>
          <w:sz w:val="28"/>
          <w:highlight w:val="none"/>
          <w:lang w:val="en-US" w:eastAsia="zh-CN"/>
        </w:rPr>
        <w:t>8</w:t>
      </w:r>
    </w:p>
    <w:p w14:paraId="4E439E28">
      <w:pPr>
        <w:snapToGrid w:val="0"/>
        <w:spacing w:beforeLines="50" w:after="50" w:line="36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项目负责人资格情况表</w:t>
      </w:r>
    </w:p>
    <w:p w14:paraId="131CDB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采购项目：</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采购编号：</w:t>
      </w:r>
    </w:p>
    <w:tbl>
      <w:tblPr>
        <w:tblStyle w:val="22"/>
        <w:tblW w:w="8626"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967"/>
        <w:gridCol w:w="3685"/>
      </w:tblGrid>
      <w:tr w14:paraId="205F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974" w:type="dxa"/>
            <w:tcBorders>
              <w:top w:val="single" w:color="auto" w:sz="12" w:space="0"/>
              <w:left w:val="single" w:color="auto" w:sz="12" w:space="0"/>
            </w:tcBorders>
            <w:vAlign w:val="center"/>
          </w:tcPr>
          <w:p w14:paraId="16BBF467">
            <w:pPr>
              <w:autoSpaceDE w:val="0"/>
              <w:autoSpaceDN w:val="0"/>
              <w:adjustRightInd w:val="0"/>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姓名</w:t>
            </w:r>
          </w:p>
        </w:tc>
        <w:tc>
          <w:tcPr>
            <w:tcW w:w="2967" w:type="dxa"/>
            <w:tcBorders>
              <w:top w:val="single" w:color="auto" w:sz="12" w:space="0"/>
            </w:tcBorders>
            <w:vAlign w:val="center"/>
          </w:tcPr>
          <w:p w14:paraId="5F1FBEF0">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c>
          <w:tcPr>
            <w:tcW w:w="3685" w:type="dxa"/>
            <w:tcBorders>
              <w:top w:val="single" w:color="auto" w:sz="12" w:space="0"/>
              <w:right w:val="single" w:color="auto" w:sz="12" w:space="0"/>
            </w:tcBorders>
            <w:vAlign w:val="center"/>
          </w:tcPr>
          <w:p w14:paraId="6589FB81">
            <w:pPr>
              <w:autoSpaceDE w:val="0"/>
              <w:autoSpaceDN w:val="0"/>
              <w:adjustRightInd w:val="0"/>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近年来主要工作业绩</w:t>
            </w:r>
          </w:p>
        </w:tc>
      </w:tr>
      <w:tr w14:paraId="57B0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974" w:type="dxa"/>
            <w:tcBorders>
              <w:left w:val="single" w:color="auto" w:sz="12" w:space="0"/>
            </w:tcBorders>
            <w:vAlign w:val="center"/>
          </w:tcPr>
          <w:p w14:paraId="12DF6FF1">
            <w:pPr>
              <w:autoSpaceDE w:val="0"/>
              <w:autoSpaceDN w:val="0"/>
              <w:adjustRightInd w:val="0"/>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性别</w:t>
            </w:r>
          </w:p>
        </w:tc>
        <w:tc>
          <w:tcPr>
            <w:tcW w:w="2967" w:type="dxa"/>
            <w:vAlign w:val="center"/>
          </w:tcPr>
          <w:p w14:paraId="1B1EDDBA">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c>
          <w:tcPr>
            <w:tcW w:w="3685" w:type="dxa"/>
            <w:vMerge w:val="restart"/>
            <w:tcBorders>
              <w:right w:val="single" w:color="auto" w:sz="12" w:space="0"/>
            </w:tcBorders>
            <w:vAlign w:val="center"/>
          </w:tcPr>
          <w:p w14:paraId="269CAD25">
            <w:pPr>
              <w:autoSpaceDE w:val="0"/>
              <w:autoSpaceDN w:val="0"/>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注：业绩证明应提供</w:t>
            </w:r>
            <w:r>
              <w:rPr>
                <w:rFonts w:hint="eastAsia" w:ascii="宋体" w:hAnsi="宋体" w:eastAsia="宋体" w:cs="宋体"/>
                <w:color w:val="auto"/>
                <w:sz w:val="21"/>
                <w:szCs w:val="21"/>
                <w:highlight w:val="none"/>
                <w:lang w:eastAsia="zh-CN"/>
              </w:rPr>
              <w:t>佐证</w:t>
            </w:r>
            <w:r>
              <w:rPr>
                <w:rFonts w:hint="eastAsia" w:ascii="宋体" w:hAnsi="宋体" w:eastAsia="宋体" w:cs="宋体"/>
                <w:color w:val="auto"/>
                <w:sz w:val="21"/>
                <w:szCs w:val="21"/>
                <w:highlight w:val="none"/>
              </w:rPr>
              <w:t>材料</w:t>
            </w:r>
          </w:p>
          <w:p w14:paraId="6E568A07">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合同或中标通知书）。</w:t>
            </w:r>
          </w:p>
        </w:tc>
      </w:tr>
      <w:tr w14:paraId="107D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974" w:type="dxa"/>
            <w:tcBorders>
              <w:left w:val="single" w:color="auto" w:sz="12" w:space="0"/>
            </w:tcBorders>
            <w:vAlign w:val="center"/>
          </w:tcPr>
          <w:p w14:paraId="48C7E51E">
            <w:pPr>
              <w:autoSpaceDE w:val="0"/>
              <w:autoSpaceDN w:val="0"/>
              <w:adjustRightInd w:val="0"/>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年龄</w:t>
            </w:r>
          </w:p>
        </w:tc>
        <w:tc>
          <w:tcPr>
            <w:tcW w:w="2967" w:type="dxa"/>
            <w:vAlign w:val="center"/>
          </w:tcPr>
          <w:p w14:paraId="13A8E70E">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c>
          <w:tcPr>
            <w:tcW w:w="3685" w:type="dxa"/>
            <w:vMerge w:val="continue"/>
            <w:tcBorders>
              <w:right w:val="single" w:color="auto" w:sz="12" w:space="0"/>
            </w:tcBorders>
            <w:vAlign w:val="center"/>
          </w:tcPr>
          <w:p w14:paraId="3B3D1A28">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r>
      <w:tr w14:paraId="6A66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974" w:type="dxa"/>
            <w:tcBorders>
              <w:left w:val="single" w:color="auto" w:sz="12" w:space="0"/>
            </w:tcBorders>
            <w:vAlign w:val="center"/>
          </w:tcPr>
          <w:p w14:paraId="7A804E9B">
            <w:pPr>
              <w:autoSpaceDE w:val="0"/>
              <w:autoSpaceDN w:val="0"/>
              <w:adjustRightInd w:val="0"/>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职称</w:t>
            </w:r>
          </w:p>
        </w:tc>
        <w:tc>
          <w:tcPr>
            <w:tcW w:w="2967" w:type="dxa"/>
            <w:vAlign w:val="center"/>
          </w:tcPr>
          <w:p w14:paraId="1AE37460">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c>
          <w:tcPr>
            <w:tcW w:w="3685" w:type="dxa"/>
            <w:vMerge w:val="continue"/>
            <w:tcBorders>
              <w:right w:val="single" w:color="auto" w:sz="12" w:space="0"/>
            </w:tcBorders>
            <w:vAlign w:val="center"/>
          </w:tcPr>
          <w:p w14:paraId="7C4F313B">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r>
      <w:tr w14:paraId="000B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974" w:type="dxa"/>
            <w:tcBorders>
              <w:left w:val="single" w:color="auto" w:sz="12" w:space="0"/>
            </w:tcBorders>
            <w:vAlign w:val="center"/>
          </w:tcPr>
          <w:p w14:paraId="54CA3961">
            <w:pPr>
              <w:autoSpaceDE w:val="0"/>
              <w:autoSpaceDN w:val="0"/>
              <w:adjustRightInd w:val="0"/>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毕业时间</w:t>
            </w:r>
          </w:p>
        </w:tc>
        <w:tc>
          <w:tcPr>
            <w:tcW w:w="2967" w:type="dxa"/>
            <w:vAlign w:val="center"/>
          </w:tcPr>
          <w:p w14:paraId="40F4B0BD">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c>
          <w:tcPr>
            <w:tcW w:w="3685" w:type="dxa"/>
            <w:vMerge w:val="continue"/>
            <w:tcBorders>
              <w:right w:val="single" w:color="auto" w:sz="12" w:space="0"/>
            </w:tcBorders>
            <w:vAlign w:val="center"/>
          </w:tcPr>
          <w:p w14:paraId="3F045003">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r>
      <w:tr w14:paraId="280C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974" w:type="dxa"/>
            <w:tcBorders>
              <w:left w:val="single" w:color="auto" w:sz="12" w:space="0"/>
            </w:tcBorders>
            <w:vAlign w:val="center"/>
          </w:tcPr>
          <w:p w14:paraId="09690954">
            <w:pPr>
              <w:autoSpaceDE w:val="0"/>
              <w:autoSpaceDN w:val="0"/>
              <w:adjustRightInd w:val="0"/>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学校专业</w:t>
            </w:r>
          </w:p>
        </w:tc>
        <w:tc>
          <w:tcPr>
            <w:tcW w:w="2967" w:type="dxa"/>
            <w:vAlign w:val="center"/>
          </w:tcPr>
          <w:p w14:paraId="47D3E75D">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c>
          <w:tcPr>
            <w:tcW w:w="3685" w:type="dxa"/>
            <w:vMerge w:val="continue"/>
            <w:tcBorders>
              <w:right w:val="single" w:color="auto" w:sz="12" w:space="0"/>
            </w:tcBorders>
            <w:vAlign w:val="center"/>
          </w:tcPr>
          <w:p w14:paraId="6631CC0E">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r>
      <w:tr w14:paraId="4900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974" w:type="dxa"/>
            <w:tcBorders>
              <w:left w:val="single" w:color="auto" w:sz="12" w:space="0"/>
            </w:tcBorders>
            <w:vAlign w:val="center"/>
          </w:tcPr>
          <w:p w14:paraId="46253C79">
            <w:pPr>
              <w:autoSpaceDE w:val="0"/>
              <w:autoSpaceDN w:val="0"/>
              <w:adjustRightInd w:val="0"/>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联系电话</w:t>
            </w:r>
          </w:p>
        </w:tc>
        <w:tc>
          <w:tcPr>
            <w:tcW w:w="2967" w:type="dxa"/>
            <w:vAlign w:val="center"/>
          </w:tcPr>
          <w:p w14:paraId="0867EAD0">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c>
          <w:tcPr>
            <w:tcW w:w="3685" w:type="dxa"/>
            <w:vMerge w:val="continue"/>
            <w:tcBorders>
              <w:right w:val="single" w:color="auto" w:sz="12" w:space="0"/>
            </w:tcBorders>
            <w:vAlign w:val="center"/>
          </w:tcPr>
          <w:p w14:paraId="0B67D288">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r>
      <w:tr w14:paraId="048E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974" w:type="dxa"/>
            <w:tcBorders>
              <w:left w:val="single" w:color="auto" w:sz="12" w:space="0"/>
            </w:tcBorders>
            <w:vAlign w:val="center"/>
          </w:tcPr>
          <w:p w14:paraId="1171A2B6">
            <w:pPr>
              <w:autoSpaceDE w:val="0"/>
              <w:autoSpaceDN w:val="0"/>
              <w:adjustRightInd w:val="0"/>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最近一年工作状况</w:t>
            </w:r>
          </w:p>
        </w:tc>
        <w:tc>
          <w:tcPr>
            <w:tcW w:w="2967" w:type="dxa"/>
            <w:vAlign w:val="center"/>
          </w:tcPr>
          <w:p w14:paraId="604955BE">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c>
          <w:tcPr>
            <w:tcW w:w="3685" w:type="dxa"/>
            <w:vMerge w:val="continue"/>
            <w:tcBorders>
              <w:right w:val="single" w:color="auto" w:sz="12" w:space="0"/>
            </w:tcBorders>
            <w:vAlign w:val="center"/>
          </w:tcPr>
          <w:p w14:paraId="27A6AAE7">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r>
      <w:tr w14:paraId="0A80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974" w:type="dxa"/>
            <w:tcBorders>
              <w:left w:val="single" w:color="auto" w:sz="12" w:space="0"/>
              <w:bottom w:val="single" w:color="auto" w:sz="12" w:space="0"/>
            </w:tcBorders>
            <w:vAlign w:val="center"/>
          </w:tcPr>
          <w:p w14:paraId="714164C4">
            <w:pPr>
              <w:autoSpaceDE w:val="0"/>
              <w:autoSpaceDN w:val="0"/>
              <w:adjustRightInd w:val="0"/>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拟在本项目中担任主要工作</w:t>
            </w:r>
          </w:p>
        </w:tc>
        <w:tc>
          <w:tcPr>
            <w:tcW w:w="6652" w:type="dxa"/>
            <w:gridSpan w:val="2"/>
            <w:tcBorders>
              <w:bottom w:val="single" w:color="auto" w:sz="12" w:space="0"/>
              <w:right w:val="single" w:color="auto" w:sz="12" w:space="0"/>
            </w:tcBorders>
            <w:vAlign w:val="center"/>
          </w:tcPr>
          <w:p w14:paraId="516CD26E">
            <w:pPr>
              <w:autoSpaceDE w:val="0"/>
              <w:autoSpaceDN w:val="0"/>
              <w:adjustRightInd w:val="0"/>
              <w:snapToGrid w:val="0"/>
              <w:spacing w:line="360" w:lineRule="auto"/>
              <w:jc w:val="center"/>
              <w:rPr>
                <w:rFonts w:hint="eastAsia" w:ascii="宋体" w:hAnsi="宋体" w:eastAsia="宋体" w:cs="宋体"/>
                <w:color w:val="auto"/>
                <w:sz w:val="21"/>
                <w:szCs w:val="21"/>
                <w:highlight w:val="none"/>
                <w:lang w:val="zh-CN"/>
              </w:rPr>
            </w:pPr>
          </w:p>
        </w:tc>
      </w:tr>
    </w:tbl>
    <w:p w14:paraId="73E9819C">
      <w:pPr>
        <w:spacing w:line="360" w:lineRule="auto"/>
        <w:ind w:left="420"/>
        <w:rPr>
          <w:rFonts w:hint="eastAsia" w:ascii="宋体" w:hAnsi="宋体" w:eastAsia="宋体" w:cs="宋体"/>
          <w:color w:val="auto"/>
          <w:sz w:val="21"/>
          <w:szCs w:val="21"/>
          <w:highlight w:val="none"/>
        </w:rPr>
      </w:pPr>
    </w:p>
    <w:p w14:paraId="7FC0367C">
      <w:pPr>
        <w:keepNext w:val="0"/>
        <w:keepLines w:val="0"/>
        <w:pageBreakBefore w:val="0"/>
        <w:kinsoku/>
        <w:overflowPunct/>
        <w:topLinePunct w:val="0"/>
        <w:bidi w:val="0"/>
        <w:spacing w:line="360" w:lineRule="auto"/>
        <w:ind w:left="42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23B3CAD0">
      <w:pPr>
        <w:keepNext w:val="0"/>
        <w:keepLines w:val="0"/>
        <w:pageBreakBefore w:val="0"/>
        <w:kinsoku/>
        <w:overflowPunct/>
        <w:topLinePunct w:val="0"/>
        <w:bidi w:val="0"/>
        <w:spacing w:line="360" w:lineRule="auto"/>
        <w:ind w:left="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3AA3918">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法定代表人或授权委托代理人</w:t>
      </w:r>
      <w:r>
        <w:rPr>
          <w:rFonts w:hint="eastAsia" w:ascii="宋体" w:hAnsi="宋体" w:eastAsia="宋体" w:cs="宋体"/>
          <w:color w:val="auto"/>
          <w:szCs w:val="21"/>
          <w:highlight w:val="none"/>
        </w:rPr>
        <w:t>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02E12B8">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p>
    <w:p w14:paraId="252D5C15">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57CCA6EE">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p>
    <w:p w14:paraId="4AC0A304">
      <w:pPr>
        <w:keepNext w:val="0"/>
        <w:keepLines w:val="0"/>
        <w:pageBreakBefore w:val="0"/>
        <w:kinsoku/>
        <w:overflowPunct/>
        <w:topLinePunct w:val="0"/>
        <w:bidi w:val="0"/>
        <w:spacing w:line="360" w:lineRule="auto"/>
        <w:ind w:firstLine="435"/>
        <w:outlineLvl w:val="9"/>
        <w:rPr>
          <w:rFonts w:hint="eastAsia" w:ascii="宋体" w:hAnsi="宋体" w:eastAsia="宋体" w:cs="宋体"/>
          <w:b/>
          <w:color w:val="auto"/>
          <w:sz w:val="28"/>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4"/>
          <w:highlight w:val="none"/>
          <w:u w:val="single"/>
        </w:rPr>
        <w:t xml:space="preserve">   </w:t>
      </w:r>
    </w:p>
    <w:p w14:paraId="0FBE7FAC">
      <w:pPr>
        <w:keepNext w:val="0"/>
        <w:keepLines w:val="0"/>
        <w:pageBreakBefore w:val="0"/>
        <w:kinsoku/>
        <w:overflowPunct/>
        <w:topLinePunct w:val="0"/>
        <w:bidi w:val="0"/>
        <w:spacing w:line="360" w:lineRule="auto"/>
        <w:outlineLvl w:val="9"/>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w:t>
      </w:r>
      <w:r>
        <w:rPr>
          <w:rFonts w:hint="eastAsia" w:ascii="宋体" w:hAnsi="宋体" w:eastAsia="宋体" w:cs="宋体"/>
          <w:b/>
          <w:color w:val="auto"/>
          <w:sz w:val="28"/>
          <w:highlight w:val="none"/>
          <w:lang w:val="en-US" w:eastAsia="zh-CN"/>
        </w:rPr>
        <w:t>9</w:t>
      </w:r>
    </w:p>
    <w:p w14:paraId="11F36658">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商务及技术响应表</w:t>
      </w:r>
    </w:p>
    <w:p w14:paraId="371587D2">
      <w:pPr>
        <w:pStyle w:val="11"/>
        <w:keepNext w:val="0"/>
        <w:keepLines w:val="0"/>
        <w:pageBreakBefore w:val="0"/>
        <w:kinsoku/>
        <w:overflowPunct/>
        <w:topLinePunct w:val="0"/>
        <w:bidi w:val="0"/>
        <w:adjustRightInd w:val="0"/>
        <w:snapToGrid w:val="0"/>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项目名称及编号：</w:t>
      </w:r>
    </w:p>
    <w:tbl>
      <w:tblPr>
        <w:tblStyle w:val="22"/>
        <w:tblW w:w="0" w:type="auto"/>
        <w:tblInd w:w="0" w:type="dxa"/>
        <w:tblLayout w:type="fixed"/>
        <w:tblCellMar>
          <w:top w:w="0" w:type="dxa"/>
          <w:left w:w="108" w:type="dxa"/>
          <w:bottom w:w="0" w:type="dxa"/>
          <w:right w:w="108" w:type="dxa"/>
        </w:tblCellMar>
      </w:tblPr>
      <w:tblGrid>
        <w:gridCol w:w="1202"/>
        <w:gridCol w:w="1831"/>
        <w:gridCol w:w="2160"/>
        <w:gridCol w:w="2127"/>
        <w:gridCol w:w="1472"/>
      </w:tblGrid>
      <w:tr w14:paraId="42C74A21">
        <w:tblPrEx>
          <w:tblCellMar>
            <w:top w:w="0" w:type="dxa"/>
            <w:left w:w="108" w:type="dxa"/>
            <w:bottom w:w="0" w:type="dxa"/>
            <w:right w:w="108" w:type="dxa"/>
          </w:tblCellMar>
        </w:tblPrEx>
        <w:trPr>
          <w:trHeight w:val="690" w:hRule="atLeast"/>
        </w:trPr>
        <w:tc>
          <w:tcPr>
            <w:tcW w:w="1202" w:type="dxa"/>
            <w:tcBorders>
              <w:top w:val="single" w:color="auto" w:sz="4" w:space="0"/>
              <w:left w:val="single" w:color="auto" w:sz="4" w:space="0"/>
              <w:bottom w:val="single" w:color="auto" w:sz="4" w:space="0"/>
              <w:right w:val="single" w:color="auto" w:sz="4" w:space="0"/>
            </w:tcBorders>
            <w:noWrap w:val="0"/>
            <w:vAlign w:val="center"/>
          </w:tcPr>
          <w:p w14:paraId="197DAEAF">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b/>
                <w:bCs w:val="0"/>
                <w:color w:val="auto"/>
                <w:spacing w:val="10"/>
                <w:kern w:val="0"/>
                <w:sz w:val="21"/>
                <w:szCs w:val="21"/>
                <w:highlight w:val="none"/>
              </w:rPr>
            </w:pPr>
            <w:r>
              <w:rPr>
                <w:rFonts w:hint="eastAsia" w:ascii="宋体" w:hAnsi="宋体" w:eastAsia="宋体" w:cs="宋体"/>
                <w:b/>
                <w:bCs w:val="0"/>
                <w:color w:val="auto"/>
                <w:spacing w:val="10"/>
                <w:kern w:val="0"/>
                <w:sz w:val="21"/>
                <w:szCs w:val="21"/>
                <w:highlight w:val="none"/>
              </w:rPr>
              <w:t>类别</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0C28D09">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b/>
                <w:bCs w:val="0"/>
                <w:color w:val="auto"/>
                <w:spacing w:val="10"/>
                <w:kern w:val="0"/>
                <w:sz w:val="21"/>
                <w:szCs w:val="21"/>
                <w:highlight w:val="none"/>
              </w:rPr>
            </w:pPr>
            <w:r>
              <w:rPr>
                <w:rFonts w:hint="eastAsia" w:ascii="宋体" w:hAnsi="宋体" w:eastAsia="宋体" w:cs="宋体"/>
                <w:b/>
                <w:bCs w:val="0"/>
                <w:color w:val="auto"/>
                <w:spacing w:val="10"/>
                <w:kern w:val="0"/>
                <w:sz w:val="21"/>
                <w:szCs w:val="21"/>
                <w:highlight w:val="none"/>
              </w:rPr>
              <w:t>内容</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0B070BE6">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b/>
                <w:bCs w:val="0"/>
                <w:color w:val="auto"/>
                <w:spacing w:val="10"/>
                <w:kern w:val="0"/>
                <w:sz w:val="21"/>
                <w:szCs w:val="21"/>
                <w:highlight w:val="none"/>
              </w:rPr>
            </w:pPr>
            <w:r>
              <w:rPr>
                <w:rFonts w:hint="eastAsia" w:ascii="宋体" w:hAnsi="宋体" w:eastAsia="宋体" w:cs="宋体"/>
                <w:b/>
                <w:bCs w:val="0"/>
                <w:color w:val="auto"/>
                <w:spacing w:val="10"/>
                <w:kern w:val="0"/>
                <w:sz w:val="21"/>
                <w:szCs w:val="21"/>
                <w:highlight w:val="none"/>
              </w:rPr>
              <w:t>磋商文件技术要求</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5DEF26E">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b/>
                <w:bCs w:val="0"/>
                <w:color w:val="auto"/>
                <w:spacing w:val="10"/>
                <w:kern w:val="0"/>
                <w:sz w:val="21"/>
                <w:szCs w:val="21"/>
                <w:highlight w:val="none"/>
              </w:rPr>
            </w:pPr>
            <w:r>
              <w:rPr>
                <w:rFonts w:hint="eastAsia" w:ascii="宋体" w:hAnsi="宋体" w:eastAsia="宋体" w:cs="宋体"/>
                <w:b/>
                <w:bCs w:val="0"/>
                <w:color w:val="auto"/>
                <w:spacing w:val="10"/>
                <w:kern w:val="0"/>
                <w:sz w:val="21"/>
                <w:szCs w:val="21"/>
                <w:highlight w:val="none"/>
              </w:rPr>
              <w:t>磋商响应文件技术响应</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CC39F19">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b/>
                <w:bCs w:val="0"/>
                <w:color w:val="auto"/>
                <w:spacing w:val="10"/>
                <w:kern w:val="0"/>
                <w:sz w:val="21"/>
                <w:szCs w:val="21"/>
                <w:highlight w:val="none"/>
              </w:rPr>
            </w:pPr>
            <w:r>
              <w:rPr>
                <w:rFonts w:hint="eastAsia" w:ascii="宋体" w:hAnsi="宋体" w:eastAsia="宋体" w:cs="宋体"/>
                <w:b/>
                <w:bCs w:val="0"/>
                <w:color w:val="auto"/>
                <w:spacing w:val="10"/>
                <w:kern w:val="0"/>
                <w:sz w:val="21"/>
                <w:szCs w:val="21"/>
                <w:highlight w:val="none"/>
              </w:rPr>
              <w:t>偏离情况</w:t>
            </w:r>
          </w:p>
        </w:tc>
      </w:tr>
      <w:tr w14:paraId="1F258BFE">
        <w:tblPrEx>
          <w:tblCellMar>
            <w:top w:w="0" w:type="dxa"/>
            <w:left w:w="108" w:type="dxa"/>
            <w:bottom w:w="0" w:type="dxa"/>
            <w:right w:w="108" w:type="dxa"/>
          </w:tblCellMar>
        </w:tblPrEx>
        <w:trPr>
          <w:trHeight w:val="519" w:hRule="atLeast"/>
        </w:trPr>
        <w:tc>
          <w:tcPr>
            <w:tcW w:w="1202" w:type="dxa"/>
            <w:vMerge w:val="restart"/>
            <w:tcBorders>
              <w:top w:val="single" w:color="auto" w:sz="4" w:space="0"/>
              <w:left w:val="single" w:color="auto" w:sz="4" w:space="0"/>
              <w:right w:val="single" w:color="auto" w:sz="4" w:space="0"/>
            </w:tcBorders>
            <w:noWrap w:val="0"/>
            <w:vAlign w:val="center"/>
          </w:tcPr>
          <w:p w14:paraId="4E8CA5A7">
            <w:pPr>
              <w:keepNext w:val="0"/>
              <w:keepLines w:val="0"/>
              <w:pageBreakBefore w:val="0"/>
              <w:widowControl/>
              <w:kinsoku/>
              <w:overflowPunct/>
              <w:topLinePunct w:val="0"/>
              <w:bidi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商务响应情况</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3FFDA43">
            <w:pPr>
              <w:keepNext w:val="0"/>
              <w:keepLines w:val="0"/>
              <w:pageBreakBefore w:val="0"/>
              <w:kinsoku/>
              <w:overflowPunct/>
              <w:topLinePunct w:val="0"/>
              <w:bidi w:val="0"/>
              <w:jc w:val="center"/>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服务期限</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1D65F3DA">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0798911">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5D383B5">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r>
      <w:tr w14:paraId="72850251">
        <w:tblPrEx>
          <w:tblCellMar>
            <w:top w:w="0" w:type="dxa"/>
            <w:left w:w="108" w:type="dxa"/>
            <w:bottom w:w="0" w:type="dxa"/>
            <w:right w:w="108" w:type="dxa"/>
          </w:tblCellMar>
        </w:tblPrEx>
        <w:trPr>
          <w:trHeight w:val="519" w:hRule="atLeast"/>
        </w:trPr>
        <w:tc>
          <w:tcPr>
            <w:tcW w:w="1202" w:type="dxa"/>
            <w:vMerge w:val="continue"/>
            <w:tcBorders>
              <w:left w:val="single" w:color="auto" w:sz="4" w:space="0"/>
              <w:right w:val="single" w:color="auto" w:sz="4" w:space="0"/>
            </w:tcBorders>
            <w:noWrap w:val="0"/>
            <w:vAlign w:val="center"/>
          </w:tcPr>
          <w:p w14:paraId="2BB53523">
            <w:pPr>
              <w:keepNext w:val="0"/>
              <w:keepLines w:val="0"/>
              <w:pageBreakBefore w:val="0"/>
              <w:widowControl/>
              <w:kinsoku/>
              <w:overflowPunct/>
              <w:topLinePunct w:val="0"/>
              <w:bidi w:val="0"/>
              <w:jc w:val="center"/>
              <w:outlineLvl w:val="9"/>
              <w:rPr>
                <w:rFonts w:hint="eastAsia" w:ascii="宋体" w:hAnsi="宋体" w:eastAsia="宋体" w:cs="宋体"/>
                <w:color w:val="auto"/>
                <w:kern w:val="0"/>
                <w:sz w:val="21"/>
                <w:szCs w:val="21"/>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3D52136">
            <w:pPr>
              <w:keepNext w:val="0"/>
              <w:keepLines w:val="0"/>
              <w:pageBreakBefore w:val="0"/>
              <w:kinsoku/>
              <w:overflowPunct/>
              <w:topLinePunct w:val="0"/>
              <w:bidi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62542751">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3190D6A">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337B46A1">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r>
      <w:tr w14:paraId="61FB0796">
        <w:tblPrEx>
          <w:tblCellMar>
            <w:top w:w="0" w:type="dxa"/>
            <w:left w:w="108" w:type="dxa"/>
            <w:bottom w:w="0" w:type="dxa"/>
            <w:right w:w="108" w:type="dxa"/>
          </w:tblCellMar>
        </w:tblPrEx>
        <w:trPr>
          <w:trHeight w:val="519" w:hRule="atLeast"/>
        </w:trPr>
        <w:tc>
          <w:tcPr>
            <w:tcW w:w="1202" w:type="dxa"/>
            <w:vMerge w:val="continue"/>
            <w:tcBorders>
              <w:left w:val="single" w:color="auto" w:sz="4" w:space="0"/>
              <w:right w:val="single" w:color="auto" w:sz="4" w:space="0"/>
            </w:tcBorders>
            <w:noWrap w:val="0"/>
            <w:vAlign w:val="center"/>
          </w:tcPr>
          <w:p w14:paraId="63D44002">
            <w:pPr>
              <w:keepNext w:val="0"/>
              <w:keepLines w:val="0"/>
              <w:pageBreakBefore w:val="0"/>
              <w:widowControl/>
              <w:kinsoku/>
              <w:overflowPunct/>
              <w:topLinePunct w:val="0"/>
              <w:bidi w:val="0"/>
              <w:jc w:val="center"/>
              <w:outlineLvl w:val="9"/>
              <w:rPr>
                <w:rFonts w:hint="eastAsia" w:ascii="宋体" w:hAnsi="宋体" w:eastAsia="宋体" w:cs="宋体"/>
                <w:color w:val="auto"/>
                <w:kern w:val="0"/>
                <w:sz w:val="21"/>
                <w:szCs w:val="21"/>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4F0C29B">
            <w:pPr>
              <w:keepNext w:val="0"/>
              <w:keepLines w:val="0"/>
              <w:pageBreakBefore w:val="0"/>
              <w:kinsoku/>
              <w:overflowPunct/>
              <w:topLinePunct w:val="0"/>
              <w:bidi w:val="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297597E6">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1322463">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5407033B">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r>
      <w:tr w14:paraId="607C478F">
        <w:tblPrEx>
          <w:tblCellMar>
            <w:top w:w="0" w:type="dxa"/>
            <w:left w:w="108" w:type="dxa"/>
            <w:bottom w:w="0" w:type="dxa"/>
            <w:right w:w="108" w:type="dxa"/>
          </w:tblCellMar>
        </w:tblPrEx>
        <w:trPr>
          <w:trHeight w:val="519" w:hRule="atLeast"/>
        </w:trPr>
        <w:tc>
          <w:tcPr>
            <w:tcW w:w="1202" w:type="dxa"/>
            <w:vMerge w:val="continue"/>
            <w:tcBorders>
              <w:left w:val="single" w:color="auto" w:sz="4" w:space="0"/>
              <w:bottom w:val="single" w:color="auto" w:sz="4" w:space="0"/>
              <w:right w:val="single" w:color="auto" w:sz="4" w:space="0"/>
            </w:tcBorders>
            <w:noWrap w:val="0"/>
            <w:vAlign w:val="center"/>
          </w:tcPr>
          <w:p w14:paraId="1E38AE8F">
            <w:pPr>
              <w:keepNext w:val="0"/>
              <w:keepLines w:val="0"/>
              <w:pageBreakBefore w:val="0"/>
              <w:widowControl/>
              <w:kinsoku/>
              <w:overflowPunct/>
              <w:topLinePunct w:val="0"/>
              <w:bidi w:val="0"/>
              <w:jc w:val="center"/>
              <w:outlineLvl w:val="9"/>
              <w:rPr>
                <w:rFonts w:hint="eastAsia" w:ascii="宋体" w:hAnsi="宋体" w:eastAsia="宋体" w:cs="宋体"/>
                <w:color w:val="auto"/>
                <w:kern w:val="0"/>
                <w:sz w:val="21"/>
                <w:szCs w:val="21"/>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C767D2F">
            <w:pPr>
              <w:keepNext w:val="0"/>
              <w:keepLines w:val="0"/>
              <w:pageBreakBefore w:val="0"/>
              <w:kinsoku/>
              <w:overflowPunct/>
              <w:topLinePunct w:val="0"/>
              <w:bidi w:val="0"/>
              <w:jc w:val="center"/>
              <w:outlineLvl w:val="9"/>
              <w:rPr>
                <w:rFonts w:hint="eastAsia" w:ascii="宋体" w:hAnsi="宋体" w:eastAsia="宋体" w:cs="宋体"/>
                <w:color w:val="auto"/>
                <w:sz w:val="21"/>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BAC28B7">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C04410D">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4229E328">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r>
      <w:tr w14:paraId="0825C4B2">
        <w:tblPrEx>
          <w:tblCellMar>
            <w:top w:w="0" w:type="dxa"/>
            <w:left w:w="108" w:type="dxa"/>
            <w:bottom w:w="0" w:type="dxa"/>
            <w:right w:w="108" w:type="dxa"/>
          </w:tblCellMar>
        </w:tblPrEx>
        <w:trPr>
          <w:trHeight w:val="690" w:hRule="atLeast"/>
        </w:trPr>
        <w:tc>
          <w:tcPr>
            <w:tcW w:w="1202" w:type="dxa"/>
            <w:tcBorders>
              <w:top w:val="single" w:color="auto" w:sz="4" w:space="0"/>
              <w:left w:val="single" w:color="auto" w:sz="4" w:space="0"/>
              <w:bottom w:val="single" w:color="auto" w:sz="4" w:space="0"/>
              <w:right w:val="single" w:color="auto" w:sz="4" w:space="0"/>
            </w:tcBorders>
            <w:noWrap w:val="0"/>
            <w:vAlign w:val="center"/>
          </w:tcPr>
          <w:p w14:paraId="3DC8809F">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类别</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B32AF4C">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名称</w:t>
            </w:r>
          </w:p>
        </w:tc>
        <w:tc>
          <w:tcPr>
            <w:tcW w:w="2160" w:type="dxa"/>
            <w:tcBorders>
              <w:top w:val="single" w:color="auto" w:sz="4" w:space="0"/>
              <w:left w:val="single" w:color="auto" w:sz="4" w:space="0"/>
              <w:bottom w:val="single" w:color="auto" w:sz="4" w:space="0"/>
              <w:right w:val="single" w:color="auto" w:sz="4" w:space="0"/>
            </w:tcBorders>
            <w:noWrap w:val="0"/>
            <w:vAlign w:val="center"/>
          </w:tcPr>
          <w:p w14:paraId="408D7A37">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磋商文件技术要求</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FC25C47">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磋商响应文件技术响应</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0185F80">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偏离情况</w:t>
            </w:r>
          </w:p>
        </w:tc>
      </w:tr>
      <w:tr w14:paraId="1D35F64B">
        <w:tblPrEx>
          <w:tblCellMar>
            <w:top w:w="0" w:type="dxa"/>
            <w:left w:w="108" w:type="dxa"/>
            <w:bottom w:w="0" w:type="dxa"/>
            <w:right w:w="108" w:type="dxa"/>
          </w:tblCellMar>
        </w:tblPrEx>
        <w:trPr>
          <w:trHeight w:val="519" w:hRule="atLeast"/>
        </w:trPr>
        <w:tc>
          <w:tcPr>
            <w:tcW w:w="1202" w:type="dxa"/>
            <w:vMerge w:val="restart"/>
            <w:tcBorders>
              <w:top w:val="single" w:color="auto" w:sz="4" w:space="0"/>
              <w:left w:val="single" w:color="auto" w:sz="4" w:space="0"/>
              <w:bottom w:val="single" w:color="auto" w:sz="4" w:space="0"/>
              <w:right w:val="single" w:color="auto" w:sz="4" w:space="0"/>
            </w:tcBorders>
            <w:noWrap w:val="0"/>
            <w:vAlign w:val="center"/>
          </w:tcPr>
          <w:p w14:paraId="7EA3E7D4">
            <w:pPr>
              <w:keepNext w:val="0"/>
              <w:keepLines w:val="0"/>
              <w:pageBreakBefore w:val="0"/>
              <w:widowControl/>
              <w:kinsoku/>
              <w:overflowPunct/>
              <w:topLinePunct w:val="0"/>
              <w:bidi w:val="0"/>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技术响应情况</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FD4C57C">
            <w:pPr>
              <w:keepNext w:val="0"/>
              <w:keepLines w:val="0"/>
              <w:pageBreakBefore w:val="0"/>
              <w:kinsoku/>
              <w:overflowPunct/>
              <w:topLinePunct w:val="0"/>
              <w:bidi w:val="0"/>
              <w:jc w:val="center"/>
              <w:outlineLvl w:val="9"/>
              <w:rPr>
                <w:rFonts w:hint="eastAsia" w:ascii="宋体" w:hAnsi="宋体" w:eastAsia="宋体" w:cs="宋体"/>
                <w:color w:val="auto"/>
                <w:sz w:val="21"/>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27B7745C">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D2B4FE2">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58BE1719">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r>
      <w:tr w14:paraId="0A245009">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2D9E63F8">
            <w:pPr>
              <w:keepNext w:val="0"/>
              <w:keepLines w:val="0"/>
              <w:pageBreakBefore w:val="0"/>
              <w:widowControl/>
              <w:kinsoku/>
              <w:overflowPunct/>
              <w:topLinePunct w:val="0"/>
              <w:bidi w:val="0"/>
              <w:jc w:val="center"/>
              <w:outlineLvl w:val="9"/>
              <w:rPr>
                <w:rFonts w:hint="eastAsia" w:ascii="宋体" w:hAnsi="宋体" w:eastAsia="宋体" w:cs="宋体"/>
                <w:color w:val="auto"/>
                <w:kern w:val="0"/>
                <w:sz w:val="21"/>
                <w:szCs w:val="21"/>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874E858">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2DA8B75A">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80A42A9">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4BF57D5">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r>
      <w:tr w14:paraId="43C66F51">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302A9DCF">
            <w:pPr>
              <w:keepNext w:val="0"/>
              <w:keepLines w:val="0"/>
              <w:pageBreakBefore w:val="0"/>
              <w:widowControl/>
              <w:kinsoku/>
              <w:overflowPunct/>
              <w:topLinePunct w:val="0"/>
              <w:bidi w:val="0"/>
              <w:jc w:val="center"/>
              <w:outlineLvl w:val="9"/>
              <w:rPr>
                <w:rFonts w:hint="eastAsia" w:ascii="宋体" w:hAnsi="宋体" w:eastAsia="宋体" w:cs="宋体"/>
                <w:color w:val="auto"/>
                <w:kern w:val="0"/>
                <w:sz w:val="21"/>
                <w:szCs w:val="21"/>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0DBACF2">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7C239A5A">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5C3C1B5">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5ED6A69D">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r>
      <w:tr w14:paraId="4244FBEA">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73E55ED8">
            <w:pPr>
              <w:keepNext w:val="0"/>
              <w:keepLines w:val="0"/>
              <w:pageBreakBefore w:val="0"/>
              <w:widowControl/>
              <w:kinsoku/>
              <w:overflowPunct/>
              <w:topLinePunct w:val="0"/>
              <w:bidi w:val="0"/>
              <w:jc w:val="center"/>
              <w:outlineLvl w:val="9"/>
              <w:rPr>
                <w:rFonts w:hint="eastAsia" w:ascii="宋体" w:hAnsi="宋体" w:eastAsia="宋体" w:cs="宋体"/>
                <w:color w:val="auto"/>
                <w:kern w:val="0"/>
                <w:sz w:val="21"/>
                <w:szCs w:val="21"/>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1A82973">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2E84C38F">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3D7C5A8">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1A5F0222">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r>
      <w:tr w14:paraId="5952AA89">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45EAEA61">
            <w:pPr>
              <w:keepNext w:val="0"/>
              <w:keepLines w:val="0"/>
              <w:pageBreakBefore w:val="0"/>
              <w:widowControl/>
              <w:kinsoku/>
              <w:overflowPunct/>
              <w:topLinePunct w:val="0"/>
              <w:bidi w:val="0"/>
              <w:jc w:val="center"/>
              <w:outlineLvl w:val="9"/>
              <w:rPr>
                <w:rFonts w:hint="eastAsia" w:ascii="宋体" w:hAnsi="宋体" w:eastAsia="宋体" w:cs="宋体"/>
                <w:color w:val="auto"/>
                <w:kern w:val="0"/>
                <w:sz w:val="21"/>
                <w:szCs w:val="21"/>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BDAE088">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03CDA47">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6C3099E0">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6C46CDF">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r>
      <w:tr w14:paraId="6E1B11EB">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6BF0D01A">
            <w:pPr>
              <w:keepNext w:val="0"/>
              <w:keepLines w:val="0"/>
              <w:pageBreakBefore w:val="0"/>
              <w:widowControl/>
              <w:kinsoku/>
              <w:overflowPunct/>
              <w:topLinePunct w:val="0"/>
              <w:bidi w:val="0"/>
              <w:jc w:val="center"/>
              <w:outlineLvl w:val="9"/>
              <w:rPr>
                <w:rFonts w:hint="eastAsia" w:ascii="宋体" w:hAnsi="宋体" w:eastAsia="宋体" w:cs="宋体"/>
                <w:color w:val="auto"/>
                <w:kern w:val="0"/>
                <w:sz w:val="21"/>
                <w:szCs w:val="21"/>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92E548">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FDC63D6">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D0B76C9">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6DB43A8">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r>
      <w:tr w14:paraId="5DB6DED9">
        <w:tblPrEx>
          <w:tblCellMar>
            <w:top w:w="0" w:type="dxa"/>
            <w:left w:w="108" w:type="dxa"/>
            <w:bottom w:w="0" w:type="dxa"/>
            <w:right w:w="108" w:type="dxa"/>
          </w:tblCellMar>
        </w:tblPrEx>
        <w:trPr>
          <w:trHeight w:val="519" w:hRule="atLeast"/>
        </w:trPr>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2336FABD">
            <w:pPr>
              <w:keepNext w:val="0"/>
              <w:keepLines w:val="0"/>
              <w:pageBreakBefore w:val="0"/>
              <w:widowControl/>
              <w:kinsoku/>
              <w:overflowPunct/>
              <w:topLinePunct w:val="0"/>
              <w:bidi w:val="0"/>
              <w:jc w:val="center"/>
              <w:outlineLvl w:val="9"/>
              <w:rPr>
                <w:rFonts w:hint="eastAsia" w:ascii="宋体" w:hAnsi="宋体" w:eastAsia="宋体" w:cs="宋体"/>
                <w:color w:val="auto"/>
                <w:kern w:val="0"/>
                <w:sz w:val="21"/>
                <w:szCs w:val="21"/>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48C6C94">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43BE1929">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4D193AF">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01B08F3">
            <w:pPr>
              <w:pStyle w:val="11"/>
              <w:keepNext w:val="0"/>
              <w:keepLines w:val="0"/>
              <w:pageBreakBefore w:val="0"/>
              <w:kinsoku/>
              <w:overflowPunct/>
              <w:topLinePunct w:val="0"/>
              <w:bidi w:val="0"/>
              <w:adjustRightInd w:val="0"/>
              <w:snapToGrid w:val="0"/>
              <w:spacing w:line="360" w:lineRule="auto"/>
              <w:jc w:val="center"/>
              <w:outlineLvl w:val="9"/>
              <w:rPr>
                <w:rFonts w:hint="eastAsia" w:ascii="宋体" w:hAnsi="宋体" w:eastAsia="宋体" w:cs="宋体"/>
                <w:color w:val="auto"/>
                <w:spacing w:val="20"/>
                <w:sz w:val="21"/>
                <w:szCs w:val="21"/>
                <w:highlight w:val="none"/>
              </w:rPr>
            </w:pPr>
          </w:p>
        </w:tc>
      </w:tr>
    </w:tbl>
    <w:p w14:paraId="297B6901">
      <w:pPr>
        <w:keepNext w:val="0"/>
        <w:keepLines w:val="0"/>
        <w:pageBreakBefore w:val="0"/>
        <w:kinsoku/>
        <w:overflowPunct/>
        <w:topLinePunct w:val="0"/>
        <w:bidi w:val="0"/>
        <w:ind w:firstLine="371" w:firstLineChars="177"/>
        <w:outlineLvl w:val="9"/>
        <w:rPr>
          <w:rFonts w:hint="eastAsia" w:ascii="宋体" w:hAnsi="宋体" w:eastAsia="宋体" w:cs="宋体"/>
          <w:color w:val="auto"/>
          <w:sz w:val="21"/>
          <w:szCs w:val="21"/>
          <w:highlight w:val="none"/>
        </w:rPr>
      </w:pPr>
    </w:p>
    <w:p w14:paraId="43641B8B">
      <w:pPr>
        <w:keepNext w:val="0"/>
        <w:keepLines w:val="0"/>
        <w:pageBreakBefore w:val="0"/>
        <w:kinsoku/>
        <w:overflowPunct/>
        <w:topLinePunct w:val="0"/>
        <w:bidi w:val="0"/>
        <w:ind w:firstLine="371" w:firstLineChars="177"/>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435D79AD">
      <w:pPr>
        <w:keepNext w:val="0"/>
        <w:keepLines w:val="0"/>
        <w:pageBreakBefore w:val="0"/>
        <w:kinsoku/>
        <w:overflowPunct/>
        <w:topLinePunct w:val="0"/>
        <w:bidi w:val="0"/>
        <w:ind w:left="420"/>
        <w:outlineLvl w:val="9"/>
        <w:rPr>
          <w:rFonts w:hint="eastAsia" w:ascii="宋体" w:hAnsi="宋体" w:eastAsia="宋体" w:cs="宋体"/>
          <w:color w:val="auto"/>
          <w:sz w:val="21"/>
          <w:szCs w:val="21"/>
          <w:highlight w:val="none"/>
        </w:rPr>
      </w:pPr>
    </w:p>
    <w:p w14:paraId="24C55CFE">
      <w:pPr>
        <w:keepNext w:val="0"/>
        <w:keepLines w:val="0"/>
        <w:pageBreakBefore w:val="0"/>
        <w:kinsoku/>
        <w:overflowPunct/>
        <w:topLinePunct w:val="0"/>
        <w:bidi w:val="0"/>
        <w:ind w:firstLine="371" w:firstLineChars="177"/>
        <w:outlineLvl w:val="9"/>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lang w:eastAsia="zh-CN"/>
        </w:rPr>
        <w:t>法定代表人或授</w:t>
      </w:r>
      <w:r>
        <w:rPr>
          <w:rFonts w:hint="eastAsia" w:ascii="宋体" w:hAnsi="宋体"/>
          <w:color w:val="auto"/>
          <w:sz w:val="21"/>
          <w:szCs w:val="21"/>
          <w:highlight w:val="none"/>
          <w:lang w:eastAsia="zh-CN"/>
        </w:rPr>
        <w:t>权委托代理人</w:t>
      </w:r>
      <w:r>
        <w:rPr>
          <w:rFonts w:hint="eastAsia" w:ascii="宋体" w:hAnsi="宋体" w:eastAsia="宋体" w:cs="宋体"/>
          <w:color w:val="auto"/>
          <w:szCs w:val="21"/>
          <w:highlight w:val="none"/>
        </w:rPr>
        <w:t>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533FD76D">
      <w:pPr>
        <w:keepNext w:val="0"/>
        <w:keepLines w:val="0"/>
        <w:pageBreakBefore w:val="0"/>
        <w:kinsoku/>
        <w:overflowPunct/>
        <w:topLinePunct w:val="0"/>
        <w:bidi w:val="0"/>
        <w:ind w:firstLine="435"/>
        <w:outlineLvl w:val="9"/>
        <w:rPr>
          <w:rFonts w:hint="eastAsia" w:ascii="宋体" w:hAnsi="宋体" w:eastAsia="宋体" w:cs="宋体"/>
          <w:color w:val="auto"/>
          <w:sz w:val="21"/>
          <w:szCs w:val="21"/>
          <w:highlight w:val="none"/>
        </w:rPr>
      </w:pPr>
    </w:p>
    <w:p w14:paraId="2FFF13CF">
      <w:pPr>
        <w:keepNext w:val="0"/>
        <w:keepLines w:val="0"/>
        <w:pageBreakBefore w:val="0"/>
        <w:kinsoku/>
        <w:overflowPunct/>
        <w:topLinePunct w:val="0"/>
        <w:bidi w:val="0"/>
        <w:ind w:firstLine="371" w:firstLineChars="177"/>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76332204">
      <w:pPr>
        <w:keepNext w:val="0"/>
        <w:keepLines w:val="0"/>
        <w:pageBreakBefore w:val="0"/>
        <w:kinsoku/>
        <w:overflowPunct/>
        <w:topLinePunct w:val="0"/>
        <w:bidi w:val="0"/>
        <w:outlineLvl w:val="9"/>
        <w:rPr>
          <w:rFonts w:hint="eastAsia" w:ascii="宋体" w:hAnsi="宋体" w:eastAsia="宋体" w:cs="宋体"/>
          <w:color w:val="auto"/>
          <w:sz w:val="21"/>
          <w:szCs w:val="21"/>
          <w:highlight w:val="none"/>
        </w:rPr>
      </w:pPr>
    </w:p>
    <w:p w14:paraId="28EB5745">
      <w:pPr>
        <w:pStyle w:val="39"/>
        <w:keepNext w:val="0"/>
        <w:keepLines w:val="0"/>
        <w:pageBreakBefore w:val="0"/>
        <w:shd w:val="clear" w:color="auto" w:fill="FFFFFF"/>
        <w:kinsoku/>
        <w:overflowPunct/>
        <w:topLinePunct w:val="0"/>
        <w:bidi w:val="0"/>
        <w:spacing w:before="0" w:beforeAutospacing="0" w:after="0" w:afterAutospacing="0"/>
        <w:ind w:firstLine="371" w:firstLineChars="177"/>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38DE0414">
      <w:pPr>
        <w:keepNext w:val="0"/>
        <w:keepLines w:val="0"/>
        <w:pageBreakBefore w:val="0"/>
        <w:kinsoku/>
        <w:overflowPunct/>
        <w:topLinePunct w:val="0"/>
        <w:bidi w:val="0"/>
        <w:snapToGrid w:val="0"/>
        <w:spacing w:before="156" w:beforeLines="50" w:after="50" w:line="360" w:lineRule="auto"/>
        <w:outlineLvl w:val="9"/>
        <w:rPr>
          <w:rFonts w:hint="eastAsia" w:ascii="宋体" w:hAnsi="宋体" w:eastAsia="宋体" w:cs="宋体"/>
          <w:b/>
          <w:color w:val="auto"/>
          <w:sz w:val="28"/>
          <w:highlight w:val="none"/>
        </w:rPr>
      </w:pPr>
    </w:p>
    <w:p w14:paraId="5C403DA9">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73C32475">
      <w:pPr>
        <w:keepNext w:val="0"/>
        <w:keepLines w:val="0"/>
        <w:pageBreakBefore w:val="0"/>
        <w:kinsoku/>
        <w:overflowPunct/>
        <w:topLinePunct w:val="0"/>
        <w:bidi w:val="0"/>
        <w:snapToGrid w:val="0"/>
        <w:spacing w:before="156" w:beforeLines="50" w:after="50" w:line="360" w:lineRule="auto"/>
        <w:outlineLvl w:val="9"/>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w:t>
      </w:r>
      <w:r>
        <w:rPr>
          <w:rFonts w:hint="eastAsia" w:ascii="宋体" w:hAnsi="宋体" w:eastAsia="宋体" w:cs="宋体"/>
          <w:b/>
          <w:color w:val="auto"/>
          <w:sz w:val="28"/>
          <w:highlight w:val="none"/>
          <w:lang w:val="en-US" w:eastAsia="zh-CN"/>
        </w:rPr>
        <w:t>10</w:t>
      </w:r>
    </w:p>
    <w:p w14:paraId="49EAD54E">
      <w:pPr>
        <w:pStyle w:val="43"/>
        <w:keepNext w:val="0"/>
        <w:keepLines w:val="0"/>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企业</w:t>
      </w:r>
      <w:r>
        <w:rPr>
          <w:rFonts w:hint="eastAsia" w:ascii="宋体" w:hAnsi="宋体" w:eastAsia="宋体" w:cs="宋体"/>
          <w:b/>
          <w:color w:val="auto"/>
          <w:sz w:val="32"/>
          <w:szCs w:val="32"/>
          <w:highlight w:val="none"/>
        </w:rPr>
        <w:t>证书一览表</w:t>
      </w:r>
    </w:p>
    <w:p w14:paraId="28FDC235">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8"/>
          <w:szCs w:val="28"/>
          <w:highlight w:val="none"/>
        </w:rPr>
      </w:pP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2258"/>
        <w:gridCol w:w="2260"/>
        <w:gridCol w:w="2047"/>
      </w:tblGrid>
      <w:tr w14:paraId="7360C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67" w:type="dxa"/>
            <w:tcBorders>
              <w:top w:val="single" w:color="auto" w:sz="4" w:space="0"/>
              <w:left w:val="single" w:color="auto" w:sz="4" w:space="0"/>
              <w:bottom w:val="single" w:color="auto" w:sz="4" w:space="0"/>
            </w:tcBorders>
            <w:noWrap w:val="0"/>
            <w:vAlign w:val="top"/>
          </w:tcPr>
          <w:p w14:paraId="54004C5B">
            <w:pPr>
              <w:pStyle w:val="43"/>
              <w:keepNext w:val="0"/>
              <w:keepLines w:val="0"/>
              <w:pageBreakBefore w:val="0"/>
              <w:kinsoku/>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证书名称</w:t>
            </w:r>
          </w:p>
        </w:tc>
        <w:tc>
          <w:tcPr>
            <w:tcW w:w="2258" w:type="dxa"/>
            <w:tcBorders>
              <w:top w:val="single" w:color="auto" w:sz="4" w:space="0"/>
              <w:bottom w:val="single" w:color="auto" w:sz="4" w:space="0"/>
            </w:tcBorders>
            <w:noWrap w:val="0"/>
            <w:vAlign w:val="top"/>
          </w:tcPr>
          <w:p w14:paraId="3C1D4987">
            <w:pPr>
              <w:pStyle w:val="43"/>
              <w:keepNext w:val="0"/>
              <w:keepLines w:val="0"/>
              <w:pageBreakBefore w:val="0"/>
              <w:kinsoku/>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发证单位</w:t>
            </w:r>
          </w:p>
        </w:tc>
        <w:tc>
          <w:tcPr>
            <w:tcW w:w="2260" w:type="dxa"/>
            <w:tcBorders>
              <w:top w:val="single" w:color="auto" w:sz="4" w:space="0"/>
              <w:bottom w:val="single" w:color="auto" w:sz="4" w:space="0"/>
            </w:tcBorders>
            <w:noWrap w:val="0"/>
            <w:vAlign w:val="top"/>
          </w:tcPr>
          <w:p w14:paraId="2309E100">
            <w:pPr>
              <w:pStyle w:val="43"/>
              <w:keepNext w:val="0"/>
              <w:keepLines w:val="0"/>
              <w:pageBreakBefore w:val="0"/>
              <w:kinsoku/>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证书等级</w:t>
            </w:r>
          </w:p>
        </w:tc>
        <w:tc>
          <w:tcPr>
            <w:tcW w:w="2047" w:type="dxa"/>
            <w:tcBorders>
              <w:top w:val="single" w:color="auto" w:sz="4" w:space="0"/>
              <w:bottom w:val="single" w:color="auto" w:sz="4" w:space="0"/>
              <w:right w:val="single" w:color="auto" w:sz="4" w:space="0"/>
            </w:tcBorders>
            <w:noWrap w:val="0"/>
            <w:vAlign w:val="top"/>
          </w:tcPr>
          <w:p w14:paraId="5D5F5EF0">
            <w:pPr>
              <w:pStyle w:val="43"/>
              <w:keepNext w:val="0"/>
              <w:keepLines w:val="0"/>
              <w:pageBreakBefore w:val="0"/>
              <w:kinsoku/>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r>
      <w:tr w14:paraId="1C635D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top w:val="single" w:color="auto" w:sz="4" w:space="0"/>
              <w:left w:val="single" w:color="auto" w:sz="4" w:space="0"/>
            </w:tcBorders>
            <w:noWrap w:val="0"/>
            <w:vAlign w:val="top"/>
          </w:tcPr>
          <w:p w14:paraId="2E5D5273">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258" w:type="dxa"/>
            <w:tcBorders>
              <w:top w:val="single" w:color="auto" w:sz="4" w:space="0"/>
            </w:tcBorders>
            <w:noWrap w:val="0"/>
            <w:vAlign w:val="top"/>
          </w:tcPr>
          <w:p w14:paraId="22C03EC9">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260" w:type="dxa"/>
            <w:tcBorders>
              <w:top w:val="single" w:color="auto" w:sz="4" w:space="0"/>
            </w:tcBorders>
            <w:noWrap w:val="0"/>
            <w:vAlign w:val="top"/>
          </w:tcPr>
          <w:p w14:paraId="3AC00B9F">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047" w:type="dxa"/>
            <w:tcBorders>
              <w:top w:val="single" w:color="auto" w:sz="4" w:space="0"/>
              <w:right w:val="single" w:color="auto" w:sz="4" w:space="0"/>
            </w:tcBorders>
            <w:noWrap w:val="0"/>
            <w:vAlign w:val="top"/>
          </w:tcPr>
          <w:p w14:paraId="66FF855D">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r>
      <w:tr w14:paraId="6A33FD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noWrap w:val="0"/>
            <w:vAlign w:val="top"/>
          </w:tcPr>
          <w:p w14:paraId="2BDC917B">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258" w:type="dxa"/>
            <w:noWrap w:val="0"/>
            <w:vAlign w:val="top"/>
          </w:tcPr>
          <w:p w14:paraId="72896116">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260" w:type="dxa"/>
            <w:noWrap w:val="0"/>
            <w:vAlign w:val="top"/>
          </w:tcPr>
          <w:p w14:paraId="3C2423F9">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047" w:type="dxa"/>
            <w:tcBorders>
              <w:right w:val="single" w:color="auto" w:sz="4" w:space="0"/>
            </w:tcBorders>
            <w:noWrap w:val="0"/>
            <w:vAlign w:val="top"/>
          </w:tcPr>
          <w:p w14:paraId="7D3F6072">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r>
      <w:tr w14:paraId="0273EC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noWrap w:val="0"/>
            <w:vAlign w:val="top"/>
          </w:tcPr>
          <w:p w14:paraId="577A3247">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258" w:type="dxa"/>
            <w:noWrap w:val="0"/>
            <w:vAlign w:val="top"/>
          </w:tcPr>
          <w:p w14:paraId="1AD1FF20">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260" w:type="dxa"/>
            <w:noWrap w:val="0"/>
            <w:vAlign w:val="top"/>
          </w:tcPr>
          <w:p w14:paraId="6EF4114D">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047" w:type="dxa"/>
            <w:tcBorders>
              <w:right w:val="single" w:color="auto" w:sz="4" w:space="0"/>
            </w:tcBorders>
            <w:noWrap w:val="0"/>
            <w:vAlign w:val="top"/>
          </w:tcPr>
          <w:p w14:paraId="493F4A3A">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r>
      <w:tr w14:paraId="2F185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noWrap w:val="0"/>
            <w:vAlign w:val="top"/>
          </w:tcPr>
          <w:p w14:paraId="70436824">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258" w:type="dxa"/>
            <w:noWrap w:val="0"/>
            <w:vAlign w:val="top"/>
          </w:tcPr>
          <w:p w14:paraId="1E2A82BC">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260" w:type="dxa"/>
            <w:noWrap w:val="0"/>
            <w:vAlign w:val="top"/>
          </w:tcPr>
          <w:p w14:paraId="2E55531D">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047" w:type="dxa"/>
            <w:tcBorders>
              <w:right w:val="single" w:color="auto" w:sz="4" w:space="0"/>
            </w:tcBorders>
            <w:noWrap w:val="0"/>
            <w:vAlign w:val="top"/>
          </w:tcPr>
          <w:p w14:paraId="6AA618AB">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r>
      <w:tr w14:paraId="77D443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noWrap w:val="0"/>
            <w:vAlign w:val="top"/>
          </w:tcPr>
          <w:p w14:paraId="5F058DCB">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258" w:type="dxa"/>
            <w:noWrap w:val="0"/>
            <w:vAlign w:val="top"/>
          </w:tcPr>
          <w:p w14:paraId="2C5069AC">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260" w:type="dxa"/>
            <w:noWrap w:val="0"/>
            <w:vAlign w:val="top"/>
          </w:tcPr>
          <w:p w14:paraId="0A57C646">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047" w:type="dxa"/>
            <w:tcBorders>
              <w:right w:val="single" w:color="auto" w:sz="4" w:space="0"/>
            </w:tcBorders>
            <w:noWrap w:val="0"/>
            <w:vAlign w:val="top"/>
          </w:tcPr>
          <w:p w14:paraId="65DB230B">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r>
      <w:tr w14:paraId="063A5C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noWrap w:val="0"/>
            <w:vAlign w:val="top"/>
          </w:tcPr>
          <w:p w14:paraId="6E7F9E36">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258" w:type="dxa"/>
            <w:noWrap w:val="0"/>
            <w:vAlign w:val="top"/>
          </w:tcPr>
          <w:p w14:paraId="50D274AC">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260" w:type="dxa"/>
            <w:noWrap w:val="0"/>
            <w:vAlign w:val="top"/>
          </w:tcPr>
          <w:p w14:paraId="553D9AE6">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047" w:type="dxa"/>
            <w:tcBorders>
              <w:right w:val="single" w:color="auto" w:sz="4" w:space="0"/>
            </w:tcBorders>
            <w:noWrap w:val="0"/>
            <w:vAlign w:val="top"/>
          </w:tcPr>
          <w:p w14:paraId="2D77FB37">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r>
      <w:tr w14:paraId="102BF5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bottom w:val="single" w:color="auto" w:sz="4" w:space="0"/>
            </w:tcBorders>
            <w:noWrap w:val="0"/>
            <w:vAlign w:val="top"/>
          </w:tcPr>
          <w:p w14:paraId="0F98093D">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258" w:type="dxa"/>
            <w:tcBorders>
              <w:bottom w:val="single" w:color="auto" w:sz="4" w:space="0"/>
            </w:tcBorders>
            <w:noWrap w:val="0"/>
            <w:vAlign w:val="top"/>
          </w:tcPr>
          <w:p w14:paraId="1726435B">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260" w:type="dxa"/>
            <w:tcBorders>
              <w:bottom w:val="single" w:color="auto" w:sz="4" w:space="0"/>
            </w:tcBorders>
            <w:noWrap w:val="0"/>
            <w:vAlign w:val="top"/>
          </w:tcPr>
          <w:p w14:paraId="563A9553">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c>
          <w:tcPr>
            <w:tcW w:w="2047" w:type="dxa"/>
            <w:tcBorders>
              <w:bottom w:val="single" w:color="auto" w:sz="4" w:space="0"/>
              <w:right w:val="single" w:color="auto" w:sz="4" w:space="0"/>
            </w:tcBorders>
            <w:noWrap w:val="0"/>
            <w:vAlign w:val="top"/>
          </w:tcPr>
          <w:p w14:paraId="379236AB">
            <w:pPr>
              <w:pStyle w:val="43"/>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p>
        </w:tc>
      </w:tr>
    </w:tbl>
    <w:p w14:paraId="4A011DBF">
      <w:pPr>
        <w:pStyle w:val="43"/>
        <w:keepNext w:val="0"/>
        <w:keepLines w:val="0"/>
        <w:pageBreakBefore w:val="0"/>
        <w:tabs>
          <w:tab w:val="left" w:pos="1050"/>
        </w:tabs>
        <w:kinsoku/>
        <w:overflowPunct/>
        <w:topLinePunct w:val="0"/>
        <w:bidi w:val="0"/>
        <w:spacing w:line="360" w:lineRule="auto"/>
        <w:outlineLvl w:val="9"/>
        <w:rPr>
          <w:rFonts w:hint="eastAsia" w:ascii="宋体" w:hAnsi="宋体" w:eastAsia="宋体" w:cs="宋体"/>
          <w:color w:val="auto"/>
          <w:sz w:val="21"/>
          <w:szCs w:val="21"/>
          <w:highlight w:val="none"/>
        </w:rPr>
      </w:pPr>
    </w:p>
    <w:p w14:paraId="4D4A15CD">
      <w:pPr>
        <w:pStyle w:val="43"/>
        <w:keepNext w:val="0"/>
        <w:keepLines w:val="0"/>
        <w:pageBreakBefore w:val="0"/>
        <w:tabs>
          <w:tab w:val="left" w:pos="1050"/>
        </w:tabs>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要求：</w:t>
      </w:r>
    </w:p>
    <w:p w14:paraId="2BECC653">
      <w:pPr>
        <w:pStyle w:val="43"/>
        <w:keepNext w:val="0"/>
        <w:keepLines w:val="0"/>
        <w:pageBreakBefore w:val="0"/>
        <w:tabs>
          <w:tab w:val="left" w:pos="1050"/>
        </w:tabs>
        <w:kinsoku/>
        <w:overflowPunct/>
        <w:topLinePunct w:val="0"/>
        <w:bidi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填写磋商供应商获得资质、认证或企业信誉证书。</w:t>
      </w:r>
    </w:p>
    <w:p w14:paraId="122E6276">
      <w:pPr>
        <w:pStyle w:val="43"/>
        <w:keepNext w:val="0"/>
        <w:keepLines w:val="0"/>
        <w:pageBreakBefore w:val="0"/>
        <w:tabs>
          <w:tab w:val="left" w:pos="1050"/>
        </w:tabs>
        <w:kinsoku/>
        <w:overflowPunct/>
        <w:topLinePunct w:val="0"/>
        <w:bidi w:val="0"/>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附所列证书复印件或其他证明材料。</w:t>
      </w:r>
    </w:p>
    <w:p w14:paraId="3E778E9E">
      <w:pPr>
        <w:pStyle w:val="43"/>
        <w:keepNext w:val="0"/>
        <w:keepLines w:val="0"/>
        <w:pageBreakBefore w:val="0"/>
        <w:tabs>
          <w:tab w:val="left" w:pos="1050"/>
        </w:tabs>
        <w:kinsoku/>
        <w:overflowPunct/>
        <w:topLinePunct w:val="0"/>
        <w:bidi w:val="0"/>
        <w:spacing w:line="360" w:lineRule="auto"/>
        <w:ind w:firstLine="424" w:firstLineChars="202"/>
        <w:outlineLvl w:val="9"/>
        <w:rPr>
          <w:rFonts w:hint="eastAsia" w:ascii="宋体" w:hAnsi="宋体" w:eastAsia="宋体" w:cs="宋体"/>
          <w:color w:val="auto"/>
          <w:sz w:val="21"/>
          <w:szCs w:val="21"/>
          <w:highlight w:val="none"/>
        </w:rPr>
      </w:pPr>
    </w:p>
    <w:p w14:paraId="7C0A2FE8">
      <w:pPr>
        <w:pStyle w:val="43"/>
        <w:keepNext w:val="0"/>
        <w:keepLines w:val="0"/>
        <w:pageBreakBefore w:val="0"/>
        <w:tabs>
          <w:tab w:val="left" w:pos="1050"/>
        </w:tabs>
        <w:kinsoku/>
        <w:overflowPunct/>
        <w:topLinePunct w:val="0"/>
        <w:bidi w:val="0"/>
        <w:spacing w:line="360" w:lineRule="auto"/>
        <w:ind w:firstLine="630" w:firstLineChars="300"/>
        <w:outlineLvl w:val="9"/>
        <w:rPr>
          <w:rFonts w:hint="eastAsia" w:ascii="宋体" w:hAnsi="宋体" w:eastAsia="宋体" w:cs="宋体"/>
          <w:color w:val="auto"/>
          <w:sz w:val="21"/>
          <w:szCs w:val="21"/>
          <w:highlight w:val="none"/>
        </w:rPr>
      </w:pPr>
    </w:p>
    <w:p w14:paraId="479B89E7">
      <w:pPr>
        <w:pStyle w:val="43"/>
        <w:keepNext w:val="0"/>
        <w:keepLines w:val="0"/>
        <w:pageBreakBefore w:val="0"/>
        <w:tabs>
          <w:tab w:val="left" w:pos="1050"/>
        </w:tabs>
        <w:kinsoku/>
        <w:overflowPunct/>
        <w:topLinePunct w:val="0"/>
        <w:bidi w:val="0"/>
        <w:spacing w:line="360" w:lineRule="auto"/>
        <w:ind w:firstLine="630" w:firstLineChars="300"/>
        <w:outlineLvl w:val="9"/>
        <w:rPr>
          <w:rFonts w:hint="eastAsia" w:ascii="宋体" w:hAnsi="宋体" w:eastAsia="宋体" w:cs="宋体"/>
          <w:color w:val="auto"/>
          <w:sz w:val="21"/>
          <w:szCs w:val="21"/>
          <w:highlight w:val="none"/>
        </w:rPr>
      </w:pPr>
    </w:p>
    <w:p w14:paraId="76E7B3F6">
      <w:pPr>
        <w:pStyle w:val="43"/>
        <w:keepNext w:val="0"/>
        <w:keepLines w:val="0"/>
        <w:pageBreakBefore w:val="0"/>
        <w:tabs>
          <w:tab w:val="left" w:pos="1050"/>
        </w:tabs>
        <w:kinsoku/>
        <w:overflowPunct/>
        <w:topLinePunct w:val="0"/>
        <w:bidi w:val="0"/>
        <w:spacing w:line="360" w:lineRule="auto"/>
        <w:ind w:firstLine="630" w:firstLineChars="300"/>
        <w:outlineLvl w:val="9"/>
        <w:rPr>
          <w:rFonts w:hint="eastAsia" w:ascii="宋体" w:hAnsi="宋体" w:eastAsia="宋体" w:cs="宋体"/>
          <w:color w:val="auto"/>
          <w:sz w:val="21"/>
          <w:szCs w:val="21"/>
          <w:highlight w:val="none"/>
        </w:rPr>
      </w:pPr>
    </w:p>
    <w:p w14:paraId="7D1D40C9">
      <w:pPr>
        <w:keepNext w:val="0"/>
        <w:keepLines w:val="0"/>
        <w:pageBreakBefore w:val="0"/>
        <w:kinsoku/>
        <w:overflowPunct/>
        <w:topLinePunct w:val="0"/>
        <w:bidi w:val="0"/>
        <w:spacing w:line="360" w:lineRule="auto"/>
        <w:ind w:firstLine="371" w:firstLineChars="177"/>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4373E706">
      <w:pPr>
        <w:keepNext w:val="0"/>
        <w:keepLines w:val="0"/>
        <w:pageBreakBefore w:val="0"/>
        <w:kinsoku/>
        <w:overflowPunct/>
        <w:topLinePunct w:val="0"/>
        <w:bidi w:val="0"/>
        <w:spacing w:line="360" w:lineRule="auto"/>
        <w:ind w:left="420"/>
        <w:outlineLvl w:val="9"/>
        <w:rPr>
          <w:rFonts w:hint="eastAsia" w:ascii="宋体" w:hAnsi="宋体" w:eastAsia="宋体" w:cs="宋体"/>
          <w:color w:val="auto"/>
          <w:sz w:val="21"/>
          <w:szCs w:val="21"/>
          <w:highlight w:val="none"/>
        </w:rPr>
      </w:pPr>
    </w:p>
    <w:p w14:paraId="59B9E7C7">
      <w:pPr>
        <w:keepNext w:val="0"/>
        <w:keepLines w:val="0"/>
        <w:pageBreakBefore w:val="0"/>
        <w:kinsoku/>
        <w:overflowPunct/>
        <w:topLinePunct w:val="0"/>
        <w:bidi w:val="0"/>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lang w:eastAsia="zh-CN"/>
        </w:rPr>
        <w:t>法定代表人或授</w:t>
      </w:r>
      <w:r>
        <w:rPr>
          <w:rFonts w:hint="eastAsia" w:ascii="宋体" w:hAnsi="宋体"/>
          <w:color w:val="auto"/>
          <w:sz w:val="21"/>
          <w:szCs w:val="21"/>
          <w:highlight w:val="none"/>
          <w:lang w:eastAsia="zh-CN"/>
        </w:rPr>
        <w:t>权委托代理人</w:t>
      </w:r>
      <w:r>
        <w:rPr>
          <w:rFonts w:hint="eastAsia" w:ascii="宋体" w:hAnsi="宋体" w:eastAsia="宋体" w:cs="宋体"/>
          <w:color w:val="auto"/>
          <w:szCs w:val="21"/>
          <w:highlight w:val="none"/>
        </w:rPr>
        <w:t>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228E72B5">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p>
    <w:p w14:paraId="0CBCC7EB">
      <w:pPr>
        <w:keepNext w:val="0"/>
        <w:keepLines w:val="0"/>
        <w:pageBreakBefore w:val="0"/>
        <w:kinsoku/>
        <w:overflowPunct/>
        <w:topLinePunct w:val="0"/>
        <w:bidi w:val="0"/>
        <w:spacing w:line="360" w:lineRule="auto"/>
        <w:ind w:firstLine="371" w:firstLineChars="177"/>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580D9EC6">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p w14:paraId="5B229D2D">
      <w:pPr>
        <w:pStyle w:val="39"/>
        <w:keepNext w:val="0"/>
        <w:keepLines w:val="0"/>
        <w:pageBreakBefore w:val="0"/>
        <w:shd w:val="clear" w:color="auto" w:fill="FFFFFF"/>
        <w:kinsoku/>
        <w:overflowPunct/>
        <w:topLinePunct w:val="0"/>
        <w:bidi w:val="0"/>
        <w:spacing w:before="0" w:beforeAutospacing="0" w:after="0" w:afterAutospacing="0" w:line="360" w:lineRule="auto"/>
        <w:ind w:firstLine="371" w:firstLineChars="177"/>
        <w:outlineLvl w:val="9"/>
        <w:rPr>
          <w:rFonts w:hint="eastAsia" w:ascii="宋体" w:hAnsi="宋体" w:eastAsia="宋体" w:cs="宋体"/>
          <w:b/>
          <w:bCs/>
          <w:color w:val="auto"/>
          <w:spacing w:val="1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09535865">
      <w:pPr>
        <w:keepNext w:val="0"/>
        <w:keepLines w:val="0"/>
        <w:pageBreakBefore w:val="0"/>
        <w:kinsoku/>
        <w:overflowPunct/>
        <w:topLinePunct w:val="0"/>
        <w:bidi w:val="0"/>
        <w:spacing w:line="360" w:lineRule="auto"/>
        <w:outlineLvl w:val="9"/>
        <w:rPr>
          <w:rFonts w:hint="eastAsia" w:ascii="宋体" w:hAnsi="宋体" w:eastAsia="宋体" w:cs="宋体"/>
          <w:b/>
          <w:color w:val="auto"/>
          <w:sz w:val="28"/>
          <w:highlight w:val="none"/>
        </w:rPr>
      </w:pPr>
    </w:p>
    <w:p w14:paraId="19D115AF">
      <w:pPr>
        <w:keepNext w:val="0"/>
        <w:keepLines w:val="0"/>
        <w:pageBreakBefore w:val="0"/>
        <w:kinsoku/>
        <w:overflowPunct/>
        <w:topLinePunct w:val="0"/>
        <w:bidi w:val="0"/>
        <w:spacing w:line="360" w:lineRule="auto"/>
        <w:outlineLvl w:val="9"/>
        <w:rPr>
          <w:rFonts w:hint="eastAsia" w:ascii="宋体" w:hAnsi="宋体" w:eastAsia="宋体" w:cs="宋体"/>
          <w:b/>
          <w:color w:val="auto"/>
          <w:sz w:val="28"/>
          <w:highlight w:val="none"/>
        </w:rPr>
      </w:pPr>
    </w:p>
    <w:p w14:paraId="28C1A8A9">
      <w:pPr>
        <w:keepNext w:val="0"/>
        <w:keepLines w:val="0"/>
        <w:pageBreakBefore w:val="0"/>
        <w:kinsoku/>
        <w:overflowPunct/>
        <w:topLinePunct w:val="0"/>
        <w:bidi w:val="0"/>
        <w:spacing w:line="360" w:lineRule="auto"/>
        <w:outlineLvl w:val="9"/>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附件1</w:t>
      </w:r>
      <w:r>
        <w:rPr>
          <w:rFonts w:hint="eastAsia" w:ascii="宋体" w:hAnsi="宋体" w:eastAsia="宋体" w:cs="宋体"/>
          <w:b/>
          <w:color w:val="auto"/>
          <w:sz w:val="28"/>
          <w:highlight w:val="none"/>
          <w:lang w:val="en-US" w:eastAsia="zh-CN"/>
        </w:rPr>
        <w:t>1</w:t>
      </w:r>
    </w:p>
    <w:p w14:paraId="12C3C1CA">
      <w:pPr>
        <w:pStyle w:val="42"/>
        <w:keepNext w:val="0"/>
        <w:keepLines w:val="0"/>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类似项目实施情况一览表</w:t>
      </w:r>
    </w:p>
    <w:p w14:paraId="2D8861E9">
      <w:pPr>
        <w:pStyle w:val="42"/>
        <w:keepNext w:val="0"/>
        <w:keepLines w:val="0"/>
        <w:pageBreakBefore w:val="0"/>
        <w:kinsoku/>
        <w:overflowPunct/>
        <w:topLinePunct w:val="0"/>
        <w:bidi w:val="0"/>
        <w:spacing w:line="360" w:lineRule="auto"/>
        <w:jc w:val="center"/>
        <w:outlineLvl w:val="9"/>
        <w:rPr>
          <w:rFonts w:hint="eastAsia" w:ascii="宋体" w:hAnsi="宋体" w:eastAsia="宋体" w:cs="宋体"/>
          <w:b/>
          <w:color w:val="auto"/>
          <w:sz w:val="28"/>
          <w:szCs w:val="28"/>
          <w:highlight w:val="none"/>
        </w:rPr>
      </w:pPr>
    </w:p>
    <w:tbl>
      <w:tblPr>
        <w:tblStyle w:val="22"/>
        <w:tblW w:w="93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2"/>
        <w:gridCol w:w="1309"/>
        <w:gridCol w:w="1307"/>
        <w:gridCol w:w="1230"/>
        <w:gridCol w:w="1418"/>
        <w:gridCol w:w="1351"/>
        <w:gridCol w:w="1990"/>
      </w:tblGrid>
      <w:tr w14:paraId="2DA7C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24" w:hRule="atLeast"/>
          <w:jc w:val="center"/>
        </w:trPr>
        <w:tc>
          <w:tcPr>
            <w:tcW w:w="712" w:type="dxa"/>
            <w:tcBorders>
              <w:top w:val="single" w:color="auto" w:sz="6" w:space="0"/>
              <w:left w:val="single" w:color="auto" w:sz="6" w:space="0"/>
              <w:bottom w:val="single" w:color="auto" w:sz="6" w:space="0"/>
              <w:right w:val="single" w:color="auto" w:sz="6" w:space="0"/>
            </w:tcBorders>
            <w:noWrap w:val="0"/>
            <w:vAlign w:val="center"/>
          </w:tcPr>
          <w:p w14:paraId="70BDC0FC">
            <w:pPr>
              <w:pStyle w:val="42"/>
              <w:keepNext w:val="0"/>
              <w:keepLines w:val="0"/>
              <w:pageBreakBefore w:val="0"/>
              <w:kinsoku/>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309" w:type="dxa"/>
            <w:tcBorders>
              <w:top w:val="single" w:color="auto" w:sz="6" w:space="0"/>
              <w:left w:val="single" w:color="auto" w:sz="6" w:space="0"/>
              <w:bottom w:val="single" w:color="auto" w:sz="6" w:space="0"/>
              <w:right w:val="single" w:color="auto" w:sz="6" w:space="0"/>
            </w:tcBorders>
            <w:noWrap w:val="0"/>
            <w:vAlign w:val="center"/>
          </w:tcPr>
          <w:p w14:paraId="09828957">
            <w:pPr>
              <w:pStyle w:val="42"/>
              <w:keepNext w:val="0"/>
              <w:keepLines w:val="0"/>
              <w:pageBreakBefore w:val="0"/>
              <w:kinsoku/>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tc>
        <w:tc>
          <w:tcPr>
            <w:tcW w:w="1307" w:type="dxa"/>
            <w:tcBorders>
              <w:top w:val="single" w:color="auto" w:sz="6" w:space="0"/>
              <w:left w:val="single" w:color="auto" w:sz="6" w:space="0"/>
              <w:bottom w:val="single" w:color="auto" w:sz="6" w:space="0"/>
              <w:right w:val="single" w:color="auto" w:sz="6" w:space="0"/>
            </w:tcBorders>
            <w:noWrap w:val="0"/>
            <w:vAlign w:val="center"/>
          </w:tcPr>
          <w:p w14:paraId="1C1BF3C5">
            <w:pPr>
              <w:pStyle w:val="42"/>
              <w:keepNext w:val="0"/>
              <w:keepLines w:val="0"/>
              <w:pageBreakBefore w:val="0"/>
              <w:kinsoku/>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项目地址</w:t>
            </w:r>
          </w:p>
        </w:tc>
        <w:tc>
          <w:tcPr>
            <w:tcW w:w="1230" w:type="dxa"/>
            <w:tcBorders>
              <w:top w:val="single" w:color="auto" w:sz="6" w:space="0"/>
              <w:left w:val="single" w:color="auto" w:sz="6" w:space="0"/>
              <w:bottom w:val="single" w:color="auto" w:sz="6" w:space="0"/>
              <w:right w:val="single" w:color="auto" w:sz="6" w:space="0"/>
            </w:tcBorders>
            <w:noWrap w:val="0"/>
            <w:vAlign w:val="center"/>
          </w:tcPr>
          <w:p w14:paraId="4B00A974">
            <w:pPr>
              <w:pStyle w:val="42"/>
              <w:keepNext w:val="0"/>
              <w:keepLines w:val="0"/>
              <w:pageBreakBefore w:val="0"/>
              <w:kinsoku/>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合同总价</w:t>
            </w:r>
          </w:p>
        </w:tc>
        <w:tc>
          <w:tcPr>
            <w:tcW w:w="1418" w:type="dxa"/>
            <w:tcBorders>
              <w:top w:val="single" w:color="auto" w:sz="6" w:space="0"/>
              <w:left w:val="single" w:color="auto" w:sz="6" w:space="0"/>
              <w:bottom w:val="single" w:color="auto" w:sz="6" w:space="0"/>
              <w:right w:val="single" w:color="auto" w:sz="6" w:space="0"/>
            </w:tcBorders>
            <w:noWrap w:val="0"/>
            <w:vAlign w:val="center"/>
          </w:tcPr>
          <w:p w14:paraId="26B2231D">
            <w:pPr>
              <w:pStyle w:val="42"/>
              <w:keepNext w:val="0"/>
              <w:keepLines w:val="0"/>
              <w:pageBreakBefore w:val="0"/>
              <w:kinsoku/>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实施时间</w:t>
            </w:r>
          </w:p>
        </w:tc>
        <w:tc>
          <w:tcPr>
            <w:tcW w:w="1351" w:type="dxa"/>
            <w:tcBorders>
              <w:top w:val="single" w:color="auto" w:sz="6" w:space="0"/>
              <w:left w:val="single" w:color="auto" w:sz="6" w:space="0"/>
              <w:bottom w:val="single" w:color="auto" w:sz="6" w:space="0"/>
              <w:right w:val="single" w:color="auto" w:sz="6" w:space="0"/>
            </w:tcBorders>
            <w:noWrap w:val="0"/>
            <w:vAlign w:val="center"/>
          </w:tcPr>
          <w:p w14:paraId="354F99FE">
            <w:pPr>
              <w:pStyle w:val="42"/>
              <w:keepNext w:val="0"/>
              <w:keepLines w:val="0"/>
              <w:pageBreakBefore w:val="0"/>
              <w:kinsoku/>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项目质量</w:t>
            </w:r>
          </w:p>
        </w:tc>
        <w:tc>
          <w:tcPr>
            <w:tcW w:w="1990" w:type="dxa"/>
            <w:tcBorders>
              <w:top w:val="single" w:color="auto" w:sz="6" w:space="0"/>
              <w:left w:val="single" w:color="auto" w:sz="6" w:space="0"/>
              <w:bottom w:val="single" w:color="auto" w:sz="6" w:space="0"/>
              <w:right w:val="single" w:color="auto" w:sz="6" w:space="0"/>
            </w:tcBorders>
            <w:noWrap w:val="0"/>
            <w:vAlign w:val="center"/>
          </w:tcPr>
          <w:p w14:paraId="59974355">
            <w:pPr>
              <w:pStyle w:val="42"/>
              <w:keepNext w:val="0"/>
              <w:keepLines w:val="0"/>
              <w:pageBreakBefore w:val="0"/>
              <w:kinsoku/>
              <w:overflowPunct/>
              <w:topLinePunct w:val="0"/>
              <w:bidi w:val="0"/>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项目单位名称</w:t>
            </w:r>
            <w:r>
              <w:rPr>
                <w:rFonts w:hint="eastAsia" w:ascii="宋体" w:hAnsi="宋体" w:eastAsia="宋体" w:cs="宋体"/>
                <w:b/>
                <w:bCs/>
                <w:color w:val="auto"/>
                <w:sz w:val="21"/>
                <w:szCs w:val="21"/>
                <w:highlight w:val="none"/>
                <w:lang w:eastAsia="zh-CN"/>
              </w:rPr>
              <w:t>及</w:t>
            </w:r>
            <w:r>
              <w:rPr>
                <w:rFonts w:hint="eastAsia" w:ascii="宋体" w:hAnsi="宋体" w:eastAsia="宋体" w:cs="宋体"/>
                <w:b/>
                <w:bCs/>
                <w:color w:val="auto"/>
                <w:sz w:val="21"/>
                <w:szCs w:val="21"/>
                <w:highlight w:val="none"/>
              </w:rPr>
              <w:t>联系人电话</w:t>
            </w:r>
          </w:p>
        </w:tc>
      </w:tr>
      <w:tr w14:paraId="7D5D2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2" w:type="dxa"/>
            <w:tcBorders>
              <w:top w:val="single" w:color="auto" w:sz="6" w:space="0"/>
              <w:left w:val="single" w:color="auto" w:sz="6" w:space="0"/>
              <w:bottom w:val="single" w:color="auto" w:sz="6" w:space="0"/>
              <w:right w:val="single" w:color="auto" w:sz="6" w:space="0"/>
            </w:tcBorders>
            <w:noWrap w:val="0"/>
            <w:vAlign w:val="top"/>
          </w:tcPr>
          <w:p w14:paraId="4C492BE1">
            <w:pPr>
              <w:pStyle w:val="42"/>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9" w:type="dxa"/>
            <w:tcBorders>
              <w:top w:val="single" w:color="auto" w:sz="6" w:space="0"/>
              <w:left w:val="single" w:color="auto" w:sz="6" w:space="0"/>
              <w:bottom w:val="single" w:color="auto" w:sz="6" w:space="0"/>
              <w:right w:val="single" w:color="auto" w:sz="6" w:space="0"/>
            </w:tcBorders>
            <w:noWrap w:val="0"/>
            <w:vAlign w:val="top"/>
          </w:tcPr>
          <w:p w14:paraId="1DD13C1E">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07" w:type="dxa"/>
            <w:tcBorders>
              <w:top w:val="single" w:color="auto" w:sz="6" w:space="0"/>
              <w:left w:val="single" w:color="auto" w:sz="6" w:space="0"/>
              <w:bottom w:val="single" w:color="auto" w:sz="6" w:space="0"/>
              <w:right w:val="single" w:color="auto" w:sz="6" w:space="0"/>
            </w:tcBorders>
            <w:noWrap w:val="0"/>
            <w:vAlign w:val="top"/>
          </w:tcPr>
          <w:p w14:paraId="7BA0074A">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230" w:type="dxa"/>
            <w:tcBorders>
              <w:top w:val="single" w:color="auto" w:sz="6" w:space="0"/>
              <w:left w:val="single" w:color="auto" w:sz="6" w:space="0"/>
              <w:bottom w:val="single" w:color="auto" w:sz="6" w:space="0"/>
              <w:right w:val="single" w:color="auto" w:sz="6" w:space="0"/>
            </w:tcBorders>
            <w:noWrap w:val="0"/>
            <w:vAlign w:val="top"/>
          </w:tcPr>
          <w:p w14:paraId="6B25998E">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BE1C029">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51" w:type="dxa"/>
            <w:tcBorders>
              <w:top w:val="single" w:color="auto" w:sz="6" w:space="0"/>
              <w:left w:val="single" w:color="auto" w:sz="6" w:space="0"/>
              <w:bottom w:val="single" w:color="auto" w:sz="6" w:space="0"/>
              <w:right w:val="single" w:color="auto" w:sz="6" w:space="0"/>
            </w:tcBorders>
            <w:noWrap w:val="0"/>
            <w:vAlign w:val="top"/>
          </w:tcPr>
          <w:p w14:paraId="6A6523EE">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990" w:type="dxa"/>
            <w:tcBorders>
              <w:top w:val="single" w:color="auto" w:sz="6" w:space="0"/>
              <w:left w:val="single" w:color="auto" w:sz="6" w:space="0"/>
              <w:bottom w:val="single" w:color="auto" w:sz="6" w:space="0"/>
              <w:right w:val="single" w:color="auto" w:sz="6" w:space="0"/>
            </w:tcBorders>
            <w:noWrap w:val="0"/>
            <w:vAlign w:val="top"/>
          </w:tcPr>
          <w:p w14:paraId="4461667D">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r>
      <w:tr w14:paraId="737B3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712" w:type="dxa"/>
            <w:tcBorders>
              <w:top w:val="single" w:color="auto" w:sz="6" w:space="0"/>
              <w:left w:val="single" w:color="auto" w:sz="6" w:space="0"/>
              <w:bottom w:val="single" w:color="auto" w:sz="6" w:space="0"/>
              <w:right w:val="single" w:color="auto" w:sz="6" w:space="0"/>
            </w:tcBorders>
            <w:noWrap w:val="0"/>
            <w:vAlign w:val="top"/>
          </w:tcPr>
          <w:p w14:paraId="7ACB75AC">
            <w:pPr>
              <w:pStyle w:val="42"/>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09" w:type="dxa"/>
            <w:tcBorders>
              <w:top w:val="single" w:color="auto" w:sz="6" w:space="0"/>
              <w:left w:val="single" w:color="auto" w:sz="6" w:space="0"/>
              <w:bottom w:val="single" w:color="auto" w:sz="6" w:space="0"/>
              <w:right w:val="single" w:color="auto" w:sz="6" w:space="0"/>
            </w:tcBorders>
            <w:noWrap w:val="0"/>
            <w:vAlign w:val="top"/>
          </w:tcPr>
          <w:p w14:paraId="17679368">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07" w:type="dxa"/>
            <w:tcBorders>
              <w:top w:val="single" w:color="auto" w:sz="6" w:space="0"/>
              <w:left w:val="single" w:color="auto" w:sz="6" w:space="0"/>
              <w:bottom w:val="single" w:color="auto" w:sz="6" w:space="0"/>
              <w:right w:val="single" w:color="auto" w:sz="6" w:space="0"/>
            </w:tcBorders>
            <w:noWrap w:val="0"/>
            <w:vAlign w:val="top"/>
          </w:tcPr>
          <w:p w14:paraId="5811FDDC">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230" w:type="dxa"/>
            <w:tcBorders>
              <w:top w:val="single" w:color="auto" w:sz="6" w:space="0"/>
              <w:left w:val="single" w:color="auto" w:sz="6" w:space="0"/>
              <w:bottom w:val="single" w:color="auto" w:sz="6" w:space="0"/>
              <w:right w:val="single" w:color="auto" w:sz="6" w:space="0"/>
            </w:tcBorders>
            <w:noWrap w:val="0"/>
            <w:vAlign w:val="top"/>
          </w:tcPr>
          <w:p w14:paraId="7B11AA57">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DE38C9F">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51" w:type="dxa"/>
            <w:tcBorders>
              <w:top w:val="single" w:color="auto" w:sz="6" w:space="0"/>
              <w:left w:val="single" w:color="auto" w:sz="6" w:space="0"/>
              <w:bottom w:val="single" w:color="auto" w:sz="6" w:space="0"/>
              <w:right w:val="single" w:color="auto" w:sz="6" w:space="0"/>
            </w:tcBorders>
            <w:noWrap w:val="0"/>
            <w:vAlign w:val="top"/>
          </w:tcPr>
          <w:p w14:paraId="1A239304">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990" w:type="dxa"/>
            <w:tcBorders>
              <w:top w:val="single" w:color="auto" w:sz="6" w:space="0"/>
              <w:left w:val="single" w:color="auto" w:sz="6" w:space="0"/>
              <w:bottom w:val="single" w:color="auto" w:sz="6" w:space="0"/>
              <w:right w:val="single" w:color="auto" w:sz="6" w:space="0"/>
            </w:tcBorders>
            <w:noWrap w:val="0"/>
            <w:vAlign w:val="top"/>
          </w:tcPr>
          <w:p w14:paraId="1475714D">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r>
      <w:tr w14:paraId="324CD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2" w:hRule="atLeast"/>
          <w:jc w:val="center"/>
        </w:trPr>
        <w:tc>
          <w:tcPr>
            <w:tcW w:w="712" w:type="dxa"/>
            <w:tcBorders>
              <w:top w:val="single" w:color="auto" w:sz="6" w:space="0"/>
              <w:left w:val="single" w:color="auto" w:sz="6" w:space="0"/>
              <w:bottom w:val="single" w:color="auto" w:sz="6" w:space="0"/>
              <w:right w:val="single" w:color="auto" w:sz="6" w:space="0"/>
            </w:tcBorders>
            <w:noWrap w:val="0"/>
            <w:vAlign w:val="top"/>
          </w:tcPr>
          <w:p w14:paraId="34CA12C7">
            <w:pPr>
              <w:pStyle w:val="42"/>
              <w:keepNext w:val="0"/>
              <w:keepLines w:val="0"/>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09" w:type="dxa"/>
            <w:tcBorders>
              <w:top w:val="single" w:color="auto" w:sz="6" w:space="0"/>
              <w:left w:val="single" w:color="auto" w:sz="6" w:space="0"/>
              <w:bottom w:val="single" w:color="auto" w:sz="6" w:space="0"/>
              <w:right w:val="single" w:color="auto" w:sz="6" w:space="0"/>
            </w:tcBorders>
            <w:noWrap w:val="0"/>
            <w:vAlign w:val="top"/>
          </w:tcPr>
          <w:p w14:paraId="03B29878">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07" w:type="dxa"/>
            <w:tcBorders>
              <w:top w:val="single" w:color="auto" w:sz="6" w:space="0"/>
              <w:left w:val="single" w:color="auto" w:sz="6" w:space="0"/>
              <w:bottom w:val="single" w:color="auto" w:sz="6" w:space="0"/>
              <w:right w:val="single" w:color="auto" w:sz="6" w:space="0"/>
            </w:tcBorders>
            <w:noWrap w:val="0"/>
            <w:vAlign w:val="top"/>
          </w:tcPr>
          <w:p w14:paraId="18111E81">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230" w:type="dxa"/>
            <w:tcBorders>
              <w:top w:val="single" w:color="auto" w:sz="6" w:space="0"/>
              <w:left w:val="single" w:color="auto" w:sz="6" w:space="0"/>
              <w:bottom w:val="single" w:color="auto" w:sz="6" w:space="0"/>
              <w:right w:val="single" w:color="auto" w:sz="6" w:space="0"/>
            </w:tcBorders>
            <w:noWrap w:val="0"/>
            <w:vAlign w:val="top"/>
          </w:tcPr>
          <w:p w14:paraId="6C665F07">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1AB6268">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51" w:type="dxa"/>
            <w:tcBorders>
              <w:top w:val="single" w:color="auto" w:sz="6" w:space="0"/>
              <w:left w:val="single" w:color="auto" w:sz="6" w:space="0"/>
              <w:bottom w:val="single" w:color="auto" w:sz="6" w:space="0"/>
              <w:right w:val="single" w:color="auto" w:sz="6" w:space="0"/>
            </w:tcBorders>
            <w:noWrap w:val="0"/>
            <w:vAlign w:val="top"/>
          </w:tcPr>
          <w:p w14:paraId="3568D06A">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990" w:type="dxa"/>
            <w:tcBorders>
              <w:top w:val="single" w:color="auto" w:sz="6" w:space="0"/>
              <w:left w:val="single" w:color="auto" w:sz="6" w:space="0"/>
              <w:bottom w:val="single" w:color="auto" w:sz="6" w:space="0"/>
              <w:right w:val="single" w:color="auto" w:sz="6" w:space="0"/>
            </w:tcBorders>
            <w:noWrap w:val="0"/>
            <w:vAlign w:val="top"/>
          </w:tcPr>
          <w:p w14:paraId="53FC20BC">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r>
      <w:tr w14:paraId="4A58C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12" w:type="dxa"/>
            <w:tcBorders>
              <w:top w:val="single" w:color="auto" w:sz="6" w:space="0"/>
              <w:left w:val="single" w:color="auto" w:sz="6" w:space="0"/>
              <w:bottom w:val="single" w:color="auto" w:sz="6" w:space="0"/>
              <w:right w:val="single" w:color="auto" w:sz="6" w:space="0"/>
            </w:tcBorders>
            <w:noWrap w:val="0"/>
            <w:vAlign w:val="top"/>
          </w:tcPr>
          <w:p w14:paraId="1D307A7E">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09" w:type="dxa"/>
            <w:tcBorders>
              <w:top w:val="single" w:color="auto" w:sz="6" w:space="0"/>
              <w:left w:val="single" w:color="auto" w:sz="6" w:space="0"/>
              <w:bottom w:val="single" w:color="auto" w:sz="6" w:space="0"/>
              <w:right w:val="single" w:color="auto" w:sz="6" w:space="0"/>
            </w:tcBorders>
            <w:noWrap w:val="0"/>
            <w:vAlign w:val="top"/>
          </w:tcPr>
          <w:p w14:paraId="379FB8DD">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07" w:type="dxa"/>
            <w:tcBorders>
              <w:top w:val="single" w:color="auto" w:sz="6" w:space="0"/>
              <w:left w:val="single" w:color="auto" w:sz="6" w:space="0"/>
              <w:bottom w:val="single" w:color="auto" w:sz="6" w:space="0"/>
              <w:right w:val="single" w:color="auto" w:sz="6" w:space="0"/>
            </w:tcBorders>
            <w:noWrap w:val="0"/>
            <w:vAlign w:val="top"/>
          </w:tcPr>
          <w:p w14:paraId="091FCE4B">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230" w:type="dxa"/>
            <w:tcBorders>
              <w:top w:val="single" w:color="auto" w:sz="6" w:space="0"/>
              <w:left w:val="single" w:color="auto" w:sz="6" w:space="0"/>
              <w:bottom w:val="single" w:color="auto" w:sz="6" w:space="0"/>
              <w:right w:val="single" w:color="auto" w:sz="6" w:space="0"/>
            </w:tcBorders>
            <w:noWrap w:val="0"/>
            <w:vAlign w:val="top"/>
          </w:tcPr>
          <w:p w14:paraId="5552A0AB">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89D935F">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51" w:type="dxa"/>
            <w:tcBorders>
              <w:top w:val="single" w:color="auto" w:sz="6" w:space="0"/>
              <w:left w:val="single" w:color="auto" w:sz="6" w:space="0"/>
              <w:bottom w:val="single" w:color="auto" w:sz="6" w:space="0"/>
              <w:right w:val="single" w:color="auto" w:sz="6" w:space="0"/>
            </w:tcBorders>
            <w:noWrap w:val="0"/>
            <w:vAlign w:val="top"/>
          </w:tcPr>
          <w:p w14:paraId="6ABA970A">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990" w:type="dxa"/>
            <w:tcBorders>
              <w:top w:val="single" w:color="auto" w:sz="6" w:space="0"/>
              <w:left w:val="single" w:color="auto" w:sz="6" w:space="0"/>
              <w:bottom w:val="single" w:color="auto" w:sz="6" w:space="0"/>
              <w:right w:val="single" w:color="auto" w:sz="6" w:space="0"/>
            </w:tcBorders>
            <w:noWrap w:val="0"/>
            <w:vAlign w:val="top"/>
          </w:tcPr>
          <w:p w14:paraId="5F2E64B5">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r>
      <w:tr w14:paraId="745D3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12" w:type="dxa"/>
            <w:tcBorders>
              <w:top w:val="single" w:color="auto" w:sz="6" w:space="0"/>
              <w:left w:val="single" w:color="auto" w:sz="6" w:space="0"/>
              <w:bottom w:val="single" w:color="auto" w:sz="6" w:space="0"/>
              <w:right w:val="single" w:color="auto" w:sz="6" w:space="0"/>
            </w:tcBorders>
            <w:noWrap w:val="0"/>
            <w:vAlign w:val="top"/>
          </w:tcPr>
          <w:p w14:paraId="658655F9">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09" w:type="dxa"/>
            <w:tcBorders>
              <w:top w:val="single" w:color="auto" w:sz="6" w:space="0"/>
              <w:left w:val="single" w:color="auto" w:sz="6" w:space="0"/>
              <w:bottom w:val="single" w:color="auto" w:sz="6" w:space="0"/>
              <w:right w:val="single" w:color="auto" w:sz="6" w:space="0"/>
            </w:tcBorders>
            <w:noWrap w:val="0"/>
            <w:vAlign w:val="top"/>
          </w:tcPr>
          <w:p w14:paraId="65CFA958">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07" w:type="dxa"/>
            <w:tcBorders>
              <w:top w:val="single" w:color="auto" w:sz="6" w:space="0"/>
              <w:left w:val="single" w:color="auto" w:sz="6" w:space="0"/>
              <w:bottom w:val="single" w:color="auto" w:sz="6" w:space="0"/>
              <w:right w:val="single" w:color="auto" w:sz="6" w:space="0"/>
            </w:tcBorders>
            <w:noWrap w:val="0"/>
            <w:vAlign w:val="top"/>
          </w:tcPr>
          <w:p w14:paraId="30F72EAF">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230" w:type="dxa"/>
            <w:tcBorders>
              <w:top w:val="single" w:color="auto" w:sz="6" w:space="0"/>
              <w:left w:val="single" w:color="auto" w:sz="6" w:space="0"/>
              <w:bottom w:val="single" w:color="auto" w:sz="6" w:space="0"/>
              <w:right w:val="single" w:color="auto" w:sz="6" w:space="0"/>
            </w:tcBorders>
            <w:noWrap w:val="0"/>
            <w:vAlign w:val="top"/>
          </w:tcPr>
          <w:p w14:paraId="10C1AF3E">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4C842DF">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51" w:type="dxa"/>
            <w:tcBorders>
              <w:top w:val="single" w:color="auto" w:sz="6" w:space="0"/>
              <w:left w:val="single" w:color="auto" w:sz="6" w:space="0"/>
              <w:bottom w:val="single" w:color="auto" w:sz="6" w:space="0"/>
              <w:right w:val="single" w:color="auto" w:sz="6" w:space="0"/>
            </w:tcBorders>
            <w:noWrap w:val="0"/>
            <w:vAlign w:val="top"/>
          </w:tcPr>
          <w:p w14:paraId="4354EB44">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990" w:type="dxa"/>
            <w:tcBorders>
              <w:top w:val="single" w:color="auto" w:sz="6" w:space="0"/>
              <w:left w:val="single" w:color="auto" w:sz="6" w:space="0"/>
              <w:bottom w:val="single" w:color="auto" w:sz="6" w:space="0"/>
              <w:right w:val="single" w:color="auto" w:sz="6" w:space="0"/>
            </w:tcBorders>
            <w:noWrap w:val="0"/>
            <w:vAlign w:val="top"/>
          </w:tcPr>
          <w:p w14:paraId="02307767">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r>
      <w:tr w14:paraId="393FF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12" w:type="dxa"/>
            <w:tcBorders>
              <w:top w:val="single" w:color="auto" w:sz="6" w:space="0"/>
              <w:left w:val="single" w:color="auto" w:sz="6" w:space="0"/>
              <w:bottom w:val="single" w:color="auto" w:sz="6" w:space="0"/>
              <w:right w:val="single" w:color="auto" w:sz="6" w:space="0"/>
            </w:tcBorders>
            <w:noWrap w:val="0"/>
            <w:vAlign w:val="top"/>
          </w:tcPr>
          <w:p w14:paraId="49EF466B">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09" w:type="dxa"/>
            <w:tcBorders>
              <w:top w:val="single" w:color="auto" w:sz="6" w:space="0"/>
              <w:left w:val="single" w:color="auto" w:sz="6" w:space="0"/>
              <w:bottom w:val="single" w:color="auto" w:sz="6" w:space="0"/>
              <w:right w:val="single" w:color="auto" w:sz="6" w:space="0"/>
            </w:tcBorders>
            <w:noWrap w:val="0"/>
            <w:vAlign w:val="top"/>
          </w:tcPr>
          <w:p w14:paraId="513831FF">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07" w:type="dxa"/>
            <w:tcBorders>
              <w:top w:val="single" w:color="auto" w:sz="6" w:space="0"/>
              <w:left w:val="single" w:color="auto" w:sz="6" w:space="0"/>
              <w:bottom w:val="single" w:color="auto" w:sz="6" w:space="0"/>
              <w:right w:val="single" w:color="auto" w:sz="6" w:space="0"/>
            </w:tcBorders>
            <w:noWrap w:val="0"/>
            <w:vAlign w:val="top"/>
          </w:tcPr>
          <w:p w14:paraId="3857358E">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230" w:type="dxa"/>
            <w:tcBorders>
              <w:top w:val="single" w:color="auto" w:sz="6" w:space="0"/>
              <w:left w:val="single" w:color="auto" w:sz="6" w:space="0"/>
              <w:bottom w:val="single" w:color="auto" w:sz="6" w:space="0"/>
              <w:right w:val="single" w:color="auto" w:sz="6" w:space="0"/>
            </w:tcBorders>
            <w:noWrap w:val="0"/>
            <w:vAlign w:val="top"/>
          </w:tcPr>
          <w:p w14:paraId="685E4FD8">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2B1B764E">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51" w:type="dxa"/>
            <w:tcBorders>
              <w:top w:val="single" w:color="auto" w:sz="6" w:space="0"/>
              <w:left w:val="single" w:color="auto" w:sz="6" w:space="0"/>
              <w:bottom w:val="single" w:color="auto" w:sz="6" w:space="0"/>
              <w:right w:val="single" w:color="auto" w:sz="6" w:space="0"/>
            </w:tcBorders>
            <w:noWrap w:val="0"/>
            <w:vAlign w:val="top"/>
          </w:tcPr>
          <w:p w14:paraId="090B17EB">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990" w:type="dxa"/>
            <w:tcBorders>
              <w:top w:val="single" w:color="auto" w:sz="6" w:space="0"/>
              <w:left w:val="single" w:color="auto" w:sz="6" w:space="0"/>
              <w:bottom w:val="single" w:color="auto" w:sz="6" w:space="0"/>
              <w:right w:val="single" w:color="auto" w:sz="6" w:space="0"/>
            </w:tcBorders>
            <w:noWrap w:val="0"/>
            <w:vAlign w:val="top"/>
          </w:tcPr>
          <w:p w14:paraId="599514A7">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r>
      <w:tr w14:paraId="55BE0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712" w:type="dxa"/>
            <w:tcBorders>
              <w:top w:val="single" w:color="auto" w:sz="6" w:space="0"/>
              <w:left w:val="single" w:color="auto" w:sz="6" w:space="0"/>
              <w:bottom w:val="single" w:color="auto" w:sz="6" w:space="0"/>
              <w:right w:val="single" w:color="auto" w:sz="6" w:space="0"/>
            </w:tcBorders>
            <w:noWrap w:val="0"/>
            <w:vAlign w:val="top"/>
          </w:tcPr>
          <w:p w14:paraId="282C15A0">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09" w:type="dxa"/>
            <w:tcBorders>
              <w:top w:val="single" w:color="auto" w:sz="6" w:space="0"/>
              <w:left w:val="single" w:color="auto" w:sz="6" w:space="0"/>
              <w:bottom w:val="single" w:color="auto" w:sz="6" w:space="0"/>
              <w:right w:val="single" w:color="auto" w:sz="6" w:space="0"/>
            </w:tcBorders>
            <w:noWrap w:val="0"/>
            <w:vAlign w:val="top"/>
          </w:tcPr>
          <w:p w14:paraId="5BD64FEA">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07" w:type="dxa"/>
            <w:tcBorders>
              <w:top w:val="single" w:color="auto" w:sz="6" w:space="0"/>
              <w:left w:val="single" w:color="auto" w:sz="6" w:space="0"/>
              <w:bottom w:val="single" w:color="auto" w:sz="6" w:space="0"/>
              <w:right w:val="single" w:color="auto" w:sz="6" w:space="0"/>
            </w:tcBorders>
            <w:noWrap w:val="0"/>
            <w:vAlign w:val="top"/>
          </w:tcPr>
          <w:p w14:paraId="043D9F0E">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230" w:type="dxa"/>
            <w:tcBorders>
              <w:top w:val="single" w:color="auto" w:sz="6" w:space="0"/>
              <w:left w:val="single" w:color="auto" w:sz="6" w:space="0"/>
              <w:bottom w:val="single" w:color="auto" w:sz="6" w:space="0"/>
              <w:right w:val="single" w:color="auto" w:sz="6" w:space="0"/>
            </w:tcBorders>
            <w:noWrap w:val="0"/>
            <w:vAlign w:val="top"/>
          </w:tcPr>
          <w:p w14:paraId="35B92183">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AEEE03A">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351" w:type="dxa"/>
            <w:tcBorders>
              <w:top w:val="single" w:color="auto" w:sz="6" w:space="0"/>
              <w:left w:val="single" w:color="auto" w:sz="6" w:space="0"/>
              <w:bottom w:val="single" w:color="auto" w:sz="6" w:space="0"/>
              <w:right w:val="single" w:color="auto" w:sz="6" w:space="0"/>
            </w:tcBorders>
            <w:noWrap w:val="0"/>
            <w:vAlign w:val="top"/>
          </w:tcPr>
          <w:p w14:paraId="5F958BD6">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c>
          <w:tcPr>
            <w:tcW w:w="1990" w:type="dxa"/>
            <w:tcBorders>
              <w:top w:val="single" w:color="auto" w:sz="6" w:space="0"/>
              <w:left w:val="single" w:color="auto" w:sz="6" w:space="0"/>
              <w:bottom w:val="single" w:color="auto" w:sz="6" w:space="0"/>
              <w:right w:val="single" w:color="auto" w:sz="6" w:space="0"/>
            </w:tcBorders>
            <w:noWrap w:val="0"/>
            <w:vAlign w:val="top"/>
          </w:tcPr>
          <w:p w14:paraId="1BDFDCC4">
            <w:pPr>
              <w:pStyle w:val="42"/>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tc>
      </w:tr>
    </w:tbl>
    <w:p w14:paraId="699F0F3E">
      <w:pPr>
        <w:keepNext w:val="0"/>
        <w:keepLines w:val="0"/>
        <w:pageBreakBefore w:val="0"/>
        <w:kinsoku/>
        <w:overflowPunct/>
        <w:topLinePunct w:val="0"/>
        <w:autoSpaceDE w:val="0"/>
        <w:autoSpaceDN w:val="0"/>
        <w:bidi w:val="0"/>
        <w:adjustRightInd w:val="0"/>
        <w:spacing w:before="156" w:beforeLines="50"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要求：</w:t>
      </w:r>
    </w:p>
    <w:p w14:paraId="1C853A24">
      <w:pPr>
        <w:keepNext w:val="0"/>
        <w:keepLines w:val="0"/>
        <w:pageBreakBefore w:val="0"/>
        <w:kinsoku/>
        <w:overflowPunct/>
        <w:topLinePunct w:val="0"/>
        <w:autoSpaceDE w:val="0"/>
        <w:autoSpaceDN w:val="0"/>
        <w:bidi w:val="0"/>
        <w:adjustRightInd w:val="0"/>
        <w:spacing w:before="156" w:beforeLines="50" w:line="360" w:lineRule="auto"/>
        <w:ind w:firstLine="424" w:firstLineChars="202"/>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业绩证明应提供证明材料（合同复印件可只提供首页、含金额页、盖章页并加盖磋商供应商公章）；</w:t>
      </w:r>
    </w:p>
    <w:p w14:paraId="6010E9A0">
      <w:pPr>
        <w:keepNext w:val="0"/>
        <w:keepLines w:val="0"/>
        <w:pageBreakBefore w:val="0"/>
        <w:kinsoku/>
        <w:overflowPunct/>
        <w:topLinePunct w:val="0"/>
        <w:bidi w:val="0"/>
        <w:spacing w:line="360" w:lineRule="auto"/>
        <w:ind w:firstLine="424" w:firstLineChars="202"/>
        <w:jc w:val="left"/>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磋商供应商可按此表格式复制。</w:t>
      </w:r>
    </w:p>
    <w:p w14:paraId="0A587F97">
      <w:pPr>
        <w:keepNext w:val="0"/>
        <w:keepLines w:val="0"/>
        <w:pageBreakBefore w:val="0"/>
        <w:kinsoku/>
        <w:overflowPunct/>
        <w:topLinePunct w:val="0"/>
        <w:bidi w:val="0"/>
        <w:spacing w:line="360" w:lineRule="auto"/>
        <w:outlineLvl w:val="9"/>
        <w:rPr>
          <w:rFonts w:hint="eastAsia" w:ascii="宋体" w:hAnsi="宋体" w:eastAsia="宋体" w:cs="宋体"/>
          <w:color w:val="auto"/>
          <w:sz w:val="22"/>
          <w:szCs w:val="22"/>
          <w:highlight w:val="none"/>
        </w:rPr>
      </w:pPr>
    </w:p>
    <w:p w14:paraId="4F0DFE6B">
      <w:pPr>
        <w:keepNext w:val="0"/>
        <w:keepLines w:val="0"/>
        <w:pageBreakBefore w:val="0"/>
        <w:kinsoku/>
        <w:overflowPunct/>
        <w:topLinePunct w:val="0"/>
        <w:bidi w:val="0"/>
        <w:spacing w:line="360" w:lineRule="auto"/>
        <w:ind w:left="42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8A4C854">
      <w:pPr>
        <w:keepNext w:val="0"/>
        <w:keepLines w:val="0"/>
        <w:pageBreakBefore w:val="0"/>
        <w:kinsoku/>
        <w:overflowPunct/>
        <w:topLinePunct w:val="0"/>
        <w:bidi w:val="0"/>
        <w:spacing w:line="360" w:lineRule="auto"/>
        <w:ind w:left="420"/>
        <w:outlineLvl w:val="9"/>
        <w:rPr>
          <w:rFonts w:hint="eastAsia" w:ascii="宋体" w:hAnsi="宋体" w:eastAsia="宋体" w:cs="宋体"/>
          <w:color w:val="auto"/>
          <w:sz w:val="21"/>
          <w:szCs w:val="21"/>
          <w:highlight w:val="none"/>
        </w:rPr>
      </w:pPr>
    </w:p>
    <w:p w14:paraId="4329496C">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lang w:eastAsia="zh-CN"/>
        </w:rPr>
        <w:t>法定代表人或授</w:t>
      </w:r>
      <w:r>
        <w:rPr>
          <w:rFonts w:hint="eastAsia" w:ascii="宋体" w:hAnsi="宋体"/>
          <w:color w:val="auto"/>
          <w:sz w:val="21"/>
          <w:szCs w:val="21"/>
          <w:highlight w:val="none"/>
          <w:lang w:eastAsia="zh-CN"/>
        </w:rPr>
        <w:t>权委托代理人</w:t>
      </w:r>
      <w:r>
        <w:rPr>
          <w:rFonts w:hint="eastAsia" w:ascii="宋体" w:hAnsi="宋体" w:eastAsia="宋体" w:cs="宋体"/>
          <w:color w:val="auto"/>
          <w:szCs w:val="21"/>
          <w:highlight w:val="none"/>
        </w:rPr>
        <w:t>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9C1768A">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p>
    <w:p w14:paraId="39526D0C">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00ADAF46">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p>
    <w:p w14:paraId="22B80857">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31E13631">
      <w:pPr>
        <w:keepNext w:val="0"/>
        <w:keepLines w:val="0"/>
        <w:pageBreakBefore w:val="0"/>
        <w:tabs>
          <w:tab w:val="left" w:pos="2460"/>
        </w:tabs>
        <w:kinsoku/>
        <w:overflowPunct/>
        <w:topLinePunct w:val="0"/>
        <w:bidi w:val="0"/>
        <w:spacing w:line="360" w:lineRule="auto"/>
        <w:outlineLvl w:val="9"/>
        <w:rPr>
          <w:rFonts w:hint="eastAsia" w:ascii="宋体" w:hAnsi="宋体" w:eastAsia="宋体" w:cs="宋体"/>
          <w:b/>
          <w:color w:val="auto"/>
          <w:sz w:val="28"/>
          <w:highlight w:val="none"/>
        </w:rPr>
      </w:pPr>
    </w:p>
    <w:p w14:paraId="5DAE4CE6">
      <w:pPr>
        <w:keepNext w:val="0"/>
        <w:keepLines w:val="0"/>
        <w:pageBreakBefore w:val="0"/>
        <w:tabs>
          <w:tab w:val="left" w:pos="2460"/>
        </w:tabs>
        <w:kinsoku/>
        <w:overflowPunct/>
        <w:topLinePunct w:val="0"/>
        <w:bidi w:val="0"/>
        <w:spacing w:line="360" w:lineRule="auto"/>
        <w:outlineLvl w:val="9"/>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附件1</w:t>
      </w:r>
      <w:r>
        <w:rPr>
          <w:rFonts w:hint="eastAsia" w:ascii="宋体" w:hAnsi="宋体" w:eastAsia="宋体" w:cs="宋体"/>
          <w:b/>
          <w:color w:val="auto"/>
          <w:sz w:val="28"/>
          <w:highlight w:val="none"/>
          <w:lang w:val="en-US" w:eastAsia="zh-CN"/>
        </w:rPr>
        <w:t>2</w:t>
      </w:r>
      <w:r>
        <w:rPr>
          <w:rFonts w:hint="eastAsia" w:ascii="宋体" w:hAnsi="宋体" w:eastAsia="宋体" w:cs="宋体"/>
          <w:b/>
          <w:color w:val="auto"/>
          <w:sz w:val="28"/>
          <w:highlight w:val="none"/>
        </w:rPr>
        <w:t xml:space="preserve">  </w:t>
      </w:r>
      <w:r>
        <w:rPr>
          <w:rFonts w:hint="eastAsia" w:ascii="宋体" w:hAnsi="宋体" w:eastAsia="宋体" w:cs="宋体"/>
          <w:b/>
          <w:color w:val="auto"/>
          <w:sz w:val="28"/>
          <w:highlight w:val="none"/>
        </w:rPr>
        <w:tab/>
      </w:r>
    </w:p>
    <w:p w14:paraId="459FA75B">
      <w:pPr>
        <w:keepNext w:val="0"/>
        <w:keepLines w:val="0"/>
        <w:pageBreakBefore w:val="0"/>
        <w:kinsoku/>
        <w:overflowPunct/>
        <w:topLinePunct w:val="0"/>
        <w:bidi w:val="0"/>
        <w:spacing w:line="360" w:lineRule="auto"/>
        <w:ind w:firstLine="435"/>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售后服务情况表</w:t>
      </w:r>
    </w:p>
    <w:p w14:paraId="35B3FEA8">
      <w:pPr>
        <w:keepNext w:val="0"/>
        <w:keepLines w:val="0"/>
        <w:pageBreakBefore w:val="0"/>
        <w:kinsoku/>
        <w:overflowPunct/>
        <w:topLinePunct w:val="0"/>
        <w:bidi w:val="0"/>
        <w:spacing w:line="360" w:lineRule="auto"/>
        <w:ind w:firstLine="435"/>
        <w:jc w:val="center"/>
        <w:outlineLvl w:val="9"/>
        <w:rPr>
          <w:rFonts w:hint="eastAsia" w:ascii="宋体" w:hAnsi="宋体" w:eastAsia="宋体" w:cs="宋体"/>
          <w:b/>
          <w:color w:val="auto"/>
          <w:sz w:val="36"/>
          <w:szCs w:val="36"/>
          <w:highlight w:val="none"/>
        </w:rPr>
      </w:pPr>
    </w:p>
    <w:tbl>
      <w:tblPr>
        <w:tblStyle w:val="22"/>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9"/>
        <w:gridCol w:w="2355"/>
        <w:gridCol w:w="4061"/>
        <w:gridCol w:w="1373"/>
      </w:tblGrid>
      <w:tr w14:paraId="5F874D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8" w:hRule="atLeast"/>
          <w:jc w:val="center"/>
        </w:trPr>
        <w:tc>
          <w:tcPr>
            <w:tcW w:w="739" w:type="dxa"/>
            <w:noWrap w:val="0"/>
            <w:vAlign w:val="center"/>
          </w:tcPr>
          <w:p w14:paraId="1F560663">
            <w:pPr>
              <w:pStyle w:val="44"/>
              <w:keepNext w:val="0"/>
              <w:keepLines w:val="0"/>
              <w:pageBreakBefore w:val="0"/>
              <w:kinsoku/>
              <w:overflowPunct/>
              <w:topLinePunct w:val="0"/>
              <w:bidi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355" w:type="dxa"/>
            <w:noWrap w:val="0"/>
            <w:vAlign w:val="center"/>
          </w:tcPr>
          <w:p w14:paraId="72925F21">
            <w:pPr>
              <w:pStyle w:val="44"/>
              <w:keepNext w:val="0"/>
              <w:keepLines w:val="0"/>
              <w:pageBreakBefore w:val="0"/>
              <w:kinsoku/>
              <w:overflowPunct/>
              <w:topLinePunct w:val="0"/>
              <w:bidi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4061" w:type="dxa"/>
            <w:noWrap w:val="0"/>
            <w:vAlign w:val="center"/>
          </w:tcPr>
          <w:p w14:paraId="108610C3">
            <w:pPr>
              <w:pStyle w:val="44"/>
              <w:keepNext w:val="0"/>
              <w:keepLines w:val="0"/>
              <w:pageBreakBefore w:val="0"/>
              <w:kinsoku/>
              <w:overflowPunct/>
              <w:topLinePunct w:val="0"/>
              <w:bidi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磋商供应商承诺</w:t>
            </w:r>
          </w:p>
        </w:tc>
        <w:tc>
          <w:tcPr>
            <w:tcW w:w="1373" w:type="dxa"/>
            <w:noWrap w:val="0"/>
            <w:vAlign w:val="center"/>
          </w:tcPr>
          <w:p w14:paraId="07BF23B0">
            <w:pPr>
              <w:pStyle w:val="44"/>
              <w:keepNext w:val="0"/>
              <w:keepLines w:val="0"/>
              <w:pageBreakBefore w:val="0"/>
              <w:kinsoku/>
              <w:overflowPunct/>
              <w:topLinePunct w:val="0"/>
              <w:bidi w:val="0"/>
              <w:spacing w:line="360" w:lineRule="auto"/>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436A20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739" w:type="dxa"/>
            <w:noWrap w:val="0"/>
            <w:vAlign w:val="center"/>
          </w:tcPr>
          <w:p w14:paraId="219F5E23">
            <w:pPr>
              <w:pStyle w:val="44"/>
              <w:keepNext w:val="0"/>
              <w:keepLines w:val="0"/>
              <w:pageBreakBefore w:val="0"/>
              <w:kinsoku/>
              <w:overflowPunct/>
              <w:topLinePunct w:val="0"/>
              <w:bidi w:val="0"/>
              <w:spacing w:line="360" w:lineRule="auto"/>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2355" w:type="dxa"/>
            <w:noWrap w:val="0"/>
            <w:vAlign w:val="center"/>
          </w:tcPr>
          <w:p w14:paraId="1AFD5822">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服务期</w:t>
            </w:r>
            <w:r>
              <w:rPr>
                <w:rFonts w:hint="eastAsia" w:ascii="宋体" w:hAnsi="宋体" w:eastAsia="宋体" w:cs="宋体"/>
                <w:bCs/>
                <w:color w:val="auto"/>
                <w:sz w:val="21"/>
                <w:szCs w:val="21"/>
                <w:highlight w:val="none"/>
              </w:rPr>
              <w:t>内售后服务情况(服务方式、服务网点、售后服务的内容和措施等等，可用附页和宣传材料)</w:t>
            </w:r>
          </w:p>
        </w:tc>
        <w:tc>
          <w:tcPr>
            <w:tcW w:w="4061" w:type="dxa"/>
            <w:noWrap w:val="0"/>
            <w:vAlign w:val="top"/>
          </w:tcPr>
          <w:p w14:paraId="1C6AD870">
            <w:pPr>
              <w:pStyle w:val="44"/>
              <w:keepNext w:val="0"/>
              <w:keepLines w:val="0"/>
              <w:pageBreakBefore w:val="0"/>
              <w:kinsoku/>
              <w:overflowPunct/>
              <w:topLinePunct w:val="0"/>
              <w:bidi w:val="0"/>
              <w:spacing w:line="360" w:lineRule="auto"/>
              <w:outlineLvl w:val="9"/>
              <w:rPr>
                <w:rFonts w:hint="eastAsia" w:ascii="宋体" w:hAnsi="宋体" w:eastAsia="宋体" w:cs="宋体"/>
                <w:bCs/>
                <w:color w:val="auto"/>
                <w:sz w:val="21"/>
                <w:szCs w:val="21"/>
                <w:highlight w:val="none"/>
              </w:rPr>
            </w:pPr>
          </w:p>
        </w:tc>
        <w:tc>
          <w:tcPr>
            <w:tcW w:w="1373" w:type="dxa"/>
            <w:noWrap w:val="0"/>
            <w:vAlign w:val="top"/>
          </w:tcPr>
          <w:p w14:paraId="1BE0B98A">
            <w:pPr>
              <w:pStyle w:val="44"/>
              <w:keepNext w:val="0"/>
              <w:keepLines w:val="0"/>
              <w:pageBreakBefore w:val="0"/>
              <w:kinsoku/>
              <w:overflowPunct/>
              <w:topLinePunct w:val="0"/>
              <w:bidi w:val="0"/>
              <w:spacing w:line="360" w:lineRule="auto"/>
              <w:outlineLvl w:val="9"/>
              <w:rPr>
                <w:rFonts w:hint="eastAsia" w:ascii="宋体" w:hAnsi="宋体" w:eastAsia="宋体" w:cs="宋体"/>
                <w:bCs/>
                <w:color w:val="auto"/>
                <w:sz w:val="21"/>
                <w:szCs w:val="21"/>
                <w:highlight w:val="none"/>
              </w:rPr>
            </w:pPr>
          </w:p>
        </w:tc>
      </w:tr>
      <w:tr w14:paraId="56B20E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739" w:type="dxa"/>
            <w:noWrap w:val="0"/>
            <w:vAlign w:val="center"/>
          </w:tcPr>
          <w:p w14:paraId="0CCEDC6D">
            <w:pPr>
              <w:pStyle w:val="44"/>
              <w:keepNext w:val="0"/>
              <w:keepLines w:val="0"/>
              <w:pageBreakBefore w:val="0"/>
              <w:kinsoku/>
              <w:overflowPunct/>
              <w:topLinePunct w:val="0"/>
              <w:bidi w:val="0"/>
              <w:spacing w:line="360" w:lineRule="auto"/>
              <w:jc w:val="center"/>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2355" w:type="dxa"/>
            <w:noWrap w:val="0"/>
            <w:vAlign w:val="center"/>
          </w:tcPr>
          <w:p w14:paraId="08D5793C">
            <w:pPr>
              <w:pStyle w:val="44"/>
              <w:keepNext w:val="0"/>
              <w:keepLines w:val="0"/>
              <w:pageBreakBefore w:val="0"/>
              <w:kinsoku/>
              <w:overflowPunct/>
              <w:topLinePunct w:val="0"/>
              <w:bidi w:val="0"/>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服务期</w:t>
            </w:r>
            <w:r>
              <w:rPr>
                <w:rFonts w:hint="eastAsia" w:ascii="宋体" w:hAnsi="宋体" w:eastAsia="宋体" w:cs="宋体"/>
                <w:bCs/>
                <w:color w:val="auto"/>
                <w:sz w:val="21"/>
                <w:szCs w:val="21"/>
                <w:highlight w:val="none"/>
              </w:rPr>
              <w:t>后售后服务</w:t>
            </w:r>
          </w:p>
        </w:tc>
        <w:tc>
          <w:tcPr>
            <w:tcW w:w="4061" w:type="dxa"/>
            <w:noWrap w:val="0"/>
            <w:vAlign w:val="top"/>
          </w:tcPr>
          <w:p w14:paraId="50DF7BBC">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z w:val="21"/>
                <w:szCs w:val="21"/>
                <w:highlight w:val="none"/>
              </w:rPr>
            </w:pPr>
          </w:p>
          <w:p w14:paraId="15252C70">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z w:val="21"/>
                <w:szCs w:val="21"/>
                <w:highlight w:val="none"/>
              </w:rPr>
            </w:pPr>
          </w:p>
          <w:p w14:paraId="13CD12D4">
            <w:pPr>
              <w:pStyle w:val="44"/>
              <w:keepNext w:val="0"/>
              <w:keepLines w:val="0"/>
              <w:pageBreakBefore w:val="0"/>
              <w:kinsoku/>
              <w:overflowPunct/>
              <w:topLinePunct w:val="0"/>
              <w:bidi w:val="0"/>
              <w:spacing w:line="360" w:lineRule="auto"/>
              <w:outlineLvl w:val="9"/>
              <w:rPr>
                <w:rFonts w:hint="eastAsia" w:ascii="宋体" w:hAnsi="宋体" w:eastAsia="宋体" w:cs="宋体"/>
                <w:bCs/>
                <w:color w:val="auto"/>
                <w:sz w:val="21"/>
                <w:szCs w:val="21"/>
                <w:highlight w:val="none"/>
              </w:rPr>
            </w:pPr>
          </w:p>
        </w:tc>
        <w:tc>
          <w:tcPr>
            <w:tcW w:w="1373" w:type="dxa"/>
            <w:noWrap w:val="0"/>
            <w:vAlign w:val="top"/>
          </w:tcPr>
          <w:p w14:paraId="5934C421">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z w:val="21"/>
                <w:szCs w:val="21"/>
                <w:highlight w:val="none"/>
              </w:rPr>
            </w:pPr>
          </w:p>
          <w:p w14:paraId="275E706B">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z w:val="21"/>
                <w:szCs w:val="21"/>
                <w:highlight w:val="none"/>
              </w:rPr>
            </w:pPr>
          </w:p>
          <w:p w14:paraId="79870F5B">
            <w:pPr>
              <w:pStyle w:val="44"/>
              <w:keepNext w:val="0"/>
              <w:keepLines w:val="0"/>
              <w:pageBreakBefore w:val="0"/>
              <w:kinsoku/>
              <w:overflowPunct/>
              <w:topLinePunct w:val="0"/>
              <w:bidi w:val="0"/>
              <w:spacing w:line="360" w:lineRule="auto"/>
              <w:outlineLvl w:val="9"/>
              <w:rPr>
                <w:rFonts w:hint="eastAsia" w:ascii="宋体" w:hAnsi="宋体" w:eastAsia="宋体" w:cs="宋体"/>
                <w:bCs/>
                <w:color w:val="auto"/>
                <w:sz w:val="21"/>
                <w:szCs w:val="21"/>
                <w:highlight w:val="none"/>
              </w:rPr>
            </w:pPr>
          </w:p>
        </w:tc>
      </w:tr>
      <w:tr w14:paraId="36BCC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20" w:hRule="exact"/>
          <w:jc w:val="center"/>
        </w:trPr>
        <w:tc>
          <w:tcPr>
            <w:tcW w:w="739" w:type="dxa"/>
            <w:noWrap w:val="0"/>
            <w:vAlign w:val="center"/>
          </w:tcPr>
          <w:p w14:paraId="31B1658F">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3</w:t>
            </w:r>
          </w:p>
        </w:tc>
        <w:tc>
          <w:tcPr>
            <w:tcW w:w="2355" w:type="dxa"/>
            <w:noWrap w:val="0"/>
            <w:vAlign w:val="center"/>
          </w:tcPr>
          <w:p w14:paraId="584D8423">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培训方案（可用附页）</w:t>
            </w:r>
          </w:p>
        </w:tc>
        <w:tc>
          <w:tcPr>
            <w:tcW w:w="4061" w:type="dxa"/>
            <w:noWrap w:val="0"/>
            <w:vAlign w:val="top"/>
          </w:tcPr>
          <w:p w14:paraId="54D073E0">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i/>
                <w:color w:val="auto"/>
                <w:sz w:val="21"/>
                <w:szCs w:val="21"/>
                <w:highlight w:val="none"/>
              </w:rPr>
            </w:pPr>
          </w:p>
          <w:p w14:paraId="1DB2B5C7">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i/>
                <w:color w:val="auto"/>
                <w:sz w:val="21"/>
                <w:szCs w:val="21"/>
                <w:highlight w:val="none"/>
              </w:rPr>
            </w:pPr>
          </w:p>
        </w:tc>
        <w:tc>
          <w:tcPr>
            <w:tcW w:w="1373" w:type="dxa"/>
            <w:noWrap w:val="0"/>
            <w:vAlign w:val="top"/>
          </w:tcPr>
          <w:p w14:paraId="34C2C316">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i/>
                <w:color w:val="auto"/>
                <w:sz w:val="21"/>
                <w:szCs w:val="21"/>
                <w:highlight w:val="none"/>
              </w:rPr>
            </w:pPr>
          </w:p>
          <w:p w14:paraId="28889917">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i/>
                <w:color w:val="auto"/>
                <w:sz w:val="21"/>
                <w:szCs w:val="21"/>
                <w:highlight w:val="none"/>
              </w:rPr>
            </w:pPr>
          </w:p>
          <w:p w14:paraId="092799A6">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i/>
                <w:color w:val="auto"/>
                <w:sz w:val="21"/>
                <w:szCs w:val="21"/>
                <w:highlight w:val="none"/>
              </w:rPr>
            </w:pPr>
          </w:p>
        </w:tc>
      </w:tr>
      <w:tr w14:paraId="51C95F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exact"/>
          <w:jc w:val="center"/>
        </w:trPr>
        <w:tc>
          <w:tcPr>
            <w:tcW w:w="739" w:type="dxa"/>
            <w:noWrap w:val="0"/>
            <w:vAlign w:val="center"/>
          </w:tcPr>
          <w:p w14:paraId="30C8E022">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2355" w:type="dxa"/>
            <w:noWrap w:val="0"/>
            <w:vAlign w:val="center"/>
          </w:tcPr>
          <w:p w14:paraId="3AB05C7F">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4061" w:type="dxa"/>
            <w:noWrap w:val="0"/>
            <w:vAlign w:val="top"/>
          </w:tcPr>
          <w:p w14:paraId="2343F121">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z w:val="21"/>
                <w:szCs w:val="21"/>
                <w:highlight w:val="none"/>
              </w:rPr>
            </w:pPr>
          </w:p>
        </w:tc>
        <w:tc>
          <w:tcPr>
            <w:tcW w:w="1373" w:type="dxa"/>
            <w:noWrap w:val="0"/>
            <w:vAlign w:val="top"/>
          </w:tcPr>
          <w:p w14:paraId="5F19B71D">
            <w:pPr>
              <w:pStyle w:val="44"/>
              <w:keepNext w:val="0"/>
              <w:keepLines w:val="0"/>
              <w:pageBreakBefore w:val="0"/>
              <w:widowControl/>
              <w:kinsoku/>
              <w:overflowPunct/>
              <w:topLinePunct w:val="0"/>
              <w:bidi w:val="0"/>
              <w:spacing w:line="360" w:lineRule="auto"/>
              <w:jc w:val="left"/>
              <w:outlineLvl w:val="9"/>
              <w:rPr>
                <w:rFonts w:hint="eastAsia" w:ascii="宋体" w:hAnsi="宋体" w:eastAsia="宋体" w:cs="宋体"/>
                <w:bCs/>
                <w:color w:val="auto"/>
                <w:sz w:val="21"/>
                <w:szCs w:val="21"/>
                <w:highlight w:val="none"/>
              </w:rPr>
            </w:pPr>
          </w:p>
        </w:tc>
      </w:tr>
    </w:tbl>
    <w:p w14:paraId="73988819">
      <w:pPr>
        <w:keepNext w:val="0"/>
        <w:keepLines w:val="0"/>
        <w:pageBreakBefore w:val="0"/>
        <w:kinsoku/>
        <w:overflowPunct/>
        <w:topLinePunct w:val="0"/>
        <w:bidi w:val="0"/>
        <w:spacing w:line="360" w:lineRule="auto"/>
        <w:ind w:left="420"/>
        <w:outlineLvl w:val="9"/>
        <w:rPr>
          <w:rFonts w:hint="eastAsia" w:ascii="宋体" w:hAnsi="宋体" w:eastAsia="宋体" w:cs="宋体"/>
          <w:color w:val="auto"/>
          <w:sz w:val="21"/>
          <w:szCs w:val="21"/>
          <w:highlight w:val="none"/>
        </w:rPr>
      </w:pPr>
    </w:p>
    <w:p w14:paraId="6A25DF1C">
      <w:pPr>
        <w:keepNext w:val="0"/>
        <w:keepLines w:val="0"/>
        <w:pageBreakBefore w:val="0"/>
        <w:kinsoku/>
        <w:overflowPunct/>
        <w:topLinePunct w:val="0"/>
        <w:bidi w:val="0"/>
        <w:spacing w:line="360" w:lineRule="auto"/>
        <w:ind w:left="420"/>
        <w:outlineLvl w:val="9"/>
        <w:rPr>
          <w:rFonts w:hint="eastAsia" w:ascii="宋体" w:hAnsi="宋体" w:eastAsia="宋体" w:cs="宋体"/>
          <w:color w:val="auto"/>
          <w:sz w:val="21"/>
          <w:szCs w:val="21"/>
          <w:highlight w:val="none"/>
        </w:rPr>
      </w:pPr>
    </w:p>
    <w:p w14:paraId="52BC4E8A">
      <w:pPr>
        <w:keepNext w:val="0"/>
        <w:keepLines w:val="0"/>
        <w:pageBreakBefore w:val="0"/>
        <w:kinsoku/>
        <w:overflowPunct/>
        <w:topLinePunct w:val="0"/>
        <w:bidi w:val="0"/>
        <w:spacing w:line="360" w:lineRule="auto"/>
        <w:ind w:left="42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50A43C6">
      <w:pPr>
        <w:keepNext w:val="0"/>
        <w:keepLines w:val="0"/>
        <w:pageBreakBefore w:val="0"/>
        <w:kinsoku/>
        <w:overflowPunct/>
        <w:topLinePunct w:val="0"/>
        <w:bidi w:val="0"/>
        <w:spacing w:line="360" w:lineRule="auto"/>
        <w:ind w:left="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4ADCC9C">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lang w:eastAsia="zh-CN"/>
        </w:rPr>
        <w:t>法定代表人或授</w:t>
      </w:r>
      <w:r>
        <w:rPr>
          <w:rFonts w:hint="eastAsia" w:ascii="宋体" w:hAnsi="宋体"/>
          <w:color w:val="auto"/>
          <w:sz w:val="21"/>
          <w:szCs w:val="21"/>
          <w:highlight w:val="none"/>
          <w:lang w:eastAsia="zh-CN"/>
        </w:rPr>
        <w:t>权委托代理人</w:t>
      </w:r>
      <w:r>
        <w:rPr>
          <w:rFonts w:hint="eastAsia" w:ascii="宋体" w:hAnsi="宋体" w:eastAsia="宋体" w:cs="宋体"/>
          <w:color w:val="auto"/>
          <w:szCs w:val="21"/>
          <w:highlight w:val="none"/>
        </w:rPr>
        <w:t>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4BFEF273">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p>
    <w:p w14:paraId="35056CE1">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6B494130">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rPr>
      </w:pPr>
    </w:p>
    <w:p w14:paraId="139FA6C8">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50C184C8">
      <w:pPr>
        <w:keepNext w:val="0"/>
        <w:keepLines w:val="0"/>
        <w:pageBreakBefore w:val="0"/>
        <w:kinsoku/>
        <w:overflowPunct/>
        <w:topLinePunct w:val="0"/>
        <w:bidi w:val="0"/>
        <w:spacing w:line="360" w:lineRule="auto"/>
        <w:ind w:firstLine="435"/>
        <w:outlineLvl w:val="9"/>
        <w:rPr>
          <w:rFonts w:hint="eastAsia" w:ascii="宋体" w:hAnsi="宋体" w:eastAsia="宋体" w:cs="宋体"/>
          <w:color w:val="auto"/>
          <w:sz w:val="21"/>
          <w:szCs w:val="21"/>
          <w:highlight w:val="none"/>
          <w:u w:val="single"/>
        </w:rPr>
      </w:pPr>
    </w:p>
    <w:p w14:paraId="6DEFD0AE">
      <w:pPr>
        <w:keepNext w:val="0"/>
        <w:keepLines w:val="0"/>
        <w:pageBreakBefore w:val="0"/>
        <w:kinsoku/>
        <w:overflowPunct/>
        <w:topLinePunct w:val="0"/>
        <w:bidi w:val="0"/>
        <w:spacing w:line="360" w:lineRule="auto"/>
        <w:outlineLvl w:val="9"/>
        <w:rPr>
          <w:rFonts w:hint="eastAsia" w:ascii="宋体" w:hAnsi="宋体" w:eastAsia="宋体" w:cs="宋体"/>
          <w:b/>
          <w:color w:val="auto"/>
          <w:sz w:val="28"/>
          <w:highlight w:val="none"/>
        </w:rPr>
      </w:pPr>
    </w:p>
    <w:p w14:paraId="5DB15EE3">
      <w:pPr>
        <w:keepNext w:val="0"/>
        <w:keepLines w:val="0"/>
        <w:pageBreakBefore w:val="0"/>
        <w:kinsoku/>
        <w:overflowPunct/>
        <w:topLinePunct w:val="0"/>
        <w:bidi w:val="0"/>
        <w:snapToGrid w:val="0"/>
        <w:spacing w:before="156" w:beforeLines="50" w:after="50" w:line="360" w:lineRule="auto"/>
        <w:outlineLvl w:val="9"/>
        <w:rPr>
          <w:rFonts w:hint="eastAsia" w:ascii="宋体" w:hAnsi="宋体" w:eastAsia="宋体" w:cs="宋体"/>
          <w:b/>
          <w:color w:val="auto"/>
          <w:sz w:val="28"/>
          <w:highlight w:val="none"/>
        </w:rPr>
      </w:pPr>
    </w:p>
    <w:p w14:paraId="5E314558">
      <w:pPr>
        <w:keepNext w:val="0"/>
        <w:keepLines w:val="0"/>
        <w:pageBreakBefore w:val="0"/>
        <w:kinsoku/>
        <w:overflowPunct/>
        <w:topLinePunct w:val="0"/>
        <w:bidi w:val="0"/>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附件</w:t>
      </w:r>
      <w:r>
        <w:rPr>
          <w:rFonts w:hint="eastAsia" w:ascii="宋体" w:hAnsi="宋体" w:eastAsia="宋体" w:cs="宋体"/>
          <w:b/>
          <w:color w:val="auto"/>
          <w:kern w:val="0"/>
          <w:sz w:val="28"/>
          <w:szCs w:val="28"/>
          <w:highlight w:val="none"/>
          <w:lang w:val="en-US" w:eastAsia="zh-CN"/>
        </w:rPr>
        <w:t>13</w:t>
      </w:r>
      <w:r>
        <w:rPr>
          <w:rFonts w:hint="eastAsia" w:ascii="宋体" w:hAnsi="宋体" w:eastAsia="宋体" w:cs="宋体"/>
          <w:b/>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b/>
          <w:color w:val="auto"/>
          <w:sz w:val="28"/>
          <w:highlight w:val="none"/>
        </w:rPr>
        <w:t xml:space="preserve">        </w:t>
      </w:r>
      <w:r>
        <w:rPr>
          <w:rFonts w:hint="eastAsia" w:ascii="宋体" w:hAnsi="宋体" w:eastAsia="宋体" w:cs="宋体"/>
          <w:b/>
          <w:color w:val="auto"/>
          <w:sz w:val="28"/>
          <w:highlight w:val="none"/>
          <w:u w:val="single"/>
        </w:rPr>
        <w:t xml:space="preserve">     </w:t>
      </w:r>
      <w:r>
        <w:rPr>
          <w:rFonts w:hint="eastAsia" w:ascii="宋体" w:hAnsi="宋体" w:eastAsia="宋体" w:cs="宋体"/>
          <w:bCs/>
          <w:color w:val="auto"/>
          <w:sz w:val="24"/>
          <w:highlight w:val="none"/>
        </w:rPr>
        <w:t>本</w:t>
      </w:r>
    </w:p>
    <w:p w14:paraId="23F54414">
      <w:pPr>
        <w:keepNext w:val="0"/>
        <w:keepLines w:val="0"/>
        <w:pageBreakBefore w:val="0"/>
        <w:kinsoku/>
        <w:overflowPunct/>
        <w:topLinePunct w:val="0"/>
        <w:bidi w:val="0"/>
        <w:ind w:right="-110"/>
        <w:jc w:val="center"/>
        <w:outlineLvl w:val="9"/>
        <w:rPr>
          <w:rFonts w:hint="eastAsia" w:ascii="宋体" w:hAnsi="宋体" w:eastAsia="宋体" w:cs="宋体"/>
          <w:color w:val="auto"/>
          <w:spacing w:val="40"/>
          <w:sz w:val="52"/>
          <w:szCs w:val="52"/>
          <w:highlight w:val="none"/>
        </w:rPr>
      </w:pPr>
    </w:p>
    <w:p w14:paraId="5B3987CD">
      <w:pPr>
        <w:keepNext w:val="0"/>
        <w:keepLines w:val="0"/>
        <w:pageBreakBefore w:val="0"/>
        <w:kinsoku/>
        <w:overflowPunct/>
        <w:topLinePunct w:val="0"/>
        <w:bidi w:val="0"/>
        <w:spacing w:line="360" w:lineRule="auto"/>
        <w:ind w:right="-110"/>
        <w:jc w:val="center"/>
        <w:outlineLvl w:val="9"/>
        <w:rPr>
          <w:rFonts w:hint="eastAsia" w:ascii="宋体" w:hAnsi="宋体" w:eastAsia="宋体" w:cs="宋体"/>
          <w:color w:val="auto"/>
          <w:spacing w:val="40"/>
          <w:sz w:val="52"/>
          <w:szCs w:val="52"/>
          <w:highlight w:val="none"/>
        </w:rPr>
      </w:pPr>
      <w:r>
        <w:rPr>
          <w:rFonts w:hint="eastAsia" w:ascii="宋体" w:hAnsi="宋体" w:eastAsia="宋体" w:cs="宋体"/>
          <w:color w:val="auto"/>
          <w:spacing w:val="40"/>
          <w:sz w:val="52"/>
          <w:szCs w:val="52"/>
          <w:highlight w:val="none"/>
        </w:rPr>
        <w:t>项目名称</w:t>
      </w:r>
    </w:p>
    <w:p w14:paraId="5DFC71B6">
      <w:pPr>
        <w:keepNext w:val="0"/>
        <w:keepLines w:val="0"/>
        <w:pageBreakBefore w:val="0"/>
        <w:kinsoku/>
        <w:overflowPunct/>
        <w:topLinePunct w:val="0"/>
        <w:bidi w:val="0"/>
        <w:spacing w:before="312" w:beforeLines="100" w:line="360" w:lineRule="auto"/>
        <w:ind w:right="-108" w:firstLine="2160" w:firstLineChars="600"/>
        <w:jc w:val="both"/>
        <w:outlineLvl w:val="9"/>
        <w:rPr>
          <w:rFonts w:hint="eastAsia" w:ascii="宋体" w:hAnsi="宋体" w:eastAsia="宋体" w:cs="宋体"/>
          <w:color w:val="auto"/>
          <w:sz w:val="36"/>
          <w:szCs w:val="36"/>
          <w:highlight w:val="none"/>
          <w:u w:val="singl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u w:val="single"/>
        </w:rPr>
        <w:t xml:space="preserve">            </w:t>
      </w:r>
    </w:p>
    <w:p w14:paraId="5D4B657A">
      <w:pPr>
        <w:pStyle w:val="20"/>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color w:val="auto"/>
          <w:highlight w:val="none"/>
        </w:rPr>
      </w:pPr>
    </w:p>
    <w:p w14:paraId="73347F24">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磋</w:t>
      </w:r>
    </w:p>
    <w:p w14:paraId="3703C665">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商</w:t>
      </w:r>
    </w:p>
    <w:p w14:paraId="2759157B">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响</w:t>
      </w:r>
    </w:p>
    <w:p w14:paraId="2E4C84E5">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应</w:t>
      </w:r>
    </w:p>
    <w:p w14:paraId="7D334A89">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文</w:t>
      </w:r>
    </w:p>
    <w:p w14:paraId="0087A55D">
      <w:pPr>
        <w:keepNext w:val="0"/>
        <w:keepLines w:val="0"/>
        <w:pageBreakBefore w:val="0"/>
        <w:kinsoku/>
        <w:overflowPunct/>
        <w:topLinePunct w:val="0"/>
        <w:bidi w:val="0"/>
        <w:spacing w:after="100" w:afterAutospacing="1" w:line="800" w:lineRule="exact"/>
        <w:ind w:right="-108"/>
        <w:jc w:val="center"/>
        <w:outlineLvl w:val="9"/>
        <w:rPr>
          <w:rFonts w:hint="eastAsia" w:ascii="宋体" w:hAnsi="宋体" w:eastAsia="宋体" w:cs="宋体"/>
          <w:b/>
          <w:color w:val="auto"/>
          <w:spacing w:val="40"/>
          <w:sz w:val="72"/>
          <w:szCs w:val="72"/>
          <w:highlight w:val="none"/>
        </w:rPr>
      </w:pPr>
      <w:r>
        <w:rPr>
          <w:rFonts w:hint="eastAsia" w:ascii="宋体" w:hAnsi="宋体" w:eastAsia="宋体" w:cs="宋体"/>
          <w:b/>
          <w:color w:val="auto"/>
          <w:spacing w:val="40"/>
          <w:sz w:val="72"/>
          <w:szCs w:val="72"/>
          <w:highlight w:val="none"/>
        </w:rPr>
        <w:t>件</w:t>
      </w:r>
    </w:p>
    <w:p w14:paraId="70F2AA51">
      <w:pPr>
        <w:spacing w:after="100" w:afterAutospacing="1" w:line="360" w:lineRule="auto"/>
        <w:ind w:right="-108"/>
        <w:jc w:val="center"/>
        <w:rPr>
          <w:rFonts w:hint="eastAsia" w:ascii="宋体" w:hAnsi="宋体" w:eastAsia="宋体" w:cs="宋体"/>
          <w:color w:val="auto"/>
          <w:sz w:val="36"/>
          <w:szCs w:val="36"/>
          <w:highlight w:val="none"/>
        </w:rPr>
      </w:pPr>
      <w:r>
        <w:rPr>
          <w:rFonts w:hint="eastAsia" w:ascii="宋体" w:hAnsi="宋体" w:eastAsia="宋体" w:cs="宋体"/>
          <w:color w:val="auto"/>
          <w:sz w:val="28"/>
          <w:szCs w:val="28"/>
          <w:highlight w:val="none"/>
          <w:lang w:val="zh-CN"/>
        </w:rPr>
        <w:t>（</w:t>
      </w:r>
      <w:r>
        <w:rPr>
          <w:rFonts w:hint="eastAsia" w:ascii="宋体" w:hAnsi="宋体" w:eastAsia="宋体" w:cs="宋体"/>
          <w:bCs/>
          <w:color w:val="auto"/>
          <w:sz w:val="24"/>
          <w:highlight w:val="none"/>
          <w:lang w:val="en-US" w:eastAsia="zh-CN"/>
        </w:rPr>
        <w:t>报价</w:t>
      </w:r>
      <w:r>
        <w:rPr>
          <w:rFonts w:hint="eastAsia" w:ascii="宋体" w:hAnsi="宋体" w:eastAsia="宋体" w:cs="宋体"/>
          <w:bCs/>
          <w:color w:val="auto"/>
          <w:sz w:val="24"/>
          <w:highlight w:val="none"/>
          <w:lang w:val="zh-CN"/>
        </w:rPr>
        <w:t>文件</w:t>
      </w:r>
      <w:r>
        <w:rPr>
          <w:rFonts w:hint="eastAsia" w:ascii="宋体" w:hAnsi="宋体" w:eastAsia="宋体" w:cs="宋体"/>
          <w:b/>
          <w:color w:val="auto"/>
          <w:spacing w:val="40"/>
          <w:sz w:val="28"/>
          <w:szCs w:val="28"/>
          <w:highlight w:val="none"/>
        </w:rPr>
        <w:t>）</w:t>
      </w:r>
    </w:p>
    <w:p w14:paraId="36254612">
      <w:pPr>
        <w:keepNext w:val="0"/>
        <w:keepLines w:val="0"/>
        <w:pageBreakBefore w:val="0"/>
        <w:kinsoku/>
        <w:overflowPunct/>
        <w:topLinePunct w:val="0"/>
        <w:bidi w:val="0"/>
        <w:spacing w:line="500" w:lineRule="exact"/>
        <w:ind w:right="532" w:firstLine="64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供应商全称（公章）：</w:t>
      </w:r>
    </w:p>
    <w:p w14:paraId="3FC5757E">
      <w:pPr>
        <w:keepNext w:val="0"/>
        <w:keepLines w:val="0"/>
        <w:pageBreakBefore w:val="0"/>
        <w:kinsoku/>
        <w:wordWrap w:val="0"/>
        <w:overflowPunct/>
        <w:topLinePunct w:val="0"/>
        <w:bidi w:val="0"/>
        <w:spacing w:line="500" w:lineRule="exact"/>
        <w:ind w:right="-108" w:firstLine="64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地    址：</w:t>
      </w:r>
    </w:p>
    <w:p w14:paraId="62333321">
      <w:pPr>
        <w:keepNext w:val="0"/>
        <w:keepLines w:val="0"/>
        <w:pageBreakBefore w:val="0"/>
        <w:kinsoku/>
        <w:wordWrap w:val="0"/>
        <w:overflowPunct/>
        <w:topLinePunct w:val="0"/>
        <w:bidi w:val="0"/>
        <w:spacing w:line="500" w:lineRule="exact"/>
        <w:ind w:right="-108" w:firstLine="640" w:firstLineChars="200"/>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32"/>
          <w:szCs w:val="32"/>
          <w:highlight w:val="none"/>
        </w:rPr>
        <w:t>时    间：</w:t>
      </w:r>
    </w:p>
    <w:p w14:paraId="5ACBA439">
      <w:pPr>
        <w:keepNext w:val="0"/>
        <w:keepLines w:val="0"/>
        <w:pageBreakBefore w:val="0"/>
        <w:kinsoku/>
        <w:overflowPunct/>
        <w:topLinePunct w:val="0"/>
        <w:bidi w:val="0"/>
        <w:spacing w:line="360" w:lineRule="auto"/>
        <w:ind w:right="-108" w:firstLine="316" w:firstLineChars="150"/>
        <w:outlineLvl w:val="9"/>
        <w:rPr>
          <w:rFonts w:hint="eastAsia" w:ascii="宋体" w:hAnsi="宋体" w:eastAsia="宋体" w:cs="宋体"/>
          <w:b/>
          <w:bCs/>
          <w:color w:val="auto"/>
          <w:kern w:val="0"/>
          <w:sz w:val="21"/>
          <w:szCs w:val="21"/>
          <w:highlight w:val="none"/>
        </w:rPr>
      </w:pPr>
    </w:p>
    <w:p w14:paraId="05695B10">
      <w:pPr>
        <w:keepNext w:val="0"/>
        <w:keepLines w:val="0"/>
        <w:pageBreakBefore w:val="0"/>
        <w:widowControl w:val="0"/>
        <w:kinsoku/>
        <w:wordWrap/>
        <w:overflowPunct/>
        <w:topLinePunct w:val="0"/>
        <w:autoSpaceDE/>
        <w:autoSpaceDN/>
        <w:bidi w:val="0"/>
        <w:adjustRightInd/>
        <w:snapToGrid/>
        <w:spacing w:line="360" w:lineRule="auto"/>
        <w:ind w:right="-108" w:firstLine="542" w:firstLineChars="150"/>
        <w:jc w:val="center"/>
        <w:textAlignment w:val="auto"/>
        <w:outlineLvl w:val="1"/>
        <w:rPr>
          <w:rFonts w:hint="eastAsia" w:ascii="宋体" w:hAnsi="宋体" w:eastAsia="宋体" w:cs="宋体"/>
          <w:b/>
          <w:color w:val="auto"/>
          <w:sz w:val="36"/>
          <w:szCs w:val="32"/>
          <w:highlight w:val="none"/>
        </w:rPr>
      </w:pPr>
      <w:r>
        <w:rPr>
          <w:rFonts w:hint="eastAsia" w:ascii="宋体" w:hAnsi="宋体" w:eastAsia="宋体" w:cs="宋体"/>
          <w:b/>
          <w:color w:val="auto"/>
          <w:sz w:val="36"/>
          <w:szCs w:val="32"/>
          <w:highlight w:val="none"/>
        </w:rPr>
        <w:t>报价文件目录</w:t>
      </w:r>
    </w:p>
    <w:p w14:paraId="11E8DCCA">
      <w:pPr>
        <w:keepNext w:val="0"/>
        <w:keepLines w:val="0"/>
        <w:pageBreakBefore w:val="0"/>
        <w:numPr>
          <w:ilvl w:val="0"/>
          <w:numId w:val="0"/>
        </w:numPr>
        <w:kinsoku/>
        <w:overflowPunct/>
        <w:topLinePunct w:val="0"/>
        <w:bidi w:val="0"/>
        <w:snapToGrid w:val="0"/>
        <w:spacing w:line="360" w:lineRule="auto"/>
        <w:outlineLvl w:val="9"/>
        <w:rPr>
          <w:rFonts w:hint="eastAsia" w:ascii="宋体" w:hAnsi="宋体" w:eastAsia="宋体" w:cs="宋体"/>
          <w:color w:val="auto"/>
          <w:sz w:val="21"/>
          <w:szCs w:val="21"/>
          <w:highlight w:val="none"/>
          <w:lang w:val="en-US" w:eastAsia="zh-CN"/>
        </w:rPr>
      </w:pPr>
    </w:p>
    <w:p w14:paraId="17A75167">
      <w:pPr>
        <w:keepNext w:val="0"/>
        <w:keepLines w:val="0"/>
        <w:pageBreakBefore w:val="0"/>
        <w:numPr>
          <w:ilvl w:val="0"/>
          <w:numId w:val="4"/>
        </w:numPr>
        <w:kinsoku/>
        <w:overflowPunct/>
        <w:topLinePunct w:val="0"/>
        <w:bidi w:val="0"/>
        <w:snapToGrid w:val="0"/>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开标</w:t>
      </w:r>
      <w:r>
        <w:rPr>
          <w:rFonts w:hint="eastAsia" w:ascii="宋体" w:hAnsi="宋体" w:eastAsia="宋体" w:cs="宋体"/>
          <w:color w:val="auto"/>
          <w:sz w:val="21"/>
          <w:szCs w:val="21"/>
          <w:highlight w:val="none"/>
        </w:rPr>
        <w:t>一览表（附件1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6B4B0231">
      <w:pPr>
        <w:keepNext w:val="0"/>
        <w:keepLines w:val="0"/>
        <w:pageBreakBefore w:val="0"/>
        <w:numPr>
          <w:ilvl w:val="0"/>
          <w:numId w:val="4"/>
        </w:numPr>
        <w:kinsoku/>
        <w:overflowPunct/>
        <w:topLinePunct w:val="0"/>
        <w:bidi w:val="0"/>
        <w:snapToGrid w:val="0"/>
        <w:spacing w:line="360" w:lineRule="auto"/>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报价明细表（附件15）</w:t>
      </w:r>
    </w:p>
    <w:p w14:paraId="379D7367">
      <w:pPr>
        <w:keepNext w:val="0"/>
        <w:keepLines w:val="0"/>
        <w:pageBreakBefore w:val="0"/>
        <w:kinsoku/>
        <w:overflowPunct/>
        <w:topLinePunct w:val="0"/>
        <w:bidi w:val="0"/>
        <w:snapToGrid w:val="0"/>
        <w:spacing w:before="156" w:beforeLines="50" w:after="50" w:line="360" w:lineRule="auto"/>
        <w:outlineLvl w:val="9"/>
        <w:rPr>
          <w:rFonts w:hint="eastAsia" w:ascii="宋体" w:hAnsi="宋体" w:eastAsia="宋体" w:cs="宋体"/>
          <w:b/>
          <w:color w:val="auto"/>
          <w:sz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396971A">
      <w:pPr>
        <w:keepNext w:val="0"/>
        <w:keepLines w:val="0"/>
        <w:pageBreakBefore w:val="0"/>
        <w:kinsoku/>
        <w:overflowPunct/>
        <w:topLinePunct w:val="0"/>
        <w:bidi w:val="0"/>
        <w:snapToGrid w:val="0"/>
        <w:spacing w:before="156" w:beforeLines="50" w:after="50" w:line="360" w:lineRule="auto"/>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28"/>
          <w:highlight w:val="none"/>
        </w:rPr>
        <w:t>附件1</w:t>
      </w:r>
      <w:r>
        <w:rPr>
          <w:rFonts w:hint="eastAsia" w:ascii="宋体" w:hAnsi="宋体" w:eastAsia="宋体" w:cs="宋体"/>
          <w:b/>
          <w:color w:val="auto"/>
          <w:sz w:val="28"/>
          <w:highlight w:val="none"/>
          <w:lang w:val="en-US" w:eastAsia="zh-CN"/>
        </w:rPr>
        <w:t>4</w:t>
      </w:r>
      <w:r>
        <w:rPr>
          <w:rFonts w:hint="eastAsia" w:ascii="宋体" w:hAnsi="宋体" w:eastAsia="宋体" w:cs="宋体"/>
          <w:b/>
          <w:color w:val="auto"/>
          <w:sz w:val="28"/>
          <w:highlight w:val="none"/>
        </w:rPr>
        <w:t>：</w:t>
      </w:r>
      <w:r>
        <w:rPr>
          <w:rFonts w:hint="eastAsia" w:ascii="宋体" w:hAnsi="宋体" w:eastAsia="宋体" w:cs="宋体"/>
          <w:b/>
          <w:color w:val="auto"/>
          <w:sz w:val="30"/>
          <w:szCs w:val="30"/>
          <w:highlight w:val="none"/>
        </w:rPr>
        <w:t xml:space="preserve">                                     </w:t>
      </w:r>
    </w:p>
    <w:p w14:paraId="749BB4BD">
      <w:pPr>
        <w:keepNext w:val="0"/>
        <w:keepLines w:val="0"/>
        <w:pageBreakBefore w:val="0"/>
        <w:kinsoku/>
        <w:overflowPunct/>
        <w:topLinePunct w:val="0"/>
        <w:bidi w:val="0"/>
        <w:spacing w:line="360" w:lineRule="auto"/>
        <w:ind w:left="-2" w:hanging="2"/>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开标</w:t>
      </w:r>
      <w:r>
        <w:rPr>
          <w:rFonts w:hint="eastAsia" w:ascii="宋体" w:hAnsi="宋体" w:eastAsia="宋体" w:cs="宋体"/>
          <w:b/>
          <w:color w:val="auto"/>
          <w:sz w:val="32"/>
          <w:szCs w:val="32"/>
          <w:highlight w:val="none"/>
        </w:rPr>
        <w:t xml:space="preserve">一览表 </w:t>
      </w:r>
    </w:p>
    <w:p w14:paraId="37F153FC">
      <w:pPr>
        <w:pStyle w:val="11"/>
        <w:keepNext w:val="0"/>
        <w:keepLines w:val="0"/>
        <w:pageBreakBefore w:val="0"/>
        <w:kinsoku/>
        <w:overflowPunct/>
        <w:topLinePunct w:val="0"/>
        <w:bidi w:val="0"/>
        <w:spacing w:line="320" w:lineRule="exact"/>
        <w:outlineLvl w:val="9"/>
        <w:rPr>
          <w:rFonts w:hint="eastAsia" w:ascii="宋体" w:hAnsi="宋体" w:eastAsia="宋体" w:cs="宋体"/>
          <w:b/>
          <w:color w:val="auto"/>
          <w:sz w:val="24"/>
          <w:highlight w:val="none"/>
        </w:rPr>
      </w:pPr>
    </w:p>
    <w:p w14:paraId="173FAD78">
      <w:pPr>
        <w:pStyle w:val="11"/>
        <w:keepNext w:val="0"/>
        <w:keepLines w:val="0"/>
        <w:pageBreakBefore w:val="0"/>
        <w:kinsoku/>
        <w:overflowPunct/>
        <w:topLinePunct w:val="0"/>
        <w:bidi w:val="0"/>
        <w:spacing w:line="320" w:lineRule="exact"/>
        <w:outlineLvl w:val="9"/>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项目编号：</w:t>
      </w:r>
      <w:r>
        <w:rPr>
          <w:rFonts w:hint="eastAsia" w:ascii="宋体" w:hAnsi="宋体" w:eastAsia="宋体" w:cs="宋体"/>
          <w:b/>
          <w:color w:val="auto"/>
          <w:sz w:val="21"/>
          <w:szCs w:val="21"/>
          <w:highlight w:val="none"/>
          <w:u w:val="single"/>
        </w:rPr>
        <w:t xml:space="preserve">               </w:t>
      </w:r>
    </w:p>
    <w:p w14:paraId="247E4635">
      <w:pPr>
        <w:pStyle w:val="48"/>
        <w:keepNext w:val="0"/>
        <w:keepLines w:val="0"/>
        <w:pageBreakBefore w:val="0"/>
        <w:kinsoku/>
        <w:overflowPunct/>
        <w:topLinePunct w:val="0"/>
        <w:bidi w:val="0"/>
        <w:spacing w:line="360" w:lineRule="auto"/>
        <w:ind w:right="480"/>
        <w:jc w:val="left"/>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项目名称：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 xml:space="preserve">                    [货币单位：人民币元]</w:t>
      </w:r>
    </w:p>
    <w:tbl>
      <w:tblPr>
        <w:tblStyle w:val="22"/>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2694"/>
        <w:gridCol w:w="1349"/>
        <w:gridCol w:w="4629"/>
      </w:tblGrid>
      <w:tr w14:paraId="473149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1469" w:hRule="atLeast"/>
          <w:jc w:val="center"/>
        </w:trPr>
        <w:tc>
          <w:tcPr>
            <w:tcW w:w="2694" w:type="dxa"/>
            <w:vMerge w:val="restart"/>
            <w:tcBorders>
              <w:top w:val="single" w:color="auto" w:sz="12" w:space="0"/>
              <w:left w:val="single" w:color="auto" w:sz="12" w:space="0"/>
              <w:bottom w:val="single" w:color="auto" w:sz="4" w:space="0"/>
              <w:right w:val="single" w:color="auto" w:sz="4" w:space="0"/>
            </w:tcBorders>
            <w:noWrap w:val="0"/>
            <w:vAlign w:val="center"/>
          </w:tcPr>
          <w:p w14:paraId="5AB95F4D">
            <w:pPr>
              <w:keepNext w:val="0"/>
              <w:keepLines w:val="0"/>
              <w:pageBreakBefore w:val="0"/>
              <w:kinsoku/>
              <w:overflowPunct/>
              <w:topLinePunct w:val="0"/>
              <w:autoSpaceDE w:val="0"/>
              <w:autoSpaceDN w:val="0"/>
              <w:bidi w:val="0"/>
              <w:spacing w:line="450" w:lineRule="exact"/>
              <w:jc w:val="center"/>
              <w:textAlignment w:val="bottom"/>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投标总</w:t>
            </w:r>
            <w:r>
              <w:rPr>
                <w:rFonts w:hint="eastAsia" w:ascii="宋体" w:hAnsi="宋体" w:eastAsia="宋体" w:cs="宋体"/>
                <w:b/>
                <w:bCs/>
                <w:color w:val="auto"/>
                <w:sz w:val="21"/>
                <w:szCs w:val="21"/>
                <w:highlight w:val="none"/>
              </w:rPr>
              <w:t>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w:t>
            </w:r>
          </w:p>
        </w:tc>
        <w:tc>
          <w:tcPr>
            <w:tcW w:w="1349" w:type="dxa"/>
            <w:tcBorders>
              <w:top w:val="single" w:color="auto" w:sz="12" w:space="0"/>
              <w:left w:val="single" w:color="auto" w:sz="4" w:space="0"/>
              <w:bottom w:val="single" w:color="auto" w:sz="4" w:space="0"/>
              <w:right w:val="single" w:color="auto" w:sz="4" w:space="0"/>
            </w:tcBorders>
            <w:noWrap w:val="0"/>
            <w:vAlign w:val="center"/>
          </w:tcPr>
          <w:p w14:paraId="139DD18C">
            <w:pPr>
              <w:keepNext w:val="0"/>
              <w:keepLines w:val="0"/>
              <w:pageBreakBefore w:val="0"/>
              <w:kinsoku/>
              <w:overflowPunct/>
              <w:topLinePunct w:val="0"/>
              <w:autoSpaceDE w:val="0"/>
              <w:autoSpaceDN w:val="0"/>
              <w:bidi w:val="0"/>
              <w:spacing w:line="450" w:lineRule="exact"/>
              <w:jc w:val="center"/>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tc>
        <w:tc>
          <w:tcPr>
            <w:tcW w:w="4629" w:type="dxa"/>
            <w:tcBorders>
              <w:top w:val="single" w:color="auto" w:sz="12" w:space="0"/>
              <w:left w:val="single" w:color="auto" w:sz="4" w:space="0"/>
              <w:bottom w:val="single" w:color="auto" w:sz="4" w:space="0"/>
              <w:right w:val="single" w:color="auto" w:sz="12" w:space="0"/>
            </w:tcBorders>
            <w:noWrap w:val="0"/>
            <w:vAlign w:val="center"/>
          </w:tcPr>
          <w:p w14:paraId="7D566874">
            <w:pPr>
              <w:keepNext w:val="0"/>
              <w:keepLines w:val="0"/>
              <w:pageBreakBefore w:val="0"/>
              <w:kinsoku/>
              <w:overflowPunct/>
              <w:topLinePunct w:val="0"/>
              <w:autoSpaceDE w:val="0"/>
              <w:autoSpaceDN w:val="0"/>
              <w:bidi w:val="0"/>
              <w:spacing w:line="450" w:lineRule="exact"/>
              <w:jc w:val="center"/>
              <w:textAlignment w:val="bottom"/>
              <w:outlineLvl w:val="9"/>
              <w:rPr>
                <w:rFonts w:hint="eastAsia" w:ascii="宋体" w:hAnsi="宋体" w:eastAsia="宋体" w:cs="宋体"/>
                <w:color w:val="auto"/>
                <w:sz w:val="21"/>
                <w:szCs w:val="21"/>
                <w:highlight w:val="none"/>
              </w:rPr>
            </w:pPr>
          </w:p>
        </w:tc>
      </w:tr>
      <w:tr w14:paraId="4293D8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1530" w:hRule="atLeast"/>
          <w:jc w:val="center"/>
        </w:trPr>
        <w:tc>
          <w:tcPr>
            <w:tcW w:w="2694" w:type="dxa"/>
            <w:vMerge w:val="continue"/>
            <w:tcBorders>
              <w:top w:val="single" w:color="auto" w:sz="12" w:space="0"/>
              <w:left w:val="single" w:color="auto" w:sz="12" w:space="0"/>
              <w:bottom w:val="single" w:color="auto" w:sz="4" w:space="0"/>
              <w:right w:val="single" w:color="auto" w:sz="4" w:space="0"/>
            </w:tcBorders>
            <w:noWrap w:val="0"/>
            <w:vAlign w:val="center"/>
          </w:tcPr>
          <w:p w14:paraId="790212AC">
            <w:pPr>
              <w:keepNext w:val="0"/>
              <w:keepLines w:val="0"/>
              <w:pageBreakBefore w:val="0"/>
              <w:kinsoku/>
              <w:overflowPunct/>
              <w:topLinePunct w:val="0"/>
              <w:bidi w:val="0"/>
              <w:outlineLvl w:val="9"/>
              <w:rPr>
                <w:rFonts w:hint="eastAsia" w:ascii="宋体" w:hAnsi="宋体" w:eastAsia="宋体" w:cs="宋体"/>
                <w:color w:val="auto"/>
                <w:sz w:val="21"/>
                <w:szCs w:val="21"/>
                <w:highlight w:val="none"/>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73E0922F">
            <w:pPr>
              <w:keepNext w:val="0"/>
              <w:keepLines w:val="0"/>
              <w:pageBreakBefore w:val="0"/>
              <w:kinsoku/>
              <w:overflowPunct/>
              <w:topLinePunct w:val="0"/>
              <w:autoSpaceDE w:val="0"/>
              <w:autoSpaceDN w:val="0"/>
              <w:bidi w:val="0"/>
              <w:spacing w:line="450" w:lineRule="exact"/>
              <w:jc w:val="center"/>
              <w:textAlignment w:val="bottom"/>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c>
          <w:tcPr>
            <w:tcW w:w="4629" w:type="dxa"/>
            <w:tcBorders>
              <w:top w:val="single" w:color="auto" w:sz="4" w:space="0"/>
              <w:left w:val="single" w:color="auto" w:sz="4" w:space="0"/>
              <w:bottom w:val="single" w:color="auto" w:sz="4" w:space="0"/>
              <w:right w:val="single" w:color="auto" w:sz="12" w:space="0"/>
            </w:tcBorders>
            <w:noWrap w:val="0"/>
            <w:vAlign w:val="center"/>
          </w:tcPr>
          <w:p w14:paraId="0EFB5E47">
            <w:pPr>
              <w:keepNext w:val="0"/>
              <w:keepLines w:val="0"/>
              <w:pageBreakBefore w:val="0"/>
              <w:kinsoku/>
              <w:overflowPunct/>
              <w:topLinePunct w:val="0"/>
              <w:autoSpaceDE w:val="0"/>
              <w:autoSpaceDN w:val="0"/>
              <w:bidi w:val="0"/>
              <w:spacing w:line="450" w:lineRule="exact"/>
              <w:jc w:val="center"/>
              <w:textAlignment w:val="bottom"/>
              <w:outlineLvl w:val="9"/>
              <w:rPr>
                <w:rFonts w:hint="eastAsia" w:ascii="宋体" w:hAnsi="宋体" w:eastAsia="宋体" w:cs="宋体"/>
                <w:color w:val="auto"/>
                <w:sz w:val="21"/>
                <w:szCs w:val="21"/>
                <w:highlight w:val="none"/>
              </w:rPr>
            </w:pPr>
          </w:p>
        </w:tc>
      </w:tr>
    </w:tbl>
    <w:p w14:paraId="18EE8A24">
      <w:pPr>
        <w:keepNext w:val="0"/>
        <w:keepLines w:val="0"/>
        <w:pageBreakBefore w:val="0"/>
        <w:kinsoku/>
        <w:overflowPunct/>
        <w:topLinePunct w:val="0"/>
        <w:bidi w:val="0"/>
        <w:spacing w:line="360" w:lineRule="auto"/>
        <w:ind w:left="480"/>
        <w:outlineLvl w:val="9"/>
        <w:rPr>
          <w:rFonts w:hint="eastAsia" w:ascii="宋体" w:hAnsi="宋体" w:eastAsia="宋体" w:cs="宋体"/>
          <w:b/>
          <w:color w:val="auto"/>
          <w:sz w:val="21"/>
          <w:szCs w:val="21"/>
          <w:highlight w:val="none"/>
        </w:rPr>
      </w:pPr>
    </w:p>
    <w:p w14:paraId="2996B7EA">
      <w:pPr>
        <w:keepNext w:val="0"/>
        <w:keepLines w:val="0"/>
        <w:pageBreakBefore w:val="0"/>
        <w:kinsoku/>
        <w:overflowPunct/>
        <w:topLinePunct w:val="0"/>
        <w:bidi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填报要求：</w:t>
      </w:r>
    </w:p>
    <w:p w14:paraId="43FAAE53">
      <w:pPr>
        <w:pStyle w:val="8"/>
        <w:keepNext w:val="0"/>
        <w:keepLines w:val="0"/>
        <w:pageBreakBefore w:val="0"/>
        <w:kinsoku/>
        <w:overflowPunct/>
        <w:topLinePunct w:val="0"/>
        <w:bidi w:val="0"/>
        <w:spacing w:line="360" w:lineRule="auto"/>
        <w:ind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投标报价为完成本项目的所有费用，包括所有人员的人工费、交通费、住宿费、伙食费、办公设施费、管理费、利润、税金、合同包含的所有风险责任等各项费用及不可预见费等所需的全部费用，全部费用已包含在投标报价中</w:t>
      </w:r>
      <w:r>
        <w:rPr>
          <w:rFonts w:hint="eastAsia" w:ascii="宋体" w:hAnsi="宋体" w:eastAsia="宋体" w:cs="宋体"/>
          <w:color w:val="auto"/>
          <w:kern w:val="0"/>
          <w:sz w:val="21"/>
          <w:szCs w:val="21"/>
          <w:highlight w:val="none"/>
          <w:lang w:eastAsia="zh-CN"/>
        </w:rPr>
        <w:t>。</w:t>
      </w:r>
    </w:p>
    <w:p w14:paraId="065AEC0F">
      <w:pPr>
        <w:keepNext w:val="0"/>
        <w:keepLines w:val="0"/>
        <w:pageBreakBefore w:val="0"/>
        <w:kinsoku/>
        <w:overflowPunct/>
        <w:topLinePunct w:val="0"/>
        <w:bidi w:val="0"/>
        <w:spacing w:line="360" w:lineRule="auto"/>
        <w:ind w:firstLine="420" w:firstLineChars="200"/>
        <w:outlineLvl w:val="9"/>
        <w:rPr>
          <w:rFonts w:hint="eastAsia" w:ascii="宋体" w:hAnsi="宋体" w:eastAsia="宋体" w:cs="宋体"/>
          <w:b/>
          <w:i/>
          <w:color w:val="auto"/>
          <w:sz w:val="21"/>
          <w:szCs w:val="21"/>
          <w:highlight w:val="none"/>
          <w:u w:val="singl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报价一经涂改，应在涂改处加盖单位公章，或者由法定代表人或</w:t>
      </w:r>
      <w:r>
        <w:rPr>
          <w:rFonts w:hint="eastAsia" w:ascii="宋体" w:hAnsi="宋体" w:eastAsia="宋体" w:cs="宋体"/>
          <w:color w:val="auto"/>
          <w:kern w:val="0"/>
          <w:sz w:val="21"/>
          <w:szCs w:val="21"/>
          <w:highlight w:val="none"/>
          <w:lang w:eastAsia="zh-CN"/>
        </w:rPr>
        <w:t>授权委托代理人签字</w:t>
      </w:r>
      <w:r>
        <w:rPr>
          <w:rFonts w:hint="eastAsia" w:ascii="宋体" w:hAnsi="宋体" w:eastAsia="宋体" w:cs="宋体"/>
          <w:color w:val="auto"/>
          <w:kern w:val="0"/>
          <w:sz w:val="21"/>
          <w:szCs w:val="21"/>
          <w:highlight w:val="none"/>
        </w:rPr>
        <w:t>或盖章，否则作无效</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rPr>
        <w:t>处理。</w:t>
      </w:r>
    </w:p>
    <w:p w14:paraId="7F9521C2">
      <w:pPr>
        <w:keepNext w:val="0"/>
        <w:keepLines w:val="0"/>
        <w:pageBreakBefore w:val="0"/>
        <w:kinsoku/>
        <w:overflowPunct/>
        <w:topLinePunct w:val="0"/>
        <w:bidi w:val="0"/>
        <w:spacing w:line="360" w:lineRule="auto"/>
        <w:ind w:left="420"/>
        <w:outlineLvl w:val="9"/>
        <w:rPr>
          <w:rFonts w:hint="eastAsia" w:ascii="宋体" w:hAnsi="宋体" w:eastAsia="宋体" w:cs="宋体"/>
          <w:color w:val="auto"/>
          <w:sz w:val="21"/>
          <w:szCs w:val="21"/>
          <w:highlight w:val="none"/>
        </w:rPr>
      </w:pPr>
    </w:p>
    <w:p w14:paraId="1E506C10">
      <w:pPr>
        <w:keepNext w:val="0"/>
        <w:keepLines w:val="0"/>
        <w:pageBreakBefore w:val="0"/>
        <w:kinsoku/>
        <w:overflowPunct/>
        <w:topLinePunct w:val="0"/>
        <w:bidi w:val="0"/>
        <w:spacing w:line="320" w:lineRule="exact"/>
        <w:ind w:left="420"/>
        <w:outlineLvl w:val="9"/>
        <w:rPr>
          <w:rFonts w:hint="eastAsia" w:ascii="宋体" w:hAnsi="宋体" w:eastAsia="宋体" w:cs="宋体"/>
          <w:color w:val="auto"/>
          <w:sz w:val="21"/>
          <w:szCs w:val="21"/>
          <w:highlight w:val="none"/>
        </w:rPr>
      </w:pPr>
    </w:p>
    <w:p w14:paraId="37C687D3">
      <w:pPr>
        <w:keepNext w:val="0"/>
        <w:keepLines w:val="0"/>
        <w:pageBreakBefore w:val="0"/>
        <w:kinsoku/>
        <w:overflowPunct/>
        <w:topLinePunct w:val="0"/>
        <w:bidi w:val="0"/>
        <w:spacing w:line="320" w:lineRule="exact"/>
        <w:ind w:left="42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D3101F1">
      <w:pPr>
        <w:keepNext w:val="0"/>
        <w:keepLines w:val="0"/>
        <w:pageBreakBefore w:val="0"/>
        <w:kinsoku/>
        <w:overflowPunct/>
        <w:topLinePunct w:val="0"/>
        <w:bidi w:val="0"/>
        <w:spacing w:line="320" w:lineRule="exact"/>
        <w:ind w:left="420"/>
        <w:outlineLvl w:val="9"/>
        <w:rPr>
          <w:rFonts w:hint="eastAsia" w:ascii="宋体" w:hAnsi="宋体" w:eastAsia="宋体" w:cs="宋体"/>
          <w:color w:val="auto"/>
          <w:sz w:val="21"/>
          <w:szCs w:val="21"/>
          <w:highlight w:val="none"/>
        </w:rPr>
      </w:pPr>
    </w:p>
    <w:p w14:paraId="3C719C5F">
      <w:pPr>
        <w:keepNext w:val="0"/>
        <w:keepLines w:val="0"/>
        <w:pageBreakBefore w:val="0"/>
        <w:kinsoku/>
        <w:overflowPunct/>
        <w:topLinePunct w:val="0"/>
        <w:bidi w:val="0"/>
        <w:spacing w:line="320" w:lineRule="exact"/>
        <w:ind w:firstLine="435"/>
        <w:outlineLvl w:val="9"/>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lang w:eastAsia="zh-CN"/>
        </w:rPr>
        <w:t>法定代表人或授</w:t>
      </w:r>
      <w:r>
        <w:rPr>
          <w:rFonts w:hint="eastAsia" w:ascii="宋体" w:hAnsi="宋体"/>
          <w:color w:val="auto"/>
          <w:sz w:val="21"/>
          <w:szCs w:val="21"/>
          <w:highlight w:val="none"/>
          <w:lang w:eastAsia="zh-CN"/>
        </w:rPr>
        <w:t>权委托代理人</w:t>
      </w:r>
      <w:r>
        <w:rPr>
          <w:rFonts w:hint="eastAsia" w:ascii="宋体" w:hAnsi="宋体" w:eastAsia="宋体" w:cs="宋体"/>
          <w:color w:val="auto"/>
          <w:szCs w:val="21"/>
          <w:highlight w:val="none"/>
        </w:rPr>
        <w:t>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7B070991">
      <w:pPr>
        <w:keepNext w:val="0"/>
        <w:keepLines w:val="0"/>
        <w:pageBreakBefore w:val="0"/>
        <w:kinsoku/>
        <w:overflowPunct/>
        <w:topLinePunct w:val="0"/>
        <w:bidi w:val="0"/>
        <w:spacing w:line="320" w:lineRule="exact"/>
        <w:ind w:firstLine="435"/>
        <w:outlineLvl w:val="9"/>
        <w:rPr>
          <w:rFonts w:hint="eastAsia" w:ascii="宋体" w:hAnsi="宋体" w:eastAsia="宋体" w:cs="宋体"/>
          <w:color w:val="auto"/>
          <w:sz w:val="21"/>
          <w:szCs w:val="21"/>
          <w:highlight w:val="none"/>
        </w:rPr>
      </w:pPr>
    </w:p>
    <w:p w14:paraId="5317672B">
      <w:pPr>
        <w:keepNext w:val="0"/>
        <w:keepLines w:val="0"/>
        <w:pageBreakBefore w:val="0"/>
        <w:kinsoku/>
        <w:overflowPunct/>
        <w:topLinePunct w:val="0"/>
        <w:bidi w:val="0"/>
        <w:spacing w:line="32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60EF6829">
      <w:pPr>
        <w:keepNext w:val="0"/>
        <w:keepLines w:val="0"/>
        <w:pageBreakBefore w:val="0"/>
        <w:kinsoku/>
        <w:overflowPunct/>
        <w:topLinePunct w:val="0"/>
        <w:bidi w:val="0"/>
        <w:spacing w:line="320" w:lineRule="exact"/>
        <w:ind w:firstLine="435"/>
        <w:outlineLvl w:val="9"/>
        <w:rPr>
          <w:rFonts w:hint="eastAsia" w:ascii="宋体" w:hAnsi="宋体" w:eastAsia="宋体" w:cs="宋体"/>
          <w:color w:val="auto"/>
          <w:sz w:val="21"/>
          <w:szCs w:val="21"/>
          <w:highlight w:val="none"/>
        </w:rPr>
      </w:pPr>
    </w:p>
    <w:p w14:paraId="39585E9C">
      <w:pPr>
        <w:keepNext w:val="0"/>
        <w:keepLines w:val="0"/>
        <w:pageBreakBefore w:val="0"/>
        <w:kinsoku/>
        <w:overflowPunct/>
        <w:topLinePunct w:val="0"/>
        <w:bidi w:val="0"/>
        <w:spacing w:line="32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35281CE8">
      <w:pPr>
        <w:keepNext w:val="0"/>
        <w:keepLines w:val="0"/>
        <w:pageBreakBefore w:val="0"/>
        <w:kinsoku/>
        <w:overflowPunct/>
        <w:topLinePunct w:val="0"/>
        <w:bidi w:val="0"/>
        <w:adjustRightInd w:val="0"/>
        <w:snapToGrid w:val="0"/>
        <w:spacing w:line="360" w:lineRule="auto"/>
        <w:ind w:right="480"/>
        <w:jc w:val="center"/>
        <w:outlineLvl w:val="9"/>
        <w:rPr>
          <w:rFonts w:hint="eastAsia" w:ascii="宋体" w:hAnsi="宋体" w:eastAsia="宋体" w:cs="宋体"/>
          <w:color w:val="auto"/>
          <w:kern w:val="0"/>
          <w:sz w:val="24"/>
          <w:highlight w:val="none"/>
          <w:lang w:val="zh-CN"/>
        </w:rPr>
      </w:pPr>
    </w:p>
    <w:p w14:paraId="786C6C76">
      <w:pPr>
        <w:keepNext w:val="0"/>
        <w:keepLines w:val="0"/>
        <w:pageBreakBefore w:val="0"/>
        <w:kinsoku/>
        <w:overflowPunct/>
        <w:topLinePunct w:val="0"/>
        <w:bidi w:val="0"/>
        <w:spacing w:line="360" w:lineRule="atLeast"/>
        <w:ind w:left="480"/>
        <w:outlineLvl w:val="9"/>
        <w:rPr>
          <w:rFonts w:hint="eastAsia" w:ascii="宋体" w:hAnsi="宋体" w:eastAsia="宋体" w:cs="宋体"/>
          <w:b/>
          <w:color w:val="auto"/>
          <w:sz w:val="28"/>
          <w:highlight w:val="none"/>
        </w:rPr>
      </w:pPr>
    </w:p>
    <w:p w14:paraId="4BBDFE9D">
      <w:pPr>
        <w:pStyle w:val="2"/>
        <w:keepNext w:val="0"/>
        <w:keepLines w:val="0"/>
        <w:pageBreakBefore w:val="0"/>
        <w:kinsoku/>
        <w:overflowPunct/>
        <w:topLinePunct w:val="0"/>
        <w:bidi w:val="0"/>
        <w:outlineLvl w:val="9"/>
        <w:rPr>
          <w:rFonts w:hint="eastAsia" w:ascii="宋体" w:hAnsi="宋体" w:eastAsia="宋体" w:cs="宋体"/>
          <w:b/>
          <w:color w:val="auto"/>
          <w:sz w:val="28"/>
          <w:highlight w:val="none"/>
        </w:rPr>
      </w:pPr>
    </w:p>
    <w:p w14:paraId="576BA02D">
      <w:pPr>
        <w:pStyle w:val="3"/>
        <w:keepNext w:val="0"/>
        <w:keepLines w:val="0"/>
        <w:pageBreakBefore w:val="0"/>
        <w:kinsoku/>
        <w:overflowPunct/>
        <w:topLinePunct w:val="0"/>
        <w:bidi w:val="0"/>
        <w:outlineLvl w:val="9"/>
        <w:rPr>
          <w:rFonts w:hint="eastAsia" w:ascii="宋体" w:hAnsi="宋体" w:eastAsia="宋体" w:cs="宋体"/>
          <w:color w:val="auto"/>
          <w:highlight w:val="none"/>
        </w:rPr>
      </w:pPr>
    </w:p>
    <w:p w14:paraId="51A4D234">
      <w:pPr>
        <w:keepNext w:val="0"/>
        <w:keepLines w:val="0"/>
        <w:pageBreakBefore w:val="0"/>
        <w:kinsoku/>
        <w:overflowPunct/>
        <w:topLinePunct w:val="0"/>
        <w:bidi w:val="0"/>
        <w:spacing w:line="360" w:lineRule="auto"/>
        <w:outlineLvl w:val="9"/>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附件1</w:t>
      </w:r>
      <w:r>
        <w:rPr>
          <w:rFonts w:hint="eastAsia" w:ascii="宋体" w:hAnsi="宋体" w:eastAsia="宋体" w:cs="宋体"/>
          <w:b/>
          <w:color w:val="auto"/>
          <w:sz w:val="28"/>
          <w:highlight w:val="none"/>
          <w:lang w:val="en-US" w:eastAsia="zh-CN"/>
        </w:rPr>
        <w:t>5</w:t>
      </w:r>
    </w:p>
    <w:p w14:paraId="126BF3B1">
      <w:pPr>
        <w:keepNext w:val="0"/>
        <w:keepLines w:val="0"/>
        <w:pageBreakBefore w:val="0"/>
        <w:kinsoku/>
        <w:overflowPunct/>
        <w:topLinePunct w:val="0"/>
        <w:bidi w:val="0"/>
        <w:spacing w:line="360" w:lineRule="auto"/>
        <w:ind w:left="480"/>
        <w:jc w:val="center"/>
        <w:outlineLvl w:val="9"/>
        <w:rPr>
          <w:rFonts w:hint="eastAsia" w:ascii="宋体" w:hAnsi="宋体" w:eastAsia="宋体" w:cs="宋体"/>
          <w:color w:val="auto"/>
          <w:sz w:val="24"/>
          <w:highlight w:val="none"/>
        </w:rPr>
      </w:pPr>
      <w:r>
        <w:rPr>
          <w:rFonts w:hint="eastAsia" w:ascii="宋体" w:hAnsi="宋体" w:eastAsia="宋体" w:cs="宋体"/>
          <w:b/>
          <w:color w:val="auto"/>
          <w:sz w:val="32"/>
          <w:szCs w:val="32"/>
          <w:highlight w:val="none"/>
        </w:rPr>
        <w:t>报价明细表</w:t>
      </w:r>
    </w:p>
    <w:p w14:paraId="05DDB6C4">
      <w:pPr>
        <w:pStyle w:val="11"/>
        <w:keepNext w:val="0"/>
        <w:keepLines w:val="0"/>
        <w:pageBreakBefore w:val="0"/>
        <w:kinsoku/>
        <w:overflowPunct/>
        <w:topLinePunct w:val="0"/>
        <w:bidi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项目编号：</w:t>
      </w:r>
    </w:p>
    <w:p w14:paraId="41E28D44">
      <w:pPr>
        <w:pStyle w:val="48"/>
        <w:keepNext w:val="0"/>
        <w:keepLines w:val="0"/>
        <w:pageBreakBefore w:val="0"/>
        <w:kinsoku/>
        <w:overflowPunct/>
        <w:topLinePunct w:val="0"/>
        <w:bidi w:val="0"/>
        <w:spacing w:line="360" w:lineRule="auto"/>
        <w:ind w:right="480"/>
        <w:jc w:val="left"/>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项目名称：</w:t>
      </w:r>
      <w:r>
        <w:rPr>
          <w:rFonts w:hint="eastAsia" w:ascii="宋体" w:hAnsi="宋体" w:eastAsia="宋体" w:cs="宋体"/>
          <w:color w:val="auto"/>
          <w:sz w:val="21"/>
          <w:szCs w:val="21"/>
          <w:highlight w:val="none"/>
        </w:rPr>
        <w:t xml:space="preserve">                                     [货币单位：人民币元]</w:t>
      </w:r>
      <w:r>
        <w:rPr>
          <w:rFonts w:hint="eastAsia" w:ascii="宋体" w:hAnsi="宋体" w:eastAsia="宋体" w:cs="宋体"/>
          <w:color w:val="auto"/>
          <w:sz w:val="24"/>
          <w:highlight w:val="none"/>
        </w:rPr>
        <w:t xml:space="preserve">                             </w:t>
      </w:r>
    </w:p>
    <w:tbl>
      <w:tblPr>
        <w:tblStyle w:val="22"/>
        <w:tblW w:w="58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1561"/>
        <w:gridCol w:w="3011"/>
        <w:gridCol w:w="906"/>
        <w:gridCol w:w="984"/>
        <w:gridCol w:w="984"/>
        <w:gridCol w:w="994"/>
      </w:tblGrid>
      <w:tr w14:paraId="0763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79" w:type="pct"/>
            <w:noWrap w:val="0"/>
            <w:vAlign w:val="center"/>
          </w:tcPr>
          <w:p w14:paraId="2B68295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bookmarkStart w:id="3" w:name="_GoBack"/>
            <w:r>
              <w:rPr>
                <w:rFonts w:hint="eastAsia" w:ascii="宋体" w:hAnsi="宋体" w:eastAsia="宋体" w:cs="宋体"/>
                <w:b/>
                <w:bCs/>
                <w:i w:val="0"/>
                <w:iCs w:val="0"/>
                <w:color w:val="auto"/>
                <w:kern w:val="0"/>
                <w:sz w:val="21"/>
                <w:szCs w:val="21"/>
                <w:highlight w:val="none"/>
                <w:u w:val="none"/>
                <w:lang w:val="en-US" w:eastAsia="zh-CN"/>
              </w:rPr>
              <w:t>类别</w:t>
            </w:r>
          </w:p>
        </w:tc>
        <w:tc>
          <w:tcPr>
            <w:tcW w:w="781" w:type="pct"/>
            <w:noWrap w:val="0"/>
            <w:vAlign w:val="center"/>
          </w:tcPr>
          <w:p w14:paraId="1E588E3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检测内容</w:t>
            </w:r>
          </w:p>
        </w:tc>
        <w:tc>
          <w:tcPr>
            <w:tcW w:w="1506" w:type="pct"/>
            <w:noWrap w:val="0"/>
            <w:vAlign w:val="center"/>
          </w:tcPr>
          <w:p w14:paraId="1749258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项目指标</w:t>
            </w:r>
          </w:p>
        </w:tc>
        <w:tc>
          <w:tcPr>
            <w:tcW w:w="453" w:type="pct"/>
            <w:noWrap w:val="0"/>
            <w:vAlign w:val="center"/>
          </w:tcPr>
          <w:p w14:paraId="28D47B7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点位数</w:t>
            </w:r>
          </w:p>
        </w:tc>
        <w:tc>
          <w:tcPr>
            <w:tcW w:w="492" w:type="pct"/>
            <w:noWrap w:val="0"/>
            <w:vAlign w:val="center"/>
          </w:tcPr>
          <w:p w14:paraId="19EA226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rPr>
              <w:t>周期</w:t>
            </w:r>
          </w:p>
        </w:tc>
        <w:tc>
          <w:tcPr>
            <w:tcW w:w="492" w:type="pct"/>
            <w:noWrap w:val="0"/>
            <w:vAlign w:val="center"/>
          </w:tcPr>
          <w:p w14:paraId="35AF2EFF">
            <w:pPr>
              <w:keepNext w:val="0"/>
              <w:keepLines w:val="0"/>
              <w:pageBreakBefore w:val="0"/>
              <w:kinsoku/>
              <w:overflowPunct/>
              <w:topLinePunct w:val="0"/>
              <w:autoSpaceDE w:val="0"/>
              <w:autoSpaceDN w:val="0"/>
              <w:bidi w:val="0"/>
              <w:spacing w:line="240" w:lineRule="auto"/>
              <w:jc w:val="center"/>
              <w:textAlignment w:val="bottom"/>
              <w:outlineLvl w:val="9"/>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color w:val="auto"/>
                <w:sz w:val="21"/>
                <w:szCs w:val="21"/>
                <w:highlight w:val="none"/>
                <w:lang w:val="en-US" w:eastAsia="zh-CN"/>
              </w:rPr>
              <w:t>投标单价</w:t>
            </w:r>
            <w:r>
              <w:rPr>
                <w:rFonts w:hint="eastAsia" w:ascii="宋体" w:hAnsi="宋体" w:cs="宋体"/>
                <w:b/>
                <w:bCs/>
                <w:color w:val="auto"/>
                <w:sz w:val="21"/>
                <w:szCs w:val="21"/>
                <w:highlight w:val="none"/>
                <w:lang w:val="en-US" w:eastAsia="zh-CN"/>
              </w:rPr>
              <w:t>（元/点位·周期）</w:t>
            </w:r>
          </w:p>
        </w:tc>
        <w:tc>
          <w:tcPr>
            <w:tcW w:w="495" w:type="pct"/>
            <w:noWrap w:val="0"/>
            <w:vAlign w:val="center"/>
          </w:tcPr>
          <w:p w14:paraId="4284110B">
            <w:pPr>
              <w:keepNext w:val="0"/>
              <w:keepLines w:val="0"/>
              <w:pageBreakBefore w:val="0"/>
              <w:kinsoku/>
              <w:overflowPunct/>
              <w:topLinePunct w:val="0"/>
              <w:autoSpaceDE w:val="0"/>
              <w:autoSpaceDN w:val="0"/>
              <w:bidi w:val="0"/>
              <w:spacing w:line="240" w:lineRule="auto"/>
              <w:jc w:val="center"/>
              <w:textAlignment w:val="bottom"/>
              <w:outlineLvl w:val="9"/>
              <w:rPr>
                <w:rFonts w:hint="eastAsia" w:ascii="宋体" w:hAnsi="宋体" w:eastAsia="宋体" w:cs="宋体"/>
                <w:b/>
                <w:bCs/>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小计</w:t>
            </w:r>
          </w:p>
        </w:tc>
      </w:tr>
      <w:tr w14:paraId="6913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79" w:type="pct"/>
            <w:vMerge w:val="restart"/>
            <w:noWrap w:val="0"/>
            <w:vAlign w:val="center"/>
          </w:tcPr>
          <w:p w14:paraId="2B6ECBC1">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color w:val="auto"/>
                <w:kern w:val="0"/>
                <w:szCs w:val="21"/>
                <w:highlight w:val="none"/>
                <w:lang w:val="en-US" w:eastAsia="zh-CN"/>
              </w:rPr>
              <w:t>其他检测项目</w:t>
            </w:r>
          </w:p>
        </w:tc>
        <w:tc>
          <w:tcPr>
            <w:tcW w:w="781" w:type="pct"/>
            <w:noWrap w:val="0"/>
            <w:vAlign w:val="center"/>
          </w:tcPr>
          <w:p w14:paraId="12D647A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 xml:space="preserve">台州市路桥中科成污水净化有限公司 </w:t>
            </w:r>
          </w:p>
        </w:tc>
        <w:tc>
          <w:tcPr>
            <w:tcW w:w="1506" w:type="pct"/>
            <w:noWrap w:val="0"/>
            <w:vAlign w:val="center"/>
          </w:tcPr>
          <w:p w14:paraId="45DF8AD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废水：总铅、总镉、烷基汞、粪大肠菌群</w:t>
            </w:r>
          </w:p>
        </w:tc>
        <w:tc>
          <w:tcPr>
            <w:tcW w:w="453" w:type="pct"/>
            <w:noWrap w:val="0"/>
            <w:vAlign w:val="center"/>
          </w:tcPr>
          <w:p w14:paraId="27426E5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8</w:t>
            </w:r>
          </w:p>
        </w:tc>
        <w:tc>
          <w:tcPr>
            <w:tcW w:w="492" w:type="pct"/>
            <w:noWrap w:val="0"/>
            <w:vAlign w:val="center"/>
          </w:tcPr>
          <w:p w14:paraId="03673EC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492" w:type="pct"/>
            <w:noWrap w:val="0"/>
            <w:vAlign w:val="center"/>
          </w:tcPr>
          <w:p w14:paraId="2490628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0B46F78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EF8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 w:type="pct"/>
            <w:vMerge w:val="continue"/>
            <w:noWrap w:val="0"/>
            <w:vAlign w:val="center"/>
          </w:tcPr>
          <w:p w14:paraId="7356943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81" w:type="pct"/>
            <w:noWrap w:val="0"/>
            <w:vAlign w:val="center"/>
          </w:tcPr>
          <w:p w14:paraId="3672B94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台州市路桥北控水务有限公司</w:t>
            </w:r>
          </w:p>
        </w:tc>
        <w:tc>
          <w:tcPr>
            <w:tcW w:w="1506" w:type="pct"/>
            <w:noWrap w:val="0"/>
            <w:vAlign w:val="center"/>
          </w:tcPr>
          <w:p w14:paraId="527B310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废水：总铅、总镉、烷基汞、粪大肠菌群</w:t>
            </w:r>
          </w:p>
        </w:tc>
        <w:tc>
          <w:tcPr>
            <w:tcW w:w="453" w:type="pct"/>
            <w:noWrap w:val="0"/>
            <w:vAlign w:val="center"/>
          </w:tcPr>
          <w:p w14:paraId="43847DF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2" w:type="pct"/>
            <w:noWrap w:val="0"/>
            <w:vAlign w:val="center"/>
          </w:tcPr>
          <w:p w14:paraId="6AAE999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1</w:t>
            </w:r>
          </w:p>
        </w:tc>
        <w:tc>
          <w:tcPr>
            <w:tcW w:w="492" w:type="pct"/>
            <w:noWrap w:val="0"/>
            <w:vAlign w:val="center"/>
          </w:tcPr>
          <w:p w14:paraId="07EEC70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c>
          <w:tcPr>
            <w:tcW w:w="495" w:type="pct"/>
            <w:noWrap w:val="0"/>
            <w:vAlign w:val="center"/>
          </w:tcPr>
          <w:p w14:paraId="2A01C97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r>
      <w:tr w14:paraId="3F10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79" w:type="pct"/>
            <w:vMerge w:val="continue"/>
            <w:noWrap w:val="0"/>
            <w:vAlign w:val="center"/>
          </w:tcPr>
          <w:p w14:paraId="6667E24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81" w:type="pct"/>
            <w:vMerge w:val="restart"/>
            <w:noWrap w:val="0"/>
            <w:vAlign w:val="center"/>
          </w:tcPr>
          <w:p w14:paraId="56048B9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台州市路桥区环卫园林服务中心</w:t>
            </w:r>
          </w:p>
        </w:tc>
        <w:tc>
          <w:tcPr>
            <w:tcW w:w="1506" w:type="pct"/>
            <w:noWrap w:val="0"/>
            <w:vAlign w:val="center"/>
          </w:tcPr>
          <w:p w14:paraId="4718BD0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废水：总铅、总镉、粪大肠菌群</w:t>
            </w:r>
          </w:p>
        </w:tc>
        <w:tc>
          <w:tcPr>
            <w:tcW w:w="453" w:type="pct"/>
            <w:noWrap w:val="0"/>
            <w:vAlign w:val="center"/>
          </w:tcPr>
          <w:p w14:paraId="494873E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2" w:type="pct"/>
            <w:noWrap w:val="0"/>
            <w:vAlign w:val="center"/>
          </w:tcPr>
          <w:p w14:paraId="2E94828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2" w:type="pct"/>
            <w:noWrap w:val="0"/>
            <w:vAlign w:val="center"/>
          </w:tcPr>
          <w:p w14:paraId="516923F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24CB2DF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69F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 w:type="pct"/>
            <w:vMerge w:val="continue"/>
            <w:noWrap w:val="0"/>
            <w:vAlign w:val="center"/>
          </w:tcPr>
          <w:p w14:paraId="649CB2EE">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1B45CC4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23781F3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地下水：总硬度、溶解性总固体、粪大肠菌群</w:t>
            </w:r>
          </w:p>
        </w:tc>
        <w:tc>
          <w:tcPr>
            <w:tcW w:w="453" w:type="pct"/>
            <w:noWrap w:val="0"/>
            <w:vAlign w:val="center"/>
          </w:tcPr>
          <w:p w14:paraId="04738CE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2" w:type="pct"/>
            <w:noWrap w:val="0"/>
            <w:vAlign w:val="center"/>
          </w:tcPr>
          <w:p w14:paraId="3FF0238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1</w:t>
            </w:r>
          </w:p>
        </w:tc>
        <w:tc>
          <w:tcPr>
            <w:tcW w:w="492" w:type="pct"/>
            <w:noWrap w:val="0"/>
            <w:vAlign w:val="center"/>
          </w:tcPr>
          <w:p w14:paraId="20EB611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c>
          <w:tcPr>
            <w:tcW w:w="495" w:type="pct"/>
            <w:noWrap w:val="0"/>
            <w:vAlign w:val="center"/>
          </w:tcPr>
          <w:p w14:paraId="1720715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r>
      <w:tr w14:paraId="3B52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79" w:type="pct"/>
            <w:vMerge w:val="continue"/>
            <w:noWrap w:val="0"/>
            <w:vAlign w:val="center"/>
          </w:tcPr>
          <w:p w14:paraId="1228DF2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548B9725">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23ED04A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废气：恶臭</w:t>
            </w:r>
          </w:p>
        </w:tc>
        <w:tc>
          <w:tcPr>
            <w:tcW w:w="453" w:type="pct"/>
            <w:noWrap w:val="0"/>
            <w:vAlign w:val="center"/>
          </w:tcPr>
          <w:p w14:paraId="4362448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492" w:type="pct"/>
            <w:noWrap w:val="0"/>
            <w:vAlign w:val="center"/>
          </w:tcPr>
          <w:p w14:paraId="6B52DF8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492" w:type="pct"/>
            <w:noWrap w:val="0"/>
            <w:vAlign w:val="center"/>
          </w:tcPr>
          <w:p w14:paraId="3170F85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1680E32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E7D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79" w:type="pct"/>
            <w:vMerge w:val="continue"/>
            <w:noWrap w:val="0"/>
            <w:vAlign w:val="center"/>
          </w:tcPr>
          <w:p w14:paraId="500EE85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81" w:type="pct"/>
            <w:vMerge w:val="restart"/>
            <w:noWrap w:val="0"/>
            <w:vAlign w:val="center"/>
          </w:tcPr>
          <w:p w14:paraId="394720F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台州旺能再生资源利用有限公司</w:t>
            </w:r>
          </w:p>
        </w:tc>
        <w:tc>
          <w:tcPr>
            <w:tcW w:w="1506" w:type="pct"/>
            <w:noWrap w:val="0"/>
            <w:vAlign w:val="center"/>
          </w:tcPr>
          <w:p w14:paraId="332F63E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废水：总铅、总镉、粪大肠菌群</w:t>
            </w:r>
          </w:p>
        </w:tc>
        <w:tc>
          <w:tcPr>
            <w:tcW w:w="453" w:type="pct"/>
            <w:noWrap w:val="0"/>
            <w:vAlign w:val="center"/>
          </w:tcPr>
          <w:p w14:paraId="1B62A88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8</w:t>
            </w:r>
          </w:p>
        </w:tc>
        <w:tc>
          <w:tcPr>
            <w:tcW w:w="492" w:type="pct"/>
            <w:noWrap w:val="0"/>
            <w:vAlign w:val="center"/>
          </w:tcPr>
          <w:p w14:paraId="1011318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492" w:type="pct"/>
            <w:noWrap w:val="0"/>
            <w:vAlign w:val="center"/>
          </w:tcPr>
          <w:p w14:paraId="3423F31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05F2ED7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5BF7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79" w:type="pct"/>
            <w:vMerge w:val="continue"/>
            <w:noWrap w:val="0"/>
            <w:vAlign w:val="center"/>
          </w:tcPr>
          <w:p w14:paraId="6AEE92C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035D226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41BAE96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废气：汞、铊</w:t>
            </w:r>
          </w:p>
        </w:tc>
        <w:tc>
          <w:tcPr>
            <w:tcW w:w="453" w:type="pct"/>
            <w:noWrap w:val="0"/>
            <w:vAlign w:val="center"/>
          </w:tcPr>
          <w:p w14:paraId="7227818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w:t>
            </w:r>
          </w:p>
        </w:tc>
        <w:tc>
          <w:tcPr>
            <w:tcW w:w="492" w:type="pct"/>
            <w:noWrap w:val="0"/>
            <w:vAlign w:val="center"/>
          </w:tcPr>
          <w:p w14:paraId="1402976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492" w:type="pct"/>
            <w:noWrap w:val="0"/>
            <w:vAlign w:val="center"/>
          </w:tcPr>
          <w:p w14:paraId="5172800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2C2775F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321B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79" w:type="pct"/>
            <w:vMerge w:val="continue"/>
            <w:noWrap w:val="0"/>
            <w:vAlign w:val="center"/>
          </w:tcPr>
          <w:p w14:paraId="3151A37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426EA181">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26C514B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固废：热灼减率</w:t>
            </w:r>
          </w:p>
        </w:tc>
        <w:tc>
          <w:tcPr>
            <w:tcW w:w="453" w:type="pct"/>
            <w:noWrap w:val="0"/>
            <w:vAlign w:val="center"/>
          </w:tcPr>
          <w:p w14:paraId="1A55F57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w:t>
            </w:r>
          </w:p>
        </w:tc>
        <w:tc>
          <w:tcPr>
            <w:tcW w:w="492" w:type="pct"/>
            <w:noWrap w:val="0"/>
            <w:vAlign w:val="center"/>
          </w:tcPr>
          <w:p w14:paraId="0CEB55D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4</w:t>
            </w:r>
          </w:p>
        </w:tc>
        <w:tc>
          <w:tcPr>
            <w:tcW w:w="492" w:type="pct"/>
            <w:noWrap w:val="0"/>
            <w:vAlign w:val="center"/>
          </w:tcPr>
          <w:p w14:paraId="232C1D0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7D8EEE1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0008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79" w:type="pct"/>
            <w:vMerge w:val="continue"/>
            <w:noWrap w:val="0"/>
            <w:vAlign w:val="center"/>
          </w:tcPr>
          <w:p w14:paraId="2951610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81" w:type="pct"/>
            <w:noWrap w:val="0"/>
            <w:vAlign w:val="center"/>
          </w:tcPr>
          <w:p w14:paraId="54109CE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路桥区农田灌溉用水水质监测</w:t>
            </w:r>
          </w:p>
        </w:tc>
        <w:tc>
          <w:tcPr>
            <w:tcW w:w="1506" w:type="pct"/>
            <w:noWrap w:val="0"/>
            <w:vAlign w:val="center"/>
          </w:tcPr>
          <w:p w14:paraId="08664D7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地表水：蛔虫卵数、苯胺、三氯乙醛、丙烯醛、氯苯、1，2-二氯苯、1,4二氯苯、硝基苯</w:t>
            </w:r>
          </w:p>
        </w:tc>
        <w:tc>
          <w:tcPr>
            <w:tcW w:w="453" w:type="pct"/>
            <w:noWrap w:val="0"/>
            <w:vAlign w:val="center"/>
          </w:tcPr>
          <w:p w14:paraId="0011CD1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w:t>
            </w:r>
          </w:p>
        </w:tc>
        <w:tc>
          <w:tcPr>
            <w:tcW w:w="492" w:type="pct"/>
            <w:noWrap w:val="0"/>
            <w:vAlign w:val="center"/>
          </w:tcPr>
          <w:p w14:paraId="47D16C2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3</w:t>
            </w:r>
          </w:p>
        </w:tc>
        <w:tc>
          <w:tcPr>
            <w:tcW w:w="492" w:type="pct"/>
            <w:noWrap w:val="0"/>
            <w:vAlign w:val="center"/>
          </w:tcPr>
          <w:p w14:paraId="3F444A8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7DB78C7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2E26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79" w:type="pct"/>
            <w:vMerge w:val="continue"/>
            <w:noWrap w:val="0"/>
            <w:vAlign w:val="center"/>
          </w:tcPr>
          <w:p w14:paraId="522F1CE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781" w:type="pct"/>
            <w:vMerge w:val="restart"/>
            <w:noWrap w:val="0"/>
            <w:vAlign w:val="center"/>
          </w:tcPr>
          <w:p w14:paraId="277AD7F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地下水</w:t>
            </w:r>
          </w:p>
        </w:tc>
        <w:tc>
          <w:tcPr>
            <w:tcW w:w="1506" w:type="pct"/>
            <w:noWrap w:val="0"/>
            <w:vAlign w:val="center"/>
          </w:tcPr>
          <w:p w14:paraId="0BEAE27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碘化物</w:t>
            </w:r>
          </w:p>
        </w:tc>
        <w:tc>
          <w:tcPr>
            <w:tcW w:w="453" w:type="pct"/>
            <w:noWrap w:val="0"/>
            <w:vAlign w:val="center"/>
          </w:tcPr>
          <w:p w14:paraId="64777AA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2" w:type="pct"/>
            <w:noWrap w:val="0"/>
            <w:vAlign w:val="center"/>
          </w:tcPr>
          <w:p w14:paraId="74E7C16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2" w:type="pct"/>
            <w:noWrap w:val="0"/>
            <w:vAlign w:val="center"/>
          </w:tcPr>
          <w:p w14:paraId="25C30D0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73274ED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612B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 w:type="pct"/>
            <w:vMerge w:val="continue"/>
            <w:noWrap w:val="0"/>
            <w:vAlign w:val="center"/>
          </w:tcPr>
          <w:p w14:paraId="3D1E26EB">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5BE7A4DC">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5C18723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氨氮、铅、铍、锑、镍、钴、银、钡、锰、铁、铜、锌、铝、钠、镉</w:t>
            </w:r>
          </w:p>
        </w:tc>
        <w:tc>
          <w:tcPr>
            <w:tcW w:w="453" w:type="pct"/>
            <w:noWrap w:val="0"/>
            <w:vAlign w:val="center"/>
          </w:tcPr>
          <w:p w14:paraId="39FCB87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2" w:type="pct"/>
            <w:noWrap w:val="0"/>
            <w:vAlign w:val="center"/>
          </w:tcPr>
          <w:p w14:paraId="142D526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2" w:type="pct"/>
            <w:noWrap w:val="0"/>
            <w:vAlign w:val="center"/>
          </w:tcPr>
          <w:p w14:paraId="17B0546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2ADF76B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4296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79" w:type="pct"/>
            <w:vMerge w:val="continue"/>
            <w:noWrap w:val="0"/>
            <w:vAlign w:val="center"/>
          </w:tcPr>
          <w:p w14:paraId="2918DD8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681ED02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043EFE1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三氯甲烷、四氯化碳、苯、甲苯、二氯甲烷、1,2-二氯乙烷、氯乙烯、氯苯、乙苯、二甲苯、苯乙烯</w:t>
            </w:r>
          </w:p>
        </w:tc>
        <w:tc>
          <w:tcPr>
            <w:tcW w:w="453" w:type="pct"/>
            <w:noWrap w:val="0"/>
            <w:vAlign w:val="center"/>
          </w:tcPr>
          <w:p w14:paraId="150C46B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2" w:type="pct"/>
            <w:noWrap w:val="0"/>
            <w:vAlign w:val="center"/>
          </w:tcPr>
          <w:p w14:paraId="4056853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2" w:type="pct"/>
            <w:noWrap w:val="0"/>
            <w:vAlign w:val="center"/>
          </w:tcPr>
          <w:p w14:paraId="758AB64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7F1D08A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047C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79" w:type="pct"/>
            <w:vMerge w:val="continue"/>
            <w:noWrap w:val="0"/>
            <w:vAlign w:val="center"/>
          </w:tcPr>
          <w:p w14:paraId="099F71C2">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33DAFF1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26628FA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2,4-二硝基甲苯、2,6-二硝基甲苯</w:t>
            </w:r>
          </w:p>
        </w:tc>
        <w:tc>
          <w:tcPr>
            <w:tcW w:w="453" w:type="pct"/>
            <w:noWrap w:val="0"/>
            <w:vAlign w:val="center"/>
          </w:tcPr>
          <w:p w14:paraId="0C4C801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2" w:type="pct"/>
            <w:noWrap w:val="0"/>
            <w:vAlign w:val="center"/>
          </w:tcPr>
          <w:p w14:paraId="4F98BDC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2" w:type="pct"/>
            <w:noWrap w:val="0"/>
            <w:vAlign w:val="center"/>
          </w:tcPr>
          <w:p w14:paraId="59D9435B">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0FA00A9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702A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79" w:type="pct"/>
            <w:vMerge w:val="continue"/>
            <w:noWrap w:val="0"/>
            <w:vAlign w:val="center"/>
          </w:tcPr>
          <w:p w14:paraId="4197710A">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03307E43">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55B886D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苯并[a]芘</w:t>
            </w:r>
          </w:p>
        </w:tc>
        <w:tc>
          <w:tcPr>
            <w:tcW w:w="453" w:type="pct"/>
            <w:noWrap w:val="0"/>
            <w:vAlign w:val="center"/>
          </w:tcPr>
          <w:p w14:paraId="33B9E66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2" w:type="pct"/>
            <w:noWrap w:val="0"/>
            <w:vAlign w:val="center"/>
          </w:tcPr>
          <w:p w14:paraId="4CECB90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2" w:type="pct"/>
            <w:noWrap w:val="0"/>
            <w:vAlign w:val="center"/>
          </w:tcPr>
          <w:p w14:paraId="3C7221C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6D49909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5AD0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79" w:type="pct"/>
            <w:vMerge w:val="continue"/>
            <w:noWrap w:val="0"/>
            <w:vAlign w:val="center"/>
          </w:tcPr>
          <w:p w14:paraId="32A2886D">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6661B79F">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38B02EF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五氯酚、乐果</w:t>
            </w:r>
          </w:p>
        </w:tc>
        <w:tc>
          <w:tcPr>
            <w:tcW w:w="453" w:type="pct"/>
            <w:noWrap w:val="0"/>
            <w:vAlign w:val="center"/>
          </w:tcPr>
          <w:p w14:paraId="5741C09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2" w:type="pct"/>
            <w:noWrap w:val="0"/>
            <w:vAlign w:val="center"/>
          </w:tcPr>
          <w:p w14:paraId="28A7FA3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6</w:t>
            </w:r>
          </w:p>
        </w:tc>
        <w:tc>
          <w:tcPr>
            <w:tcW w:w="492" w:type="pct"/>
            <w:noWrap w:val="0"/>
            <w:vAlign w:val="center"/>
          </w:tcPr>
          <w:p w14:paraId="4832AD0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6572FCCE">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586B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779" w:type="pct"/>
            <w:vMerge w:val="continue"/>
            <w:noWrap w:val="0"/>
            <w:vAlign w:val="center"/>
          </w:tcPr>
          <w:p w14:paraId="59110477">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781" w:type="pct"/>
            <w:vMerge w:val="continue"/>
            <w:noWrap w:val="0"/>
            <w:vAlign w:val="center"/>
          </w:tcPr>
          <w:p w14:paraId="251C68B0">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p>
        </w:tc>
        <w:tc>
          <w:tcPr>
            <w:tcW w:w="1506" w:type="pct"/>
            <w:noWrap w:val="0"/>
            <w:vAlign w:val="center"/>
          </w:tcPr>
          <w:p w14:paraId="6E4DBB50">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仿宋"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pH、硫酸盐、氯化物、铁、锰、铜、锌、铝、挥发性酚类 （以苯酚计）、阴离子表面活性剂、耗氧量（</w:t>
            </w:r>
            <w:r>
              <w:rPr>
                <w:rFonts w:hint="default" w:ascii="宋体" w:hAnsi="宋体" w:eastAsia="宋体" w:cs="宋体"/>
                <w:i w:val="0"/>
                <w:iCs w:val="0"/>
                <w:color w:val="auto"/>
                <w:kern w:val="0"/>
                <w:sz w:val="21"/>
                <w:szCs w:val="21"/>
                <w:highlight w:val="none"/>
                <w:u w:val="none"/>
                <w:lang w:val="en-US" w:eastAsia="zh-CN"/>
              </w:rPr>
              <w:t>CODMn</w:t>
            </w:r>
            <w:r>
              <w:rPr>
                <w:rFonts w:hint="eastAsia" w:ascii="宋体" w:hAnsi="宋体" w:eastAsia="宋体" w:cs="宋体"/>
                <w:i w:val="0"/>
                <w:iCs w:val="0"/>
                <w:color w:val="auto"/>
                <w:kern w:val="0"/>
                <w:sz w:val="21"/>
                <w:szCs w:val="21"/>
                <w:highlight w:val="none"/>
                <w:u w:val="none"/>
                <w:lang w:val="en-US" w:eastAsia="zh-CN"/>
              </w:rPr>
              <w:t xml:space="preserve">法，以 </w:t>
            </w:r>
            <w:r>
              <w:rPr>
                <w:rFonts w:hint="default" w:ascii="宋体" w:hAnsi="宋体" w:eastAsia="宋体" w:cs="宋体"/>
                <w:i w:val="0"/>
                <w:iCs w:val="0"/>
                <w:color w:val="auto"/>
                <w:kern w:val="0"/>
                <w:sz w:val="21"/>
                <w:szCs w:val="21"/>
                <w:highlight w:val="none"/>
                <w:u w:val="none"/>
                <w:lang w:val="en-US" w:eastAsia="zh-CN"/>
              </w:rPr>
              <w:t>O2</w:t>
            </w:r>
            <w:r>
              <w:rPr>
                <w:rFonts w:hint="eastAsia" w:ascii="宋体" w:hAnsi="宋体" w:eastAsia="宋体" w:cs="宋体"/>
                <w:i w:val="0"/>
                <w:iCs w:val="0"/>
                <w:color w:val="auto"/>
                <w:kern w:val="0"/>
                <w:sz w:val="21"/>
                <w:szCs w:val="21"/>
                <w:highlight w:val="none"/>
                <w:u w:val="none"/>
                <w:lang w:val="en-US" w:eastAsia="zh-CN"/>
              </w:rPr>
              <w:t xml:space="preserve">计）、氨氮（以 </w:t>
            </w:r>
            <w:r>
              <w:rPr>
                <w:rFonts w:hint="default" w:ascii="宋体" w:hAnsi="宋体" w:eastAsia="宋体" w:cs="宋体"/>
                <w:i w:val="0"/>
                <w:iCs w:val="0"/>
                <w:color w:val="auto"/>
                <w:kern w:val="0"/>
                <w:sz w:val="21"/>
                <w:szCs w:val="21"/>
                <w:highlight w:val="none"/>
                <w:u w:val="none"/>
                <w:lang w:val="en-US" w:eastAsia="zh-CN"/>
              </w:rPr>
              <w:t xml:space="preserve">N </w:t>
            </w:r>
            <w:r>
              <w:rPr>
                <w:rFonts w:hint="eastAsia" w:ascii="宋体" w:hAnsi="宋体" w:eastAsia="宋体" w:cs="宋体"/>
                <w:i w:val="0"/>
                <w:iCs w:val="0"/>
                <w:color w:val="auto"/>
                <w:kern w:val="0"/>
                <w:sz w:val="21"/>
                <w:szCs w:val="21"/>
                <w:highlight w:val="none"/>
                <w:u w:val="none"/>
                <w:lang w:val="en-US" w:eastAsia="zh-CN"/>
              </w:rPr>
              <w:t xml:space="preserve">计）、硫化物、钠、亚硝酸盐（以 </w:t>
            </w:r>
            <w:r>
              <w:rPr>
                <w:rFonts w:hint="default" w:ascii="宋体" w:hAnsi="宋体" w:eastAsia="宋体" w:cs="宋体"/>
                <w:i w:val="0"/>
                <w:iCs w:val="0"/>
                <w:color w:val="auto"/>
                <w:kern w:val="0"/>
                <w:sz w:val="21"/>
                <w:szCs w:val="21"/>
                <w:highlight w:val="none"/>
                <w:u w:val="none"/>
                <w:lang w:val="en-US" w:eastAsia="zh-CN"/>
              </w:rPr>
              <w:t xml:space="preserve">N </w:t>
            </w:r>
            <w:r>
              <w:rPr>
                <w:rFonts w:hint="eastAsia" w:ascii="宋体" w:hAnsi="宋体" w:eastAsia="宋体" w:cs="宋体"/>
                <w:i w:val="0"/>
                <w:iCs w:val="0"/>
                <w:color w:val="auto"/>
                <w:kern w:val="0"/>
                <w:sz w:val="21"/>
                <w:szCs w:val="21"/>
                <w:highlight w:val="none"/>
                <w:u w:val="none"/>
                <w:lang w:val="en-US" w:eastAsia="zh-CN"/>
              </w:rPr>
              <w:t xml:space="preserve">计）、硝酸盐（以 </w:t>
            </w:r>
            <w:r>
              <w:rPr>
                <w:rFonts w:hint="default" w:ascii="宋体" w:hAnsi="宋体" w:eastAsia="宋体" w:cs="宋体"/>
                <w:i w:val="0"/>
                <w:iCs w:val="0"/>
                <w:color w:val="auto"/>
                <w:kern w:val="0"/>
                <w:sz w:val="21"/>
                <w:szCs w:val="21"/>
                <w:highlight w:val="none"/>
                <w:u w:val="none"/>
                <w:lang w:val="en-US" w:eastAsia="zh-CN"/>
              </w:rPr>
              <w:t xml:space="preserve">N </w:t>
            </w:r>
            <w:r>
              <w:rPr>
                <w:rFonts w:hint="eastAsia" w:ascii="宋体" w:hAnsi="宋体" w:eastAsia="宋体" w:cs="宋体"/>
                <w:i w:val="0"/>
                <w:iCs w:val="0"/>
                <w:color w:val="auto"/>
                <w:kern w:val="0"/>
                <w:sz w:val="21"/>
                <w:szCs w:val="21"/>
                <w:highlight w:val="none"/>
                <w:u w:val="none"/>
                <w:lang w:val="en-US" w:eastAsia="zh-CN"/>
              </w:rPr>
              <w:t xml:space="preserve">计）、氰化物、氟化物、碘化物、汞、砷、硒、镉、铬（六价）、铅、三氯甲烷、四氯化碳、苯、甲苯、色（铂钴色度单位）、嗅和味、浑浊度/NTU、肉眼可见物、 总硬度（以 </w:t>
            </w:r>
            <w:r>
              <w:rPr>
                <w:rFonts w:hint="default" w:ascii="宋体" w:hAnsi="宋体" w:eastAsia="宋体" w:cs="宋体"/>
                <w:i w:val="0"/>
                <w:iCs w:val="0"/>
                <w:color w:val="auto"/>
                <w:kern w:val="0"/>
                <w:sz w:val="21"/>
                <w:szCs w:val="21"/>
                <w:highlight w:val="none"/>
                <w:u w:val="none"/>
                <w:lang w:val="en-US" w:eastAsia="zh-CN"/>
              </w:rPr>
              <w:t>CaCO3</w:t>
            </w:r>
            <w:r>
              <w:rPr>
                <w:rFonts w:hint="eastAsia" w:ascii="宋体" w:hAnsi="宋体" w:eastAsia="宋体" w:cs="宋体"/>
                <w:i w:val="0"/>
                <w:iCs w:val="0"/>
                <w:color w:val="auto"/>
                <w:kern w:val="0"/>
                <w:sz w:val="21"/>
                <w:szCs w:val="21"/>
                <w:highlight w:val="none"/>
                <w:u w:val="none"/>
                <w:lang w:val="en-US" w:eastAsia="zh-CN"/>
              </w:rPr>
              <w:t>计）、溶解性总固体、钾、钙、镁、重碳酸根、碳酸根、游离二氧化碳和总氮</w:t>
            </w:r>
          </w:p>
        </w:tc>
        <w:tc>
          <w:tcPr>
            <w:tcW w:w="453" w:type="pct"/>
            <w:noWrap w:val="0"/>
            <w:vAlign w:val="center"/>
          </w:tcPr>
          <w:p w14:paraId="51D107DA">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1</w:t>
            </w:r>
          </w:p>
        </w:tc>
        <w:tc>
          <w:tcPr>
            <w:tcW w:w="492" w:type="pct"/>
            <w:noWrap w:val="0"/>
            <w:vAlign w:val="center"/>
          </w:tcPr>
          <w:p w14:paraId="438F288D">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6</w:t>
            </w:r>
          </w:p>
        </w:tc>
        <w:tc>
          <w:tcPr>
            <w:tcW w:w="492" w:type="pct"/>
            <w:noWrap w:val="0"/>
            <w:vAlign w:val="center"/>
          </w:tcPr>
          <w:p w14:paraId="4F0ED9F8">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c>
          <w:tcPr>
            <w:tcW w:w="495" w:type="pct"/>
            <w:noWrap w:val="0"/>
            <w:vAlign w:val="center"/>
          </w:tcPr>
          <w:p w14:paraId="28409667">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r>
      <w:tr w14:paraId="13D3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79" w:type="pct"/>
            <w:vMerge w:val="continue"/>
            <w:noWrap w:val="0"/>
            <w:vAlign w:val="center"/>
          </w:tcPr>
          <w:p w14:paraId="32264BCE">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p>
        </w:tc>
        <w:tc>
          <w:tcPr>
            <w:tcW w:w="781" w:type="pct"/>
            <w:noWrap w:val="0"/>
            <w:vAlign w:val="center"/>
          </w:tcPr>
          <w:p w14:paraId="5A07F64A">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其他项目</w:t>
            </w:r>
          </w:p>
        </w:tc>
        <w:tc>
          <w:tcPr>
            <w:tcW w:w="1506" w:type="pct"/>
            <w:noWrap w:val="0"/>
            <w:vAlign w:val="center"/>
          </w:tcPr>
          <w:p w14:paraId="6AA1B252">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rPr>
              <w:t>地表水：粪大肠菌群</w:t>
            </w:r>
          </w:p>
        </w:tc>
        <w:tc>
          <w:tcPr>
            <w:tcW w:w="453" w:type="pct"/>
            <w:noWrap w:val="0"/>
            <w:vAlign w:val="center"/>
          </w:tcPr>
          <w:p w14:paraId="6F7AF735">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4</w:t>
            </w:r>
          </w:p>
        </w:tc>
        <w:tc>
          <w:tcPr>
            <w:tcW w:w="492" w:type="pct"/>
            <w:noWrap w:val="0"/>
            <w:vAlign w:val="center"/>
          </w:tcPr>
          <w:p w14:paraId="6A9BAC4F">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2</w:t>
            </w:r>
          </w:p>
        </w:tc>
        <w:tc>
          <w:tcPr>
            <w:tcW w:w="492" w:type="pct"/>
            <w:noWrap w:val="0"/>
            <w:vAlign w:val="center"/>
          </w:tcPr>
          <w:p w14:paraId="3C5A7851">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c>
          <w:tcPr>
            <w:tcW w:w="495" w:type="pct"/>
            <w:noWrap w:val="0"/>
            <w:vAlign w:val="center"/>
          </w:tcPr>
          <w:p w14:paraId="2C62E354">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cs="宋体"/>
                <w:i w:val="0"/>
                <w:iCs w:val="0"/>
                <w:color w:val="auto"/>
                <w:kern w:val="0"/>
                <w:sz w:val="21"/>
                <w:szCs w:val="21"/>
                <w:highlight w:val="none"/>
                <w:u w:val="none"/>
                <w:lang w:val="en-US" w:eastAsia="zh-CN"/>
              </w:rPr>
            </w:pPr>
          </w:p>
        </w:tc>
      </w:tr>
      <w:tr w14:paraId="1981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79" w:type="pct"/>
            <w:noWrap w:val="0"/>
            <w:vAlign w:val="center"/>
          </w:tcPr>
          <w:p w14:paraId="2D2090CC">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auto"/>
                <w:sz w:val="21"/>
                <w:szCs w:val="21"/>
                <w:highlight w:val="none"/>
                <w:u w:val="none"/>
                <w:lang w:val="en-US" w:eastAsia="zh-CN"/>
              </w:rPr>
            </w:pPr>
            <w:r>
              <w:rPr>
                <w:rFonts w:ascii="宋体" w:hAnsi="宋体" w:eastAsia="宋体" w:cs="宋体"/>
                <w:b/>
                <w:bCs/>
                <w:color w:val="auto"/>
                <w:kern w:val="0"/>
                <w:szCs w:val="21"/>
                <w:highlight w:val="none"/>
                <w:lang w:val="en-US" w:eastAsia="zh-CN"/>
              </w:rPr>
              <w:t>二噁英</w:t>
            </w:r>
            <w:r>
              <w:rPr>
                <w:rFonts w:hint="eastAsia" w:ascii="宋体" w:hAnsi="宋体" w:eastAsia="宋体" w:cs="宋体"/>
                <w:b/>
                <w:bCs/>
                <w:color w:val="auto"/>
                <w:kern w:val="0"/>
                <w:szCs w:val="21"/>
                <w:highlight w:val="none"/>
                <w:lang w:val="en-US" w:eastAsia="zh-CN"/>
              </w:rPr>
              <w:t>检测项目</w:t>
            </w:r>
          </w:p>
        </w:tc>
        <w:tc>
          <w:tcPr>
            <w:tcW w:w="781" w:type="pct"/>
            <w:noWrap w:val="0"/>
            <w:vAlign w:val="center"/>
          </w:tcPr>
          <w:p w14:paraId="2D012802">
            <w:pPr>
              <w:keepNext w:val="0"/>
              <w:keepLines w:val="0"/>
              <w:pageBreakBefore w:val="0"/>
              <w:kinsoku/>
              <w:wordWrap/>
              <w:overflowPunct/>
              <w:topLinePunct w:val="0"/>
              <w:autoSpaceDE/>
              <w:autoSpaceDN/>
              <w:bidi w:val="0"/>
              <w:adjustRightInd/>
              <w:snapToGrid/>
              <w:spacing w:line="240" w:lineRule="auto"/>
              <w:ind w:left="0"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其他项目</w:t>
            </w:r>
          </w:p>
        </w:tc>
        <w:tc>
          <w:tcPr>
            <w:tcW w:w="1506" w:type="pct"/>
            <w:noWrap w:val="0"/>
            <w:vAlign w:val="center"/>
          </w:tcPr>
          <w:p w14:paraId="27C25CA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废气：二噁英</w:t>
            </w:r>
          </w:p>
        </w:tc>
        <w:tc>
          <w:tcPr>
            <w:tcW w:w="453" w:type="pct"/>
            <w:noWrap w:val="0"/>
            <w:vAlign w:val="center"/>
          </w:tcPr>
          <w:p w14:paraId="39DAFD6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rPr>
            </w:pPr>
            <w:r>
              <w:rPr>
                <w:rFonts w:hint="eastAsia" w:ascii="宋体" w:hAnsi="宋体" w:cs="宋体"/>
                <w:i w:val="0"/>
                <w:iCs w:val="0"/>
                <w:color w:val="auto"/>
                <w:kern w:val="0"/>
                <w:sz w:val="21"/>
                <w:szCs w:val="21"/>
                <w:highlight w:val="none"/>
                <w:u w:val="none"/>
                <w:lang w:val="en-US" w:eastAsia="zh-CN"/>
              </w:rPr>
              <w:t>15</w:t>
            </w:r>
          </w:p>
        </w:tc>
        <w:tc>
          <w:tcPr>
            <w:tcW w:w="492" w:type="pct"/>
            <w:noWrap w:val="0"/>
            <w:vAlign w:val="center"/>
          </w:tcPr>
          <w:p w14:paraId="7468C839">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1</w:t>
            </w:r>
          </w:p>
        </w:tc>
        <w:tc>
          <w:tcPr>
            <w:tcW w:w="492" w:type="pct"/>
            <w:noWrap w:val="0"/>
            <w:vAlign w:val="center"/>
          </w:tcPr>
          <w:p w14:paraId="42E1BED6">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c>
          <w:tcPr>
            <w:tcW w:w="495" w:type="pct"/>
            <w:noWrap w:val="0"/>
            <w:vAlign w:val="center"/>
          </w:tcPr>
          <w:p w14:paraId="4CCD5B3C">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rPr>
            </w:pPr>
          </w:p>
        </w:tc>
      </w:tr>
      <w:tr w14:paraId="181F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5000" w:type="pct"/>
            <w:gridSpan w:val="7"/>
            <w:noWrap w:val="0"/>
            <w:vAlign w:val="center"/>
          </w:tcPr>
          <w:p w14:paraId="6752001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报价合计：</w:t>
            </w:r>
          </w:p>
          <w:p w14:paraId="6F956A1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大写：</w:t>
            </w:r>
          </w:p>
          <w:p w14:paraId="302B4083">
            <w:pPr>
              <w:keepNext w:val="0"/>
              <w:keepLines w:val="0"/>
              <w:pageBreakBefore w:val="0"/>
              <w:widowControl/>
              <w:suppressLineNumbers w:val="0"/>
              <w:kinsoku/>
              <w:wordWrap/>
              <w:overflowPunct/>
              <w:topLinePunct w:val="0"/>
              <w:autoSpaceDE/>
              <w:autoSpaceDN/>
              <w:bidi w:val="0"/>
              <w:adjustRightInd/>
              <w:snapToGrid/>
              <w:spacing w:line="240" w:lineRule="auto"/>
              <w:ind w:left="0" w:firstLine="0" w:firstLineChars="0"/>
              <w:jc w:val="both"/>
              <w:textAlignment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小写：</w:t>
            </w:r>
          </w:p>
        </w:tc>
      </w:tr>
      <w:bookmarkEnd w:id="3"/>
    </w:tbl>
    <w:p w14:paraId="62A4234E">
      <w:pPr>
        <w:keepNext w:val="0"/>
        <w:keepLines w:val="0"/>
        <w:pageBreakBefore w:val="0"/>
        <w:kinsoku/>
        <w:overflowPunct/>
        <w:topLinePunct w:val="0"/>
        <w:bidi w:val="0"/>
        <w:spacing w:line="360" w:lineRule="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要求：</w:t>
      </w:r>
    </w:p>
    <w:p w14:paraId="43FB1277">
      <w:pPr>
        <w:keepNext w:val="0"/>
        <w:keepLines w:val="0"/>
        <w:pageBreakBefore w:val="0"/>
        <w:kinsoku/>
        <w:overflowPunct/>
        <w:topLinePunct w:val="0"/>
        <w:bidi w:val="0"/>
        <w:spacing w:line="360" w:lineRule="auto"/>
        <w:ind w:left="4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本表为《开标一览表》的报价明细表，如有缺项、漏项，视为投标报价中已包含相关费用，采购人无需另外支付任何费用。</w:t>
      </w:r>
    </w:p>
    <w:p w14:paraId="43B9CADF">
      <w:pPr>
        <w:keepNext w:val="0"/>
        <w:keepLines w:val="0"/>
        <w:pageBreakBefore w:val="0"/>
        <w:kinsoku/>
        <w:overflowPunct/>
        <w:topLinePunct w:val="0"/>
        <w:bidi w:val="0"/>
        <w:spacing w:line="360" w:lineRule="auto"/>
        <w:ind w:left="4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zh-CN"/>
        </w:rPr>
        <w:t>“报价明细表”中的报价合计应与“开标一览表”中的投标总报价相一致，不一致时，以开标一览表为准。</w:t>
      </w:r>
    </w:p>
    <w:p w14:paraId="289F0712">
      <w:pPr>
        <w:keepNext w:val="0"/>
        <w:keepLines w:val="0"/>
        <w:pageBreakBefore w:val="0"/>
        <w:kinsoku/>
        <w:overflowPunct/>
        <w:topLinePunct w:val="0"/>
        <w:bidi w:val="0"/>
        <w:spacing w:line="360" w:lineRule="auto"/>
        <w:ind w:left="4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zh-CN"/>
        </w:rPr>
        <w:t>投标报价明细表所填内容按采购文件采购清单要求为准。如有漏报的，视同已包含在投标总价内或已作优惠处理。有重大缺项的将作无效标处理。</w:t>
      </w:r>
    </w:p>
    <w:p w14:paraId="1CE059E6">
      <w:pPr>
        <w:pStyle w:val="12"/>
        <w:keepNext w:val="0"/>
        <w:keepLines w:val="0"/>
        <w:pageBreakBefore w:val="0"/>
        <w:kinsoku/>
        <w:overflowPunct/>
        <w:topLinePunct w:val="0"/>
        <w:bidi w:val="0"/>
        <w:ind w:left="0" w:leftChars="0" w:firstLine="0" w:firstLineChars="0"/>
        <w:outlineLvl w:val="9"/>
        <w:rPr>
          <w:rFonts w:hint="eastAsia" w:ascii="宋体" w:hAnsi="宋体" w:eastAsia="宋体" w:cs="宋体"/>
          <w:color w:val="auto"/>
          <w:highlight w:val="none"/>
        </w:rPr>
      </w:pPr>
    </w:p>
    <w:p w14:paraId="1D79561B">
      <w:pPr>
        <w:keepNext w:val="0"/>
        <w:keepLines w:val="0"/>
        <w:pageBreakBefore w:val="0"/>
        <w:kinsoku/>
        <w:overflowPunct/>
        <w:topLinePunct w:val="0"/>
        <w:bidi w:val="0"/>
        <w:spacing w:line="320" w:lineRule="exact"/>
        <w:ind w:left="42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磋商供应商名称（盖章）：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5ACF86FE">
      <w:pPr>
        <w:keepNext w:val="0"/>
        <w:keepLines w:val="0"/>
        <w:pageBreakBefore w:val="0"/>
        <w:kinsoku/>
        <w:overflowPunct/>
        <w:topLinePunct w:val="0"/>
        <w:bidi w:val="0"/>
        <w:spacing w:line="320" w:lineRule="exact"/>
        <w:ind w:left="420"/>
        <w:outlineLvl w:val="9"/>
        <w:rPr>
          <w:rFonts w:hint="eastAsia" w:ascii="宋体" w:hAnsi="宋体" w:eastAsia="宋体" w:cs="宋体"/>
          <w:color w:val="auto"/>
          <w:sz w:val="21"/>
          <w:szCs w:val="21"/>
          <w:highlight w:val="none"/>
        </w:rPr>
      </w:pPr>
    </w:p>
    <w:p w14:paraId="0627D13E">
      <w:pPr>
        <w:keepNext w:val="0"/>
        <w:keepLines w:val="0"/>
        <w:pageBreakBefore w:val="0"/>
        <w:kinsoku/>
        <w:overflowPunct/>
        <w:topLinePunct w:val="0"/>
        <w:bidi w:val="0"/>
        <w:spacing w:line="320" w:lineRule="exact"/>
        <w:ind w:firstLine="435"/>
        <w:outlineLvl w:val="9"/>
        <w:rPr>
          <w:rFonts w:hint="eastAsia" w:ascii="宋体" w:hAnsi="宋体" w:eastAsia="宋体" w:cs="宋体"/>
          <w:color w:val="auto"/>
          <w:sz w:val="21"/>
          <w:szCs w:val="21"/>
          <w:highlight w:val="none"/>
        </w:rPr>
      </w:pPr>
      <w:r>
        <w:rPr>
          <w:rFonts w:hint="eastAsia" w:ascii="宋体" w:hAnsi="宋体" w:cs="Times New Roman"/>
          <w:color w:val="auto"/>
          <w:sz w:val="21"/>
          <w:szCs w:val="21"/>
          <w:highlight w:val="none"/>
          <w:lang w:eastAsia="zh-CN"/>
        </w:rPr>
        <w:t>法定代表人或授</w:t>
      </w:r>
      <w:r>
        <w:rPr>
          <w:rFonts w:hint="eastAsia" w:ascii="宋体" w:hAnsi="宋体"/>
          <w:color w:val="auto"/>
          <w:sz w:val="21"/>
          <w:szCs w:val="21"/>
          <w:highlight w:val="none"/>
          <w:lang w:eastAsia="zh-CN"/>
        </w:rPr>
        <w:t>权委托代理人</w:t>
      </w:r>
      <w:r>
        <w:rPr>
          <w:rFonts w:hint="eastAsia" w:ascii="宋体" w:hAnsi="宋体" w:eastAsia="宋体" w:cs="宋体"/>
          <w:color w:val="auto"/>
          <w:szCs w:val="21"/>
          <w:highlight w:val="none"/>
        </w:rPr>
        <w:t>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11D30ED1">
      <w:pPr>
        <w:keepNext w:val="0"/>
        <w:keepLines w:val="0"/>
        <w:pageBreakBefore w:val="0"/>
        <w:kinsoku/>
        <w:overflowPunct/>
        <w:topLinePunct w:val="0"/>
        <w:bidi w:val="0"/>
        <w:spacing w:line="320" w:lineRule="exact"/>
        <w:ind w:firstLine="435"/>
        <w:outlineLvl w:val="9"/>
        <w:rPr>
          <w:rFonts w:hint="eastAsia" w:ascii="宋体" w:hAnsi="宋体" w:eastAsia="宋体" w:cs="宋体"/>
          <w:color w:val="auto"/>
          <w:sz w:val="21"/>
          <w:szCs w:val="21"/>
          <w:highlight w:val="none"/>
        </w:rPr>
      </w:pPr>
    </w:p>
    <w:p w14:paraId="4D074F18">
      <w:pPr>
        <w:keepNext w:val="0"/>
        <w:keepLines w:val="0"/>
        <w:pageBreakBefore w:val="0"/>
        <w:kinsoku/>
        <w:overflowPunct/>
        <w:topLinePunct w:val="0"/>
        <w:bidi w:val="0"/>
        <w:spacing w:line="32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w:t>
      </w:r>
    </w:p>
    <w:p w14:paraId="71AF2B11">
      <w:pPr>
        <w:keepNext w:val="0"/>
        <w:keepLines w:val="0"/>
        <w:pageBreakBefore w:val="0"/>
        <w:kinsoku/>
        <w:overflowPunct/>
        <w:topLinePunct w:val="0"/>
        <w:bidi w:val="0"/>
        <w:spacing w:line="320" w:lineRule="exact"/>
        <w:ind w:firstLine="435"/>
        <w:outlineLvl w:val="9"/>
        <w:rPr>
          <w:rFonts w:hint="eastAsia" w:ascii="宋体" w:hAnsi="宋体" w:eastAsia="宋体" w:cs="宋体"/>
          <w:color w:val="auto"/>
          <w:sz w:val="21"/>
          <w:szCs w:val="21"/>
          <w:highlight w:val="none"/>
        </w:rPr>
      </w:pPr>
    </w:p>
    <w:p w14:paraId="6551E8D0">
      <w:pPr>
        <w:keepNext w:val="0"/>
        <w:keepLines w:val="0"/>
        <w:pageBreakBefore w:val="0"/>
        <w:kinsoku/>
        <w:overflowPunct/>
        <w:topLinePunct w:val="0"/>
        <w:bidi w:val="0"/>
        <w:spacing w:line="320" w:lineRule="exact"/>
        <w:ind w:firstLine="435"/>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p>
    <w:p w14:paraId="6CB7CC54">
      <w:pPr>
        <w:pStyle w:val="2"/>
        <w:keepNext w:val="0"/>
        <w:keepLines w:val="0"/>
        <w:pageBreakBefore w:val="0"/>
        <w:kinsoku/>
        <w:overflowPunct/>
        <w:topLinePunct w:val="0"/>
        <w:bidi w:val="0"/>
        <w:jc w:val="both"/>
        <w:outlineLvl w:val="9"/>
        <w:rPr>
          <w:rFonts w:hint="eastAsia" w:ascii="宋体" w:hAnsi="宋体" w:eastAsia="宋体" w:cs="宋体"/>
          <w:color w:val="auto"/>
          <w:highlight w:val="none"/>
        </w:rPr>
      </w:pPr>
    </w:p>
    <w:p w14:paraId="344F536F">
      <w:pPr>
        <w:pStyle w:val="2"/>
        <w:keepNext w:val="0"/>
        <w:keepLines w:val="0"/>
        <w:pageBreakBefore w:val="0"/>
        <w:kinsoku/>
        <w:overflowPunct/>
        <w:topLinePunct w:val="0"/>
        <w:bidi w:val="0"/>
        <w:jc w:val="both"/>
        <w:outlineLvl w:val="9"/>
        <w:rPr>
          <w:rFonts w:hint="eastAsia" w:ascii="宋体" w:hAnsi="宋体" w:eastAsia="宋体" w:cs="宋体"/>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B20EC">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BB287">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2BB287">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D5E2">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0A501">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540A501">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C2DA">
    <w:pPr>
      <w:pStyle w:val="1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89A4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83AF">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21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64DBE8">
                          <w:pPr>
                            <w:pStyle w:val="14"/>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1.65pt;width:76.55pt;mso-position-horizontal:center;mso-position-horizontal-relative:margin;mso-wrap-style:none;z-index:251662336;mso-width-relative:page;mso-height-relative:page;" filled="f" stroked="f" coordsize="21600,21600" o:gfxdata="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DF8ZnSAAAABAEAAA8AAAAAAAAAAQAgAAAAIgAAAGRycy9kb3ducmV2Lnht&#10;bFBLAQIUABQAAAAIAIdO4kCYx6cMOAIAAG8EAAAOAAAAAAAAAAEAIAAAACEBAABkcnMvZTJvRG9j&#10;LnhtbFBLBQYAAAAABgAGAFkBAADLBQAAAAA=&#10;">
              <v:fill on="f" focussize="0,0"/>
              <v:stroke on="f" weight="0.5pt"/>
              <v:imagedata o:title=""/>
              <o:lock v:ext="edit" aspectratio="f"/>
              <v:textbox inset="0mm,0mm,0mm,0mm" style="mso-fit-shape-to-text:t;">
                <w:txbxContent>
                  <w:p w14:paraId="1264DBE8">
                    <w:pPr>
                      <w:pStyle w:val="14"/>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A786">
    <w:pPr>
      <w:pStyle w:val="16"/>
      <w:framePr w:wrap="around" w:vAnchor="text" w:hAnchor="page" w:x="5909" w:y="26"/>
      <w:rPr>
        <w:rStyle w:val="28"/>
        <w:sz w:val="24"/>
        <w:szCs w:val="24"/>
      </w:rPr>
    </w:pPr>
    <w:r>
      <w:rPr>
        <w:sz w:val="24"/>
        <w:szCs w:val="24"/>
      </w:rPr>
      <w:fldChar w:fldCharType="begin"/>
    </w:r>
    <w:r>
      <w:rPr>
        <w:rStyle w:val="28"/>
        <w:sz w:val="24"/>
        <w:szCs w:val="24"/>
      </w:rPr>
      <w:instrText xml:space="preserve">PAGE  </w:instrText>
    </w:r>
    <w:r>
      <w:rPr>
        <w:sz w:val="24"/>
        <w:szCs w:val="24"/>
      </w:rPr>
      <w:fldChar w:fldCharType="separate"/>
    </w:r>
    <w:r>
      <w:rPr>
        <w:rStyle w:val="28"/>
        <w:sz w:val="24"/>
        <w:szCs w:val="24"/>
      </w:rPr>
      <w:t>19</w:t>
    </w:r>
    <w:r>
      <w:rPr>
        <w:sz w:val="24"/>
        <w:szCs w:val="24"/>
      </w:rPr>
      <w:fldChar w:fldCharType="end"/>
    </w:r>
  </w:p>
  <w:p w14:paraId="4D70D032">
    <w:pPr>
      <w:pStyle w:val="16"/>
      <w:ind w:right="360"/>
      <w:rPr>
        <w:rFonts w:hint="eastAsia"/>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17FC">
    <w:pPr>
      <w:pStyle w:val="1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E94B3E">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E94B3E">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2AFB0">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4B2FE">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1752">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35372">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C35372">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F0145">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0C4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092AD">
    <w:pPr>
      <w:rPr>
        <w:i w:val="0"/>
        <w:iCs/>
      </w:rPr>
    </w:pPr>
    <w:r>
      <w:rPr>
        <w:rFonts w:hint="eastAsia"/>
        <w:b/>
        <w:i w:val="0"/>
        <w:iCs/>
        <w:color w:val="000000"/>
        <w:kern w:val="0"/>
        <w:sz w:val="18"/>
        <w:u w:val="single"/>
        <w:lang w:val="en-US" w:eastAsia="zh-CN"/>
      </w:rPr>
      <w:t>竞争性磋商</w:t>
    </w:r>
    <w:r>
      <w:rPr>
        <w:rFonts w:hint="eastAsia"/>
        <w:b/>
        <w:i w:val="0"/>
        <w:iCs/>
        <w:color w:val="000000"/>
        <w:kern w:val="0"/>
        <w:sz w:val="18"/>
        <w:u w:val="single"/>
        <w:lang w:eastAsia="zh-CN"/>
      </w:rPr>
      <w:t>文件</w:t>
    </w:r>
    <w:r>
      <w:rPr>
        <w:b/>
        <w:i w:val="0"/>
        <w:iCs/>
        <w:color w:val="000000"/>
        <w:kern w:val="0"/>
        <w:sz w:val="18"/>
        <w:u w:val="single"/>
      </w:rPr>
      <w:t>--</w:t>
    </w:r>
    <w:r>
      <w:rPr>
        <w:rFonts w:hint="eastAsia"/>
        <w:b/>
        <w:i w:val="0"/>
        <w:iCs/>
        <w:color w:val="000000"/>
        <w:kern w:val="0"/>
        <w:sz w:val="18"/>
        <w:u w:val="single"/>
        <w:lang w:val="en-US" w:eastAsia="zh-CN"/>
      </w:rPr>
      <w:t>2026年路桥区农田灌溉用水水质调查检测、重点监管企业监督检测、二噁英监测及地下水点位水质分析采购项目</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03565">
    <w:pPr>
      <w:pStyle w:val="15"/>
    </w:pPr>
    <w: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7560945" cy="10658475"/>
          <wp:effectExtent l="0" t="0" r="1905" b="9525"/>
          <wp:wrapNone/>
          <wp:docPr id="9" name="WordPictureWatermark176654065" descr="永安A4封面底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176654065" descr="永安A4封面底图(5)"/>
                  <pic:cNvPicPr>
                    <a:picLocks noChangeAspect="1"/>
                  </pic:cNvPicPr>
                </pic:nvPicPr>
                <pic:blipFill>
                  <a:blip r:embed="rId1"/>
                  <a:stretch>
                    <a:fillRect/>
                  </a:stretch>
                </pic:blipFill>
                <pic:spPr>
                  <a:xfrm>
                    <a:off x="0" y="0"/>
                    <a:ext cx="7560945" cy="1065847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E24CD">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9E0A6">
    <w:pPr>
      <w:pStyle w:val="15"/>
    </w:pPr>
    <w:r>
      <w:drawing>
        <wp:anchor distT="0" distB="0" distL="114300" distR="114300" simplePos="0" relativeHeight="251671552" behindDoc="1" locked="0" layoutInCell="0" allowOverlap="1">
          <wp:simplePos x="0" y="0"/>
          <wp:positionH relativeFrom="margin">
            <wp:align>center</wp:align>
          </wp:positionH>
          <wp:positionV relativeFrom="margin">
            <wp:align>center</wp:align>
          </wp:positionV>
          <wp:extent cx="7560945" cy="10658475"/>
          <wp:effectExtent l="0" t="0" r="1905" b="9525"/>
          <wp:wrapNone/>
          <wp:docPr id="14" name="WordPictureWatermark176654066" descr="永安A4封面底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176654066" descr="永安A4封面底图(5)"/>
                  <pic:cNvPicPr>
                    <a:picLocks noChangeAspect="1"/>
                  </pic:cNvPicPr>
                </pic:nvPicPr>
                <pic:blipFill>
                  <a:blip r:embed="rId1"/>
                  <a:stretch>
                    <a:fillRect/>
                  </a:stretch>
                </pic:blipFill>
                <pic:spPr>
                  <a:xfrm>
                    <a:off x="0" y="0"/>
                    <a:ext cx="7560945" cy="1065847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35D5">
    <w:pPr>
      <w:pStyle w:val="15"/>
    </w:pPr>
    <w:r>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7560945" cy="10658475"/>
          <wp:effectExtent l="0" t="0" r="1905" b="9525"/>
          <wp:wrapNone/>
          <wp:docPr id="12" name="WordPictureWatermark176654065" descr="永安A4封面底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176654065" descr="永安A4封面底图(5)"/>
                  <pic:cNvPicPr>
                    <a:picLocks noChangeAspect="1"/>
                  </pic:cNvPicPr>
                </pic:nvPicPr>
                <pic:blipFill>
                  <a:blip r:embed="rId1"/>
                  <a:stretch>
                    <a:fillRect/>
                  </a:stretch>
                </pic:blipFill>
                <pic:spPr>
                  <a:xfrm>
                    <a:off x="0" y="0"/>
                    <a:ext cx="7560945" cy="1065847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B20B8">
    <w:pPr>
      <w:pStyle w:val="1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8F5F8">
    <w:pPr>
      <w:pStyle w:val="15"/>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60945" cy="10658475"/>
          <wp:effectExtent l="0" t="0" r="8255" b="9525"/>
          <wp:wrapNone/>
          <wp:docPr id="3" name="WordPictureWatermark176654066" descr="永安A4封面底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76654066" descr="永安A4封面底图(5)"/>
                  <pic:cNvPicPr>
                    <a:picLocks noChangeAspect="1"/>
                  </pic:cNvPicPr>
                </pic:nvPicPr>
                <pic:blipFill>
                  <a:blip r:embed="rId1"/>
                  <a:stretch>
                    <a:fillRect/>
                  </a:stretch>
                </pic:blipFill>
                <pic:spPr>
                  <a:xfrm>
                    <a:off x="0" y="0"/>
                    <a:ext cx="7560945" cy="10658475"/>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4F34F">
    <w:pPr>
      <w:pStyle w:val="15"/>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560945" cy="10658475"/>
          <wp:effectExtent l="0" t="0" r="8255" b="9525"/>
          <wp:wrapNone/>
          <wp:docPr id="1" name="WordPictureWatermark176654065" descr="永安A4封面底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76654065" descr="永安A4封面底图(5)"/>
                  <pic:cNvPicPr>
                    <a:picLocks noChangeAspect="1"/>
                  </pic:cNvPicPr>
                </pic:nvPicPr>
                <pic:blipFill>
                  <a:blip r:embed="rId1"/>
                  <a:stretch>
                    <a:fillRect/>
                  </a:stretch>
                </pic:blipFill>
                <pic:spPr>
                  <a:xfrm>
                    <a:off x="0" y="0"/>
                    <a:ext cx="7560945" cy="10658475"/>
                  </a:xfrm>
                  <a:prstGeom prst="rect">
                    <a:avLst/>
                  </a:prstGeom>
                  <a:noFill/>
                  <a:ln>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F1652">
    <w:pPr>
      <w:pStyle w:val="1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DC052">
    <w:pPr>
      <w:pStyle w:val="15"/>
    </w:pPr>
    <w:r>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7560945" cy="10658475"/>
          <wp:effectExtent l="0" t="0" r="1905" b="9525"/>
          <wp:wrapNone/>
          <wp:docPr id="11" name="WordPictureWatermark176654066" descr="永安A4封面底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176654066" descr="永安A4封面底图(5)"/>
                  <pic:cNvPicPr>
                    <a:picLocks noChangeAspect="1"/>
                  </pic:cNvPicPr>
                </pic:nvPicPr>
                <pic:blipFill>
                  <a:blip r:embed="rId1"/>
                  <a:stretch>
                    <a:fillRect/>
                  </a:stretch>
                </pic:blipFill>
                <pic:spPr>
                  <a:xfrm>
                    <a:off x="0" y="0"/>
                    <a:ext cx="7560945" cy="106584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35A6FD"/>
    <w:multiLevelType w:val="singleLevel"/>
    <w:tmpl w:val="4235A6FD"/>
    <w:lvl w:ilvl="0" w:tentative="0">
      <w:start w:val="1"/>
      <w:numFmt w:val="decimal"/>
      <w:lvlText w:val="%1."/>
      <w:lvlJc w:val="left"/>
      <w:pPr>
        <w:tabs>
          <w:tab w:val="left" w:pos="312"/>
        </w:tabs>
      </w:pPr>
    </w:lvl>
  </w:abstractNum>
  <w:abstractNum w:abstractNumId="1">
    <w:nsid w:val="471E06A1"/>
    <w:multiLevelType w:val="singleLevel"/>
    <w:tmpl w:val="471E06A1"/>
    <w:lvl w:ilvl="0" w:tentative="0">
      <w:start w:val="1"/>
      <w:numFmt w:val="japaneseCounting"/>
      <w:lvlText w:val="%1、"/>
      <w:lvlJc w:val="left"/>
      <w:pPr>
        <w:tabs>
          <w:tab w:val="left" w:pos="960"/>
        </w:tabs>
        <w:ind w:left="960" w:hanging="600"/>
      </w:pPr>
      <w:rPr>
        <w:rFonts w:hint="eastAsia" w:cs="Times New Roman"/>
      </w:rPr>
    </w:lvl>
  </w:abstractNum>
  <w:abstractNum w:abstractNumId="2">
    <w:nsid w:val="50B2B0B4"/>
    <w:multiLevelType w:val="singleLevel"/>
    <w:tmpl w:val="50B2B0B4"/>
    <w:lvl w:ilvl="0" w:tentative="0">
      <w:start w:val="1"/>
      <w:numFmt w:val="decimal"/>
      <w:suff w:val="nothing"/>
      <w:lvlText w:val="%1、"/>
      <w:lvlJc w:val="left"/>
    </w:lvl>
  </w:abstractNum>
  <w:abstractNum w:abstractNumId="3">
    <w:nsid w:val="5B55E57C"/>
    <w:multiLevelType w:val="singleLevel"/>
    <w:tmpl w:val="5B55E57C"/>
    <w:lvl w:ilvl="0" w:tentative="0">
      <w:start w:val="3"/>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崽崽">
    <w15:presenceInfo w15:providerId="WPS Office" w15:userId="746982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GY4ODYxYTJmOGU5MjE1YjUzOGFlOWUyNmI5YTkifQ=="/>
  </w:docVars>
  <w:rsids>
    <w:rsidRoot w:val="00BE3149"/>
    <w:rsid w:val="0008396C"/>
    <w:rsid w:val="003C6577"/>
    <w:rsid w:val="00532108"/>
    <w:rsid w:val="00857FB6"/>
    <w:rsid w:val="009B7365"/>
    <w:rsid w:val="009C6908"/>
    <w:rsid w:val="009E7B9B"/>
    <w:rsid w:val="00BE3149"/>
    <w:rsid w:val="00D27694"/>
    <w:rsid w:val="00E04ED8"/>
    <w:rsid w:val="00EA058C"/>
    <w:rsid w:val="00FF74E6"/>
    <w:rsid w:val="013E2686"/>
    <w:rsid w:val="01463D6F"/>
    <w:rsid w:val="02380D19"/>
    <w:rsid w:val="03300E73"/>
    <w:rsid w:val="036C1E9F"/>
    <w:rsid w:val="03BB0BDE"/>
    <w:rsid w:val="03BC1061"/>
    <w:rsid w:val="043F7FC4"/>
    <w:rsid w:val="05BB6053"/>
    <w:rsid w:val="05D40B08"/>
    <w:rsid w:val="05E51322"/>
    <w:rsid w:val="07685A63"/>
    <w:rsid w:val="08390248"/>
    <w:rsid w:val="08A71642"/>
    <w:rsid w:val="08E6123E"/>
    <w:rsid w:val="095B549F"/>
    <w:rsid w:val="098B0028"/>
    <w:rsid w:val="09E03F7D"/>
    <w:rsid w:val="09E46690"/>
    <w:rsid w:val="09F33DD0"/>
    <w:rsid w:val="0AB608BD"/>
    <w:rsid w:val="0AF64F0D"/>
    <w:rsid w:val="0B27418B"/>
    <w:rsid w:val="0B49127D"/>
    <w:rsid w:val="0B8F6A6E"/>
    <w:rsid w:val="0BFB1E74"/>
    <w:rsid w:val="0C181AC6"/>
    <w:rsid w:val="0C5B15EA"/>
    <w:rsid w:val="0C67294C"/>
    <w:rsid w:val="0C8E034D"/>
    <w:rsid w:val="0C95086D"/>
    <w:rsid w:val="0D1F4CD0"/>
    <w:rsid w:val="0D4B23B2"/>
    <w:rsid w:val="0DA47D15"/>
    <w:rsid w:val="0E0F138C"/>
    <w:rsid w:val="0E286071"/>
    <w:rsid w:val="0E2E75D5"/>
    <w:rsid w:val="0EEB0CC5"/>
    <w:rsid w:val="0F393E10"/>
    <w:rsid w:val="0F7E6199"/>
    <w:rsid w:val="0FCF253F"/>
    <w:rsid w:val="0FE74D1C"/>
    <w:rsid w:val="10452B67"/>
    <w:rsid w:val="108356E9"/>
    <w:rsid w:val="109F080C"/>
    <w:rsid w:val="10A67EDA"/>
    <w:rsid w:val="10B65D95"/>
    <w:rsid w:val="11CB2048"/>
    <w:rsid w:val="121665CB"/>
    <w:rsid w:val="12704EB7"/>
    <w:rsid w:val="12EC03CE"/>
    <w:rsid w:val="12EC1060"/>
    <w:rsid w:val="131C6F65"/>
    <w:rsid w:val="13F55B56"/>
    <w:rsid w:val="13F84916"/>
    <w:rsid w:val="14CF1B1B"/>
    <w:rsid w:val="15053DE7"/>
    <w:rsid w:val="15B34F99"/>
    <w:rsid w:val="15B8091F"/>
    <w:rsid w:val="165027E8"/>
    <w:rsid w:val="168339D9"/>
    <w:rsid w:val="16D70F66"/>
    <w:rsid w:val="171D6CDD"/>
    <w:rsid w:val="17461D47"/>
    <w:rsid w:val="17D2330C"/>
    <w:rsid w:val="17F41B20"/>
    <w:rsid w:val="19276AFB"/>
    <w:rsid w:val="196E2406"/>
    <w:rsid w:val="19B80DD0"/>
    <w:rsid w:val="19CA28B1"/>
    <w:rsid w:val="1A096A41"/>
    <w:rsid w:val="1AD15AF8"/>
    <w:rsid w:val="1BC0155F"/>
    <w:rsid w:val="1BF72349"/>
    <w:rsid w:val="1C990E53"/>
    <w:rsid w:val="1CC61F19"/>
    <w:rsid w:val="1D0817F9"/>
    <w:rsid w:val="1D3E783E"/>
    <w:rsid w:val="1D460140"/>
    <w:rsid w:val="1D465475"/>
    <w:rsid w:val="1E7C7CBF"/>
    <w:rsid w:val="1EBB25E9"/>
    <w:rsid w:val="1EE7180F"/>
    <w:rsid w:val="1F162724"/>
    <w:rsid w:val="1F5349B5"/>
    <w:rsid w:val="1F53628A"/>
    <w:rsid w:val="1FF404FC"/>
    <w:rsid w:val="201C7B31"/>
    <w:rsid w:val="203C5459"/>
    <w:rsid w:val="20711B73"/>
    <w:rsid w:val="209D0D1F"/>
    <w:rsid w:val="20AA0083"/>
    <w:rsid w:val="20ED3C16"/>
    <w:rsid w:val="21A346F6"/>
    <w:rsid w:val="224700DF"/>
    <w:rsid w:val="22773942"/>
    <w:rsid w:val="22F82660"/>
    <w:rsid w:val="22FC05A4"/>
    <w:rsid w:val="233D2346"/>
    <w:rsid w:val="23FA686C"/>
    <w:rsid w:val="241C01AD"/>
    <w:rsid w:val="24A71696"/>
    <w:rsid w:val="24FD1D8D"/>
    <w:rsid w:val="253F23A5"/>
    <w:rsid w:val="25787665"/>
    <w:rsid w:val="26357304"/>
    <w:rsid w:val="264F6766"/>
    <w:rsid w:val="272E3368"/>
    <w:rsid w:val="27DC4DAB"/>
    <w:rsid w:val="28461C9C"/>
    <w:rsid w:val="28DB5305"/>
    <w:rsid w:val="28F66100"/>
    <w:rsid w:val="295126A7"/>
    <w:rsid w:val="29EC63FE"/>
    <w:rsid w:val="29F647FF"/>
    <w:rsid w:val="2A4C592B"/>
    <w:rsid w:val="2A672779"/>
    <w:rsid w:val="2AF47655"/>
    <w:rsid w:val="2B6954E0"/>
    <w:rsid w:val="2BE91518"/>
    <w:rsid w:val="2C6B208A"/>
    <w:rsid w:val="2C8C0643"/>
    <w:rsid w:val="2CE44ADD"/>
    <w:rsid w:val="2D553E04"/>
    <w:rsid w:val="2DD342C6"/>
    <w:rsid w:val="2E222864"/>
    <w:rsid w:val="2E5F1A8F"/>
    <w:rsid w:val="2E915781"/>
    <w:rsid w:val="2EED2043"/>
    <w:rsid w:val="2F25295B"/>
    <w:rsid w:val="2F762E67"/>
    <w:rsid w:val="2F7B1BB4"/>
    <w:rsid w:val="2FF62F97"/>
    <w:rsid w:val="30591B12"/>
    <w:rsid w:val="309703E8"/>
    <w:rsid w:val="30CF5D28"/>
    <w:rsid w:val="31D50A23"/>
    <w:rsid w:val="3216623C"/>
    <w:rsid w:val="323740AF"/>
    <w:rsid w:val="32411BFA"/>
    <w:rsid w:val="328771D7"/>
    <w:rsid w:val="33385662"/>
    <w:rsid w:val="33A8380B"/>
    <w:rsid w:val="33C17DC2"/>
    <w:rsid w:val="33C87A09"/>
    <w:rsid w:val="33E02FA5"/>
    <w:rsid w:val="34772ADD"/>
    <w:rsid w:val="348B0CDA"/>
    <w:rsid w:val="34DC4C54"/>
    <w:rsid w:val="36750A19"/>
    <w:rsid w:val="367819C0"/>
    <w:rsid w:val="36D706BD"/>
    <w:rsid w:val="36E70ECE"/>
    <w:rsid w:val="370347E8"/>
    <w:rsid w:val="370D218E"/>
    <w:rsid w:val="3892350B"/>
    <w:rsid w:val="38E56C75"/>
    <w:rsid w:val="38F75F09"/>
    <w:rsid w:val="397E6A52"/>
    <w:rsid w:val="399D67C3"/>
    <w:rsid w:val="39D21882"/>
    <w:rsid w:val="39F31D46"/>
    <w:rsid w:val="3A316D41"/>
    <w:rsid w:val="3A791AB3"/>
    <w:rsid w:val="3A7A6F1E"/>
    <w:rsid w:val="3A9C1EB7"/>
    <w:rsid w:val="3B494193"/>
    <w:rsid w:val="3BB54645"/>
    <w:rsid w:val="3BEB114B"/>
    <w:rsid w:val="3C9A513B"/>
    <w:rsid w:val="3D271C45"/>
    <w:rsid w:val="3E0B6E71"/>
    <w:rsid w:val="3F761A35"/>
    <w:rsid w:val="3F95513E"/>
    <w:rsid w:val="3FDF6807"/>
    <w:rsid w:val="416F0E3A"/>
    <w:rsid w:val="41A64CD9"/>
    <w:rsid w:val="41B9361D"/>
    <w:rsid w:val="42024A2E"/>
    <w:rsid w:val="42D3503A"/>
    <w:rsid w:val="43AB22BF"/>
    <w:rsid w:val="4412111F"/>
    <w:rsid w:val="44185DA7"/>
    <w:rsid w:val="4472777C"/>
    <w:rsid w:val="45207CE2"/>
    <w:rsid w:val="45552206"/>
    <w:rsid w:val="4615714D"/>
    <w:rsid w:val="46F34946"/>
    <w:rsid w:val="470C249A"/>
    <w:rsid w:val="471B2B6F"/>
    <w:rsid w:val="477635F7"/>
    <w:rsid w:val="47C11F07"/>
    <w:rsid w:val="47E83667"/>
    <w:rsid w:val="486D1C90"/>
    <w:rsid w:val="497117E4"/>
    <w:rsid w:val="49C225B4"/>
    <w:rsid w:val="4A123335"/>
    <w:rsid w:val="4A5D76B3"/>
    <w:rsid w:val="4A6A77A1"/>
    <w:rsid w:val="4A9F08F3"/>
    <w:rsid w:val="4B7C315C"/>
    <w:rsid w:val="4BE233FC"/>
    <w:rsid w:val="4C003D8D"/>
    <w:rsid w:val="4C392F39"/>
    <w:rsid w:val="4C417531"/>
    <w:rsid w:val="4C7A147D"/>
    <w:rsid w:val="4C827813"/>
    <w:rsid w:val="4C9925D5"/>
    <w:rsid w:val="4CA47976"/>
    <w:rsid w:val="4CAC2535"/>
    <w:rsid w:val="4CF72E0A"/>
    <w:rsid w:val="4DA8648A"/>
    <w:rsid w:val="4E086F29"/>
    <w:rsid w:val="4E3623E0"/>
    <w:rsid w:val="4EC425A2"/>
    <w:rsid w:val="4F26120E"/>
    <w:rsid w:val="4F2C3FE4"/>
    <w:rsid w:val="4F313EB8"/>
    <w:rsid w:val="4F4966DE"/>
    <w:rsid w:val="50DE21C3"/>
    <w:rsid w:val="51B54A92"/>
    <w:rsid w:val="51CD2F0F"/>
    <w:rsid w:val="520B25A1"/>
    <w:rsid w:val="52195BA8"/>
    <w:rsid w:val="52676D26"/>
    <w:rsid w:val="52A503E5"/>
    <w:rsid w:val="534A7FE3"/>
    <w:rsid w:val="5378120D"/>
    <w:rsid w:val="53CF6F91"/>
    <w:rsid w:val="547B1BA0"/>
    <w:rsid w:val="549E786E"/>
    <w:rsid w:val="54CF56D2"/>
    <w:rsid w:val="556423A0"/>
    <w:rsid w:val="55735655"/>
    <w:rsid w:val="55B001CD"/>
    <w:rsid w:val="55DA3AE3"/>
    <w:rsid w:val="55EF196A"/>
    <w:rsid w:val="55FC25AC"/>
    <w:rsid w:val="563B74B5"/>
    <w:rsid w:val="563F0B2C"/>
    <w:rsid w:val="56B67ABC"/>
    <w:rsid w:val="56C1680E"/>
    <w:rsid w:val="56D205C9"/>
    <w:rsid w:val="581851D6"/>
    <w:rsid w:val="581B1CCB"/>
    <w:rsid w:val="584D54B7"/>
    <w:rsid w:val="58ED12AE"/>
    <w:rsid w:val="5A290952"/>
    <w:rsid w:val="5A6279C1"/>
    <w:rsid w:val="5A694100"/>
    <w:rsid w:val="5A791319"/>
    <w:rsid w:val="5A8109C4"/>
    <w:rsid w:val="5ADD5B71"/>
    <w:rsid w:val="5AE12FDB"/>
    <w:rsid w:val="5BBC3082"/>
    <w:rsid w:val="5BD30906"/>
    <w:rsid w:val="5BD92F2A"/>
    <w:rsid w:val="5BDB0F27"/>
    <w:rsid w:val="5C5E62CC"/>
    <w:rsid w:val="5C8A42C3"/>
    <w:rsid w:val="5D120BB2"/>
    <w:rsid w:val="5D8D1597"/>
    <w:rsid w:val="5D9F0F2C"/>
    <w:rsid w:val="5DF93D74"/>
    <w:rsid w:val="5E423A9B"/>
    <w:rsid w:val="5E800D5D"/>
    <w:rsid w:val="5E9C5841"/>
    <w:rsid w:val="5EF14313"/>
    <w:rsid w:val="5FCE2B68"/>
    <w:rsid w:val="5FE22FDD"/>
    <w:rsid w:val="60BD1FFE"/>
    <w:rsid w:val="61BF7DEE"/>
    <w:rsid w:val="62373E29"/>
    <w:rsid w:val="624502F4"/>
    <w:rsid w:val="62BD2580"/>
    <w:rsid w:val="633D721D"/>
    <w:rsid w:val="63472497"/>
    <w:rsid w:val="639B5D86"/>
    <w:rsid w:val="6444218A"/>
    <w:rsid w:val="648916E2"/>
    <w:rsid w:val="64F622F0"/>
    <w:rsid w:val="66950943"/>
    <w:rsid w:val="669929BC"/>
    <w:rsid w:val="66FC10EF"/>
    <w:rsid w:val="67592DBD"/>
    <w:rsid w:val="680D18B3"/>
    <w:rsid w:val="681F39A2"/>
    <w:rsid w:val="68877B1A"/>
    <w:rsid w:val="691B590A"/>
    <w:rsid w:val="69B953EA"/>
    <w:rsid w:val="69DF2CEE"/>
    <w:rsid w:val="6A300DD5"/>
    <w:rsid w:val="6A732150"/>
    <w:rsid w:val="6AB11E2C"/>
    <w:rsid w:val="6AEA1A38"/>
    <w:rsid w:val="6AFB248B"/>
    <w:rsid w:val="6AFD59D5"/>
    <w:rsid w:val="6B0242A5"/>
    <w:rsid w:val="6B0D4790"/>
    <w:rsid w:val="6B862B4A"/>
    <w:rsid w:val="6BC717A2"/>
    <w:rsid w:val="6D601781"/>
    <w:rsid w:val="6E5D63FA"/>
    <w:rsid w:val="6E70494A"/>
    <w:rsid w:val="6EAB74AF"/>
    <w:rsid w:val="6EC97B63"/>
    <w:rsid w:val="6F105BD5"/>
    <w:rsid w:val="6F156B47"/>
    <w:rsid w:val="6F52577A"/>
    <w:rsid w:val="701E3F32"/>
    <w:rsid w:val="70FD593C"/>
    <w:rsid w:val="711806D0"/>
    <w:rsid w:val="718D136F"/>
    <w:rsid w:val="71C31235"/>
    <w:rsid w:val="71CF7BDA"/>
    <w:rsid w:val="71D1103D"/>
    <w:rsid w:val="72007D93"/>
    <w:rsid w:val="721D6B97"/>
    <w:rsid w:val="72AF2EB6"/>
    <w:rsid w:val="72DD6326"/>
    <w:rsid w:val="73C92523"/>
    <w:rsid w:val="742E787B"/>
    <w:rsid w:val="74644371"/>
    <w:rsid w:val="748266FC"/>
    <w:rsid w:val="74850A24"/>
    <w:rsid w:val="748A5E17"/>
    <w:rsid w:val="74C05EC7"/>
    <w:rsid w:val="751403F5"/>
    <w:rsid w:val="759E7C1D"/>
    <w:rsid w:val="75D37F8A"/>
    <w:rsid w:val="76522C55"/>
    <w:rsid w:val="767D593D"/>
    <w:rsid w:val="767F0B0D"/>
    <w:rsid w:val="768373CC"/>
    <w:rsid w:val="768659BD"/>
    <w:rsid w:val="76AE4262"/>
    <w:rsid w:val="76D43F8B"/>
    <w:rsid w:val="770A7D21"/>
    <w:rsid w:val="77916C16"/>
    <w:rsid w:val="77AA4DD8"/>
    <w:rsid w:val="77B0242F"/>
    <w:rsid w:val="78E41C51"/>
    <w:rsid w:val="79251511"/>
    <w:rsid w:val="798F645C"/>
    <w:rsid w:val="79C2533B"/>
    <w:rsid w:val="79D97847"/>
    <w:rsid w:val="7AA005CF"/>
    <w:rsid w:val="7ACE6B5E"/>
    <w:rsid w:val="7AE07CFD"/>
    <w:rsid w:val="7B3077F9"/>
    <w:rsid w:val="7B376CA9"/>
    <w:rsid w:val="7BA56771"/>
    <w:rsid w:val="7C3868F0"/>
    <w:rsid w:val="7C8021FC"/>
    <w:rsid w:val="7DAA5FB8"/>
    <w:rsid w:val="7DB72129"/>
    <w:rsid w:val="7DE20400"/>
    <w:rsid w:val="7E4E7602"/>
    <w:rsid w:val="7ECE10A0"/>
    <w:rsid w:val="7EEF5417"/>
    <w:rsid w:val="7F3E7D88"/>
    <w:rsid w:val="7F752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0"/>
    <w:pPr>
      <w:keepNext/>
      <w:spacing w:line="360" w:lineRule="auto"/>
      <w:jc w:val="center"/>
      <w:outlineLvl w:val="0"/>
    </w:pPr>
    <w:rPr>
      <w:rFonts w:ascii="宋体" w:hAnsi="宋体"/>
      <w:b/>
      <w:bCs/>
      <w:sz w:val="24"/>
    </w:rPr>
  </w:style>
  <w:style w:type="paragraph" w:styleId="6">
    <w:name w:val="heading 2"/>
    <w:basedOn w:val="1"/>
    <w:next w:val="1"/>
    <w:autoRedefine/>
    <w:qFormat/>
    <w:uiPriority w:val="0"/>
    <w:pPr>
      <w:keepNext/>
      <w:keepLines/>
      <w:widowControl/>
      <w:spacing w:before="260" w:after="260" w:line="416" w:lineRule="auto"/>
      <w:jc w:val="left"/>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2"/>
    <w:autoRedefine/>
    <w:semiHidden/>
    <w:unhideWhenUsed/>
    <w:qFormat/>
    <w:uiPriority w:val="99"/>
    <w:pPr>
      <w:spacing w:after="120"/>
    </w:pPr>
  </w:style>
  <w:style w:type="paragraph" w:styleId="3">
    <w:name w:val="Body Text First Indent"/>
    <w:basedOn w:val="2"/>
    <w:next w:val="4"/>
    <w:autoRedefine/>
    <w:qFormat/>
    <w:uiPriority w:val="0"/>
    <w:pPr>
      <w:ind w:firstLine="420" w:firstLineChars="100"/>
    </w:pPr>
  </w:style>
  <w:style w:type="paragraph" w:styleId="4">
    <w:name w:val="toc 6"/>
    <w:basedOn w:val="1"/>
    <w:next w:val="1"/>
    <w:qFormat/>
    <w:uiPriority w:val="0"/>
    <w:pPr>
      <w:ind w:left="1000" w:leftChars="1000"/>
    </w:pPr>
  </w:style>
  <w:style w:type="paragraph" w:styleId="8">
    <w:name w:val="Normal Indent"/>
    <w:basedOn w:val="1"/>
    <w:autoRedefine/>
    <w:qFormat/>
    <w:uiPriority w:val="0"/>
    <w:pPr>
      <w:ind w:firstLine="420"/>
    </w:pPr>
    <w:rPr>
      <w:szCs w:val="20"/>
    </w:rPr>
  </w:style>
  <w:style w:type="paragraph" w:styleId="9">
    <w:name w:val="Body Text Indent"/>
    <w:basedOn w:val="1"/>
    <w:next w:val="1"/>
    <w:link w:val="33"/>
    <w:autoRedefine/>
    <w:qFormat/>
    <w:uiPriority w:val="99"/>
    <w:pPr>
      <w:spacing w:after="120"/>
      <w:ind w:left="420" w:leftChars="200"/>
    </w:pPr>
  </w:style>
  <w:style w:type="paragraph" w:styleId="10">
    <w:name w:val="Block Text"/>
    <w:basedOn w:val="1"/>
    <w:autoRedefine/>
    <w:qFormat/>
    <w:uiPriority w:val="0"/>
    <w:pPr>
      <w:adjustRightInd w:val="0"/>
      <w:snapToGrid w:val="0"/>
      <w:spacing w:line="360" w:lineRule="auto"/>
      <w:ind w:left="567" w:leftChars="270" w:rightChars="-150" w:firstLine="480" w:firstLineChars="200"/>
    </w:pPr>
    <w:rPr>
      <w:rFonts w:ascii="宋体"/>
      <w:sz w:val="24"/>
      <w:szCs w:val="20"/>
    </w:rPr>
  </w:style>
  <w:style w:type="paragraph" w:styleId="11">
    <w:name w:val="Plain Text"/>
    <w:basedOn w:val="1"/>
    <w:next w:val="12"/>
    <w:autoRedefine/>
    <w:qFormat/>
    <w:uiPriority w:val="0"/>
    <w:rPr>
      <w:rFonts w:ascii="宋体" w:hAnsi="Courier New" w:cstheme="minorBidi"/>
    </w:rPr>
  </w:style>
  <w:style w:type="paragraph" w:styleId="12">
    <w:name w:val="Date"/>
    <w:basedOn w:val="1"/>
    <w:next w:val="1"/>
    <w:autoRedefine/>
    <w:qFormat/>
    <w:uiPriority w:val="99"/>
    <w:pPr>
      <w:ind w:left="2500" w:leftChars="2500"/>
    </w:pPr>
    <w:rPr>
      <w:rFonts w:ascii="Calibri" w:hAnsi="Calibri" w:eastAsia="楷体_GB2312"/>
      <w:sz w:val="32"/>
      <w:szCs w:val="22"/>
    </w:rPr>
  </w:style>
  <w:style w:type="paragraph" w:styleId="13">
    <w:name w:val="Balloon Text"/>
    <w:basedOn w:val="1"/>
    <w:link w:val="34"/>
    <w:autoRedefine/>
    <w:semiHidden/>
    <w:unhideWhenUsed/>
    <w:qFormat/>
    <w:uiPriority w:val="99"/>
    <w:rPr>
      <w:sz w:val="18"/>
      <w:szCs w:val="18"/>
    </w:rPr>
  </w:style>
  <w:style w:type="paragraph" w:styleId="14">
    <w:name w:val="footer"/>
    <w:basedOn w:val="1"/>
    <w:link w:val="31"/>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30"/>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footnote text"/>
    <w:basedOn w:val="1"/>
    <w:autoRedefine/>
    <w:qFormat/>
    <w:uiPriority w:val="0"/>
    <w:pPr>
      <w:snapToGrid w:val="0"/>
      <w:jc w:val="left"/>
    </w:pPr>
    <w:rPr>
      <w:rFonts w:eastAsia="仿宋_GB2312"/>
      <w:sz w:val="18"/>
      <w:szCs w:val="20"/>
    </w:rPr>
  </w:style>
  <w:style w:type="paragraph" w:styleId="17">
    <w:name w:val="toc 2"/>
    <w:basedOn w:val="1"/>
    <w:next w:val="1"/>
    <w:autoRedefine/>
    <w:qFormat/>
    <w:uiPriority w:val="0"/>
    <w:pPr>
      <w:tabs>
        <w:tab w:val="right" w:leader="dot" w:pos="10070"/>
      </w:tabs>
      <w:spacing w:line="480" w:lineRule="auto"/>
      <w:ind w:leftChars="200"/>
    </w:pPr>
  </w:style>
  <w:style w:type="paragraph" w:styleId="1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9">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20">
    <w:name w:val="Title"/>
    <w:basedOn w:val="1"/>
    <w:next w:val="1"/>
    <w:autoRedefine/>
    <w:qFormat/>
    <w:uiPriority w:val="0"/>
    <w:pPr>
      <w:autoSpaceDE w:val="0"/>
      <w:autoSpaceDN w:val="0"/>
      <w:adjustRightInd w:val="0"/>
      <w:spacing w:before="240" w:after="60"/>
      <w:jc w:val="center"/>
      <w:outlineLvl w:val="0"/>
    </w:pPr>
    <w:rPr>
      <w:rFonts w:ascii="Cambria" w:hAnsi="Cambria"/>
      <w:b/>
      <w:color w:val="000000"/>
      <w:kern w:val="0"/>
      <w:sz w:val="32"/>
      <w:szCs w:val="32"/>
    </w:rPr>
  </w:style>
  <w:style w:type="paragraph" w:styleId="21">
    <w:name w:val="Body Text First Indent 2"/>
    <w:basedOn w:val="9"/>
    <w:autoRedefine/>
    <w:qFormat/>
    <w:uiPriority w:val="0"/>
    <w:pPr>
      <w:ind w:firstLine="42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rFonts w:ascii="Tahoma" w:hAnsi="Tahoma" w:cs="Tahoma"/>
      <w:b/>
      <w:sz w:val="24"/>
    </w:rPr>
  </w:style>
  <w:style w:type="character" w:styleId="26">
    <w:name w:val="page number"/>
    <w:basedOn w:val="24"/>
    <w:autoRedefine/>
    <w:qFormat/>
    <w:uiPriority w:val="0"/>
  </w:style>
  <w:style w:type="character" w:styleId="27">
    <w:name w:val="Hyperlink"/>
    <w:basedOn w:val="24"/>
    <w:autoRedefine/>
    <w:unhideWhenUsed/>
    <w:qFormat/>
    <w:uiPriority w:val="0"/>
    <w:rPr>
      <w:color w:val="0000FF"/>
      <w:u w:val="single"/>
    </w:rPr>
  </w:style>
  <w:style w:type="character" w:styleId="28">
    <w:name w:val="footnote reference"/>
    <w:autoRedefine/>
    <w:qFormat/>
    <w:uiPriority w:val="0"/>
    <w:rPr>
      <w:vertAlign w:val="superscript"/>
    </w:rPr>
  </w:style>
  <w:style w:type="paragraph" w:customStyle="1" w:styleId="29">
    <w:name w:val="[Normal]"/>
    <w:autoRedefine/>
    <w:qFormat/>
    <w:uiPriority w:val="0"/>
    <w:rPr>
      <w:rFonts w:ascii="宋体" w:hAnsi="宋体" w:eastAsia="宋体" w:cs="Times New Roman"/>
      <w:sz w:val="24"/>
      <w:szCs w:val="22"/>
      <w:lang w:val="zh-CN" w:eastAsia="zh-CN" w:bidi="ar-SA"/>
    </w:rPr>
  </w:style>
  <w:style w:type="character" w:customStyle="1" w:styleId="30">
    <w:name w:val="页眉 Char"/>
    <w:basedOn w:val="24"/>
    <w:link w:val="15"/>
    <w:autoRedefine/>
    <w:semiHidden/>
    <w:qFormat/>
    <w:uiPriority w:val="99"/>
    <w:rPr>
      <w:sz w:val="18"/>
      <w:szCs w:val="18"/>
    </w:rPr>
  </w:style>
  <w:style w:type="character" w:customStyle="1" w:styleId="31">
    <w:name w:val="页脚 Char"/>
    <w:basedOn w:val="24"/>
    <w:link w:val="14"/>
    <w:autoRedefine/>
    <w:semiHidden/>
    <w:qFormat/>
    <w:uiPriority w:val="99"/>
    <w:rPr>
      <w:sz w:val="18"/>
      <w:szCs w:val="18"/>
    </w:rPr>
  </w:style>
  <w:style w:type="character" w:customStyle="1" w:styleId="32">
    <w:name w:val="正文文本 Char"/>
    <w:basedOn w:val="24"/>
    <w:link w:val="2"/>
    <w:autoRedefine/>
    <w:semiHidden/>
    <w:qFormat/>
    <w:uiPriority w:val="99"/>
    <w:rPr>
      <w:rFonts w:ascii="Times New Roman" w:hAnsi="Times New Roman" w:eastAsia="宋体" w:cs="Times New Roman"/>
      <w:szCs w:val="24"/>
    </w:rPr>
  </w:style>
  <w:style w:type="character" w:customStyle="1" w:styleId="33">
    <w:name w:val="正文文本缩进 Char"/>
    <w:basedOn w:val="24"/>
    <w:link w:val="9"/>
    <w:autoRedefine/>
    <w:qFormat/>
    <w:uiPriority w:val="99"/>
    <w:rPr>
      <w:rFonts w:ascii="Times New Roman" w:hAnsi="Times New Roman" w:eastAsia="宋体" w:cs="Times New Roman"/>
      <w:szCs w:val="24"/>
    </w:rPr>
  </w:style>
  <w:style w:type="character" w:customStyle="1" w:styleId="34">
    <w:name w:val="批注框文本 Char"/>
    <w:basedOn w:val="24"/>
    <w:link w:val="13"/>
    <w:autoRedefine/>
    <w:semiHidden/>
    <w:qFormat/>
    <w:uiPriority w:val="99"/>
    <w:rPr>
      <w:rFonts w:ascii="Times New Roman" w:hAnsi="Times New Roman" w:eastAsia="宋体" w:cs="Times New Roman"/>
      <w:sz w:val="18"/>
      <w:szCs w:val="18"/>
    </w:rPr>
  </w:style>
  <w:style w:type="character" w:customStyle="1" w:styleId="35">
    <w:name w:val="无"/>
    <w:autoRedefine/>
    <w:qFormat/>
    <w:uiPriority w:val="99"/>
  </w:style>
  <w:style w:type="paragraph" w:customStyle="1" w:styleId="36">
    <w:name w:val="表格文字"/>
    <w:basedOn w:val="1"/>
    <w:next w:val="2"/>
    <w:autoRedefine/>
    <w:qFormat/>
    <w:uiPriority w:val="99"/>
    <w:pPr>
      <w:adjustRightInd w:val="0"/>
      <w:spacing w:line="420" w:lineRule="atLeast"/>
      <w:jc w:val="left"/>
      <w:textAlignment w:val="baseline"/>
    </w:pPr>
    <w:rPr>
      <w:kern w:val="0"/>
    </w:rPr>
  </w:style>
  <w:style w:type="paragraph" w:customStyle="1" w:styleId="37">
    <w:name w:val="正文_8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8">
    <w:name w:val="正文_1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9">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40">
    <w:name w:val="正文_3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14"/>
    <w:autoRedefine/>
    <w:qFormat/>
    <w:uiPriority w:val="99"/>
    <w:rPr>
      <w:rFonts w:ascii="Times New Roman" w:hAnsi="Times New Roman" w:eastAsia="宋体" w:cs="Times New Roman"/>
      <w:sz w:val="21"/>
      <w:szCs w:val="22"/>
      <w:lang w:val="en-US" w:eastAsia="zh-CN" w:bidi="ar-SA"/>
    </w:rPr>
  </w:style>
  <w:style w:type="paragraph" w:customStyle="1" w:styleId="42">
    <w:name w:val="正文_4"/>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5"/>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1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纯文本_3"/>
    <w:basedOn w:val="44"/>
    <w:autoRedefine/>
    <w:qFormat/>
    <w:uiPriority w:val="99"/>
    <w:pPr>
      <w:widowControl/>
      <w:jc w:val="left"/>
    </w:pPr>
    <w:rPr>
      <w:rFonts w:ascii="宋体" w:hAnsi="Courier New"/>
      <w:szCs w:val="21"/>
    </w:rPr>
  </w:style>
  <w:style w:type="paragraph" w:customStyle="1" w:styleId="46">
    <w:name w:val="纯文本_0_1"/>
    <w:basedOn w:val="1"/>
    <w:autoRedefine/>
    <w:qFormat/>
    <w:uiPriority w:val="99"/>
    <w:pPr>
      <w:widowControl/>
      <w:jc w:val="left"/>
    </w:pPr>
    <w:rPr>
      <w:rFonts w:ascii="宋体" w:hAnsi="Courier New"/>
      <w:szCs w:val="21"/>
    </w:rPr>
  </w:style>
  <w:style w:type="paragraph" w:customStyle="1" w:styleId="47">
    <w:name w:val="正文_17"/>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2_0"/>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6"/>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Normal_15"/>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
    <w:name w:val="正文1"/>
    <w:next w:val="1"/>
    <w:autoRedefine/>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52">
    <w:name w:val="p0"/>
    <w:basedOn w:val="1"/>
    <w:autoRedefine/>
    <w:qFormat/>
    <w:uiPriority w:val="0"/>
    <w:pPr>
      <w:widowControl/>
    </w:pPr>
    <w:rPr>
      <w:rFonts w:ascii="Calibri" w:hAnsi="Calibri" w:cs="宋体"/>
      <w:kern w:val="0"/>
      <w:szCs w:val="21"/>
    </w:rPr>
  </w:style>
  <w:style w:type="paragraph" w:styleId="53">
    <w:name w:val="List Paragraph"/>
    <w:basedOn w:val="1"/>
    <w:autoRedefine/>
    <w:qFormat/>
    <w:uiPriority w:val="0"/>
    <w:pPr>
      <w:ind w:firstLine="420" w:firstLineChars="200"/>
    </w:pPr>
    <w:rPr>
      <w:szCs w:val="24"/>
    </w:rPr>
  </w:style>
  <w:style w:type="paragraph" w:customStyle="1" w:styleId="54">
    <w:name w:val="纯文本1"/>
    <w:basedOn w:val="51"/>
    <w:autoRedefine/>
    <w:qFormat/>
    <w:uiPriority w:val="0"/>
    <w:pPr>
      <w:widowControl/>
      <w:jc w:val="left"/>
    </w:pPr>
    <w:rPr>
      <w:rFonts w:ascii="宋体" w:hAnsi="Courier New"/>
      <w:szCs w:val="20"/>
    </w:rPr>
  </w:style>
  <w:style w:type="paragraph" w:customStyle="1" w:styleId="55">
    <w:name w:val="正文（首行缩进2字符）"/>
    <w:basedOn w:val="1"/>
    <w:autoRedefine/>
    <w:qFormat/>
    <w:uiPriority w:val="0"/>
    <w:pPr>
      <w:ind w:firstLine="480" w:firstLineChars="200"/>
    </w:pPr>
    <w:rPr>
      <w:sz w:val="24"/>
      <w:szCs w:val="20"/>
    </w:rPr>
  </w:style>
  <w:style w:type="character" w:customStyle="1" w:styleId="56">
    <w:name w:val="font01"/>
    <w:basedOn w:val="24"/>
    <w:autoRedefine/>
    <w:qFormat/>
    <w:uiPriority w:val="0"/>
    <w:rPr>
      <w:rFonts w:hint="eastAsia" w:ascii="宋体" w:hAnsi="宋体" w:eastAsia="宋体" w:cs="宋体"/>
      <w:color w:val="000000"/>
      <w:sz w:val="22"/>
      <w:szCs w:val="22"/>
      <w:u w:val="none"/>
    </w:rPr>
  </w:style>
  <w:style w:type="character" w:customStyle="1" w:styleId="57">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microsoft.com/office/2011/relationships/people" Target="people.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11903</Words>
  <Characters>12367</Characters>
  <Lines>1</Lines>
  <Paragraphs>1</Paragraphs>
  <TotalTime>56</TotalTime>
  <ScaleCrop>false</ScaleCrop>
  <LinksUpToDate>false</LinksUpToDate>
  <CharactersWithSpaces>12436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2020-03-20T03:00:00Z</dcterms:created>
  <dc:creator>苏彬</dc:creator>
  <cp:lastModifiedBy>崽崽</cp:lastModifiedBy>
  <dcterms:modified xsi:type="dcterms:W3CDTF">2025-11-05T08:15:00Z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5715CAB8DA05422EADE898D8E2A37D23_13</vt:lpwstr>
  </property>
  <property fmtid="{D5CDD505-2E9C-101B-9397-08002B2CF9AE}" pid="4" name="commondata">
    <vt:lpwstr>eyJoZGlkIjoiNmNiNWQzMTIyZDkyNWQ5MzYxMmQ5MTE1ZmU3YjE0M2QifQ==</vt:lpwstr>
  </property>
  <property fmtid="{D5CDD505-2E9C-101B-9397-08002B2CF9AE}" pid="5" name="KSOTemplateDocerSaveRecord">
    <vt:lpwstr>eyJoZGlkIjoiODQ0YjIxNWNhZWZjM2JhMjIwYzYzOGE4MjY2ZTQ1NTYiLCJ1c2VySWQiOiIyNjE1OTIyNjUifQ==</vt:lpwstr>
  </property>
</Properties>
</file>