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rFonts w:hint="eastAsia" w:ascii="仿宋" w:hAnsi="仿宋" w:eastAsia="仿宋" w:cs="仿宋"/>
          <w:b/>
          <w:bCs/>
          <w:color w:val="auto"/>
          <w:sz w:val="32"/>
          <w:szCs w:val="32"/>
        </w:rPr>
      </w:pPr>
      <w:r>
        <w:rPr>
          <w:rFonts w:hint="eastAsia" w:ascii="仿宋" w:hAnsi="仿宋" w:eastAsia="仿宋" w:cs="仿宋"/>
          <w:b/>
          <w:bCs/>
          <w:color w:val="auto"/>
          <w:sz w:val="32"/>
          <w:szCs w:val="32"/>
        </w:rPr>
        <w:t>中交二公局</w:t>
      </w:r>
      <w:r>
        <w:rPr>
          <w:rFonts w:hint="eastAsia" w:ascii="仿宋" w:hAnsi="仿宋" w:eastAsia="仿宋" w:cs="仿宋"/>
          <w:b/>
          <w:bCs/>
          <w:color w:val="auto"/>
          <w:sz w:val="32"/>
          <w:szCs w:val="32"/>
          <w:lang w:val="en-US" w:eastAsia="zh-CN"/>
        </w:rPr>
        <w:t>东萌</w:t>
      </w:r>
      <w:r>
        <w:rPr>
          <w:rFonts w:hint="eastAsia" w:ascii="仿宋" w:hAnsi="仿宋" w:eastAsia="仿宋" w:cs="仿宋"/>
          <w:b/>
          <w:bCs/>
          <w:color w:val="auto"/>
          <w:sz w:val="32"/>
          <w:szCs w:val="32"/>
        </w:rPr>
        <w:t>公司</w:t>
      </w:r>
      <w:r>
        <w:rPr>
          <w:rFonts w:hint="eastAsia" w:ascii="仿宋" w:hAnsi="仿宋" w:eastAsia="仿宋" w:cs="仿宋"/>
          <w:b/>
          <w:bCs/>
          <w:color w:val="auto"/>
          <w:sz w:val="32"/>
          <w:szCs w:val="32"/>
          <w:lang w:val="en-US" w:eastAsia="zh-CN"/>
        </w:rPr>
        <w:t>浙江青文高速土建1标</w:t>
      </w:r>
      <w:r>
        <w:rPr>
          <w:rFonts w:hint="eastAsia" w:ascii="仿宋" w:hAnsi="仿宋" w:eastAsia="仿宋" w:cs="仿宋"/>
          <w:b/>
          <w:bCs/>
          <w:color w:val="auto"/>
          <w:sz w:val="32"/>
          <w:szCs w:val="32"/>
        </w:rPr>
        <w:t>项目</w:t>
      </w:r>
    </w:p>
    <w:p>
      <w:pPr>
        <w:spacing w:line="276" w:lineRule="auto"/>
        <w:jc w:val="center"/>
        <w:rPr>
          <w:rFonts w:hint="eastAsia" w:ascii="仿宋" w:hAnsi="仿宋" w:eastAsia="仿宋" w:cs="仿宋"/>
          <w:color w:val="auto"/>
          <w:sz w:val="32"/>
          <w:szCs w:val="32"/>
        </w:rPr>
      </w:pPr>
      <w:r>
        <w:rPr>
          <w:rFonts w:hint="eastAsia" w:ascii="仿宋" w:hAnsi="仿宋" w:eastAsia="仿宋" w:cs="仿宋"/>
          <w:b/>
          <w:bCs/>
          <w:color w:val="auto"/>
          <w:sz w:val="32"/>
          <w:szCs w:val="32"/>
          <w:lang w:val="en-US" w:eastAsia="zh-CN"/>
        </w:rPr>
        <w:t>甲控钢筋、钢绞线、水泥材料其他</w:t>
      </w:r>
      <w:r>
        <w:rPr>
          <w:rFonts w:hint="eastAsia" w:ascii="仿宋" w:hAnsi="仿宋" w:eastAsia="仿宋" w:cs="仿宋"/>
          <w:b/>
          <w:bCs/>
          <w:color w:val="auto"/>
          <w:sz w:val="32"/>
          <w:szCs w:val="32"/>
        </w:rPr>
        <w:t>采购</w:t>
      </w:r>
      <w:r>
        <w:rPr>
          <w:rFonts w:hint="eastAsia" w:ascii="仿宋" w:hAnsi="仿宋" w:eastAsia="仿宋" w:cs="仿宋"/>
          <w:b/>
          <w:bCs/>
          <w:color w:val="auto"/>
          <w:sz w:val="32"/>
          <w:szCs w:val="32"/>
          <w:lang w:eastAsia="zh-CN"/>
        </w:rPr>
        <w:t>的公告</w:t>
      </w:r>
      <w:r>
        <w:rPr>
          <w:rFonts w:hint="eastAsia" w:ascii="仿宋" w:hAnsi="仿宋" w:eastAsia="仿宋" w:cs="仿宋"/>
          <w:b/>
          <w:bCs/>
          <w:color w:val="auto"/>
          <w:sz w:val="32"/>
          <w:szCs w:val="32"/>
        </w:rPr>
        <w:t>函</w:t>
      </w:r>
    </w:p>
    <w:p>
      <w:pPr>
        <w:spacing w:line="480" w:lineRule="exact"/>
        <w:ind w:right="420" w:firstLine="437"/>
        <w:rPr>
          <w:rFonts w:hint="eastAsia" w:ascii="仿宋" w:hAnsi="仿宋" w:eastAsia="仿宋" w:cs="仿宋"/>
          <w:color w:val="auto"/>
          <w:sz w:val="24"/>
        </w:rPr>
      </w:pPr>
      <w:r>
        <w:rPr>
          <w:rFonts w:hint="eastAsia" w:ascii="仿宋" w:hAnsi="仿宋" w:eastAsia="仿宋" w:cs="仿宋"/>
          <w:color w:val="auto"/>
          <w:sz w:val="24"/>
          <w:lang w:val="en-US" w:eastAsia="zh-CN"/>
        </w:rPr>
        <w:t>由于建设方对工程主体建设材料甲控的原因，项目诚挚邀请温州市交通发展有限公司参与本项目一级物资集采供应，项目按照集团、局、公司相关规定对一级物资进行了例外采购。项目对部分钢材、水泥、钢绞线材料采用其他采购方式进行采购</w:t>
      </w:r>
      <w:r>
        <w:rPr>
          <w:rFonts w:hint="eastAsia" w:ascii="仿宋" w:hAnsi="仿宋" w:eastAsia="仿宋" w:cs="仿宋"/>
          <w:color w:val="auto"/>
          <w:sz w:val="24"/>
        </w:rPr>
        <w:t>，</w:t>
      </w:r>
      <w:r>
        <w:rPr>
          <w:rFonts w:hint="eastAsia" w:ascii="仿宋" w:hAnsi="仿宋" w:eastAsia="仿宋" w:cs="仿宋"/>
          <w:color w:val="auto"/>
          <w:sz w:val="24"/>
          <w:lang w:val="en-US" w:eastAsia="zh-CN"/>
        </w:rPr>
        <w:t>现将采购情况予以公示</w:t>
      </w:r>
      <w:r>
        <w:rPr>
          <w:rFonts w:hint="eastAsia" w:ascii="仿宋" w:hAnsi="仿宋" w:eastAsia="仿宋" w:cs="仿宋"/>
          <w:color w:val="auto"/>
          <w:sz w:val="24"/>
        </w:rPr>
        <w:t>：http://ec.ccccltd.cn</w:t>
      </w:r>
      <w:r>
        <w:rPr>
          <w:rFonts w:hint="eastAsia" w:ascii="仿宋" w:hAnsi="仿宋" w:eastAsia="仿宋" w:cs="仿宋"/>
          <w:color w:val="auto"/>
          <w:sz w:val="24"/>
          <w:lang w:eastAsia="zh-CN"/>
        </w:rPr>
        <w:t>。</w:t>
      </w:r>
    </w:p>
    <w:p>
      <w:pPr>
        <w:spacing w:line="500" w:lineRule="exact"/>
        <w:rPr>
          <w:rFonts w:hint="eastAsia" w:ascii="仿宋" w:hAnsi="仿宋" w:eastAsia="仿宋" w:cs="仿宋"/>
          <w:b/>
          <w:bCs/>
          <w:color w:val="auto"/>
          <w:sz w:val="24"/>
        </w:rPr>
      </w:pPr>
      <w:r>
        <w:rPr>
          <w:rFonts w:hint="eastAsia" w:ascii="仿宋" w:hAnsi="仿宋" w:eastAsia="仿宋" w:cs="仿宋"/>
          <w:b/>
          <w:bCs/>
          <w:color w:val="auto"/>
          <w:sz w:val="24"/>
        </w:rPr>
        <w:t>一、拟采购物资一览表</w:t>
      </w:r>
    </w:p>
    <w:tbl>
      <w:tblPr>
        <w:tblStyle w:val="13"/>
        <w:tblW w:w="0" w:type="auto"/>
        <w:tblInd w:w="118" w:type="dxa"/>
        <w:tblLayout w:type="fixed"/>
        <w:tblCellMar>
          <w:top w:w="0" w:type="dxa"/>
          <w:left w:w="108" w:type="dxa"/>
          <w:bottom w:w="0" w:type="dxa"/>
          <w:right w:w="108" w:type="dxa"/>
        </w:tblCellMar>
      </w:tblPr>
      <w:tblGrid>
        <w:gridCol w:w="461"/>
        <w:gridCol w:w="1113"/>
        <w:gridCol w:w="1001"/>
        <w:gridCol w:w="1337"/>
        <w:gridCol w:w="747"/>
        <w:gridCol w:w="930"/>
        <w:gridCol w:w="915"/>
        <w:gridCol w:w="947"/>
        <w:gridCol w:w="1138"/>
        <w:gridCol w:w="1320"/>
      </w:tblGrid>
      <w:tr>
        <w:tblPrEx>
          <w:tblCellMar>
            <w:top w:w="0" w:type="dxa"/>
            <w:left w:w="108" w:type="dxa"/>
            <w:bottom w:w="0" w:type="dxa"/>
            <w:right w:w="108" w:type="dxa"/>
          </w:tblCellMar>
        </w:tblPrEx>
        <w:trPr>
          <w:trHeight w:val="910" w:hRule="atLeast"/>
        </w:trPr>
        <w:tc>
          <w:tcPr>
            <w:tcW w:w="461"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序号</w:t>
            </w:r>
          </w:p>
        </w:tc>
        <w:tc>
          <w:tcPr>
            <w:tcW w:w="1113"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名称</w:t>
            </w:r>
          </w:p>
        </w:tc>
        <w:tc>
          <w:tcPr>
            <w:tcW w:w="1001"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规格</w:t>
            </w:r>
          </w:p>
        </w:tc>
        <w:tc>
          <w:tcPr>
            <w:tcW w:w="1337" w:type="dxa"/>
            <w:tcBorders>
              <w:top w:val="single" w:color="000000" w:sz="8" w:space="0"/>
              <w:left w:val="nil"/>
              <w:bottom w:val="nil"/>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材质</w:t>
            </w:r>
          </w:p>
        </w:tc>
        <w:tc>
          <w:tcPr>
            <w:tcW w:w="747"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单位</w:t>
            </w:r>
          </w:p>
        </w:tc>
        <w:tc>
          <w:tcPr>
            <w:tcW w:w="930"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暂估数量</w:t>
            </w:r>
          </w:p>
        </w:tc>
        <w:tc>
          <w:tcPr>
            <w:tcW w:w="915"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施工时间段</w:t>
            </w:r>
          </w:p>
        </w:tc>
        <w:tc>
          <w:tcPr>
            <w:tcW w:w="947"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需求项目</w:t>
            </w:r>
          </w:p>
        </w:tc>
        <w:tc>
          <w:tcPr>
            <w:tcW w:w="1138" w:type="dxa"/>
            <w:tcBorders>
              <w:top w:val="single" w:color="000000" w:sz="8" w:space="0"/>
              <w:left w:val="nil"/>
              <w:bottom w:val="nil"/>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项目地址</w:t>
            </w:r>
          </w:p>
        </w:tc>
        <w:tc>
          <w:tcPr>
            <w:tcW w:w="1320" w:type="dxa"/>
            <w:tcBorders>
              <w:top w:val="single" w:color="000000" w:sz="8" w:space="0"/>
              <w:left w:val="nil"/>
              <w:bottom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备注</w:t>
            </w:r>
          </w:p>
        </w:tc>
      </w:tr>
      <w:tr>
        <w:tblPrEx>
          <w:tblCellMar>
            <w:top w:w="0" w:type="dxa"/>
            <w:left w:w="108" w:type="dxa"/>
            <w:bottom w:w="0" w:type="dxa"/>
            <w:right w:w="108" w:type="dxa"/>
          </w:tblCellMar>
        </w:tblPrEx>
        <w:trPr>
          <w:trHeight w:val="661"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高线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φ6</w:t>
            </w:r>
          </w:p>
        </w:tc>
        <w:tc>
          <w:tcPr>
            <w:tcW w:w="1337" w:type="dxa"/>
            <w:tcBorders>
              <w:top w:val="single" w:color="000000" w:sz="8" w:space="0"/>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HPB300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w:t>
            </w:r>
          </w:p>
        </w:tc>
        <w:tc>
          <w:tcPr>
            <w:tcW w:w="915" w:type="dxa"/>
            <w:vMerge w:val="restart"/>
            <w:tcBorders>
              <w:top w:val="nil"/>
              <w:left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2023年10月-2026年10月</w:t>
            </w:r>
          </w:p>
        </w:tc>
        <w:tc>
          <w:tcPr>
            <w:tcW w:w="947" w:type="dxa"/>
            <w:vMerge w:val="restart"/>
            <w:tcBorders>
              <w:top w:val="nil"/>
              <w:left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中交二公局东萌工程有限公司浙江青文高速（文成段）土建01标</w:t>
            </w:r>
          </w:p>
        </w:tc>
        <w:tc>
          <w:tcPr>
            <w:tcW w:w="1138" w:type="dxa"/>
            <w:vMerge w:val="restart"/>
            <w:tcBorders>
              <w:top w:val="single" w:color="000000" w:sz="8" w:space="0"/>
              <w:left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color w:val="FF0000"/>
                <w:kern w:val="0"/>
                <w:sz w:val="22"/>
                <w:szCs w:val="22"/>
              </w:rPr>
            </w:pPr>
            <w:bookmarkStart w:id="0" w:name="_Hlk144411030"/>
            <w:r>
              <w:rPr>
                <w:rFonts w:hint="eastAsia" w:ascii="仿宋" w:hAnsi="仿宋" w:eastAsia="仿宋" w:cs="仿宋"/>
                <w:color w:val="FF0000"/>
                <w:kern w:val="0"/>
                <w:sz w:val="22"/>
                <w:szCs w:val="22"/>
              </w:rPr>
              <w:t>浙江省温州市文成县玉壶镇中交二公局东萌工程有限公司青文1标项目施工现场</w:t>
            </w:r>
            <w:bookmarkEnd w:id="0"/>
          </w:p>
        </w:tc>
        <w:tc>
          <w:tcPr>
            <w:tcW w:w="1320" w:type="dxa"/>
            <w:vMerge w:val="restart"/>
            <w:tcBorders>
              <w:top w:val="nil"/>
              <w:left w:val="single" w:color="000000" w:sz="8" w:space="0"/>
              <w:right w:val="single" w:color="000000" w:sz="8" w:space="0"/>
            </w:tcBorders>
            <w:shd w:val="clear" w:color="auto" w:fill="auto"/>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根据业主招标文件要求，钢材符合国家标准，如宝武、首钢、沙钢、鞍钢、济钢、太钢、三钢、马钢或相当于</w:t>
            </w: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高线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φ8</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HPB300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80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3</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高线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φ10</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HPB300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4</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高线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HPB300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300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5</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高线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φ22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HPB300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6</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盘螺</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φ10</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7</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8</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φ14</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400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9</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φ16</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φ20</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11</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φ22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12</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φ25</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13</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φ28</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600"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14</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螺纹钢</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φ32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HRB400</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526"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15</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钢绞线</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15.2</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2450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526"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16</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散装水泥</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P.042.5</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普通硅酸盐</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80000</w:t>
            </w:r>
          </w:p>
        </w:tc>
        <w:tc>
          <w:tcPr>
            <w:tcW w:w="915"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526"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17</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散装水泥</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u w:val="none"/>
              </w:rPr>
            </w:pPr>
            <w:r>
              <w:rPr>
                <w:rFonts w:hint="eastAsia" w:ascii="仿宋" w:hAnsi="仿宋" w:eastAsia="仿宋" w:cs="仿宋"/>
                <w:color w:val="FF0000"/>
                <w:kern w:val="0"/>
                <w:sz w:val="22"/>
                <w:szCs w:val="22"/>
                <w:u w:val="none"/>
              </w:rPr>
              <w:t>P.052.5</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普通硅酸盐</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t</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color w:val="FF0000"/>
                <w:kern w:val="0"/>
                <w:sz w:val="22"/>
                <w:szCs w:val="22"/>
              </w:rPr>
            </w:pPr>
            <w:r>
              <w:rPr>
                <w:rFonts w:hint="eastAsia" w:ascii="仿宋" w:hAnsi="仿宋" w:eastAsia="仿宋" w:cs="仿宋"/>
                <w:color w:val="FF0000"/>
                <w:kern w:val="0"/>
                <w:sz w:val="22"/>
                <w:szCs w:val="22"/>
              </w:rPr>
              <w:t>20000</w:t>
            </w:r>
          </w:p>
        </w:tc>
        <w:tc>
          <w:tcPr>
            <w:tcW w:w="915" w:type="dxa"/>
            <w:vMerge w:val="continue"/>
            <w:tcBorders>
              <w:left w:val="single" w:color="000000" w:sz="8" w:space="0"/>
              <w:bottom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947" w:type="dxa"/>
            <w:vMerge w:val="continue"/>
            <w:tcBorders>
              <w:left w:val="single" w:color="000000" w:sz="8" w:space="0"/>
              <w:bottom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138" w:type="dxa"/>
            <w:vMerge w:val="continue"/>
            <w:tcBorders>
              <w:left w:val="single" w:color="000000" w:sz="8" w:space="0"/>
              <w:bottom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c>
          <w:tcPr>
            <w:tcW w:w="1320" w:type="dxa"/>
            <w:vMerge w:val="continue"/>
            <w:tcBorders>
              <w:left w:val="single" w:color="000000" w:sz="8" w:space="0"/>
              <w:bottom w:val="single" w:color="000000" w:sz="8" w:space="0"/>
              <w:right w:val="single" w:color="000000" w:sz="8" w:space="0"/>
            </w:tcBorders>
            <w:vAlign w:val="center"/>
          </w:tcPr>
          <w:p>
            <w:pPr>
              <w:widowControl/>
              <w:spacing w:line="360" w:lineRule="auto"/>
              <w:jc w:val="left"/>
              <w:rPr>
                <w:rFonts w:hint="eastAsia" w:ascii="仿宋" w:hAnsi="仿宋" w:eastAsia="仿宋" w:cs="仿宋"/>
                <w:color w:val="FF0000"/>
                <w:kern w:val="0"/>
                <w:sz w:val="22"/>
                <w:szCs w:val="22"/>
              </w:rPr>
            </w:pPr>
          </w:p>
        </w:tc>
      </w:tr>
      <w:tr>
        <w:tblPrEx>
          <w:tblCellMar>
            <w:top w:w="0" w:type="dxa"/>
            <w:left w:w="108" w:type="dxa"/>
            <w:bottom w:w="0" w:type="dxa"/>
            <w:right w:w="108" w:type="dxa"/>
          </w:tblCellMar>
        </w:tblPrEx>
        <w:trPr>
          <w:trHeight w:val="37" w:hRule="atLeast"/>
        </w:trPr>
        <w:tc>
          <w:tcPr>
            <w:tcW w:w="461" w:type="dxa"/>
            <w:tcBorders>
              <w:top w:val="nil"/>
              <w:left w:val="single" w:color="000000" w:sz="8" w:space="0"/>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　</w:t>
            </w:r>
          </w:p>
        </w:tc>
        <w:tc>
          <w:tcPr>
            <w:tcW w:w="1113"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合   计</w:t>
            </w:r>
          </w:p>
        </w:tc>
        <w:tc>
          <w:tcPr>
            <w:tcW w:w="1001"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　</w:t>
            </w:r>
          </w:p>
        </w:tc>
        <w:tc>
          <w:tcPr>
            <w:tcW w:w="133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　</w:t>
            </w:r>
          </w:p>
        </w:tc>
        <w:tc>
          <w:tcPr>
            <w:tcW w:w="7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　</w:t>
            </w:r>
          </w:p>
        </w:tc>
        <w:tc>
          <w:tcPr>
            <w:tcW w:w="93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FF0000"/>
                <w:kern w:val="0"/>
                <w:sz w:val="22"/>
                <w:szCs w:val="22"/>
              </w:rPr>
            </w:pPr>
            <w:r>
              <w:rPr>
                <w:rFonts w:hint="eastAsia" w:ascii="仿宋" w:hAnsi="仿宋" w:eastAsia="仿宋" w:cs="仿宋"/>
                <w:b/>
                <w:bCs/>
                <w:color w:val="FF0000"/>
                <w:kern w:val="0"/>
                <w:sz w:val="22"/>
                <w:szCs w:val="22"/>
              </w:rPr>
              <w:t>117350</w:t>
            </w:r>
          </w:p>
        </w:tc>
        <w:tc>
          <w:tcPr>
            <w:tcW w:w="915"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947"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138"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c>
          <w:tcPr>
            <w:tcW w:w="1320" w:type="dxa"/>
            <w:tcBorders>
              <w:top w:val="nil"/>
              <w:left w:val="nil"/>
              <w:bottom w:val="single" w:color="000000" w:sz="8" w:space="0"/>
              <w:right w:val="single" w:color="000000" w:sz="8" w:space="0"/>
            </w:tcBorders>
            <w:shd w:val="clear" w:color="auto" w:fill="auto"/>
            <w:noWrap/>
            <w:vAlign w:val="center"/>
          </w:tcPr>
          <w:p>
            <w:pPr>
              <w:widowControl/>
              <w:spacing w:line="360" w:lineRule="auto"/>
              <w:jc w:val="center"/>
              <w:rPr>
                <w:rFonts w:hint="eastAsia" w:ascii="仿宋" w:hAnsi="仿宋" w:eastAsia="仿宋" w:cs="仿宋"/>
                <w:b/>
                <w:bCs/>
                <w:color w:val="000000"/>
                <w:kern w:val="0"/>
                <w:sz w:val="22"/>
                <w:szCs w:val="22"/>
              </w:rPr>
            </w:pPr>
            <w:r>
              <w:rPr>
                <w:rFonts w:hint="eastAsia" w:ascii="仿宋" w:hAnsi="仿宋" w:eastAsia="仿宋" w:cs="仿宋"/>
                <w:b/>
                <w:bCs/>
                <w:color w:val="000000"/>
                <w:kern w:val="0"/>
                <w:sz w:val="22"/>
                <w:szCs w:val="22"/>
              </w:rPr>
              <w:t>　</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textAlignment w:val="auto"/>
        <w:rPr>
          <w:rFonts w:hint="eastAsia" w:ascii="仿宋" w:hAnsi="仿宋" w:eastAsia="仿宋" w:cs="仿宋"/>
          <w:b/>
          <w:bCs/>
          <w:color w:val="auto"/>
          <w:sz w:val="24"/>
        </w:rPr>
      </w:pPr>
      <w:r>
        <w:rPr>
          <w:rFonts w:hint="eastAsia" w:ascii="仿宋" w:hAnsi="仿宋" w:eastAsia="仿宋" w:cs="仿宋"/>
          <w:b/>
          <w:bCs/>
          <w:color w:val="auto"/>
          <w:sz w:val="24"/>
        </w:rPr>
        <w:t>二、与采购货物相关的要求</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1、本次钢筋、钢绞线、水泥材料报价在合同执行期间价格为浮动/固定价，其综合单价包含两部分：第一部分为浮动单价（网价）、第二部分为固定单价</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其中第一部分为网价浮动价格。为方便比价定标钢筋请以“我的钢铁网网”杭州市相对应品牌材料当日第一次网价为准；钢绞线以“我的钢绞线网”公布的全国B钢钢厂出厂钢绞线原材料82B钢（沙钢φ10-13）网价为准，如当日网上有多次价格公布，则以最早一次公布价格为准；如当日是节假日网上未公布价格，则按节假日前一天网上公布的第一次价格作为当期结算网价。水泥其中第一部分为网价浮动价格。为方便比价定标P.O42.5散装水泥单价统一以2025年2月17日“中国水泥网”“温州”地区“南方”散装水泥价为基准网价为基准；P.O52.5散装水泥出厂价参照当日散装水泥P.O42.5网价为基准价。</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第二部分为网价优惠，运杂费、财务费、服务费等固定费用为合同固定费用，在合同履行过程中不做调整。</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2、暂定交货期：2025年</w:t>
      </w:r>
      <w:r>
        <w:rPr>
          <w:rFonts w:hint="eastAsia" w:ascii="仿宋" w:hAnsi="仿宋" w:eastAsia="仿宋" w:cs="仿宋"/>
          <w:bCs/>
          <w:color w:val="auto"/>
          <w:sz w:val="24"/>
          <w:lang w:val="en-US" w:eastAsia="zh-CN"/>
        </w:rPr>
        <w:t>3</w:t>
      </w:r>
      <w:r>
        <w:rPr>
          <w:rFonts w:hint="eastAsia" w:ascii="仿宋" w:hAnsi="仿宋" w:eastAsia="仿宋" w:cs="仿宋"/>
          <w:bCs/>
          <w:color w:val="auto"/>
          <w:sz w:val="24"/>
        </w:rPr>
        <w:t>月至2027年12月（具体以项目实际计划时间为准）</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3、交货地点：浙江省温州市文成县玉壶镇中交二公局东萌工程有限公司青文1标项目施工现场</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4、供应质量或品牌要求范围：国标或应发包人质量管理要求钢筋参考使用宝武、首钢、沙钢、鞍钢、济钢、太钢、三钢、马钢或相当于等品牌或同等质量标准（无甲控要求的不能设置品牌或厂家范围）。钢绞线参考：江苏法尔胜股份有限公司、新华金属制品股份有限公司、上海申佳金属有限公司、奥盛新材料股份有限公司、江苏江阴华新钢缆有限公司、或相当于等品牌，辛集澳森、湘钢金属、新天钢中兴盛达品牌另外单独做一份报价单（重要）</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5、供应商的资质要求：</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（1）在中华人民共和国境内依法注册、具有法人资格、具有招标物资生产供应经验并能独立承担民事责任的法人组织，投标物资符合投标物资经营范围。</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（2）投标人应提供投标物资材料的相应检测证明性文件。</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（3）具有一定经营规模和垫付资金的能力，具有良好的商业信誉。</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（4）不接受联合体投标报价。</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（5）业绩、信誉及财务状况良好。</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val="en-US" w:eastAsia="zh-CN"/>
        </w:rPr>
        <w:t>6</w:t>
      </w:r>
      <w:r>
        <w:rPr>
          <w:rFonts w:hint="eastAsia" w:ascii="仿宋" w:hAnsi="仿宋" w:eastAsia="仿宋" w:cs="仿宋"/>
          <w:bCs/>
          <w:color w:val="auto"/>
          <w:sz w:val="24"/>
          <w:lang w:eastAsia="zh-CN"/>
        </w:rPr>
        <w:t>、结算周期：每月 11 日至次月 10 日为一个结算周期。次月15日前完成对账，次月20日前开具发票，如采用数电发票，可通过微信、邮箱等形式发送，视同经办人员签认。</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lang w:val="en-US" w:eastAsia="zh-CN"/>
        </w:rPr>
        <w:t>7</w:t>
      </w:r>
      <w:r>
        <w:rPr>
          <w:rFonts w:hint="eastAsia" w:ascii="仿宋" w:hAnsi="仿宋" w:eastAsia="仿宋" w:cs="仿宋"/>
          <w:bCs/>
          <w:color w:val="auto"/>
          <w:sz w:val="24"/>
          <w:lang w:eastAsia="zh-CN"/>
        </w:rPr>
        <w:t>.支付起点及支付比例</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（1）</w:t>
      </w:r>
      <w:r>
        <w:rPr>
          <w:rFonts w:hint="eastAsia" w:ascii="仿宋" w:hAnsi="仿宋" w:eastAsia="仿宋" w:cs="仿宋"/>
          <w:bCs/>
          <w:color w:val="auto"/>
          <w:sz w:val="24"/>
          <w:lang w:eastAsia="zh-CN"/>
        </w:rPr>
        <w:t>甲方于收到发票后，30天内支付70%款项、60天内支付30%款项。</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lang w:eastAsia="zh-CN"/>
        </w:rPr>
      </w:pPr>
      <w:r>
        <w:rPr>
          <w:rFonts w:hint="eastAsia" w:ascii="仿宋" w:hAnsi="仿宋" w:eastAsia="仿宋" w:cs="仿宋"/>
          <w:bCs/>
          <w:color w:val="auto"/>
          <w:sz w:val="24"/>
        </w:rPr>
        <w:t>（2）</w:t>
      </w:r>
      <w:r>
        <w:rPr>
          <w:rFonts w:hint="eastAsia" w:ascii="仿宋" w:hAnsi="仿宋" w:eastAsia="仿宋" w:cs="仿宋"/>
          <w:bCs/>
          <w:color w:val="auto"/>
          <w:sz w:val="24"/>
          <w:lang w:eastAsia="zh-CN"/>
        </w:rPr>
        <w:t>经双方末次结算且乙方开具全部发票后 60 天，甲方将剩余材料款支付给乙方。</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color w:val="auto"/>
          <w:sz w:val="24"/>
          <w:lang w:val="en-US" w:eastAsia="zh-CN"/>
        </w:rPr>
        <w:t>8</w:t>
      </w:r>
      <w:r>
        <w:rPr>
          <w:rFonts w:hint="eastAsia" w:ascii="仿宋" w:hAnsi="仿宋" w:eastAsia="仿宋" w:cs="仿宋"/>
          <w:color w:val="auto"/>
          <w:sz w:val="24"/>
        </w:rPr>
        <w:t>、</w:t>
      </w:r>
      <w:r>
        <w:rPr>
          <w:rFonts w:hint="eastAsia" w:ascii="仿宋" w:hAnsi="仿宋" w:eastAsia="仿宋" w:cs="仿宋"/>
          <w:bCs/>
          <w:color w:val="auto"/>
          <w:sz w:val="24"/>
        </w:rPr>
        <w:t>验收方法及标准</w:t>
      </w:r>
    </w:p>
    <w:p>
      <w:pPr>
        <w:keepNext w:val="0"/>
        <w:keepLines w:val="0"/>
        <w:pageBreakBefore w:val="0"/>
        <w:widowControl w:val="0"/>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Cs/>
          <w:color w:val="auto"/>
          <w:sz w:val="24"/>
        </w:rPr>
      </w:pPr>
      <w:r>
        <w:rPr>
          <w:rFonts w:hint="eastAsia" w:ascii="仿宋" w:hAnsi="仿宋" w:eastAsia="仿宋" w:cs="仿宋"/>
          <w:bCs/>
          <w:color w:val="auto"/>
          <w:sz w:val="24"/>
        </w:rPr>
        <w:t>验收依据：合同、国家有关的质量标准规定，均为验收依据。</w:t>
      </w:r>
    </w:p>
    <w:p>
      <w:pPr>
        <w:keepNext w:val="0"/>
        <w:keepLines w:val="0"/>
        <w:pageBreakBefore w:val="0"/>
        <w:widowControl w:val="0"/>
        <w:numPr>
          <w:ilvl w:val="0"/>
          <w:numId w:val="1"/>
        </w:numPr>
        <w:kinsoku/>
        <w:wordWrap/>
        <w:overflowPunct/>
        <w:topLinePunct w:val="0"/>
        <w:autoSpaceDE/>
        <w:autoSpaceDN/>
        <w:bidi w:val="0"/>
        <w:adjustRightInd/>
        <w:snapToGrid/>
        <w:spacing w:line="480" w:lineRule="exact"/>
        <w:ind w:firstLine="488" w:firstLineChars="200"/>
        <w:textAlignment w:val="auto"/>
        <w:rPr>
          <w:rFonts w:hint="eastAsia" w:ascii="仿宋" w:hAnsi="仿宋" w:eastAsia="仿宋" w:cs="仿宋"/>
          <w:b/>
          <w:bCs/>
          <w:color w:val="auto"/>
          <w:sz w:val="24"/>
        </w:rPr>
      </w:pPr>
      <w:r>
        <w:rPr>
          <w:rFonts w:hint="eastAsia" w:ascii="仿宋" w:hAnsi="仿宋" w:eastAsia="仿宋" w:cs="仿宋"/>
          <w:b/>
          <w:bCs/>
          <w:color w:val="auto"/>
          <w:sz w:val="24"/>
        </w:rPr>
        <w:t>其它</w:t>
      </w:r>
      <w:r>
        <w:rPr>
          <w:rFonts w:hint="eastAsia" w:ascii="仿宋" w:hAnsi="仿宋" w:eastAsia="仿宋" w:cs="仿宋"/>
          <w:b/>
          <w:bCs/>
          <w:color w:val="auto"/>
          <w:sz w:val="24"/>
          <w:lang w:eastAsia="zh-CN"/>
        </w:rPr>
        <w:t>采购</w:t>
      </w:r>
      <w:r>
        <w:rPr>
          <w:rFonts w:hint="eastAsia" w:ascii="仿宋" w:hAnsi="仿宋" w:eastAsia="仿宋" w:cs="仿宋"/>
          <w:b/>
          <w:bCs/>
          <w:color w:val="auto"/>
          <w:sz w:val="24"/>
        </w:rPr>
        <w:t>有关的规定</w:t>
      </w:r>
      <w:r>
        <w:rPr>
          <w:rFonts w:hint="eastAsia" w:ascii="仿宋" w:hAnsi="仿宋" w:eastAsia="仿宋" w:cs="仿宋"/>
          <w:color w:val="auto"/>
          <w:lang w:eastAsia="zh-CN"/>
        </w:rPr>
        <w:t>：质量标准</w:t>
      </w:r>
      <w:r>
        <w:rPr>
          <w:rFonts w:hint="eastAsia" w:ascii="仿宋" w:hAnsi="仿宋" w:eastAsia="仿宋" w:cs="仿宋"/>
          <w:color w:val="auto"/>
        </w:rPr>
        <w:t>、</w:t>
      </w:r>
      <w:r>
        <w:rPr>
          <w:rFonts w:hint="eastAsia" w:ascii="仿宋" w:hAnsi="仿宋" w:eastAsia="仿宋" w:cs="仿宋"/>
          <w:color w:val="auto"/>
          <w:lang w:eastAsia="zh-CN"/>
        </w:rPr>
        <w:t>检验与验收标准。</w:t>
      </w:r>
    </w:p>
    <w:p>
      <w:pPr>
        <w:pStyle w:val="12"/>
        <w:keepNext w:val="0"/>
        <w:keepLines w:val="0"/>
        <w:pageBreakBefore w:val="0"/>
        <w:widowControl w:val="0"/>
        <w:kinsoku/>
        <w:wordWrap/>
        <w:overflowPunct/>
        <w:topLinePunct w:val="0"/>
        <w:autoSpaceDE/>
        <w:autoSpaceDN/>
        <w:bidi w:val="0"/>
        <w:adjustRightInd/>
        <w:snapToGrid/>
        <w:spacing w:line="480" w:lineRule="exact"/>
        <w:ind w:left="0" w:leftChars="0" w:firstLine="488" w:firstLineChars="200"/>
        <w:textAlignment w:val="auto"/>
        <w:rPr>
          <w:rFonts w:hint="eastAsia" w:ascii="仿宋" w:hAnsi="仿宋" w:eastAsia="仿宋" w:cs="仿宋"/>
          <w:color w:val="auto"/>
          <w:szCs w:val="24"/>
        </w:rPr>
      </w:pPr>
      <w:r>
        <w:rPr>
          <w:rFonts w:hint="eastAsia" w:ascii="仿宋" w:hAnsi="仿宋" w:eastAsia="仿宋" w:cs="仿宋"/>
          <w:color w:val="auto"/>
          <w:sz w:val="24"/>
          <w:lang w:val="en-US" w:eastAsia="zh-CN"/>
        </w:rPr>
        <w:t>暂无</w:t>
      </w:r>
      <w:bookmarkStart w:id="1" w:name="_GoBack"/>
      <w:bookmarkEnd w:id="1"/>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4"/>
        </w:rPr>
      </w:pPr>
      <w:r>
        <w:rPr>
          <w:rFonts w:hint="eastAsia" w:ascii="仿宋" w:hAnsi="仿宋" w:eastAsia="仿宋" w:cs="仿宋"/>
          <w:color w:val="auto"/>
          <w:sz w:val="24"/>
          <w:lang w:val="en-US" w:eastAsia="zh-CN"/>
        </w:rPr>
        <w:t xml:space="preserve">                              采购组织机构：</w:t>
      </w:r>
      <w:r>
        <w:rPr>
          <w:rFonts w:hint="eastAsia" w:ascii="仿宋" w:hAnsi="仿宋" w:eastAsia="仿宋" w:cs="仿宋"/>
          <w:color w:val="auto"/>
          <w:sz w:val="24"/>
          <w:lang w:eastAsia="zh-CN"/>
        </w:rPr>
        <w:t>中交第二公路工程局有限公司</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 xml:space="preserve">                 </w:t>
      </w:r>
      <w:r>
        <w:rPr>
          <w:rFonts w:hint="eastAsia" w:ascii="仿宋" w:hAnsi="仿宋" w:eastAsia="仿宋" w:cs="仿宋"/>
          <w:color w:val="auto"/>
          <w:sz w:val="24"/>
          <w:lang w:eastAsia="zh-CN"/>
        </w:rPr>
        <w:t>监督电话：</w:t>
      </w:r>
      <w:r>
        <w:rPr>
          <w:rFonts w:hint="eastAsia" w:ascii="仿宋" w:hAnsi="仿宋" w:eastAsia="仿宋" w:cs="仿宋"/>
          <w:color w:val="auto"/>
          <w:sz w:val="24"/>
          <w:lang w:val="en-US" w:eastAsia="zh-CN"/>
        </w:rPr>
        <w:t>029-88325201-3603</w:t>
      </w:r>
    </w:p>
    <w:p>
      <w:pPr>
        <w:keepNext w:val="0"/>
        <w:keepLines w:val="0"/>
        <w:pageBreakBefore w:val="0"/>
        <w:widowControl w:val="0"/>
        <w:kinsoku/>
        <w:wordWrap/>
        <w:overflowPunct/>
        <w:topLinePunct w:val="0"/>
        <w:autoSpaceDE/>
        <w:autoSpaceDN/>
        <w:bidi w:val="0"/>
        <w:adjustRightInd/>
        <w:snapToGrid/>
        <w:spacing w:line="480" w:lineRule="exact"/>
        <w:ind w:firstLine="4392" w:firstLineChars="1800"/>
        <w:jc w:val="both"/>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lang w:eastAsia="zh-CN"/>
        </w:rPr>
        <w:t>采购项目：</w:t>
      </w:r>
      <w:r>
        <w:rPr>
          <w:rFonts w:hint="eastAsia" w:ascii="仿宋" w:hAnsi="仿宋" w:eastAsia="仿宋" w:cs="仿宋"/>
          <w:color w:val="auto"/>
          <w:sz w:val="24"/>
          <w:lang w:val="en-US" w:eastAsia="zh-CN"/>
        </w:rPr>
        <w:t>浙江青文高速土建1标</w:t>
      </w:r>
    </w:p>
    <w:p>
      <w:pPr>
        <w:keepNext w:val="0"/>
        <w:keepLines w:val="0"/>
        <w:pageBreakBefore w:val="0"/>
        <w:widowControl w:val="0"/>
        <w:kinsoku/>
        <w:wordWrap/>
        <w:overflowPunct/>
        <w:topLinePunct w:val="0"/>
        <w:autoSpaceDE/>
        <w:autoSpaceDN/>
        <w:bidi w:val="0"/>
        <w:adjustRightInd/>
        <w:snapToGrid/>
        <w:spacing w:line="480" w:lineRule="exact"/>
        <w:ind w:firstLine="4392" w:firstLineChars="1800"/>
        <w:jc w:val="both"/>
        <w:textAlignment w:val="auto"/>
        <w:rPr>
          <w:rFonts w:hint="eastAsia" w:ascii="仿宋" w:hAnsi="仿宋" w:eastAsia="仿宋" w:cs="仿宋"/>
          <w:color w:val="auto"/>
          <w:sz w:val="24"/>
          <w:lang w:val="en-US" w:eastAsia="zh-CN"/>
        </w:rPr>
      </w:pPr>
      <w:r>
        <w:rPr>
          <w:rFonts w:hint="eastAsia" w:ascii="仿宋" w:hAnsi="仿宋" w:eastAsia="仿宋" w:cs="仿宋"/>
          <w:color w:val="auto"/>
          <w:sz w:val="24"/>
        </w:rPr>
        <w:t>联系人：</w:t>
      </w:r>
      <w:r>
        <w:rPr>
          <w:rFonts w:hint="eastAsia" w:ascii="仿宋" w:hAnsi="仿宋" w:eastAsia="仿宋" w:cs="仿宋"/>
          <w:color w:val="auto"/>
          <w:sz w:val="24"/>
          <w:lang w:val="en-US" w:eastAsia="zh-CN"/>
        </w:rPr>
        <w:t>孟作聖</w:t>
      </w:r>
    </w:p>
    <w:p>
      <w:pPr>
        <w:pStyle w:val="4"/>
        <w:keepNext w:val="0"/>
        <w:keepLines w:val="0"/>
        <w:pageBreakBefore w:val="0"/>
        <w:widowControl w:val="0"/>
        <w:kinsoku/>
        <w:wordWrap/>
        <w:overflowPunct/>
        <w:topLinePunct w:val="0"/>
        <w:autoSpaceDE/>
        <w:autoSpaceDN/>
        <w:bidi w:val="0"/>
        <w:adjustRightInd/>
        <w:snapToGrid/>
        <w:spacing w:line="480" w:lineRule="exact"/>
        <w:ind w:left="7319" w:leftChars="228" w:hanging="6832" w:hangingChars="2800"/>
        <w:jc w:val="left"/>
        <w:textAlignment w:val="auto"/>
        <w:rPr>
          <w:rFonts w:hint="eastAsia" w:ascii="仿宋" w:hAnsi="仿宋" w:eastAsia="仿宋" w:cs="仿宋"/>
          <w:color w:val="auto"/>
        </w:rPr>
      </w:pPr>
      <w:r>
        <w:rPr>
          <w:rFonts w:hint="eastAsia" w:ascii="仿宋" w:hAnsi="仿宋" w:eastAsia="仿宋" w:cs="仿宋"/>
          <w:color w:val="auto"/>
        </w:rPr>
        <w:t xml:space="preserve">                                电话：</w:t>
      </w:r>
      <w:r>
        <w:rPr>
          <w:rFonts w:hint="eastAsia" w:ascii="仿宋" w:hAnsi="仿宋" w:eastAsia="仿宋" w:cs="仿宋"/>
          <w:color w:val="auto"/>
          <w:lang w:val="en-US" w:eastAsia="zh-CN"/>
        </w:rPr>
        <w:t>15628913298</w:t>
      </w:r>
      <w:r>
        <w:rPr>
          <w:rFonts w:hint="eastAsia" w:ascii="仿宋" w:hAnsi="仿宋" w:eastAsia="仿宋" w:cs="仿宋"/>
          <w:color w:val="auto"/>
        </w:rPr>
        <w:t xml:space="preserve">                                                      </w:t>
      </w:r>
    </w:p>
    <w:p>
      <w:pPr>
        <w:pStyle w:val="4"/>
        <w:keepNext w:val="0"/>
        <w:keepLines w:val="0"/>
        <w:pageBreakBefore w:val="0"/>
        <w:widowControl w:val="0"/>
        <w:kinsoku/>
        <w:wordWrap/>
        <w:overflowPunct/>
        <w:topLinePunct w:val="0"/>
        <w:autoSpaceDE/>
        <w:autoSpaceDN/>
        <w:bidi w:val="0"/>
        <w:adjustRightInd/>
        <w:snapToGrid/>
        <w:spacing w:line="480" w:lineRule="exact"/>
        <w:ind w:firstLine="4392" w:firstLineChars="1800"/>
        <w:jc w:val="left"/>
        <w:textAlignment w:val="auto"/>
        <w:rPr>
          <w:rFonts w:hint="eastAsia" w:ascii="仿宋" w:hAnsi="仿宋" w:eastAsia="仿宋" w:cs="仿宋"/>
          <w:color w:val="auto"/>
        </w:rPr>
      </w:pPr>
      <w:r>
        <w:rPr>
          <w:rFonts w:hint="eastAsia" w:ascii="仿宋" w:hAnsi="仿宋" w:eastAsia="仿宋" w:cs="仿宋"/>
          <w:color w:val="auto"/>
          <w:lang w:val="en-US" w:eastAsia="zh-CN"/>
        </w:rPr>
        <w:t>日期：2025</w:t>
      </w:r>
      <w:r>
        <w:rPr>
          <w:rFonts w:hint="eastAsia" w:ascii="仿宋" w:hAnsi="仿宋" w:eastAsia="仿宋" w:cs="仿宋"/>
          <w:color w:val="auto"/>
        </w:rPr>
        <w:t>年</w:t>
      </w:r>
      <w:r>
        <w:rPr>
          <w:rFonts w:hint="eastAsia" w:ascii="仿宋" w:hAnsi="仿宋" w:eastAsia="仿宋" w:cs="仿宋"/>
          <w:color w:val="auto"/>
          <w:lang w:val="en-US" w:eastAsia="zh-CN"/>
        </w:rPr>
        <w:t>3</w:t>
      </w:r>
      <w:r>
        <w:rPr>
          <w:rFonts w:hint="eastAsia" w:ascii="仿宋" w:hAnsi="仿宋" w:eastAsia="仿宋" w:cs="仿宋"/>
          <w:color w:val="auto"/>
        </w:rPr>
        <w:t>月</w:t>
      </w:r>
      <w:r>
        <w:rPr>
          <w:rFonts w:hint="eastAsia" w:ascii="仿宋" w:hAnsi="仿宋" w:eastAsia="仿宋" w:cs="仿宋"/>
          <w:color w:val="auto"/>
          <w:lang w:val="en-US" w:eastAsia="zh-CN"/>
        </w:rPr>
        <w:t>28</w:t>
      </w:r>
      <w:r>
        <w:rPr>
          <w:rFonts w:hint="eastAsia" w:ascii="仿宋" w:hAnsi="仿宋" w:eastAsia="仿宋" w:cs="仿宋"/>
          <w:color w:val="auto"/>
        </w:rPr>
        <w:t>日</w:t>
      </w:r>
    </w:p>
    <w:p>
      <w:pPr>
        <w:pStyle w:val="25"/>
        <w:spacing w:before="156"/>
        <w:jc w:val="left"/>
        <w:rPr>
          <w:rFonts w:hint="eastAsia" w:ascii="仿宋" w:hAnsi="仿宋" w:eastAsia="仿宋" w:cs="仿宋"/>
          <w:color w:val="FF0000"/>
          <w:sz w:val="24"/>
          <w:szCs w:val="24"/>
        </w:rPr>
      </w:pPr>
    </w:p>
    <w:p>
      <w:pPr>
        <w:pStyle w:val="25"/>
        <w:spacing w:before="156"/>
        <w:jc w:val="left"/>
        <w:rPr>
          <w:rFonts w:hint="eastAsia" w:ascii="仿宋" w:hAnsi="仿宋" w:eastAsia="仿宋" w:cs="仿宋"/>
          <w:color w:val="auto"/>
          <w:sz w:val="24"/>
          <w:szCs w:val="24"/>
        </w:rPr>
      </w:pPr>
    </w:p>
    <w:p>
      <w:pPr>
        <w:pStyle w:val="25"/>
        <w:spacing w:before="156"/>
        <w:jc w:val="left"/>
        <w:rPr>
          <w:rFonts w:hint="eastAsia" w:ascii="仿宋" w:hAnsi="仿宋" w:eastAsia="仿宋" w:cs="仿宋"/>
          <w:color w:val="auto"/>
          <w:sz w:val="24"/>
          <w:szCs w:val="24"/>
        </w:rPr>
      </w:pPr>
    </w:p>
    <w:p>
      <w:pPr>
        <w:pStyle w:val="25"/>
        <w:spacing w:before="156"/>
        <w:jc w:val="left"/>
        <w:rPr>
          <w:rFonts w:hint="eastAsia" w:ascii="仿宋" w:hAnsi="仿宋" w:eastAsia="仿宋" w:cs="仿宋"/>
          <w:color w:val="auto"/>
          <w:sz w:val="24"/>
          <w:szCs w:val="24"/>
        </w:rPr>
      </w:pPr>
    </w:p>
    <w:p>
      <w:pPr>
        <w:tabs>
          <w:tab w:val="left" w:pos="617"/>
        </w:tabs>
        <w:spacing w:line="360" w:lineRule="auto"/>
        <w:rPr>
          <w:rFonts w:hint="eastAsia" w:ascii="仿宋" w:hAnsi="仿宋" w:eastAsia="仿宋" w:cs="仿宋"/>
          <w:color w:val="auto"/>
        </w:rPr>
      </w:pPr>
    </w:p>
    <w:sectPr>
      <w:footerReference r:id="rId3" w:type="default"/>
      <w:pgSz w:w="11906" w:h="16838"/>
      <w:pgMar w:top="1440" w:right="850" w:bottom="1440" w:left="992" w:header="851" w:footer="992" w:gutter="0"/>
      <w:cols w:space="720" w:num="1"/>
      <w:docGrid w:type="linesAndChars" w:linePitch="312" w:charSpace="8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FreeSerif"/>
    <w:panose1 w:val="02040503050406030204"/>
    <w:charset w:val="00"/>
    <w:family w:val="roman"/>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Arial Unicode MS">
    <w:altName w:val="DejaVu Sans"/>
    <w:panose1 w:val="020B0604020202020204"/>
    <w:charset w:val="00"/>
    <w:family w:val="roman"/>
    <w:pitch w:val="default"/>
    <w:sig w:usb0="00000000" w:usb1="00000000" w:usb2="00000000" w:usb3="00000000" w:csb0="00000001" w:csb1="00000000"/>
  </w:font>
  <w:font w:name="Bookman Old Style">
    <w:altName w:val="DejaVu Serif"/>
    <w:panose1 w:val="02050604050505020204"/>
    <w:charset w:val="00"/>
    <w:family w:val="roman"/>
    <w:pitch w:val="default"/>
    <w:sig w:usb0="00000000" w:usb1="00000000" w:usb2="00000000" w:usb3="00000000" w:csb0="2000009F" w:csb1="DFD70000"/>
  </w:font>
  <w:font w:name="DejaVu Serif">
    <w:panose1 w:val="02060603050605020204"/>
    <w:charset w:val="00"/>
    <w:family w:val="auto"/>
    <w:pitch w:val="default"/>
    <w:sig w:usb0="E50006FF" w:usb1="5200F9FB" w:usb2="0A040020" w:usb3="00000000" w:csb0="6000009F" w:csb1="DFD7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等线">
    <w:altName w:val="华文仿宋"/>
    <w:panose1 w:val="02010600030101010101"/>
    <w:charset w:val="86"/>
    <w:family w:val="auto"/>
    <w:pitch w:val="default"/>
    <w:sig w:usb0="00000000" w:usb1="00000000" w:usb2="00000016" w:usb3="00000000" w:csb0="0004000F" w:csb1="00000000"/>
  </w:font>
  <w:font w:name="华文仿宋">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FgAAAGRycy9QSwECFAAUAAAACACHTuJAs0lY7tAAAAAFAQAADwAAAAAAAAABACAA&#10;AAA4AAAAZHJzL2Rvd25yZXYueG1sUEsBAhQAFAAAAAgAh07iQF4aj184AgAAbwQAAA4AAAAAAAAA&#10;AQAgAAAANQEAAGRycy9lMm9Eb2MueG1sUEsFBgAAAAAGAAYAWQEAAN8FAAAAAA==&#10;">
              <v:fill on="f" focussize="0,0"/>
              <v:stroke on="f" weight="0.5pt"/>
              <v:imagedata o:title=""/>
              <o:lock v:ext="edit" aspectratio="f"/>
              <v:textbox inset="0mm,0mm,0mm,0mm" style="mso-fit-shape-to-text:t;">
                <w:txbxContent>
                  <w:p>
                    <w:pPr>
                      <w:pStyle w:val="9"/>
                    </w:pPr>
                    <w:r>
                      <w:rPr>
                        <w:rFonts w:hint="eastAsia"/>
                      </w:rPr>
                      <w:fldChar w:fldCharType="begin"/>
                    </w:r>
                    <w:r>
                      <w:rPr>
                        <w:rFonts w:hint="eastAsia"/>
                      </w:rPr>
                      <w:instrText xml:space="preserve"> PAGE  \* MERGEFORMAT </w:instrText>
                    </w:r>
                    <w:r>
                      <w:rPr>
                        <w:rFonts w:hint="eastAsia"/>
                      </w:rPr>
                      <w:fldChar w:fldCharType="separate"/>
                    </w:r>
                    <w:r>
                      <w:t>8</w:t>
                    </w:r>
                    <w:r>
                      <w:rPr>
                        <w:rFonts w:hint="eastAsia"/>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E1799E"/>
    <w:multiLevelType w:val="singleLevel"/>
    <w:tmpl w:val="FFE1799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xODRhMGZkNTlhN2E0ZmNiY2RmZGZmNTlhZDE5ODAifQ=="/>
  </w:docVars>
  <w:rsids>
    <w:rsidRoot w:val="00917214"/>
    <w:rsid w:val="0002058C"/>
    <w:rsid w:val="0002375F"/>
    <w:rsid w:val="000318F4"/>
    <w:rsid w:val="00074A7D"/>
    <w:rsid w:val="000823F1"/>
    <w:rsid w:val="000A129A"/>
    <w:rsid w:val="000A2625"/>
    <w:rsid w:val="000B4788"/>
    <w:rsid w:val="000D6926"/>
    <w:rsid w:val="000E3BF1"/>
    <w:rsid w:val="000F3FD7"/>
    <w:rsid w:val="00104CB6"/>
    <w:rsid w:val="00107591"/>
    <w:rsid w:val="00117DAF"/>
    <w:rsid w:val="00143A01"/>
    <w:rsid w:val="00143C71"/>
    <w:rsid w:val="001509B5"/>
    <w:rsid w:val="001536C0"/>
    <w:rsid w:val="00170C31"/>
    <w:rsid w:val="00177E41"/>
    <w:rsid w:val="001B224F"/>
    <w:rsid w:val="001C4E89"/>
    <w:rsid w:val="001C50B0"/>
    <w:rsid w:val="00201CCA"/>
    <w:rsid w:val="002217D9"/>
    <w:rsid w:val="0023037A"/>
    <w:rsid w:val="00251D53"/>
    <w:rsid w:val="00282130"/>
    <w:rsid w:val="00285342"/>
    <w:rsid w:val="00325CB6"/>
    <w:rsid w:val="00347B19"/>
    <w:rsid w:val="00354E3D"/>
    <w:rsid w:val="003B188B"/>
    <w:rsid w:val="003C3C73"/>
    <w:rsid w:val="003C5207"/>
    <w:rsid w:val="003D1579"/>
    <w:rsid w:val="00423285"/>
    <w:rsid w:val="00423586"/>
    <w:rsid w:val="00433C40"/>
    <w:rsid w:val="00441227"/>
    <w:rsid w:val="00447A64"/>
    <w:rsid w:val="004539BD"/>
    <w:rsid w:val="00456009"/>
    <w:rsid w:val="004769AD"/>
    <w:rsid w:val="004A174C"/>
    <w:rsid w:val="004A7B3E"/>
    <w:rsid w:val="004E6C34"/>
    <w:rsid w:val="004F42B6"/>
    <w:rsid w:val="004F6FD3"/>
    <w:rsid w:val="00501F31"/>
    <w:rsid w:val="00576010"/>
    <w:rsid w:val="0058384B"/>
    <w:rsid w:val="005919C1"/>
    <w:rsid w:val="005A53F5"/>
    <w:rsid w:val="005B17E2"/>
    <w:rsid w:val="005C128C"/>
    <w:rsid w:val="005C709B"/>
    <w:rsid w:val="005F5E3A"/>
    <w:rsid w:val="006365B8"/>
    <w:rsid w:val="0066140E"/>
    <w:rsid w:val="00673C86"/>
    <w:rsid w:val="00677D59"/>
    <w:rsid w:val="006A6DA1"/>
    <w:rsid w:val="006B64D9"/>
    <w:rsid w:val="006C675E"/>
    <w:rsid w:val="007053EA"/>
    <w:rsid w:val="007358B8"/>
    <w:rsid w:val="00782C56"/>
    <w:rsid w:val="007838E3"/>
    <w:rsid w:val="00793CD0"/>
    <w:rsid w:val="00797BC2"/>
    <w:rsid w:val="007A0953"/>
    <w:rsid w:val="007B5803"/>
    <w:rsid w:val="007C209F"/>
    <w:rsid w:val="007C2F66"/>
    <w:rsid w:val="007D2AC4"/>
    <w:rsid w:val="007D3617"/>
    <w:rsid w:val="00816447"/>
    <w:rsid w:val="00875610"/>
    <w:rsid w:val="00883DFD"/>
    <w:rsid w:val="00884DE2"/>
    <w:rsid w:val="008B7FE4"/>
    <w:rsid w:val="008E26AF"/>
    <w:rsid w:val="00917214"/>
    <w:rsid w:val="0094619E"/>
    <w:rsid w:val="00991499"/>
    <w:rsid w:val="009B1EEC"/>
    <w:rsid w:val="009B4A29"/>
    <w:rsid w:val="00A16F01"/>
    <w:rsid w:val="00A3627F"/>
    <w:rsid w:val="00A84A9A"/>
    <w:rsid w:val="00A94CEB"/>
    <w:rsid w:val="00AA0A59"/>
    <w:rsid w:val="00AA704F"/>
    <w:rsid w:val="00AC01AD"/>
    <w:rsid w:val="00AC0802"/>
    <w:rsid w:val="00AC2F88"/>
    <w:rsid w:val="00AF1C44"/>
    <w:rsid w:val="00B11DB9"/>
    <w:rsid w:val="00B15D12"/>
    <w:rsid w:val="00B2244B"/>
    <w:rsid w:val="00B5575F"/>
    <w:rsid w:val="00B77A77"/>
    <w:rsid w:val="00B925C0"/>
    <w:rsid w:val="00BC5ADB"/>
    <w:rsid w:val="00BD4F1F"/>
    <w:rsid w:val="00BD6362"/>
    <w:rsid w:val="00BD63F6"/>
    <w:rsid w:val="00C021EE"/>
    <w:rsid w:val="00C41473"/>
    <w:rsid w:val="00C5405B"/>
    <w:rsid w:val="00C745D4"/>
    <w:rsid w:val="00CA427F"/>
    <w:rsid w:val="00CC66C3"/>
    <w:rsid w:val="00CD479B"/>
    <w:rsid w:val="00CD523F"/>
    <w:rsid w:val="00CE0A85"/>
    <w:rsid w:val="00CE16A3"/>
    <w:rsid w:val="00CE6B87"/>
    <w:rsid w:val="00D027D2"/>
    <w:rsid w:val="00D12AAA"/>
    <w:rsid w:val="00D57808"/>
    <w:rsid w:val="00D62DFA"/>
    <w:rsid w:val="00D77D05"/>
    <w:rsid w:val="00D82D97"/>
    <w:rsid w:val="00DA061A"/>
    <w:rsid w:val="00DA4A06"/>
    <w:rsid w:val="00DB405A"/>
    <w:rsid w:val="00DC5264"/>
    <w:rsid w:val="00DE6D48"/>
    <w:rsid w:val="00DF37D1"/>
    <w:rsid w:val="00E0182C"/>
    <w:rsid w:val="00E1469E"/>
    <w:rsid w:val="00E16E17"/>
    <w:rsid w:val="00E32A46"/>
    <w:rsid w:val="00E353EC"/>
    <w:rsid w:val="00E761E8"/>
    <w:rsid w:val="00E812C6"/>
    <w:rsid w:val="00EA78FA"/>
    <w:rsid w:val="00F54468"/>
    <w:rsid w:val="00F71986"/>
    <w:rsid w:val="00F844D1"/>
    <w:rsid w:val="00F920F9"/>
    <w:rsid w:val="00F93779"/>
    <w:rsid w:val="00F97E06"/>
    <w:rsid w:val="00FB36A6"/>
    <w:rsid w:val="00FB7619"/>
    <w:rsid w:val="00FE0E6A"/>
    <w:rsid w:val="00FE4269"/>
    <w:rsid w:val="01142D09"/>
    <w:rsid w:val="02337CC1"/>
    <w:rsid w:val="03A33322"/>
    <w:rsid w:val="03BF0B2A"/>
    <w:rsid w:val="045770E5"/>
    <w:rsid w:val="04A77025"/>
    <w:rsid w:val="05494531"/>
    <w:rsid w:val="05671DF3"/>
    <w:rsid w:val="065A1D10"/>
    <w:rsid w:val="06A92350"/>
    <w:rsid w:val="06F66B48"/>
    <w:rsid w:val="07591FC8"/>
    <w:rsid w:val="07B47B27"/>
    <w:rsid w:val="07CF66CD"/>
    <w:rsid w:val="08102FD1"/>
    <w:rsid w:val="0815717D"/>
    <w:rsid w:val="08941D45"/>
    <w:rsid w:val="08CC4A1B"/>
    <w:rsid w:val="09BC13D8"/>
    <w:rsid w:val="0AF7723D"/>
    <w:rsid w:val="0CF2539C"/>
    <w:rsid w:val="0CF522B1"/>
    <w:rsid w:val="0DB872F8"/>
    <w:rsid w:val="0E1110CE"/>
    <w:rsid w:val="0E3B206D"/>
    <w:rsid w:val="0EAE0834"/>
    <w:rsid w:val="10B41385"/>
    <w:rsid w:val="110A67E1"/>
    <w:rsid w:val="136220C6"/>
    <w:rsid w:val="1374238C"/>
    <w:rsid w:val="14030A39"/>
    <w:rsid w:val="16770C54"/>
    <w:rsid w:val="1719080C"/>
    <w:rsid w:val="184B0CF5"/>
    <w:rsid w:val="19346B43"/>
    <w:rsid w:val="19E24B53"/>
    <w:rsid w:val="1A024608"/>
    <w:rsid w:val="1A1C3150"/>
    <w:rsid w:val="1B0B56A1"/>
    <w:rsid w:val="1B2D4222"/>
    <w:rsid w:val="1B60171F"/>
    <w:rsid w:val="1C502003"/>
    <w:rsid w:val="1C90290A"/>
    <w:rsid w:val="1D1B1E9D"/>
    <w:rsid w:val="1D475939"/>
    <w:rsid w:val="1D973642"/>
    <w:rsid w:val="1DFD6F5F"/>
    <w:rsid w:val="1F2F7D7A"/>
    <w:rsid w:val="1F957846"/>
    <w:rsid w:val="20EB769A"/>
    <w:rsid w:val="21696E53"/>
    <w:rsid w:val="2240221E"/>
    <w:rsid w:val="23270D74"/>
    <w:rsid w:val="23DF203C"/>
    <w:rsid w:val="23EC6136"/>
    <w:rsid w:val="23EE35A8"/>
    <w:rsid w:val="247C3246"/>
    <w:rsid w:val="25585215"/>
    <w:rsid w:val="25DF5936"/>
    <w:rsid w:val="2710792C"/>
    <w:rsid w:val="28683FE3"/>
    <w:rsid w:val="28F71C2C"/>
    <w:rsid w:val="29564161"/>
    <w:rsid w:val="2AF25618"/>
    <w:rsid w:val="2AF928FA"/>
    <w:rsid w:val="2AFF11F5"/>
    <w:rsid w:val="2B512E32"/>
    <w:rsid w:val="2BF27106"/>
    <w:rsid w:val="2BF3145D"/>
    <w:rsid w:val="2E3B7C7A"/>
    <w:rsid w:val="2EB167B8"/>
    <w:rsid w:val="2F8021A4"/>
    <w:rsid w:val="2FAB6278"/>
    <w:rsid w:val="31A55572"/>
    <w:rsid w:val="32141380"/>
    <w:rsid w:val="32554BBA"/>
    <w:rsid w:val="326237F0"/>
    <w:rsid w:val="333170A5"/>
    <w:rsid w:val="33AF1783"/>
    <w:rsid w:val="35AF24C5"/>
    <w:rsid w:val="35E76EBD"/>
    <w:rsid w:val="3624464A"/>
    <w:rsid w:val="36280C33"/>
    <w:rsid w:val="371D54A4"/>
    <w:rsid w:val="37351ECF"/>
    <w:rsid w:val="37D171C7"/>
    <w:rsid w:val="38F4376A"/>
    <w:rsid w:val="3951224F"/>
    <w:rsid w:val="39AF44B9"/>
    <w:rsid w:val="39C26CA9"/>
    <w:rsid w:val="3A1E57F6"/>
    <w:rsid w:val="3A3521FF"/>
    <w:rsid w:val="3A74219C"/>
    <w:rsid w:val="3BF40F6F"/>
    <w:rsid w:val="3E613300"/>
    <w:rsid w:val="3EC65A92"/>
    <w:rsid w:val="3F234A95"/>
    <w:rsid w:val="3FAB1AD6"/>
    <w:rsid w:val="3FF84FFB"/>
    <w:rsid w:val="40094D7B"/>
    <w:rsid w:val="40410CBA"/>
    <w:rsid w:val="406A7828"/>
    <w:rsid w:val="407453E8"/>
    <w:rsid w:val="409A3A69"/>
    <w:rsid w:val="40A5400C"/>
    <w:rsid w:val="41182B52"/>
    <w:rsid w:val="417567AD"/>
    <w:rsid w:val="426D04BB"/>
    <w:rsid w:val="42B5362B"/>
    <w:rsid w:val="42DA1512"/>
    <w:rsid w:val="42E360B0"/>
    <w:rsid w:val="43C63AB3"/>
    <w:rsid w:val="440A35A4"/>
    <w:rsid w:val="44127D60"/>
    <w:rsid w:val="44525938"/>
    <w:rsid w:val="44B042CE"/>
    <w:rsid w:val="48F40D90"/>
    <w:rsid w:val="49206168"/>
    <w:rsid w:val="49392FFC"/>
    <w:rsid w:val="49A26DED"/>
    <w:rsid w:val="49CF2FCF"/>
    <w:rsid w:val="4A375CA1"/>
    <w:rsid w:val="4ADD4852"/>
    <w:rsid w:val="4B500259"/>
    <w:rsid w:val="4B6D2F19"/>
    <w:rsid w:val="4B785B6A"/>
    <w:rsid w:val="4D202D92"/>
    <w:rsid w:val="4D241CF7"/>
    <w:rsid w:val="4D3F6CC6"/>
    <w:rsid w:val="4DAB1AD6"/>
    <w:rsid w:val="4DD51398"/>
    <w:rsid w:val="4E846964"/>
    <w:rsid w:val="4F0F42E7"/>
    <w:rsid w:val="502F4C40"/>
    <w:rsid w:val="50BE37E2"/>
    <w:rsid w:val="51BB2504"/>
    <w:rsid w:val="51EB0046"/>
    <w:rsid w:val="54712D47"/>
    <w:rsid w:val="547D47F2"/>
    <w:rsid w:val="54F47E52"/>
    <w:rsid w:val="56D23C3A"/>
    <w:rsid w:val="579E166C"/>
    <w:rsid w:val="5846521D"/>
    <w:rsid w:val="586236D9"/>
    <w:rsid w:val="58B146A0"/>
    <w:rsid w:val="58FB6F80"/>
    <w:rsid w:val="59781085"/>
    <w:rsid w:val="5A84356D"/>
    <w:rsid w:val="5B827AE4"/>
    <w:rsid w:val="5C1E6F0A"/>
    <w:rsid w:val="5C3425F7"/>
    <w:rsid w:val="5CAF2C8B"/>
    <w:rsid w:val="5D511617"/>
    <w:rsid w:val="5D6F1BDF"/>
    <w:rsid w:val="5DFB7333"/>
    <w:rsid w:val="5E541217"/>
    <w:rsid w:val="5E834620"/>
    <w:rsid w:val="5E8A39B8"/>
    <w:rsid w:val="5F86303C"/>
    <w:rsid w:val="5F977425"/>
    <w:rsid w:val="5FCB2CEF"/>
    <w:rsid w:val="600D3D1B"/>
    <w:rsid w:val="60CC24ED"/>
    <w:rsid w:val="639E2C75"/>
    <w:rsid w:val="63C023E1"/>
    <w:rsid w:val="63C44898"/>
    <w:rsid w:val="643C3B24"/>
    <w:rsid w:val="64624649"/>
    <w:rsid w:val="64692787"/>
    <w:rsid w:val="65384623"/>
    <w:rsid w:val="65DD1DB1"/>
    <w:rsid w:val="65DE4CE7"/>
    <w:rsid w:val="66B21E79"/>
    <w:rsid w:val="66C149BE"/>
    <w:rsid w:val="67EE1A79"/>
    <w:rsid w:val="680D342D"/>
    <w:rsid w:val="6B414158"/>
    <w:rsid w:val="6BE40B7D"/>
    <w:rsid w:val="6D4A2ADF"/>
    <w:rsid w:val="6D8B6C11"/>
    <w:rsid w:val="6D990374"/>
    <w:rsid w:val="6E3E1E7E"/>
    <w:rsid w:val="6EA1502E"/>
    <w:rsid w:val="6EB30FD7"/>
    <w:rsid w:val="6F0D7D68"/>
    <w:rsid w:val="6F567B23"/>
    <w:rsid w:val="70F04CB7"/>
    <w:rsid w:val="717D4B0C"/>
    <w:rsid w:val="723E5BC5"/>
    <w:rsid w:val="72A2774D"/>
    <w:rsid w:val="72E224E8"/>
    <w:rsid w:val="732415D7"/>
    <w:rsid w:val="73A42014"/>
    <w:rsid w:val="7570478F"/>
    <w:rsid w:val="75EA3234"/>
    <w:rsid w:val="76D81E58"/>
    <w:rsid w:val="76E571E1"/>
    <w:rsid w:val="76FF1048"/>
    <w:rsid w:val="78587B6F"/>
    <w:rsid w:val="790811AA"/>
    <w:rsid w:val="791C31CA"/>
    <w:rsid w:val="79965CFA"/>
    <w:rsid w:val="79D51B05"/>
    <w:rsid w:val="7AB320B8"/>
    <w:rsid w:val="7C3745A9"/>
    <w:rsid w:val="7C60574F"/>
    <w:rsid w:val="7C95557C"/>
    <w:rsid w:val="7C9F4B64"/>
    <w:rsid w:val="7DA30829"/>
    <w:rsid w:val="7DE62C69"/>
    <w:rsid w:val="7DF33439"/>
    <w:rsid w:val="7E0519A6"/>
    <w:rsid w:val="7EAE6228"/>
    <w:rsid w:val="7EF91BBB"/>
    <w:rsid w:val="7F1B62EC"/>
    <w:rsid w:val="AC93D847"/>
    <w:rsid w:val="EBF6A5EB"/>
    <w:rsid w:val="ED8F42BB"/>
    <w:rsid w:val="F0CF8493"/>
    <w:rsid w:val="FEFFD10A"/>
    <w:rsid w:val="FF39DBF8"/>
    <w:rsid w:val="FFEE0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spacing w:before="200"/>
      <w:outlineLvl w:val="1"/>
    </w:pPr>
    <w:rPr>
      <w:rFonts w:ascii="Cambria" w:hAnsi="Cambria"/>
      <w:b/>
      <w:bCs/>
      <w:sz w:val="26"/>
      <w:szCs w:val="26"/>
    </w:rPr>
  </w:style>
  <w:style w:type="paragraph" w:styleId="3">
    <w:name w:val="heading 3"/>
    <w:basedOn w:val="1"/>
    <w:next w:val="1"/>
    <w:unhideWhenUsed/>
    <w:qFormat/>
    <w:uiPriority w:val="0"/>
    <w:pPr>
      <w:spacing w:before="200" w:line="272" w:lineRule="auto"/>
      <w:ind w:left="420" w:leftChars="200"/>
      <w:outlineLvl w:val="2"/>
    </w:pPr>
    <w:rPr>
      <w:rFonts w:ascii="Cambria" w:hAnsi="Cambria"/>
      <w:b/>
      <w:bCs/>
      <w:kern w:val="0"/>
      <w:sz w:val="22"/>
      <w:szCs w:val="22"/>
      <w:lang w:eastAsia="en-US"/>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spacing w:line="360" w:lineRule="auto"/>
      <w:ind w:firstLine="420"/>
    </w:pPr>
    <w:rPr>
      <w:sz w:val="24"/>
    </w:rPr>
  </w:style>
  <w:style w:type="paragraph" w:styleId="5">
    <w:name w:val="Body Text"/>
    <w:basedOn w:val="1"/>
    <w:next w:val="1"/>
    <w:qFormat/>
    <w:uiPriority w:val="0"/>
    <w:pPr>
      <w:spacing w:after="120"/>
    </w:pPr>
  </w:style>
  <w:style w:type="paragraph" w:styleId="6">
    <w:name w:val="Body Text Indent"/>
    <w:basedOn w:val="1"/>
    <w:link w:val="23"/>
    <w:qFormat/>
    <w:uiPriority w:val="99"/>
    <w:pPr>
      <w:widowControl/>
      <w:spacing w:after="120" w:line="276" w:lineRule="auto"/>
      <w:ind w:left="420" w:leftChars="200"/>
      <w:jc w:val="left"/>
    </w:pPr>
    <w:rPr>
      <w:kern w:val="0"/>
      <w:sz w:val="24"/>
      <w:szCs w:val="20"/>
    </w:rPr>
  </w:style>
  <w:style w:type="paragraph" w:styleId="7">
    <w:name w:val="Date"/>
    <w:basedOn w:val="1"/>
    <w:next w:val="1"/>
    <w:link w:val="19"/>
    <w:qFormat/>
    <w:uiPriority w:val="0"/>
    <w:pPr>
      <w:ind w:left="100" w:leftChars="2500"/>
    </w:pPr>
  </w:style>
  <w:style w:type="paragraph" w:styleId="8">
    <w:name w:val="Balloon Text"/>
    <w:basedOn w:val="1"/>
    <w:link w:val="29"/>
    <w:qFormat/>
    <w:uiPriority w:val="0"/>
    <w:rPr>
      <w:sz w:val="18"/>
      <w:szCs w:val="18"/>
    </w:rPr>
  </w:style>
  <w:style w:type="paragraph" w:styleId="9">
    <w:name w:val="footer"/>
    <w:basedOn w:val="1"/>
    <w:link w:val="24"/>
    <w:qFormat/>
    <w:uiPriority w:val="0"/>
    <w:pPr>
      <w:tabs>
        <w:tab w:val="center" w:pos="4153"/>
        <w:tab w:val="right" w:pos="8306"/>
      </w:tabs>
      <w:snapToGrid w:val="0"/>
      <w:jc w:val="left"/>
    </w:pPr>
    <w:rPr>
      <w:sz w:val="18"/>
      <w:szCs w:val="18"/>
    </w:rPr>
  </w:style>
  <w:style w:type="paragraph" w:styleId="10">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pPr>
    <w:rPr>
      <w:rFonts w:ascii="Arial Unicode MS" w:hAnsi="Arial Unicode MS"/>
      <w:sz w:val="24"/>
    </w:rPr>
  </w:style>
  <w:style w:type="paragraph" w:styleId="12">
    <w:name w:val="Body Text First Indent"/>
    <w:basedOn w:val="5"/>
    <w:unhideWhenUsed/>
    <w:qFormat/>
    <w:uiPriority w:val="0"/>
    <w:pPr>
      <w:ind w:firstLine="420" w:firstLineChars="100"/>
    </w:pPr>
    <w:rPr>
      <w:rFonts w:ascii="Bookman Old Style" w:hAnsi="Bookman Old Style" w:eastAsia="Bookman Old Style"/>
      <w:color w:val="000000"/>
      <w:sz w:val="24"/>
      <w:szCs w:val="28"/>
    </w:rPr>
  </w:style>
  <w:style w:type="table" w:styleId="14">
    <w:name w:val="Table Grid"/>
    <w:basedOn w:val="13"/>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FollowedHyperlink"/>
    <w:basedOn w:val="15"/>
    <w:qFormat/>
    <w:uiPriority w:val="0"/>
    <w:rPr>
      <w:rFonts w:ascii="Arial" w:hAnsi="Arial" w:cs="Arial"/>
      <w:color w:val="666666"/>
      <w:sz w:val="18"/>
      <w:szCs w:val="18"/>
      <w:u w:val="none"/>
    </w:rPr>
  </w:style>
  <w:style w:type="character" w:styleId="17">
    <w:name w:val="Hyperlink"/>
    <w:basedOn w:val="15"/>
    <w:unhideWhenUsed/>
    <w:qFormat/>
    <w:uiPriority w:val="0"/>
    <w:rPr>
      <w:color w:val="000000"/>
      <w:u w:val="none"/>
    </w:rPr>
  </w:style>
  <w:style w:type="character" w:customStyle="1" w:styleId="18">
    <w:name w:val="正文文本缩进 Char"/>
    <w:qFormat/>
    <w:uiPriority w:val="0"/>
    <w:rPr>
      <w:kern w:val="2"/>
      <w:sz w:val="21"/>
      <w:szCs w:val="24"/>
    </w:rPr>
  </w:style>
  <w:style w:type="character" w:customStyle="1" w:styleId="19">
    <w:name w:val="日期 Char"/>
    <w:link w:val="7"/>
    <w:qFormat/>
    <w:uiPriority w:val="0"/>
    <w:rPr>
      <w:kern w:val="2"/>
      <w:sz w:val="21"/>
      <w:szCs w:val="24"/>
    </w:rPr>
  </w:style>
  <w:style w:type="character" w:customStyle="1" w:styleId="20">
    <w:name w:val="font21"/>
    <w:basedOn w:val="15"/>
    <w:qFormat/>
    <w:uiPriority w:val="0"/>
    <w:rPr>
      <w:rFonts w:hint="eastAsia" w:ascii="楷体" w:hAnsi="楷体" w:eastAsia="楷体" w:cs="楷体"/>
      <w:b/>
      <w:color w:val="000000"/>
      <w:sz w:val="23"/>
      <w:szCs w:val="23"/>
      <w:u w:val="none"/>
    </w:rPr>
  </w:style>
  <w:style w:type="character" w:customStyle="1" w:styleId="21">
    <w:name w:val="页眉 Char"/>
    <w:link w:val="10"/>
    <w:qFormat/>
    <w:uiPriority w:val="0"/>
    <w:rPr>
      <w:kern w:val="2"/>
      <w:sz w:val="18"/>
      <w:szCs w:val="18"/>
    </w:rPr>
  </w:style>
  <w:style w:type="character" w:customStyle="1" w:styleId="22">
    <w:name w:val="font11"/>
    <w:basedOn w:val="15"/>
    <w:qFormat/>
    <w:uiPriority w:val="0"/>
    <w:rPr>
      <w:rFonts w:ascii="等线" w:hAnsi="等线" w:eastAsia="等线"/>
      <w:color w:val="000000"/>
      <w:sz w:val="24"/>
      <w:u w:val="none"/>
    </w:rPr>
  </w:style>
  <w:style w:type="character" w:customStyle="1" w:styleId="23">
    <w:name w:val="正文文本缩进 Char1"/>
    <w:link w:val="6"/>
    <w:qFormat/>
    <w:locked/>
    <w:uiPriority w:val="99"/>
    <w:rPr>
      <w:sz w:val="24"/>
    </w:rPr>
  </w:style>
  <w:style w:type="character" w:customStyle="1" w:styleId="24">
    <w:name w:val="页脚 Char"/>
    <w:link w:val="9"/>
    <w:qFormat/>
    <w:uiPriority w:val="0"/>
    <w:rPr>
      <w:kern w:val="2"/>
      <w:sz w:val="18"/>
      <w:szCs w:val="18"/>
    </w:rPr>
  </w:style>
  <w:style w:type="paragraph" w:customStyle="1" w:styleId="25">
    <w:name w:val="格式1"/>
    <w:basedOn w:val="1"/>
    <w:qFormat/>
    <w:uiPriority w:val="0"/>
    <w:pPr>
      <w:spacing w:beforeLines="50"/>
      <w:jc w:val="center"/>
    </w:pPr>
    <w:rPr>
      <w:rFonts w:ascii="黑体" w:hAnsi="宋体" w:eastAsia="黑体"/>
      <w:b/>
      <w:bCs/>
      <w:color w:val="000000"/>
      <w:sz w:val="32"/>
      <w:szCs w:val="20"/>
    </w:rPr>
  </w:style>
  <w:style w:type="paragraph" w:styleId="26">
    <w:name w:val="List Paragraph"/>
    <w:basedOn w:val="1"/>
    <w:qFormat/>
    <w:uiPriority w:val="99"/>
    <w:pPr>
      <w:ind w:firstLine="420" w:firstLineChars="200"/>
    </w:pPr>
  </w:style>
  <w:style w:type="character" w:customStyle="1" w:styleId="27">
    <w:name w:val="font31"/>
    <w:basedOn w:val="15"/>
    <w:qFormat/>
    <w:uiPriority w:val="0"/>
    <w:rPr>
      <w:rFonts w:hint="eastAsia" w:ascii="宋体" w:hAnsi="宋体" w:eastAsia="宋体" w:cs="宋体"/>
      <w:color w:val="000000"/>
      <w:sz w:val="24"/>
      <w:szCs w:val="24"/>
      <w:u w:val="none"/>
    </w:rPr>
  </w:style>
  <w:style w:type="character" w:customStyle="1" w:styleId="28">
    <w:name w:val="font01"/>
    <w:basedOn w:val="15"/>
    <w:qFormat/>
    <w:uiPriority w:val="0"/>
    <w:rPr>
      <w:rFonts w:hint="eastAsia" w:ascii="宋体" w:hAnsi="宋体" w:eastAsia="宋体" w:cs="宋体"/>
      <w:color w:val="000000"/>
      <w:sz w:val="32"/>
      <w:szCs w:val="32"/>
      <w:u w:val="none"/>
    </w:rPr>
  </w:style>
  <w:style w:type="character" w:customStyle="1" w:styleId="29">
    <w:name w:val="批注框文本 Char"/>
    <w:basedOn w:val="15"/>
    <w:link w:val="8"/>
    <w:qFormat/>
    <w:uiPriority w:val="0"/>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3</Pages>
  <Words>1025</Words>
  <Characters>1190</Characters>
  <Lines>54</Lines>
  <Paragraphs>15</Paragraphs>
  <TotalTime>3</TotalTime>
  <ScaleCrop>false</ScaleCrop>
  <LinksUpToDate>false</LinksUpToDate>
  <CharactersWithSpaces>1363</CharactersWithSpaces>
  <Application>WPS Office_11.8.2.11929_F1E327BC-269C-435d-A152-05C5408002CA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2018-11-28T19:57:00Z</dcterms:created>
  <dc:creator>张宏波</dc:creator>
  <cp:lastModifiedBy>ht706</cp:lastModifiedBy>
  <dcterms:modified xsi:type="dcterms:W3CDTF">2025-03-28T10:14:10Z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2052-11.8.2.11929</vt:lpwstr>
  </property>
  <property fmtid="{D5CDD505-2E9C-101B-9397-08002B2CF9AE}" pid="3" name="ICV">
    <vt:lpwstr>2ACFC5D8CDC85751F205E6671A1AE28B</vt:lpwstr>
  </property>
  <property fmtid="{D5CDD505-2E9C-101B-9397-08002B2CF9AE}" pid="4" name="commondata">
    <vt:lpwstr>eyJoZGlkIjoiN2FlNmUyZTRkZTc5ZTVjMDY4NTViMjdkYTc4ZmVmNGUifQ==</vt:lpwstr>
  </property>
</Properties>
</file>