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A7A22">
      <w:pPr>
        <w:spacing w:before="120" w:beforeLines="50" w:after="120" w:afterLines="50"/>
        <w:ind w:left="-181" w:leftChars="-86" w:right="31" w:rightChars="15"/>
        <w:jc w:val="center"/>
        <w:rPr>
          <w:rFonts w:hint="eastAsia" w:ascii="宋体" w:hAnsi="宋体"/>
          <w:b/>
          <w:bCs/>
          <w:color w:val="auto"/>
          <w:kern w:val="44"/>
          <w:sz w:val="28"/>
          <w:szCs w:val="28"/>
          <w:highlight w:val="none"/>
        </w:rPr>
      </w:pPr>
      <w:r>
        <w:rPr>
          <w:rFonts w:hint="eastAsia" w:ascii="宋体" w:hAnsi="宋体"/>
          <w:b/>
          <w:bCs/>
          <w:color w:val="auto"/>
          <w:kern w:val="44"/>
          <w:sz w:val="28"/>
          <w:szCs w:val="28"/>
          <w:highlight w:val="none"/>
          <w:lang w:eastAsia="zh-CN"/>
        </w:rPr>
        <w:t>唐山市2025</w:t>
      </w:r>
      <w:bookmarkStart w:id="28" w:name="_GoBack"/>
      <w:bookmarkEnd w:id="28"/>
      <w:r>
        <w:rPr>
          <w:rFonts w:hint="eastAsia" w:ascii="宋体" w:hAnsi="宋体"/>
          <w:b/>
          <w:bCs/>
          <w:color w:val="auto"/>
          <w:kern w:val="44"/>
          <w:sz w:val="28"/>
          <w:szCs w:val="28"/>
          <w:highlight w:val="none"/>
          <w:lang w:eastAsia="zh-CN"/>
        </w:rPr>
        <w:t>年普通干线公路交通情况调查站建设工程</w:t>
      </w:r>
      <w:r>
        <w:rPr>
          <w:rFonts w:hint="eastAsia" w:ascii="宋体" w:hAnsi="宋体"/>
          <w:b/>
          <w:bCs/>
          <w:color w:val="auto"/>
          <w:kern w:val="44"/>
          <w:sz w:val="28"/>
          <w:szCs w:val="28"/>
          <w:highlight w:val="none"/>
        </w:rPr>
        <w:t>施工</w:t>
      </w:r>
    </w:p>
    <w:p w14:paraId="09AFCD5E">
      <w:pPr>
        <w:spacing w:before="120" w:beforeLines="50" w:after="120" w:afterLines="50"/>
        <w:ind w:left="-181" w:leftChars="-86" w:right="31" w:rightChars="15"/>
        <w:jc w:val="center"/>
        <w:rPr>
          <w:rFonts w:hint="eastAsia" w:ascii="宋体" w:hAnsi="宋体"/>
          <w:b/>
          <w:bCs/>
          <w:color w:val="auto"/>
          <w:kern w:val="44"/>
          <w:sz w:val="28"/>
          <w:szCs w:val="28"/>
          <w:highlight w:val="none"/>
        </w:rPr>
      </w:pPr>
      <w:r>
        <w:rPr>
          <w:rFonts w:hint="eastAsia" w:ascii="宋体" w:hAnsi="宋体"/>
          <w:b/>
          <w:bCs/>
          <w:color w:val="auto"/>
          <w:kern w:val="44"/>
          <w:sz w:val="28"/>
          <w:szCs w:val="28"/>
          <w:highlight w:val="none"/>
        </w:rPr>
        <w:t>招标公告</w:t>
      </w:r>
    </w:p>
    <w:p w14:paraId="013D912C">
      <w:pPr>
        <w:spacing w:before="120" w:beforeLines="50" w:after="120" w:afterLines="50"/>
        <w:ind w:left="-181" w:leftChars="-86" w:right="31" w:rightChars="15"/>
        <w:jc w:val="right"/>
        <w:rPr>
          <w:rFonts w:hint="eastAsia" w:ascii="宋体" w:hAnsi="宋体" w:eastAsia="宋体"/>
          <w:b/>
          <w:bCs/>
          <w:color w:val="auto"/>
          <w:kern w:val="44"/>
          <w:sz w:val="28"/>
          <w:szCs w:val="28"/>
          <w:highlight w:val="none"/>
          <w:lang w:eastAsia="zh-CN"/>
        </w:rPr>
      </w:pPr>
      <w:r>
        <w:rPr>
          <w:rFonts w:ascii="宋体" w:hAnsi="宋体"/>
          <w:b/>
          <w:color w:val="auto"/>
          <w:sz w:val="24"/>
          <w:highlight w:val="none"/>
        </w:rPr>
        <w:t>招标编号：</w:t>
      </w:r>
      <w:r>
        <w:rPr>
          <w:rFonts w:hint="eastAsia" w:ascii="宋体" w:hAnsi="宋体"/>
          <w:b/>
          <w:color w:val="auto"/>
          <w:sz w:val="24"/>
          <w:highlight w:val="none"/>
          <w:lang w:eastAsia="zh-CN"/>
        </w:rPr>
        <w:t>RHP-C542500651273-1</w:t>
      </w:r>
    </w:p>
    <w:p w14:paraId="1E614428">
      <w:pPr>
        <w:pStyle w:val="2"/>
        <w:spacing w:before="120" w:beforeLines="50" w:after="120" w:afterLines="50" w:line="420" w:lineRule="exact"/>
        <w:rPr>
          <w:rFonts w:hint="eastAsia" w:ascii="宋体" w:hAnsi="宋体"/>
          <w:color w:val="auto"/>
          <w:szCs w:val="24"/>
          <w:highlight w:val="none"/>
        </w:rPr>
      </w:pPr>
      <w:bookmarkStart w:id="0" w:name="_Toc321926658"/>
      <w:bookmarkStart w:id="1" w:name="_Toc362963353"/>
      <w:bookmarkStart w:id="2" w:name="_Toc515488381"/>
      <w:r>
        <w:rPr>
          <w:rFonts w:hint="eastAsia" w:ascii="宋体" w:hAnsi="宋体"/>
          <w:color w:val="auto"/>
          <w:szCs w:val="24"/>
          <w:highlight w:val="none"/>
        </w:rPr>
        <w:t>1.招标条件</w:t>
      </w:r>
      <w:bookmarkEnd w:id="0"/>
      <w:bookmarkEnd w:id="1"/>
      <w:bookmarkEnd w:id="2"/>
    </w:p>
    <w:p w14:paraId="64E1FD4E">
      <w:pPr>
        <w:spacing w:before="120" w:beforeLines="50" w:after="120" w:afterLines="50" w:line="420" w:lineRule="exact"/>
        <w:ind w:left="239" w:leftChars="114" w:firstLine="480" w:firstLineChars="200"/>
        <w:rPr>
          <w:rFonts w:hint="eastAsia" w:ascii="宋体" w:hAnsi="宋体" w:cs="宋体"/>
          <w:color w:val="auto"/>
          <w:sz w:val="24"/>
          <w:highlight w:val="none"/>
        </w:rPr>
      </w:pPr>
      <w:r>
        <w:rPr>
          <w:rFonts w:hint="eastAsia" w:ascii="宋体" w:hAnsi="宋体"/>
          <w:color w:val="auto"/>
          <w:sz w:val="24"/>
          <w:highlight w:val="none"/>
        </w:rPr>
        <w:t>本招标项目</w:t>
      </w:r>
      <w:r>
        <w:rPr>
          <w:rFonts w:hint="eastAsia" w:ascii="宋体" w:hAnsi="宋体"/>
          <w:color w:val="auto"/>
          <w:sz w:val="24"/>
          <w:highlight w:val="none"/>
          <w:u w:val="single"/>
          <w:lang w:eastAsia="zh-CN"/>
        </w:rPr>
        <w:t>唐山市2025年普通干线公路交通情况调查站建设工程</w:t>
      </w:r>
      <w:r>
        <w:rPr>
          <w:rFonts w:hint="eastAsia" w:ascii="宋体" w:hAnsi="宋体"/>
          <w:color w:val="auto"/>
          <w:sz w:val="24"/>
          <w:highlight w:val="none"/>
          <w:u w:val="single"/>
        </w:rPr>
        <w:t>施工</w:t>
      </w:r>
      <w:r>
        <w:rPr>
          <w:rFonts w:hint="eastAsia" w:ascii="宋体" w:hAnsi="宋体"/>
          <w:color w:val="auto"/>
          <w:sz w:val="24"/>
          <w:highlight w:val="none"/>
        </w:rPr>
        <w:t>已由</w:t>
      </w:r>
      <w:r>
        <w:rPr>
          <w:rFonts w:hint="eastAsia" w:ascii="宋体" w:hAnsi="宋体"/>
          <w:color w:val="auto"/>
          <w:sz w:val="24"/>
          <w:highlight w:val="none"/>
          <w:u w:val="single"/>
          <w:lang w:eastAsia="zh-CN"/>
        </w:rPr>
        <w:t>河北省公路事业发展中心</w:t>
      </w:r>
      <w:r>
        <w:rPr>
          <w:rFonts w:hint="eastAsia" w:ascii="宋体" w:hAnsi="宋体"/>
          <w:color w:val="auto"/>
          <w:sz w:val="24"/>
          <w:highlight w:val="none"/>
        </w:rPr>
        <w:t>以</w:t>
      </w:r>
      <w:r>
        <w:rPr>
          <w:rFonts w:hint="eastAsia" w:ascii="宋体" w:hAnsi="宋体"/>
          <w:color w:val="auto"/>
          <w:sz w:val="24"/>
          <w:highlight w:val="none"/>
          <w:u w:val="single"/>
          <w:lang w:eastAsia="zh-CN"/>
        </w:rPr>
        <w:t>冀公路〔2024〕294号</w:t>
      </w:r>
      <w:r>
        <w:rPr>
          <w:rFonts w:hint="eastAsia" w:ascii="宋体" w:hAnsi="宋体"/>
          <w:color w:val="auto"/>
          <w:sz w:val="24"/>
          <w:highlight w:val="none"/>
        </w:rPr>
        <w:t>文件批准建设，项目业主为</w:t>
      </w:r>
      <w:r>
        <w:rPr>
          <w:rFonts w:hint="eastAsia" w:ascii="宋体" w:hAnsi="宋体"/>
          <w:color w:val="auto"/>
          <w:sz w:val="24"/>
          <w:highlight w:val="none"/>
          <w:u w:val="single"/>
        </w:rPr>
        <w:t>唐山市公路养护管理中心</w:t>
      </w:r>
      <w:r>
        <w:rPr>
          <w:rFonts w:hint="eastAsia" w:ascii="宋体" w:hAnsi="宋体"/>
          <w:color w:val="auto"/>
          <w:sz w:val="24"/>
          <w:highlight w:val="none"/>
        </w:rPr>
        <w:t>，资金来源为</w:t>
      </w:r>
      <w:r>
        <w:rPr>
          <w:rFonts w:hint="eastAsia" w:ascii="宋体" w:hAnsi="宋体"/>
          <w:color w:val="auto"/>
          <w:sz w:val="24"/>
          <w:highlight w:val="none"/>
          <w:u w:val="single"/>
        </w:rPr>
        <w:t>财政拨款</w:t>
      </w:r>
      <w:r>
        <w:rPr>
          <w:rFonts w:hint="eastAsia" w:ascii="宋体" w:hAnsi="宋体"/>
          <w:color w:val="auto"/>
          <w:sz w:val="24"/>
          <w:highlight w:val="none"/>
        </w:rPr>
        <w:t>。</w:t>
      </w:r>
      <w:r>
        <w:rPr>
          <w:rFonts w:ascii="宋体" w:hAnsi="宋体"/>
          <w:color w:val="auto"/>
          <w:sz w:val="24"/>
          <w:highlight w:val="none"/>
        </w:rPr>
        <w:t>招标人为</w:t>
      </w:r>
      <w:r>
        <w:rPr>
          <w:rFonts w:hint="eastAsia" w:ascii="宋体" w:hAnsi="宋体"/>
          <w:color w:val="auto"/>
          <w:sz w:val="24"/>
          <w:highlight w:val="none"/>
          <w:u w:val="single"/>
        </w:rPr>
        <w:t>唐山市公路养护管理中心</w:t>
      </w:r>
      <w:r>
        <w:rPr>
          <w:rFonts w:ascii="宋体" w:hAnsi="宋体"/>
          <w:color w:val="auto"/>
          <w:sz w:val="24"/>
          <w:highlight w:val="none"/>
        </w:rPr>
        <w:t>。项目已具备招标条件，现对</w:t>
      </w:r>
      <w:r>
        <w:rPr>
          <w:rFonts w:hint="eastAsia" w:ascii="宋体" w:hAnsi="宋体"/>
          <w:color w:val="auto"/>
          <w:sz w:val="24"/>
          <w:highlight w:val="none"/>
        </w:rPr>
        <w:t>本</w:t>
      </w:r>
      <w:r>
        <w:rPr>
          <w:rFonts w:ascii="宋体" w:hAnsi="宋体"/>
          <w:color w:val="auto"/>
          <w:sz w:val="24"/>
          <w:highlight w:val="none"/>
        </w:rPr>
        <w:t>项目</w:t>
      </w:r>
      <w:r>
        <w:rPr>
          <w:rFonts w:hint="eastAsia" w:ascii="宋体" w:hAnsi="宋体"/>
          <w:color w:val="auto"/>
          <w:sz w:val="24"/>
          <w:highlight w:val="none"/>
        </w:rPr>
        <w:t>的施工进行公开招标</w:t>
      </w:r>
      <w:r>
        <w:rPr>
          <w:rFonts w:hint="eastAsia" w:ascii="宋体" w:hAnsi="宋体" w:cs="宋体"/>
          <w:color w:val="auto"/>
          <w:sz w:val="24"/>
          <w:highlight w:val="none"/>
        </w:rPr>
        <w:t>。</w:t>
      </w:r>
    </w:p>
    <w:p w14:paraId="4A20F2AB">
      <w:pPr>
        <w:pStyle w:val="2"/>
        <w:spacing w:before="120" w:beforeLines="50" w:after="120" w:afterLines="50" w:line="420" w:lineRule="exact"/>
        <w:rPr>
          <w:rFonts w:hint="eastAsia" w:ascii="宋体" w:hAnsi="宋体"/>
          <w:color w:val="auto"/>
          <w:szCs w:val="24"/>
          <w:highlight w:val="none"/>
        </w:rPr>
      </w:pPr>
      <w:bookmarkStart w:id="3" w:name="_Toc321926659"/>
      <w:bookmarkStart w:id="4" w:name="_Toc362963354"/>
      <w:bookmarkStart w:id="5" w:name="_Toc515488382"/>
      <w:r>
        <w:rPr>
          <w:rFonts w:hint="eastAsia" w:ascii="宋体" w:hAnsi="宋体"/>
          <w:color w:val="auto"/>
          <w:szCs w:val="24"/>
          <w:highlight w:val="none"/>
        </w:rPr>
        <w:t>2.项目概况与招标范围</w:t>
      </w:r>
      <w:bookmarkEnd w:id="3"/>
      <w:bookmarkEnd w:id="4"/>
      <w:bookmarkEnd w:id="5"/>
    </w:p>
    <w:p w14:paraId="2A617886">
      <w:pPr>
        <w:spacing w:line="420" w:lineRule="exact"/>
        <w:ind w:firstLine="480" w:firstLineChars="200"/>
        <w:jc w:val="left"/>
        <w:rPr>
          <w:rFonts w:hint="eastAsia" w:ascii="宋体" w:hAnsi="宋体" w:eastAsia="宋体" w:cs="Times New Roman"/>
          <w:color w:val="auto"/>
          <w:sz w:val="24"/>
          <w:highlight w:val="none"/>
          <w:lang w:val="en-US" w:eastAsia="zh-CN"/>
        </w:rPr>
      </w:pPr>
      <w:bookmarkStart w:id="6" w:name="_Toc515488383"/>
      <w:bookmarkStart w:id="7" w:name="_Toc321926660"/>
      <w:bookmarkStart w:id="8" w:name="_Toc362963355"/>
      <w:r>
        <w:rPr>
          <w:rFonts w:hint="eastAsia" w:ascii="宋体" w:hAnsi="宋体" w:eastAsia="宋体" w:cs="Times New Roman"/>
          <w:color w:val="auto"/>
          <w:sz w:val="24"/>
          <w:highlight w:val="none"/>
          <w:lang w:val="en-US" w:eastAsia="zh-CN"/>
        </w:rPr>
        <w:t xml:space="preserve">2.1建设地点及规模： </w:t>
      </w:r>
    </w:p>
    <w:p w14:paraId="341CC7CC">
      <w:pPr>
        <w:spacing w:line="420" w:lineRule="exact"/>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2.1.1交调站迁移位置</w:t>
      </w:r>
    </w:p>
    <w:p w14:paraId="2BA8E329">
      <w:pPr>
        <w:spacing w:line="420" w:lineRule="exact"/>
        <w:ind w:firstLine="480" w:firstLineChars="200"/>
        <w:jc w:val="left"/>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韩城交调站</w:t>
      </w:r>
    </w:p>
    <w:p w14:paraId="7CB4F79A">
      <w:pPr>
        <w:spacing w:line="420" w:lineRule="exact"/>
        <w:ind w:firstLine="480" w:firstLineChars="200"/>
        <w:jc w:val="left"/>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项目概况：该站位于国道G509京唐港-通州公路K115+200处，路北区境内，所在路段为二级公路。</w:t>
      </w:r>
    </w:p>
    <w:p w14:paraId="2BBF3FBD">
      <w:pPr>
        <w:spacing w:line="420" w:lineRule="exact"/>
        <w:ind w:firstLine="480" w:firstLineChars="200"/>
        <w:jc w:val="left"/>
        <w:rPr>
          <w:rFonts w:hint="default"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主要工程内容：（1）将原设备升级为双激光视频组合交调设备1套、其中双激光设备利用原设备，太阳能供电设施1套，利用原立柱。（2）设备立杆：在路侧安装原直立杆，立杆高8米，在约7.5米处安装双激光视频交调设备，户外机箱设置在检修平台上。（3）立柱基础工程、设备安装等。</w:t>
      </w:r>
    </w:p>
    <w:p w14:paraId="3FD84636">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2.1.2交调站设备更新</w:t>
      </w:r>
    </w:p>
    <w:p w14:paraId="3242314A">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（一）水峪道班交调站</w:t>
      </w:r>
    </w:p>
    <w:p w14:paraId="70A24C8C">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项目概况：该站位于省道S262迁曹线K57+822处，古冶区境内，所在路段为一级公路。</w:t>
      </w:r>
    </w:p>
    <w:p w14:paraId="4B572F79">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主要工程内容：（1）更新双激光视频交调设备1套、无线传输模块1套、设备机箱1套、利用原立柱。（2）设备立杆：原立杆高8米，在约7.5米处安装双激光视频交调设备，户外机箱设置在检修平台上。（3）设备安装等。</w:t>
      </w:r>
    </w:p>
    <w:p w14:paraId="22AA34FC">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（二）魏峰山交调站</w:t>
      </w:r>
    </w:p>
    <w:p w14:paraId="2089D815">
      <w:pPr>
        <w:spacing w:line="420" w:lineRule="exact"/>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项目概况：该站位于国道G205山海关-深圳公路K143+800处，古冶区境内，所在路段为一级公路。</w:t>
      </w:r>
    </w:p>
    <w:p w14:paraId="7277B4CF">
      <w:pPr>
        <w:spacing w:line="420" w:lineRule="exact"/>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主要工程内容：（1）更新双激光视频组合交调设备1套、无线传输模块1套、设备机箱1套、利用原立柱。（2）设备立杆：原立杆高8米，在约7.5米处安装双激光视频交调设备，户外机箱设置在检修平台上。（3）设备安装等。</w:t>
      </w:r>
    </w:p>
    <w:p w14:paraId="1D87374B">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（三）望府台交调站</w:t>
      </w:r>
    </w:p>
    <w:p w14:paraId="15807371">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项目概况：该站位于国道G102北京-抚远公路K216+931处，滦州市境内，所在路段为二级公路。</w:t>
      </w:r>
    </w:p>
    <w:p w14:paraId="59BC95C2">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主要工程内容：（1）更新双激光视频组合交调设备1套、无线传输模块1套、设备机箱1套、利用原立柱。（2）设备立杆：原立杆高8米，在约7.5米处安装双激光视频交调设备，户外机箱设置在检修平台上。（3）设备安装等。</w:t>
      </w:r>
    </w:p>
    <w:p w14:paraId="68D64058">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（四）东留村交调站</w:t>
      </w:r>
    </w:p>
    <w:p w14:paraId="28421258">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项目概况：该站位于国道G112北京环线公路K973+166处，遵化市境内，所在路段为一级公路。</w:t>
      </w:r>
    </w:p>
    <w:p w14:paraId="6EF5CF74">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主要工程内容：（1）更新双激光视频组合交调设备1套、无线传输模块1套、设备机箱1套、利用原立柱。（2）设备立杆：原立杆高8米，在约7.5米处安装双激光视频交调设备，户外机箱设置在检修平台上。（3）设备安装等。</w:t>
      </w:r>
    </w:p>
    <w:p w14:paraId="60B7DCC7">
      <w:pPr>
        <w:spacing w:line="42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2.1.3新增交调站</w:t>
      </w:r>
    </w:p>
    <w:p w14:paraId="0142FB0A">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（1）南赵庄交调站</w:t>
      </w:r>
    </w:p>
    <w:p w14:paraId="526105EE">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项目概况：该站位于国道G112北京环线公路K1049+200处，丰南区境内，所在路段为一级公路。</w:t>
      </w:r>
    </w:p>
    <w:p w14:paraId="44C56615">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8米，在横臂上安装双激光交调设备，户外机箱设置在立杆高 2.5 米处。（3）立柱基础工程、设备安装等。</w:t>
      </w:r>
    </w:p>
    <w:p w14:paraId="2965B892">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（2）老站（上行）交调站</w:t>
      </w:r>
    </w:p>
    <w:p w14:paraId="1C2451D2">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项目概况：该站位于国道G205山海关-深圳公路K123+329上行处，滦州市境内，所在路段为二级公路。</w:t>
      </w:r>
    </w:p>
    <w:p w14:paraId="613B17AA">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3米，在横臂上安装双激光交调设备，户外机箱设置在立杆高 2.5 米处。（3）立柱基础工程、设备安装等。</w:t>
      </w:r>
    </w:p>
    <w:p w14:paraId="4D7A38E3">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（3）老站（下行）交调站</w:t>
      </w:r>
    </w:p>
    <w:p w14:paraId="0E1C62D5">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项目概况：该站位于国道G205山海关-深圳公路FK123+326下行处，滦州市境内，所在路段为二级公路。</w:t>
      </w:r>
    </w:p>
    <w:p w14:paraId="20567F1C">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3米，在横臂上安装双激光交调设备，户外机箱设置在立杆高 2.5 米处。（3）立柱基础工程、设备安装等。</w:t>
      </w:r>
    </w:p>
    <w:p w14:paraId="6EA8CE9A">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（4）西城子交调站</w:t>
      </w:r>
    </w:p>
    <w:p w14:paraId="28ADF4C5">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项目概况：该站位于省道SL29沿海高速西曾连接线K3+361处，滦南县境内，所在路段为二级公路</w:t>
      </w:r>
    </w:p>
    <w:p w14:paraId="2CD07D2E">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3米，在横臂上安装双激光交调设备，户外机箱设置在立杆高 2.5 米处。（3）立柱基础工程、设备安装等。</w:t>
      </w:r>
    </w:p>
    <w:p w14:paraId="631DAD9A">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（5）三里营交调站</w:t>
      </w:r>
    </w:p>
    <w:p w14:paraId="1A063D69">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项目概况：该站位于省道S206大字沟门-乐亭公路K17+800处，迁安市境内，所在路段为一级公路。</w:t>
      </w:r>
    </w:p>
    <w:p w14:paraId="0FED8F76">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6米，在横臂上安装双激光交调设备，户外机箱设置在立杆高 2.5 米处。（3）立柱基础工程、设备安装等。</w:t>
      </w:r>
    </w:p>
    <w:p w14:paraId="63620BD6">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（6）上场交调站</w:t>
      </w:r>
    </w:p>
    <w:p w14:paraId="6873E778">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项目概况：该站位于省道S363三抚线K67+200处，：迁安市境内，所在路段为二级公路。</w:t>
      </w:r>
    </w:p>
    <w:p w14:paraId="3EF33D7D">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电设施1套、8米高立杆1套。（2）设备立杆：在路侧安装工型立杆，立杆高8米，横臂长3米，在横臂上安装双激光交调设备，户外机箱设置在立杆高 2.5 米处。（3）立柱基础工程、设备安装等。</w:t>
      </w:r>
    </w:p>
    <w:p w14:paraId="546F8E3F">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（7）周滩交调站</w:t>
      </w:r>
    </w:p>
    <w:p w14:paraId="4B1BDA7F">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项目概况：该站位于省道SL26乐北连接线K4+830处，乐亭县境内，所在路段为二级公路</w:t>
      </w:r>
    </w:p>
    <w:p w14:paraId="24837BA6">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市电供配电设施1套、8米高立杆1套。2）设备立杆：在路侧安装工型立杆，立杆高8米，横臂长3米，在横臂上安装双激光交调设备，户外机箱设置在立杆高 2.5 米处。（3）立柱基础工程、设备安装等。</w:t>
      </w:r>
    </w:p>
    <w:p w14:paraId="247E0CC9">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（8）王各庄交调站</w:t>
      </w:r>
    </w:p>
    <w:p w14:paraId="6AC64954">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项目概况：该站位于国道G509京唐港-通州公路K5+800处，海港开发区境内，所在路段为一级公路。</w:t>
      </w:r>
    </w:p>
    <w:p w14:paraId="118DF811">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主要工程内容：（1）新增双激光视频组合交调设备1套、无线传输模块1套、设备机箱1套、太阳能供配电设施1套、8米高立杆1套。（2）设备立杆：在路侧安装工型立杆，立杆高8米，横臂长6米，在横臂上安装双激光交调设备，户外机箱设置在立杆高 2.5 米处。（3）立柱基础工程、设备安装等。</w:t>
      </w:r>
    </w:p>
    <w:p w14:paraId="3643FD91">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2.2招标范围及标段划分：本次招标为</w:t>
      </w:r>
      <w:r>
        <w:rPr>
          <w:rFonts w:hint="eastAsia" w:ascii="宋体" w:hAnsi="宋体"/>
          <w:color w:val="auto"/>
          <w:sz w:val="24"/>
          <w:highlight w:val="none"/>
          <w:u w:val="single"/>
          <w:lang w:eastAsia="zh-CN"/>
        </w:rPr>
        <w:t>唐山市2025年普通干线公路交通情况调查站建设工程</w:t>
      </w:r>
      <w:r>
        <w:rPr>
          <w:rFonts w:hint="eastAsia" w:ascii="宋体" w:hAnsi="宋体"/>
          <w:color w:val="auto"/>
          <w:sz w:val="24"/>
          <w:highlight w:val="none"/>
          <w:u w:val="single"/>
        </w:rPr>
        <w:t>施工</w:t>
      </w:r>
      <w:r>
        <w:rPr>
          <w:rFonts w:hint="eastAsia" w:ascii="宋体" w:hAnsi="宋体"/>
          <w:color w:val="auto"/>
          <w:sz w:val="24"/>
          <w:highlight w:val="none"/>
        </w:rPr>
        <w:t>，具体内容详见图纸及工程量清单，本次招标分</w:t>
      </w:r>
      <w:r>
        <w:rPr>
          <w:rFonts w:hint="eastAsia" w:ascii="宋体" w:hAnsi="宋体"/>
          <w:color w:val="auto"/>
          <w:sz w:val="24"/>
          <w:highlight w:val="none"/>
          <w:lang w:val="en-US" w:eastAsia="zh-CN"/>
        </w:rPr>
        <w:t>1</w:t>
      </w:r>
      <w:r>
        <w:rPr>
          <w:rFonts w:hint="eastAsia" w:ascii="宋体" w:hAnsi="宋体"/>
          <w:color w:val="auto"/>
          <w:sz w:val="24"/>
          <w:highlight w:val="none"/>
        </w:rPr>
        <w:t>个标段。</w:t>
      </w:r>
    </w:p>
    <w:p w14:paraId="62F826F7">
      <w:pPr>
        <w:spacing w:line="420" w:lineRule="exact"/>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2.3工期：计划工期3个月，计划开工日期2025年9月1日，计划完工日期2025年11月30日，缺陷责任期2年。</w:t>
      </w:r>
    </w:p>
    <w:p w14:paraId="140CEAD6">
      <w:pPr>
        <w:pStyle w:val="2"/>
        <w:spacing w:before="120" w:beforeLines="50" w:after="120" w:afterLines="50" w:line="420" w:lineRule="exact"/>
        <w:rPr>
          <w:rFonts w:hint="eastAsia" w:ascii="宋体" w:hAnsi="宋体"/>
          <w:color w:val="auto"/>
          <w:szCs w:val="24"/>
          <w:highlight w:val="none"/>
        </w:rPr>
      </w:pPr>
      <w:r>
        <w:rPr>
          <w:rFonts w:hint="eastAsia" w:ascii="宋体" w:hAnsi="宋体"/>
          <w:color w:val="auto"/>
          <w:szCs w:val="24"/>
          <w:highlight w:val="none"/>
        </w:rPr>
        <w:t>3.投标人资格要求</w:t>
      </w:r>
      <w:bookmarkEnd w:id="6"/>
      <w:bookmarkEnd w:id="7"/>
      <w:bookmarkEnd w:id="8"/>
    </w:p>
    <w:p w14:paraId="271CA026">
      <w:pPr>
        <w:spacing w:line="420" w:lineRule="exact"/>
        <w:ind w:firstLine="480" w:firstLineChars="200"/>
        <w:rPr>
          <w:rFonts w:hint="eastAsia" w:ascii="宋体" w:hAnsi="宋体"/>
          <w:color w:val="auto"/>
          <w:sz w:val="24"/>
          <w:highlight w:val="none"/>
        </w:rPr>
      </w:pPr>
      <w:bookmarkStart w:id="9" w:name="_Toc184635056"/>
      <w:r>
        <w:rPr>
          <w:rFonts w:hint="eastAsia" w:ascii="宋体" w:hAnsi="宋体"/>
          <w:color w:val="auto"/>
          <w:sz w:val="24"/>
          <w:highlight w:val="none"/>
        </w:rPr>
        <w:t>3.1本招标项目要求投标人须具备国内独立法人资格,满足附件</w:t>
      </w:r>
      <w:r>
        <w:rPr>
          <w:rFonts w:ascii="宋体" w:hAnsi="宋体"/>
          <w:color w:val="auto"/>
          <w:sz w:val="24"/>
          <w:highlight w:val="none"/>
        </w:rPr>
        <w:t>1</w:t>
      </w:r>
      <w:r>
        <w:rPr>
          <w:rFonts w:hint="eastAsia" w:ascii="宋体" w:hAnsi="宋体"/>
          <w:color w:val="auto"/>
          <w:sz w:val="24"/>
          <w:highlight w:val="none"/>
        </w:rPr>
        <w:t>要求的资格审查条件，并在人员、设备、资金等方面具有相应的施工能力。</w:t>
      </w:r>
    </w:p>
    <w:p w14:paraId="475FD04C">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3.2本次招标不接受联合体投标。</w:t>
      </w:r>
    </w:p>
    <w:p w14:paraId="3051F280">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单位负责人为同一人或者存在控股、管理关系的不同单位，不得同时参加本项目投标，否则，相关投标均无效。</w:t>
      </w:r>
    </w:p>
    <w:p w14:paraId="55695A33">
      <w:pPr>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在“信用中国”网站（http://www.creditchina.gov.cn/）中被列入经营（活动）异常名录、重大税收违法失信主体名单、安全生产严重失信主体名单、政府采购严重违法失信行为记录名单的投标人，不得参加投标。在“中国执行信息公开网”网站（http://zxgk.court.gov.cn/）中被列入失信被执行人名单的投标人，不得参加投标</w:t>
      </w:r>
      <w:r>
        <w:rPr>
          <w:rFonts w:hint="eastAsia" w:ascii="宋体" w:hAnsi="宋体" w:eastAsia="宋体" w:cs="Times New Roman"/>
          <w:color w:val="auto"/>
          <w:sz w:val="24"/>
          <w:highlight w:val="none"/>
        </w:rPr>
        <w:t>。</w:t>
      </w:r>
    </w:p>
    <w:p w14:paraId="4098A163">
      <w:pPr>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投标人或其法定代表人、拟委任的项目经理在</w:t>
      </w:r>
      <w:r>
        <w:rPr>
          <w:rFonts w:hint="eastAsia" w:ascii="宋体" w:hAnsi="宋体" w:eastAsia="宋体" w:cs="Times New Roman"/>
          <w:color w:val="auto"/>
          <w:sz w:val="24"/>
          <w:highlight w:val="none"/>
          <w:lang w:eastAsia="zh-CN"/>
        </w:rPr>
        <w:t>近三年（2022年7月1日至今）</w:t>
      </w:r>
      <w:r>
        <w:rPr>
          <w:rFonts w:hint="eastAsia" w:ascii="宋体" w:hAnsi="宋体" w:eastAsia="宋体" w:cs="Times New Roman"/>
          <w:color w:val="auto"/>
          <w:sz w:val="24"/>
          <w:highlight w:val="none"/>
        </w:rPr>
        <w:t>内有行贿犯罪行为的，不得参加投标。</w:t>
      </w:r>
    </w:p>
    <w:p w14:paraId="3D59982D">
      <w:pPr>
        <w:spacing w:line="420" w:lineRule="exact"/>
        <w:ind w:firstLine="480" w:firstLineChars="200"/>
        <w:rPr>
          <w:rFonts w:hint="eastAsia" w:ascii="宋体" w:hAnsi="宋体" w:eastAsia="宋体" w:cs="Times New Roman"/>
          <w:color w:val="auto"/>
          <w:sz w:val="24"/>
          <w:highlight w:val="none"/>
          <w:lang w:val="en-US" w:eastAsia="zh-CN"/>
        </w:rPr>
      </w:pPr>
      <w:r>
        <w:rPr>
          <w:rFonts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eastAsia="宋体" w:cs="Times New Roman"/>
          <w:color w:val="auto"/>
          <w:sz w:val="24"/>
          <w:highlight w:val="none"/>
          <w:lang w:val="en-US" w:eastAsia="zh-CN"/>
        </w:rPr>
        <w:t>落实政府采购政策需满足的资格要求：</w:t>
      </w:r>
      <w:bookmarkStart w:id="10" w:name="_Toc515488384"/>
      <w:bookmarkStart w:id="11" w:name="_Toc321926661"/>
      <w:bookmarkStart w:id="12" w:name="_Toc362963356"/>
      <w:r>
        <w:rPr>
          <w:rFonts w:hint="eastAsia" w:ascii="宋体" w:hAnsi="宋体" w:eastAsia="宋体" w:cs="Times New Roman"/>
          <w:color w:val="auto"/>
          <w:sz w:val="24"/>
          <w:highlight w:val="none"/>
          <w:lang w:val="en-US" w:eastAsia="zh-CN"/>
        </w:rPr>
        <w:t>本项目专门面向中小企业采购的项目。</w:t>
      </w:r>
    </w:p>
    <w:p w14:paraId="4B813343">
      <w:pPr>
        <w:pStyle w:val="2"/>
        <w:spacing w:before="120" w:beforeLines="50" w:after="120" w:afterLines="50" w:line="420" w:lineRule="exact"/>
        <w:rPr>
          <w:rFonts w:hint="eastAsia" w:ascii="宋体" w:hAnsi="宋体"/>
          <w:color w:val="auto"/>
          <w:szCs w:val="24"/>
          <w:highlight w:val="none"/>
        </w:rPr>
      </w:pPr>
      <w:r>
        <w:rPr>
          <w:rFonts w:hint="eastAsia" w:ascii="宋体" w:hAnsi="宋体"/>
          <w:color w:val="auto"/>
          <w:szCs w:val="24"/>
          <w:highlight w:val="none"/>
        </w:rPr>
        <w:t>4.招标文件的获取</w:t>
      </w:r>
      <w:bookmarkEnd w:id="9"/>
      <w:bookmarkEnd w:id="10"/>
      <w:bookmarkEnd w:id="11"/>
      <w:bookmarkEnd w:id="12"/>
    </w:p>
    <w:p w14:paraId="16452585">
      <w:pPr>
        <w:spacing w:line="420" w:lineRule="exact"/>
        <w:ind w:firstLine="480" w:firstLineChars="200"/>
        <w:rPr>
          <w:color w:val="auto"/>
          <w:highlight w:val="none"/>
        </w:rPr>
      </w:pPr>
      <w:r>
        <w:rPr>
          <w:rFonts w:hint="eastAsia" w:ascii="宋体" w:hAnsi="宋体"/>
          <w:color w:val="auto"/>
          <w:sz w:val="24"/>
          <w:highlight w:val="none"/>
        </w:rPr>
        <w:t>4.1</w:t>
      </w:r>
      <w:r>
        <w:rPr>
          <w:rFonts w:hint="eastAsia"/>
          <w:color w:val="auto"/>
          <w:sz w:val="24"/>
          <w:highlight w:val="none"/>
        </w:rPr>
        <w:t>凡有意参加投标者</w:t>
      </w:r>
      <w:r>
        <w:rPr>
          <w:rFonts w:hint="eastAsia" w:ascii="Times New Roman" w:hAnsi="Times New Roman" w:eastAsia="宋体" w:cs="Times New Roman"/>
          <w:color w:val="auto"/>
          <w:sz w:val="24"/>
          <w:highlight w:val="none"/>
        </w:rPr>
        <w:t>，请于</w:t>
      </w:r>
      <w:r>
        <w:rPr>
          <w:rFonts w:hint="eastAsia" w:ascii="Times New Roman" w:hAnsi="Times New Roman" w:eastAsia="宋体" w:cs="Times New Roman"/>
          <w:color w:val="auto"/>
          <w:sz w:val="24"/>
          <w:highlight w:val="none"/>
          <w:lang w:eastAsia="zh-CN"/>
        </w:rPr>
        <w:t>2025年</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eastAsia="zh-CN"/>
        </w:rPr>
        <w:t>月</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日09时00分至2025年</w:t>
      </w:r>
      <w:r>
        <w:rPr>
          <w:rFonts w:hint="eastAsia" w:ascii="Times New Roman" w:hAnsi="Times New Roman" w:eastAsia="宋体" w:cs="Times New Roman"/>
          <w:color w:val="auto"/>
          <w:sz w:val="24"/>
          <w:highlight w:val="none"/>
          <w:lang w:val="en-US" w:eastAsia="zh-CN"/>
        </w:rPr>
        <w:t>8月7</w:t>
      </w:r>
      <w:r>
        <w:rPr>
          <w:rFonts w:hint="eastAsia" w:ascii="Times New Roman" w:hAnsi="Times New Roman" w:eastAsia="宋体" w:cs="Times New Roman"/>
          <w:color w:val="auto"/>
          <w:sz w:val="24"/>
          <w:highlight w:val="none"/>
          <w:lang w:eastAsia="zh-CN"/>
        </w:rPr>
        <w:t>日</w:t>
      </w:r>
      <w:r>
        <w:rPr>
          <w:rFonts w:hint="eastAsia" w:ascii="Times New Roman" w:hAnsi="Times New Roman" w:eastAsia="宋体" w:cs="Times New Roman"/>
          <w:color w:val="auto"/>
          <w:sz w:val="24"/>
          <w:highlight w:val="none"/>
        </w:rPr>
        <w:t>17时00分</w:t>
      </w:r>
      <w:r>
        <w:rPr>
          <w:rFonts w:hint="eastAsia" w:ascii="宋体" w:hAnsi="宋体" w:cs="宋体"/>
          <w:color w:val="auto"/>
          <w:sz w:val="24"/>
          <w:highlight w:val="none"/>
        </w:rPr>
        <w:t>（北京时间，下同）之间登录河北省公共资源交易服务平台-唐山市公共资源交易综合信息平台</w:t>
      </w:r>
      <w:r>
        <w:rPr>
          <w:rFonts w:hint="eastAsia"/>
          <w:color w:val="auto"/>
          <w:sz w:val="24"/>
          <w:highlight w:val="none"/>
        </w:rPr>
        <w:t>下载招标文件等相关资料。</w:t>
      </w:r>
    </w:p>
    <w:p w14:paraId="6342BAA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4.2招标文件每套售价0元人民币，图纸每套售价0元，售后不退。</w:t>
      </w:r>
    </w:p>
    <w:p w14:paraId="1B9959C6">
      <w:pPr>
        <w:pStyle w:val="2"/>
        <w:spacing w:before="120" w:beforeLines="50" w:after="120" w:afterLines="50" w:line="420" w:lineRule="exact"/>
        <w:rPr>
          <w:rFonts w:hint="eastAsia" w:ascii="宋体" w:hAnsi="宋体" w:eastAsia="宋体" w:cs="Times New Roman"/>
          <w:color w:val="auto"/>
          <w:sz w:val="24"/>
          <w:highlight w:val="none"/>
        </w:rPr>
      </w:pPr>
      <w:bookmarkStart w:id="13" w:name="_Toc184635057"/>
      <w:bookmarkStart w:id="14" w:name="_Toc321926662"/>
      <w:bookmarkStart w:id="15" w:name="_Toc362963357"/>
      <w:bookmarkStart w:id="16" w:name="_Toc515488385"/>
      <w:r>
        <w:rPr>
          <w:rFonts w:hint="eastAsia" w:ascii="宋体" w:hAnsi="宋体"/>
          <w:color w:val="auto"/>
          <w:szCs w:val="24"/>
          <w:highlight w:val="none"/>
        </w:rPr>
        <w:t>5.投标文件的递交</w:t>
      </w:r>
      <w:bookmarkEnd w:id="13"/>
      <w:bookmarkEnd w:id="14"/>
      <w:r>
        <w:rPr>
          <w:rFonts w:hint="eastAsia" w:ascii="宋体" w:hAnsi="宋体"/>
          <w:color w:val="auto"/>
          <w:szCs w:val="24"/>
          <w:highlight w:val="none"/>
        </w:rPr>
        <w:t>及相关事宜</w:t>
      </w:r>
      <w:bookmarkEnd w:id="15"/>
      <w:bookmarkEnd w:id="16"/>
      <w:bookmarkStart w:id="17" w:name="_Toc184635058"/>
    </w:p>
    <w:p w14:paraId="61296F45">
      <w:pPr>
        <w:tabs>
          <w:tab w:val="left" w:pos="5040"/>
        </w:tabs>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5.1不组织进行工程现场踏勘并不召开投标预备会。</w:t>
      </w:r>
    </w:p>
    <w:p w14:paraId="07B2D62F">
      <w:pPr>
        <w:tabs>
          <w:tab w:val="left" w:pos="5040"/>
        </w:tabs>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5.2</w:t>
      </w:r>
      <w:r>
        <w:rPr>
          <w:rFonts w:ascii="宋体" w:hAnsi="宋体"/>
          <w:color w:val="auto"/>
          <w:sz w:val="24"/>
          <w:highlight w:val="none"/>
        </w:rPr>
        <w:t xml:space="preserve"> </w:t>
      </w:r>
      <w:r>
        <w:rPr>
          <w:rFonts w:hint="eastAsia" w:ascii="宋体" w:hAnsi="宋体"/>
          <w:color w:val="auto"/>
          <w:sz w:val="24"/>
          <w:highlight w:val="none"/>
        </w:rPr>
        <w:t>投标文件递交的截止时间为</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21</w:t>
      </w:r>
      <w:r>
        <w:rPr>
          <w:rFonts w:hint="eastAsia" w:ascii="宋体" w:hAnsi="宋体"/>
          <w:color w:val="auto"/>
          <w:sz w:val="24"/>
          <w:highlight w:val="none"/>
          <w:lang w:eastAsia="zh-CN"/>
        </w:rPr>
        <w:t>日9时00</w:t>
      </w:r>
      <w:r>
        <w:rPr>
          <w:rFonts w:ascii="宋体" w:hAnsi="宋体"/>
          <w:color w:val="auto"/>
          <w:sz w:val="24"/>
          <w:highlight w:val="none"/>
        </w:rPr>
        <w:t>分</w:t>
      </w:r>
      <w:r>
        <w:rPr>
          <w:rFonts w:hint="eastAsia" w:ascii="宋体" w:hAnsi="宋体"/>
          <w:color w:val="auto"/>
          <w:sz w:val="24"/>
          <w:highlight w:val="none"/>
        </w:rPr>
        <w:t>，投标人应</w:t>
      </w:r>
      <w:r>
        <w:rPr>
          <w:rFonts w:hint="eastAsia" w:ascii="宋体" w:hAnsi="宋体"/>
          <w:color w:val="auto"/>
          <w:sz w:val="24"/>
          <w:highlight w:val="none"/>
          <w:lang w:val="en-US" w:eastAsia="zh-CN"/>
        </w:rPr>
        <w:t>在</w:t>
      </w:r>
      <w:r>
        <w:rPr>
          <w:rFonts w:hint="eastAsia" w:ascii="宋体" w:hAnsi="宋体"/>
          <w:color w:val="auto"/>
          <w:sz w:val="24"/>
          <w:highlight w:val="none"/>
        </w:rPr>
        <w:t>截止时间前通过河北省公共资源交易服务平台-唐山市公共资源交易综合信息平台</w:t>
      </w:r>
      <w:r>
        <w:rPr>
          <w:rFonts w:hint="eastAsia" w:ascii="宋体" w:hAnsi="宋体"/>
          <w:color w:val="auto"/>
          <w:sz w:val="24"/>
          <w:highlight w:val="none"/>
          <w:lang w:val="en-US" w:eastAsia="zh-CN"/>
        </w:rPr>
        <w:t>递交</w:t>
      </w:r>
      <w:r>
        <w:rPr>
          <w:rFonts w:hint="eastAsia" w:ascii="宋体" w:hAnsi="宋体"/>
          <w:color w:val="auto"/>
          <w:sz w:val="24"/>
          <w:highlight w:val="none"/>
        </w:rPr>
        <w:t>投标文件。</w:t>
      </w:r>
    </w:p>
    <w:p w14:paraId="5923CF43">
      <w:pPr>
        <w:tabs>
          <w:tab w:val="left" w:pos="5040"/>
        </w:tabs>
        <w:spacing w:line="420" w:lineRule="exact"/>
        <w:ind w:firstLine="480" w:firstLineChars="200"/>
        <w:rPr>
          <w:rFonts w:hint="eastAsia"/>
          <w:color w:val="auto"/>
          <w:highlight w:val="none"/>
        </w:rPr>
      </w:pPr>
      <w:r>
        <w:rPr>
          <w:rFonts w:hint="eastAsia" w:ascii="宋体" w:hAnsi="宋体"/>
          <w:color w:val="auto"/>
          <w:sz w:val="24"/>
          <w:highlight w:val="none"/>
        </w:rPr>
        <w:t>5.3投标人上传投标文件时应充分考虑网络、投标文件大小等因素，逾期未完成上传或未按规定加密的投标文件，招标人不予受理。</w:t>
      </w:r>
    </w:p>
    <w:p w14:paraId="69299BA0">
      <w:pPr>
        <w:pStyle w:val="2"/>
        <w:spacing w:before="120" w:beforeLines="50" w:after="120" w:afterLines="50" w:line="420" w:lineRule="exact"/>
        <w:rPr>
          <w:rFonts w:hint="eastAsia" w:ascii="宋体" w:hAnsi="宋体"/>
          <w:color w:val="auto"/>
          <w:szCs w:val="24"/>
          <w:highlight w:val="none"/>
        </w:rPr>
      </w:pPr>
      <w:bookmarkStart w:id="18" w:name="_Toc515488386"/>
      <w:bookmarkStart w:id="19" w:name="_Toc362963358"/>
      <w:bookmarkStart w:id="20" w:name="_Toc321926663"/>
      <w:r>
        <w:rPr>
          <w:rFonts w:hint="eastAsia" w:ascii="宋体" w:hAnsi="宋体"/>
          <w:color w:val="auto"/>
          <w:szCs w:val="24"/>
          <w:highlight w:val="none"/>
        </w:rPr>
        <w:t>6.发布公告的媒介</w:t>
      </w:r>
      <w:bookmarkEnd w:id="17"/>
      <w:bookmarkEnd w:id="18"/>
      <w:bookmarkEnd w:id="19"/>
      <w:bookmarkEnd w:id="20"/>
    </w:p>
    <w:p w14:paraId="7032C73E">
      <w:pPr>
        <w:spacing w:before="120" w:beforeLines="50" w:after="120" w:afterLines="50" w:line="420" w:lineRule="exact"/>
        <w:ind w:firstLine="480" w:firstLineChars="200"/>
        <w:rPr>
          <w:rFonts w:hint="eastAsia" w:ascii="宋体" w:hAnsi="宋体"/>
          <w:color w:val="auto"/>
          <w:sz w:val="24"/>
          <w:szCs w:val="21"/>
          <w:highlight w:val="none"/>
        </w:rPr>
      </w:pPr>
      <w:bookmarkStart w:id="21" w:name="_Toc184635059"/>
      <w:bookmarkStart w:id="22" w:name="_Toc362963359"/>
      <w:bookmarkStart w:id="23" w:name="_Toc321926664"/>
      <w:r>
        <w:rPr>
          <w:rFonts w:hint="eastAsia" w:ascii="宋体" w:hAnsi="宋体"/>
          <w:color w:val="auto"/>
          <w:sz w:val="24"/>
          <w:highlight w:val="none"/>
        </w:rPr>
        <w:t>本次招标公告同时在“河北省招标投标公共服务平台”、“</w:t>
      </w:r>
      <w:r>
        <w:rPr>
          <w:rFonts w:hint="eastAsia" w:ascii="宋体" w:hAnsi="宋体"/>
          <w:color w:val="auto"/>
          <w:sz w:val="24"/>
          <w:highlight w:val="none"/>
          <w:lang w:eastAsia="zh-CN"/>
        </w:rPr>
        <w:t>河北省交通运输厅官网</w:t>
      </w:r>
      <w:r>
        <w:rPr>
          <w:rFonts w:hint="eastAsia" w:ascii="宋体" w:hAnsi="宋体"/>
          <w:color w:val="auto"/>
          <w:sz w:val="24"/>
          <w:highlight w:val="none"/>
        </w:rPr>
        <w:t>”、“中国河北政府采购网”、“河北省公共资源交易服务平台”网站上发布</w:t>
      </w:r>
      <w:r>
        <w:rPr>
          <w:rFonts w:ascii="宋体" w:hAnsi="宋体"/>
          <w:color w:val="auto"/>
          <w:sz w:val="24"/>
          <w:highlight w:val="none"/>
        </w:rPr>
        <w:t>。</w:t>
      </w:r>
      <w:r>
        <w:rPr>
          <w:rFonts w:hint="eastAsia" w:ascii="宋体" w:hAnsi="宋体"/>
          <w:color w:val="auto"/>
          <w:sz w:val="24"/>
          <w:highlight w:val="none"/>
        </w:rPr>
        <w:t>因轻信其他组织、个人或媒体提供的信息而造成损失的，招标人、招标代理概不负责</w:t>
      </w:r>
      <w:r>
        <w:rPr>
          <w:rFonts w:hint="eastAsia" w:ascii="宋体" w:hAnsi="宋体"/>
          <w:color w:val="auto"/>
          <w:sz w:val="24"/>
          <w:szCs w:val="21"/>
          <w:highlight w:val="none"/>
        </w:rPr>
        <w:t>。</w:t>
      </w:r>
    </w:p>
    <w:p w14:paraId="1A5242C9">
      <w:pPr>
        <w:pStyle w:val="2"/>
        <w:spacing w:before="120" w:beforeLines="50" w:after="120" w:afterLines="50" w:line="420" w:lineRule="exact"/>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7．其他公示内容</w:t>
      </w:r>
    </w:p>
    <w:p w14:paraId="75C9A61C">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7.1已在河北省公共资源交易服务平台市场主体库通过资格确认（注册登记）并办理其中河北省CA证书互认平台任一家CA（河北CA、山西CA、北京CA、联通CA、CQCCA、CFCA）的供应商可直接登录“河北省公共资源交易服务平台”下载文件。技术支持电话：4009980000。CA认证服务热线：河北CA：400-707-3355；北京CA：400-994-3319；CQCCA：400-819-9995；山西吉大CA：400-653-0200；联通CA：0311-85691619；CFCA：400-880-9888。</w:t>
      </w:r>
    </w:p>
    <w:p w14:paraId="3EF6F069">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7.2本项目执行“双盲”评审、</w:t>
      </w:r>
      <w:r>
        <w:rPr>
          <w:rFonts w:hint="default" w:ascii="宋体" w:hAnsi="宋体" w:eastAsia="宋体" w:cs="Times New Roman"/>
          <w:color w:val="auto"/>
          <w:sz w:val="24"/>
          <w:highlight w:val="none"/>
          <w:lang w:val="en-US" w:eastAsia="zh-CN"/>
        </w:rPr>
        <w:t>异地分散评审</w:t>
      </w:r>
      <w:r>
        <w:rPr>
          <w:rFonts w:hint="eastAsia" w:ascii="宋体" w:hAnsi="宋体" w:eastAsia="宋体" w:cs="Times New Roman"/>
          <w:color w:val="auto"/>
          <w:sz w:val="24"/>
          <w:highlight w:val="none"/>
          <w:lang w:val="en-US" w:eastAsia="zh-CN"/>
        </w:rPr>
        <w:t>。</w:t>
      </w:r>
    </w:p>
    <w:p w14:paraId="20328D3D">
      <w:pPr>
        <w:tabs>
          <w:tab w:val="left" w:pos="5040"/>
        </w:tabs>
        <w:spacing w:line="42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7.3招标文件等资料发布后，即视为已送达所有潜在投标人，潜在投标人从“河北省公共资源交易服务平台”自主下载招标文件等相关资料，并及时查看有无澄清或修改。如对招标文件有疑问或异议的，潜在投标人可以在规定时间内通过“河北省公共资源交易服务平台”匿名提出。潜在投标人未从“河北省公共资源交易服务平台”下载相关资料或未取到完整资料，导致投标被否决的，自行承担责任。</w:t>
      </w:r>
    </w:p>
    <w:p w14:paraId="73941939">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7.4本项目投标保证金金额为 0元。</w:t>
      </w:r>
    </w:p>
    <w:p w14:paraId="20896605">
      <w:pPr>
        <w:pStyle w:val="2"/>
        <w:spacing w:before="120" w:beforeLines="50" w:after="120" w:afterLines="50" w:line="420" w:lineRule="exact"/>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8.提出异议渠道和方式</w:t>
      </w:r>
    </w:p>
    <w:p w14:paraId="41E0A9E0">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通过“河北省公共资源交易服务平台”提出，受理单位：瑞和安惠项目管理集团有限公司，联系人：于志成，联系电话：0315-5919789，邮箱：</w:t>
      </w:r>
      <w:r>
        <w:rPr>
          <w:rFonts w:hint="eastAsia" w:ascii="宋体" w:hAnsi="宋体" w:eastAsia="宋体" w:cs="Times New Roman"/>
          <w:color w:val="auto"/>
          <w:sz w:val="24"/>
          <w:highlight w:val="none"/>
          <w:lang w:val="en-US" w:eastAsia="zh-CN"/>
        </w:rPr>
        <w:fldChar w:fldCharType="begin"/>
      </w:r>
      <w:r>
        <w:rPr>
          <w:rFonts w:hint="eastAsia" w:ascii="宋体" w:hAnsi="宋体" w:eastAsia="宋体" w:cs="Times New Roman"/>
          <w:color w:val="auto"/>
          <w:sz w:val="24"/>
          <w:highlight w:val="none"/>
          <w:lang w:val="en-US" w:eastAsia="zh-CN"/>
        </w:rPr>
        <w:instrText xml:space="preserve"> HYPERLINK "mailto:rhahtst@126.com。" </w:instrText>
      </w:r>
      <w:r>
        <w:rPr>
          <w:rFonts w:hint="eastAsia" w:ascii="宋体" w:hAnsi="宋体" w:eastAsia="宋体" w:cs="Times New Roman"/>
          <w:color w:val="auto"/>
          <w:sz w:val="24"/>
          <w:highlight w:val="none"/>
          <w:lang w:val="en-US" w:eastAsia="zh-CN"/>
        </w:rPr>
        <w:fldChar w:fldCharType="separate"/>
      </w:r>
      <w:r>
        <w:rPr>
          <w:rFonts w:hint="eastAsia" w:ascii="宋体" w:hAnsi="宋体" w:eastAsia="宋体" w:cs="Times New Roman"/>
          <w:color w:val="auto"/>
          <w:sz w:val="24"/>
          <w:highlight w:val="none"/>
          <w:lang w:val="en-US" w:eastAsia="zh-CN"/>
        </w:rPr>
        <w:t>rhah2011@126.com。</w:t>
      </w:r>
      <w:r>
        <w:rPr>
          <w:rFonts w:hint="eastAsia" w:ascii="宋体" w:hAnsi="宋体" w:eastAsia="宋体" w:cs="Times New Roman"/>
          <w:color w:val="auto"/>
          <w:sz w:val="24"/>
          <w:highlight w:val="none"/>
          <w:lang w:val="en-US" w:eastAsia="zh-CN"/>
        </w:rPr>
        <w:fldChar w:fldCharType="end"/>
      </w:r>
    </w:p>
    <w:p w14:paraId="7F4446EE">
      <w:pPr>
        <w:pStyle w:val="2"/>
        <w:spacing w:before="120" w:beforeLines="50" w:after="120" w:afterLines="50" w:line="420" w:lineRule="exact"/>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9.本招标项目的监督部门</w:t>
      </w:r>
    </w:p>
    <w:p w14:paraId="29861973">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监督部门名称：唐山市交通运输局 </w:t>
      </w:r>
    </w:p>
    <w:p w14:paraId="3DEDBAC7">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电话：0315-2200210 </w:t>
      </w:r>
    </w:p>
    <w:p w14:paraId="23448761">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电子邮箱：tsjtztbjd@163.com</w:t>
      </w:r>
    </w:p>
    <w:p w14:paraId="72BD6A07">
      <w:pPr>
        <w:snapToGrid w:val="0"/>
        <w:spacing w:line="360" w:lineRule="auto"/>
        <w:outlineLvl w:val="1"/>
        <w:rPr>
          <w:rFonts w:hint="eastAsia" w:ascii="宋体" w:hAnsi="宋体" w:eastAsia="宋体" w:cs="Times New Roman"/>
          <w:b/>
          <w:bCs/>
          <w:color w:val="auto"/>
          <w:sz w:val="24"/>
          <w:highlight w:val="none"/>
        </w:rPr>
      </w:pPr>
      <w:r>
        <w:rPr>
          <w:rFonts w:hint="eastAsia" w:ascii="宋体" w:hAnsi="宋体" w:eastAsia="宋体" w:cs="Times New Roman"/>
          <w:b/>
          <w:bCs/>
          <w:color w:val="auto"/>
          <w:szCs w:val="24"/>
          <w:highlight w:val="none"/>
          <w:lang w:val="en-US" w:eastAsia="zh-CN"/>
        </w:rPr>
        <w:t>10.</w:t>
      </w:r>
      <w:r>
        <w:rPr>
          <w:rFonts w:hint="eastAsia" w:ascii="宋体" w:hAnsi="宋体" w:eastAsia="宋体" w:cs="Times New Roman"/>
          <w:b/>
          <w:bCs/>
          <w:color w:val="auto"/>
          <w:sz w:val="24"/>
          <w:highlight w:val="none"/>
        </w:rPr>
        <w:t>本招标项目是否属于依法必须招标项目</w:t>
      </w:r>
    </w:p>
    <w:p w14:paraId="433F1A96">
      <w:pPr>
        <w:snapToGrid w:val="0"/>
        <w:spacing w:line="360" w:lineRule="auto"/>
        <w:ind w:firstLine="480" w:firstLineChars="200"/>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是</w:t>
      </w:r>
    </w:p>
    <w:p w14:paraId="3CBE2546">
      <w:pPr>
        <w:snapToGrid w:val="0"/>
        <w:spacing w:line="360" w:lineRule="auto"/>
        <w:outlineLvl w:val="1"/>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11. 本招标项目是否采用双盲评审</w:t>
      </w:r>
    </w:p>
    <w:p w14:paraId="01C0D18D">
      <w:pPr>
        <w:snapToGrid w:val="0"/>
        <w:spacing w:line="360" w:lineRule="auto"/>
        <w:ind w:firstLine="480" w:firstLineChars="200"/>
        <w:outlineLvl w:val="1"/>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rPr>
        <w:t>是</w:t>
      </w:r>
    </w:p>
    <w:p w14:paraId="69735489">
      <w:pPr>
        <w:pStyle w:val="2"/>
        <w:spacing w:before="120" w:beforeLines="50" w:after="120" w:afterLines="50" w:line="420" w:lineRule="exact"/>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12.招标人或者其委托的招标代理机构使用的第三方交易平台的付费主体及收费标准</w:t>
      </w:r>
    </w:p>
    <w:p w14:paraId="1AE0E771">
      <w:pPr>
        <w:tabs>
          <w:tab w:val="left" w:pos="5040"/>
        </w:tabs>
        <w:spacing w:line="42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平台收费对象为使用平台开展电子招标投标交易活动的投标人/供应商。</w:t>
      </w:r>
    </w:p>
    <w:tbl>
      <w:tblPr>
        <w:tblStyle w:val="5"/>
        <w:tblW w:w="0" w:type="auto"/>
        <w:tblCellSpacing w:w="0"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878"/>
        <w:gridCol w:w="1072"/>
        <w:gridCol w:w="1338"/>
      </w:tblGrid>
      <w:tr w14:paraId="0872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78" w:type="dxa"/>
            <w:tcBorders>
              <w:top w:val="single" w:color="auto" w:sz="4" w:space="0"/>
              <w:left w:val="single" w:color="auto" w:sz="0" w:space="0"/>
              <w:bottom w:val="single" w:color="auto" w:sz="4" w:space="0"/>
              <w:right w:val="single" w:color="auto" w:sz="4" w:space="0"/>
            </w:tcBorders>
            <w:noWrap w:val="0"/>
            <w:vAlign w:val="center"/>
          </w:tcPr>
          <w:p w14:paraId="5F22C97A">
            <w:pPr>
              <w:tabs>
                <w:tab w:val="left" w:pos="5040"/>
              </w:tabs>
              <w:spacing w:line="42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标段名称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6A54E2">
            <w:pPr>
              <w:tabs>
                <w:tab w:val="left" w:pos="5040"/>
              </w:tabs>
              <w:spacing w:line="42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付费主体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ABFA8B">
            <w:pPr>
              <w:tabs>
                <w:tab w:val="left" w:pos="5040"/>
              </w:tabs>
              <w:spacing w:line="42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收费金额（元）</w:t>
            </w:r>
          </w:p>
        </w:tc>
      </w:tr>
      <w:tr w14:paraId="3991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78" w:type="dxa"/>
            <w:tcBorders>
              <w:top w:val="single" w:color="auto" w:sz="4" w:space="0"/>
              <w:left w:val="single" w:color="auto" w:sz="4" w:space="0"/>
              <w:bottom w:val="single" w:color="auto" w:sz="4" w:space="0"/>
              <w:right w:val="single" w:color="auto" w:sz="4" w:space="0"/>
            </w:tcBorders>
            <w:noWrap w:val="0"/>
            <w:vAlign w:val="center"/>
          </w:tcPr>
          <w:p w14:paraId="4338A53A">
            <w:pPr>
              <w:tabs>
                <w:tab w:val="left" w:pos="5040"/>
              </w:tabs>
              <w:spacing w:line="42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唐山市2025年普通干线公路交通情况调查站建设工程施工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7A0869">
            <w:pPr>
              <w:tabs>
                <w:tab w:val="left" w:pos="5040"/>
              </w:tabs>
              <w:spacing w:line="42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投标人/供应商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6ABECF">
            <w:pPr>
              <w:tabs>
                <w:tab w:val="left" w:pos="5040"/>
              </w:tabs>
              <w:spacing w:line="420" w:lineRule="exact"/>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0</w:t>
            </w:r>
          </w:p>
        </w:tc>
      </w:tr>
    </w:tbl>
    <w:p w14:paraId="1F239190">
      <w:pPr>
        <w:spacing w:before="120" w:beforeLines="50" w:after="120" w:afterLines="50" w:line="420" w:lineRule="exact"/>
        <w:rPr>
          <w:rFonts w:hint="eastAsia" w:ascii="宋体" w:hAnsi="宋体"/>
          <w:color w:val="auto"/>
          <w:sz w:val="24"/>
          <w:szCs w:val="21"/>
          <w:highlight w:val="none"/>
        </w:rPr>
      </w:pPr>
    </w:p>
    <w:p w14:paraId="2DD76B04">
      <w:pPr>
        <w:pStyle w:val="2"/>
        <w:spacing w:before="120" w:beforeLines="50" w:after="120" w:afterLines="50" w:line="420" w:lineRule="exact"/>
        <w:rPr>
          <w:rFonts w:hint="eastAsia" w:ascii="宋体" w:hAnsi="宋体"/>
          <w:color w:val="auto"/>
          <w:szCs w:val="24"/>
          <w:highlight w:val="none"/>
        </w:rPr>
      </w:pPr>
      <w:bookmarkStart w:id="24" w:name="_Toc515488387"/>
      <w:r>
        <w:rPr>
          <w:rFonts w:hint="eastAsia" w:ascii="宋体" w:hAnsi="宋体"/>
          <w:color w:val="auto"/>
          <w:szCs w:val="24"/>
          <w:highlight w:val="none"/>
          <w:lang w:val="en-US" w:eastAsia="zh-CN"/>
        </w:rPr>
        <w:t>13</w:t>
      </w:r>
      <w:r>
        <w:rPr>
          <w:rFonts w:hint="eastAsia" w:ascii="宋体" w:hAnsi="宋体"/>
          <w:color w:val="auto"/>
          <w:szCs w:val="24"/>
          <w:highlight w:val="none"/>
        </w:rPr>
        <w:t>.联系方式</w:t>
      </w:r>
      <w:bookmarkEnd w:id="21"/>
      <w:bookmarkEnd w:id="22"/>
      <w:bookmarkEnd w:id="23"/>
      <w:bookmarkEnd w:id="24"/>
    </w:p>
    <w:p w14:paraId="70427ED4">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招 标 人：唐山市公路养护管理中心</w:t>
      </w:r>
    </w:p>
    <w:p w14:paraId="16FE6BCB">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址：唐山市大里路125号</w:t>
      </w:r>
    </w:p>
    <w:p w14:paraId="3F36F68D">
      <w:pPr>
        <w:adjustRightIn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eastAsia="zh-CN"/>
        </w:rPr>
        <w:t>张昕</w:t>
      </w:r>
    </w:p>
    <w:p w14:paraId="397CC061">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电    话：0315-2200188</w:t>
      </w:r>
    </w:p>
    <w:p w14:paraId="0A09EE00">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招标代理：瑞和安惠项目管理集团有限公司</w:t>
      </w:r>
    </w:p>
    <w:p w14:paraId="6BA0A82A">
      <w:pPr>
        <w:adjustRightIn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地  址：唐山市高新区建设北路152号时代中心A座1908室</w:t>
      </w:r>
    </w:p>
    <w:p w14:paraId="71AB3C38">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邮政编码：063000</w:t>
      </w:r>
    </w:p>
    <w:p w14:paraId="33B99FCF">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联 系 人：于志成 </w:t>
      </w:r>
    </w:p>
    <w:p w14:paraId="2C133CAD">
      <w:pPr>
        <w:adjustRightIn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电    话：0315-5919789 </w:t>
      </w:r>
    </w:p>
    <w:p w14:paraId="72686E85">
      <w:pPr>
        <w:adjustRightIn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电子邮件：</w:t>
      </w:r>
      <w:r>
        <w:rPr>
          <w:rFonts w:ascii="宋体" w:hAnsi="宋体"/>
          <w:color w:val="auto"/>
          <w:sz w:val="24"/>
          <w:highlight w:val="none"/>
        </w:rPr>
        <w:fldChar w:fldCharType="begin"/>
      </w:r>
      <w:r>
        <w:rPr>
          <w:rFonts w:ascii="宋体" w:hAnsi="宋体"/>
          <w:color w:val="auto"/>
          <w:sz w:val="24"/>
          <w:highlight w:val="none"/>
        </w:rPr>
        <w:instrText xml:space="preserve"> HYPERLINK "mailto:</w:instrText>
      </w:r>
      <w:r>
        <w:rPr>
          <w:rFonts w:hint="eastAsia" w:ascii="宋体" w:hAnsi="宋体"/>
          <w:color w:val="auto"/>
          <w:sz w:val="24"/>
          <w:highlight w:val="none"/>
        </w:rPr>
        <w:instrText xml:space="preserve">rhah2011@126.com</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7"/>
          <w:rFonts w:hint="eastAsia" w:ascii="宋体" w:hAnsi="宋体"/>
          <w:color w:val="auto"/>
          <w:sz w:val="24"/>
          <w:highlight w:val="none"/>
        </w:rPr>
        <w:t>rhah2011@126.com</w:t>
      </w:r>
      <w:r>
        <w:rPr>
          <w:rFonts w:ascii="宋体" w:hAnsi="宋体"/>
          <w:color w:val="auto"/>
          <w:sz w:val="24"/>
          <w:highlight w:val="none"/>
        </w:rPr>
        <w:fldChar w:fldCharType="end"/>
      </w:r>
    </w:p>
    <w:p w14:paraId="6FC476C1">
      <w:pPr>
        <w:pStyle w:val="2"/>
        <w:spacing w:before="120" w:beforeLines="50" w:after="120" w:afterLines="50" w:line="420" w:lineRule="exact"/>
        <w:rPr>
          <w:rFonts w:hint="eastAsia" w:ascii="宋体" w:hAnsi="宋体"/>
          <w:color w:val="auto"/>
          <w:szCs w:val="24"/>
          <w:highlight w:val="none"/>
        </w:rPr>
      </w:pPr>
      <w:bookmarkStart w:id="25" w:name="_Hlk63236018"/>
      <w:r>
        <w:rPr>
          <w:rFonts w:hint="eastAsia" w:ascii="宋体" w:hAnsi="宋体"/>
          <w:color w:val="auto"/>
          <w:szCs w:val="24"/>
          <w:highlight w:val="none"/>
          <w:lang w:val="en-US" w:eastAsia="zh-CN"/>
        </w:rPr>
        <w:t>14</w:t>
      </w:r>
      <w:r>
        <w:rPr>
          <w:rFonts w:hint="eastAsia" w:ascii="宋体" w:hAnsi="宋体"/>
          <w:color w:val="auto"/>
          <w:szCs w:val="24"/>
          <w:highlight w:val="none"/>
        </w:rPr>
        <w:t>.附件</w:t>
      </w:r>
    </w:p>
    <w:p w14:paraId="71C54DEE">
      <w:pPr>
        <w:adjustRightInd w:val="0"/>
        <w:snapToGrid w:val="0"/>
        <w:spacing w:before="120" w:beforeLines="50" w:line="420" w:lineRule="exact"/>
        <w:rPr>
          <w:rFonts w:hint="eastAsia" w:ascii="宋体" w:hAnsi="宋体" w:cs="宋体"/>
          <w:b/>
          <w:color w:val="auto"/>
          <w:sz w:val="24"/>
          <w:highlight w:val="none"/>
        </w:rPr>
      </w:pPr>
      <w:r>
        <w:rPr>
          <w:rFonts w:hint="eastAsia" w:ascii="宋体" w:hAnsi="宋体" w:cs="宋体"/>
          <w:b/>
          <w:color w:val="auto"/>
          <w:sz w:val="24"/>
          <w:highlight w:val="none"/>
        </w:rPr>
        <w:t>附件1：资格审查条件</w:t>
      </w:r>
    </w:p>
    <w:p w14:paraId="611FA5A2">
      <w:pPr>
        <w:pStyle w:val="3"/>
        <w:spacing w:line="420" w:lineRule="exact"/>
        <w:rPr>
          <w:rFonts w:hint="eastAsia"/>
          <w:color w:val="auto"/>
          <w:highlight w:val="none"/>
        </w:rPr>
      </w:pPr>
      <w:r>
        <w:rPr>
          <w:rFonts w:hint="eastAsia" w:ascii="宋体" w:hAnsi="宋体" w:cs="宋体"/>
          <w:b/>
          <w:color w:val="auto"/>
          <w:sz w:val="24"/>
          <w:highlight w:val="none"/>
        </w:rPr>
        <w:t>附件2：评标办法</w:t>
      </w:r>
      <w:bookmarkEnd w:id="25"/>
    </w:p>
    <w:p w14:paraId="5B077D75">
      <w:pPr>
        <w:spacing w:line="420" w:lineRule="exact"/>
        <w:ind w:firstLine="6960" w:firstLineChars="2900"/>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7月31</w:t>
      </w:r>
      <w:r>
        <w:rPr>
          <w:rFonts w:hint="eastAsia" w:ascii="宋体" w:hAnsi="宋体"/>
          <w:color w:val="auto"/>
          <w:sz w:val="24"/>
          <w:highlight w:val="none"/>
          <w:lang w:eastAsia="zh-CN"/>
        </w:rPr>
        <w:t>日</w:t>
      </w:r>
    </w:p>
    <w:p w14:paraId="6C785872">
      <w:pPr>
        <w:pStyle w:val="3"/>
        <w:rPr>
          <w:b/>
          <w:bCs/>
          <w:color w:val="auto"/>
          <w:sz w:val="28"/>
          <w:szCs w:val="28"/>
          <w:highlight w:val="none"/>
        </w:rPr>
      </w:pPr>
      <w:r>
        <w:rPr>
          <w:color w:val="auto"/>
          <w:highlight w:val="none"/>
        </w:rPr>
        <w:br w:type="page"/>
      </w:r>
      <w:bookmarkStart w:id="26" w:name="_Hlk63236211"/>
      <w:r>
        <w:rPr>
          <w:rFonts w:hint="eastAsia"/>
          <w:b/>
          <w:bCs/>
          <w:color w:val="auto"/>
          <w:sz w:val="28"/>
          <w:szCs w:val="28"/>
          <w:highlight w:val="none"/>
        </w:rPr>
        <w:t>附件1</w:t>
      </w:r>
      <w:r>
        <w:rPr>
          <w:b/>
          <w:bCs/>
          <w:color w:val="auto"/>
          <w:sz w:val="28"/>
          <w:szCs w:val="28"/>
          <w:highlight w:val="none"/>
        </w:rPr>
        <w:t xml:space="preserve"> </w:t>
      </w:r>
      <w:r>
        <w:rPr>
          <w:rFonts w:hint="eastAsia"/>
          <w:b/>
          <w:bCs/>
          <w:color w:val="auto"/>
          <w:sz w:val="28"/>
          <w:szCs w:val="28"/>
          <w:highlight w:val="none"/>
        </w:rPr>
        <w:t>资格审查条件</w:t>
      </w:r>
      <w:bookmarkEnd w:id="26"/>
    </w:p>
    <w:p w14:paraId="01FF3E1B">
      <w:pPr>
        <w:jc w:val="center"/>
        <w:rPr>
          <w:rFonts w:hint="eastAsia" w:ascii="宋体" w:hAnsi="宋体"/>
          <w:color w:val="auto"/>
          <w:highlight w:val="none"/>
        </w:rPr>
      </w:pPr>
      <w:r>
        <w:rPr>
          <w:rFonts w:hint="eastAsia" w:ascii="宋体" w:hAnsi="宋体"/>
          <w:b/>
          <w:color w:val="auto"/>
          <w:sz w:val="24"/>
          <w:highlight w:val="none"/>
        </w:rPr>
        <w:t>附录1 资格审查条件(资质最低</w:t>
      </w:r>
      <w:r>
        <w:rPr>
          <w:rFonts w:hint="eastAsia" w:ascii="宋体" w:hAnsi="宋体"/>
          <w:b/>
          <w:color w:val="auto"/>
          <w:sz w:val="24"/>
          <w:highlight w:val="none"/>
          <w:lang w:val="en-US" w:eastAsia="zh-CN"/>
        </w:rPr>
        <w:t>要求</w:t>
      </w:r>
      <w:r>
        <w:rPr>
          <w:rFonts w:hint="eastAsia" w:ascii="宋体" w:hAnsi="宋体"/>
          <w:b/>
          <w:color w:val="auto"/>
          <w:sz w:val="24"/>
          <w:highlight w:val="none"/>
        </w:rPr>
        <w:t>)</w:t>
      </w:r>
    </w:p>
    <w:tbl>
      <w:tblPr>
        <w:tblStyle w:val="5"/>
        <w:tblpPr w:leftFromText="180" w:rightFromText="180" w:vertAnchor="text" w:horzAnchor="page" w:tblpX="1209"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16E5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20" w:type="dxa"/>
            <w:tcBorders>
              <w:top w:val="single" w:color="auto" w:sz="4" w:space="0"/>
              <w:left w:val="single" w:color="auto" w:sz="4" w:space="0"/>
              <w:bottom w:val="single" w:color="auto" w:sz="4" w:space="0"/>
              <w:right w:val="single" w:color="auto" w:sz="4" w:space="0"/>
            </w:tcBorders>
            <w:noWrap w:val="0"/>
            <w:vAlign w:val="center"/>
          </w:tcPr>
          <w:p w14:paraId="75978B9B">
            <w:pPr>
              <w:jc w:val="center"/>
              <w:rPr>
                <w:rFonts w:hint="eastAsia" w:ascii="宋体" w:hAnsi="宋体"/>
                <w:color w:val="auto"/>
                <w:szCs w:val="21"/>
                <w:highlight w:val="none"/>
              </w:rPr>
            </w:pPr>
            <w:r>
              <w:rPr>
                <w:rFonts w:hint="eastAsia" w:ascii="宋体" w:hAnsi="宋体"/>
                <w:color w:val="auto"/>
                <w:szCs w:val="21"/>
                <w:highlight w:val="none"/>
              </w:rPr>
              <w:t>资质要求</w:t>
            </w:r>
          </w:p>
        </w:tc>
      </w:tr>
      <w:tr w14:paraId="2BB6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520" w:type="dxa"/>
            <w:tcBorders>
              <w:top w:val="single" w:color="auto" w:sz="4" w:space="0"/>
              <w:left w:val="single" w:color="auto" w:sz="4" w:space="0"/>
              <w:bottom w:val="single" w:color="auto" w:sz="4" w:space="0"/>
              <w:right w:val="single" w:color="auto" w:sz="4" w:space="0"/>
            </w:tcBorders>
            <w:noWrap w:val="0"/>
            <w:vAlign w:val="center"/>
          </w:tcPr>
          <w:p w14:paraId="7C63646A">
            <w:pPr>
              <w:jc w:val="left"/>
              <w:rPr>
                <w:rFonts w:hint="eastAsia" w:ascii="宋体" w:hAnsi="宋体"/>
                <w:color w:val="auto"/>
                <w:szCs w:val="21"/>
                <w:highlight w:val="none"/>
              </w:rPr>
            </w:pPr>
            <w:r>
              <w:rPr>
                <w:rFonts w:hint="eastAsia" w:ascii="宋体" w:hAnsi="宋体"/>
                <w:color w:val="auto"/>
                <w:szCs w:val="21"/>
                <w:highlight w:val="none"/>
              </w:rPr>
              <w:t>持有工商行政管理部门核发的有效法人营业执照证书；</w:t>
            </w:r>
          </w:p>
          <w:p w14:paraId="5E6B8A3F">
            <w:pPr>
              <w:jc w:val="left"/>
              <w:rPr>
                <w:rFonts w:hint="eastAsia" w:ascii="宋体" w:hAnsi="宋体"/>
                <w:color w:val="auto"/>
                <w:szCs w:val="21"/>
                <w:highlight w:val="none"/>
              </w:rPr>
            </w:pPr>
            <w:r>
              <w:rPr>
                <w:rFonts w:hint="eastAsia" w:ascii="宋体" w:hAnsi="宋体"/>
                <w:color w:val="auto"/>
                <w:szCs w:val="21"/>
                <w:highlight w:val="none"/>
                <w:lang w:eastAsia="zh-CN"/>
              </w:rPr>
              <w:t>具有住房和城乡建设部核发的公路交通工程专业承包二级或以上资质（公路机电工程分项），具备有效的安全生产许可证</w:t>
            </w:r>
            <w:r>
              <w:rPr>
                <w:rFonts w:hint="eastAsia" w:ascii="宋体" w:hAnsi="宋体"/>
                <w:color w:val="auto"/>
                <w:szCs w:val="21"/>
                <w:highlight w:val="none"/>
              </w:rPr>
              <w:t>。</w:t>
            </w:r>
          </w:p>
        </w:tc>
      </w:tr>
    </w:tbl>
    <w:p w14:paraId="6174EC6C">
      <w:pPr>
        <w:jc w:val="center"/>
        <w:rPr>
          <w:rFonts w:hint="eastAsia" w:ascii="宋体" w:hAnsi="宋体"/>
          <w:b/>
          <w:color w:val="auto"/>
          <w:sz w:val="24"/>
          <w:highlight w:val="none"/>
        </w:rPr>
      </w:pPr>
    </w:p>
    <w:p w14:paraId="6619E056">
      <w:pPr>
        <w:jc w:val="center"/>
        <w:rPr>
          <w:rFonts w:hint="eastAsia" w:ascii="宋体" w:hAnsi="宋体"/>
          <w:b/>
          <w:color w:val="auto"/>
          <w:sz w:val="24"/>
          <w:highlight w:val="none"/>
        </w:rPr>
      </w:pPr>
    </w:p>
    <w:p w14:paraId="10CC2C31">
      <w:pPr>
        <w:jc w:val="center"/>
        <w:rPr>
          <w:rFonts w:hint="eastAsia" w:ascii="宋体" w:hAnsi="宋体"/>
          <w:b/>
          <w:color w:val="auto"/>
          <w:sz w:val="24"/>
          <w:highlight w:val="none"/>
        </w:rPr>
      </w:pPr>
      <w:r>
        <w:rPr>
          <w:rFonts w:hint="eastAsia" w:ascii="宋体" w:hAnsi="宋体"/>
          <w:b/>
          <w:color w:val="auto"/>
          <w:sz w:val="24"/>
          <w:highlight w:val="none"/>
        </w:rPr>
        <w:t>附录2 资格审查条件(财务最低</w:t>
      </w:r>
      <w:r>
        <w:rPr>
          <w:rFonts w:hint="eastAsia" w:ascii="宋体" w:hAnsi="宋体"/>
          <w:b/>
          <w:color w:val="auto"/>
          <w:sz w:val="24"/>
          <w:highlight w:val="none"/>
          <w:lang w:val="en-US" w:eastAsia="zh-CN"/>
        </w:rPr>
        <w:t>要求</w:t>
      </w:r>
      <w:r>
        <w:rPr>
          <w:rFonts w:hint="eastAsia" w:ascii="宋体" w:hAnsi="宋体"/>
          <w:b/>
          <w:color w:val="auto"/>
          <w:sz w:val="24"/>
          <w:highlight w:val="none"/>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6E43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60" w:type="dxa"/>
            <w:tcBorders>
              <w:top w:val="single" w:color="auto" w:sz="4" w:space="0"/>
              <w:left w:val="single" w:color="auto" w:sz="4" w:space="0"/>
              <w:bottom w:val="single" w:color="auto" w:sz="4" w:space="0"/>
              <w:right w:val="single" w:color="auto" w:sz="4" w:space="0"/>
            </w:tcBorders>
            <w:noWrap w:val="0"/>
            <w:vAlign w:val="center"/>
          </w:tcPr>
          <w:p w14:paraId="2823072C">
            <w:pPr>
              <w:jc w:val="center"/>
              <w:rPr>
                <w:rFonts w:hint="eastAsia" w:ascii="宋体" w:hAnsi="宋体"/>
                <w:color w:val="auto"/>
                <w:szCs w:val="21"/>
                <w:highlight w:val="none"/>
              </w:rPr>
            </w:pPr>
            <w:r>
              <w:rPr>
                <w:rFonts w:hint="eastAsia" w:ascii="宋体" w:hAnsi="宋体"/>
                <w:color w:val="auto"/>
                <w:szCs w:val="21"/>
                <w:highlight w:val="none"/>
                <w:lang w:val="en-US" w:eastAsia="zh-CN"/>
              </w:rPr>
              <w:t>财务</w:t>
            </w:r>
            <w:r>
              <w:rPr>
                <w:rFonts w:hint="eastAsia" w:ascii="宋体" w:hAnsi="宋体"/>
                <w:color w:val="auto"/>
                <w:szCs w:val="21"/>
                <w:highlight w:val="none"/>
              </w:rPr>
              <w:t>要求</w:t>
            </w:r>
          </w:p>
        </w:tc>
      </w:tr>
      <w:tr w14:paraId="5580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0" w:type="dxa"/>
            <w:tcBorders>
              <w:top w:val="single" w:color="auto" w:sz="4" w:space="0"/>
              <w:left w:val="single" w:color="auto" w:sz="4" w:space="0"/>
              <w:bottom w:val="single" w:color="auto" w:sz="4" w:space="0"/>
              <w:right w:val="single" w:color="auto" w:sz="4" w:space="0"/>
            </w:tcBorders>
            <w:noWrap w:val="0"/>
            <w:vAlign w:val="center"/>
          </w:tcPr>
          <w:p w14:paraId="72835F77">
            <w:pPr>
              <w:jc w:val="both"/>
              <w:rPr>
                <w:rFonts w:hint="eastAsia" w:ascii="宋体" w:hAnsi="宋体"/>
                <w:color w:val="auto"/>
                <w:szCs w:val="21"/>
                <w:highlight w:val="none"/>
              </w:rPr>
            </w:pPr>
            <w:r>
              <w:rPr>
                <w:rFonts w:hint="eastAsia" w:ascii="宋体" w:hAnsi="宋体"/>
                <w:color w:val="auto"/>
                <w:szCs w:val="21"/>
                <w:highlight w:val="none"/>
                <w:lang w:val="en-US" w:eastAsia="zh-CN"/>
              </w:rPr>
              <w:t>良好的财务状况报告、依法缴纳税收和依法缴纳社会保障资金的承诺函。</w:t>
            </w:r>
          </w:p>
        </w:tc>
      </w:tr>
    </w:tbl>
    <w:p w14:paraId="5FADC7D6">
      <w:pPr>
        <w:jc w:val="center"/>
        <w:rPr>
          <w:rFonts w:hint="eastAsia" w:ascii="宋体" w:hAnsi="宋体"/>
          <w:b/>
          <w:color w:val="auto"/>
          <w:sz w:val="24"/>
          <w:highlight w:val="none"/>
        </w:rPr>
      </w:pPr>
    </w:p>
    <w:p w14:paraId="55753D40">
      <w:pPr>
        <w:jc w:val="center"/>
        <w:rPr>
          <w:rFonts w:hint="eastAsia" w:ascii="宋体" w:hAnsi="宋体"/>
          <w:b/>
          <w:color w:val="auto"/>
          <w:sz w:val="24"/>
          <w:highlight w:val="none"/>
        </w:rPr>
      </w:pPr>
    </w:p>
    <w:p w14:paraId="1E06CE71">
      <w:pPr>
        <w:jc w:val="center"/>
        <w:rPr>
          <w:rFonts w:hint="eastAsia" w:ascii="宋体" w:hAnsi="宋体"/>
          <w:b/>
          <w:color w:val="auto"/>
          <w:sz w:val="24"/>
          <w:highlight w:val="none"/>
        </w:rPr>
      </w:pPr>
      <w:r>
        <w:rPr>
          <w:rFonts w:hint="eastAsia" w:ascii="宋体" w:hAnsi="宋体"/>
          <w:b/>
          <w:color w:val="auto"/>
          <w:sz w:val="24"/>
          <w:highlight w:val="none"/>
        </w:rPr>
        <w:t>附录3 资格审查条件(业绩最低</w:t>
      </w:r>
      <w:r>
        <w:rPr>
          <w:rFonts w:hint="eastAsia" w:ascii="宋体" w:hAnsi="宋体"/>
          <w:b/>
          <w:color w:val="auto"/>
          <w:sz w:val="24"/>
          <w:highlight w:val="none"/>
          <w:lang w:val="en-US" w:eastAsia="zh-CN"/>
        </w:rPr>
        <w:t>要求</w:t>
      </w:r>
      <w:r>
        <w:rPr>
          <w:rFonts w:hint="eastAsia" w:ascii="宋体" w:hAnsi="宋体"/>
          <w:b/>
          <w:color w:val="auto"/>
          <w:sz w:val="24"/>
          <w:highlight w:val="none"/>
        </w:rPr>
        <w:t>)</w:t>
      </w:r>
    </w:p>
    <w:tbl>
      <w:tblPr>
        <w:tblStyle w:val="5"/>
        <w:tblpPr w:leftFromText="180" w:rightFromText="180" w:vertAnchor="text" w:horzAnchor="page" w:tblpX="1209"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7"/>
      </w:tblGrid>
      <w:tr w14:paraId="7467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67" w:type="dxa"/>
            <w:tcBorders>
              <w:top w:val="single" w:color="auto" w:sz="4" w:space="0"/>
              <w:left w:val="single" w:color="auto" w:sz="4" w:space="0"/>
              <w:bottom w:val="single" w:color="auto" w:sz="4" w:space="0"/>
              <w:right w:val="single" w:color="auto" w:sz="4" w:space="0"/>
            </w:tcBorders>
            <w:noWrap w:val="0"/>
            <w:vAlign w:val="center"/>
          </w:tcPr>
          <w:p w14:paraId="63FB366B">
            <w:pPr>
              <w:jc w:val="center"/>
              <w:rPr>
                <w:rFonts w:hint="eastAsia" w:ascii="宋体" w:hAnsi="宋体"/>
                <w:color w:val="auto"/>
                <w:szCs w:val="21"/>
                <w:highlight w:val="none"/>
              </w:rPr>
            </w:pPr>
            <w:r>
              <w:rPr>
                <w:rFonts w:hint="eastAsia" w:ascii="宋体" w:hAnsi="宋体"/>
                <w:color w:val="auto"/>
                <w:szCs w:val="21"/>
                <w:highlight w:val="none"/>
                <w:lang w:val="en-US" w:eastAsia="zh-CN"/>
              </w:rPr>
              <w:t>业绩</w:t>
            </w:r>
            <w:r>
              <w:rPr>
                <w:rFonts w:hint="eastAsia" w:ascii="宋体" w:hAnsi="宋体"/>
                <w:color w:val="auto"/>
                <w:szCs w:val="21"/>
                <w:highlight w:val="none"/>
              </w:rPr>
              <w:t>要求</w:t>
            </w:r>
          </w:p>
        </w:tc>
      </w:tr>
      <w:tr w14:paraId="192C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67" w:type="dxa"/>
            <w:tcBorders>
              <w:top w:val="single" w:color="auto" w:sz="4" w:space="0"/>
              <w:left w:val="single" w:color="auto" w:sz="4" w:space="0"/>
              <w:bottom w:val="single" w:color="auto" w:sz="4" w:space="0"/>
              <w:right w:val="single" w:color="auto" w:sz="4" w:space="0"/>
            </w:tcBorders>
            <w:noWrap w:val="0"/>
            <w:vAlign w:val="center"/>
          </w:tcPr>
          <w:p w14:paraId="13F9805D">
            <w:pPr>
              <w:jc w:val="left"/>
              <w:rPr>
                <w:rFonts w:hint="eastAsia" w:ascii="宋体" w:hAnsi="宋体" w:eastAsia="宋体"/>
                <w:color w:val="auto"/>
                <w:szCs w:val="21"/>
                <w:highlight w:val="none"/>
                <w:lang w:eastAsia="zh-CN"/>
              </w:rPr>
            </w:pPr>
            <w:r>
              <w:rPr>
                <w:rFonts w:hint="eastAsia"/>
                <w:color w:val="auto"/>
                <w:highlight w:val="none"/>
              </w:rPr>
              <w:t>投标人在近5年内（</w:t>
            </w:r>
            <w:r>
              <w:rPr>
                <w:rFonts w:hint="eastAsia" w:eastAsia="宋体"/>
                <w:color w:val="auto"/>
                <w:highlight w:val="none"/>
                <w:lang w:eastAsia="zh-CN"/>
              </w:rPr>
              <w:t>2020年7月1日至今</w:t>
            </w:r>
            <w:r>
              <w:rPr>
                <w:rFonts w:hint="eastAsia"/>
                <w:color w:val="auto"/>
                <w:highlight w:val="none"/>
              </w:rPr>
              <w:t>，以交工时间为准）</w:t>
            </w:r>
            <w:r>
              <w:rPr>
                <w:rFonts w:hint="eastAsia" w:eastAsia="宋体"/>
                <w:color w:val="auto"/>
                <w:highlight w:val="none"/>
                <w:lang w:eastAsia="zh-CN"/>
              </w:rPr>
              <w:t>完成过1项二级或以上等级公路的交通工程（公路机电工程分项）施工业绩</w:t>
            </w:r>
            <w:r>
              <w:rPr>
                <w:rFonts w:hint="eastAsia"/>
                <w:color w:val="auto"/>
                <w:highlight w:val="none"/>
              </w:rPr>
              <w:t>。</w:t>
            </w:r>
          </w:p>
        </w:tc>
      </w:tr>
    </w:tbl>
    <w:p w14:paraId="35B8F7BA">
      <w:pPr>
        <w:jc w:val="center"/>
        <w:rPr>
          <w:rFonts w:hint="eastAsia" w:ascii="宋体" w:hAnsi="宋体"/>
          <w:b/>
          <w:color w:val="auto"/>
          <w:sz w:val="24"/>
          <w:highlight w:val="none"/>
        </w:rPr>
      </w:pPr>
    </w:p>
    <w:p w14:paraId="557A175C">
      <w:pPr>
        <w:jc w:val="both"/>
        <w:rPr>
          <w:rFonts w:hint="eastAsia" w:ascii="宋体" w:hAnsi="宋体"/>
          <w:b/>
          <w:color w:val="auto"/>
          <w:sz w:val="24"/>
          <w:highlight w:val="none"/>
        </w:rPr>
      </w:pPr>
    </w:p>
    <w:p w14:paraId="70C10D4F">
      <w:pPr>
        <w:jc w:val="center"/>
        <w:rPr>
          <w:rFonts w:hint="eastAsia" w:ascii="宋体" w:hAnsi="宋体"/>
          <w:b/>
          <w:color w:val="auto"/>
          <w:sz w:val="24"/>
          <w:highlight w:val="none"/>
        </w:rPr>
      </w:pPr>
    </w:p>
    <w:p w14:paraId="01583A93">
      <w:pPr>
        <w:jc w:val="center"/>
        <w:rPr>
          <w:rFonts w:hint="eastAsia" w:ascii="宋体" w:hAnsi="宋体"/>
          <w:b/>
          <w:color w:val="auto"/>
          <w:sz w:val="24"/>
          <w:highlight w:val="none"/>
        </w:rPr>
      </w:pPr>
      <w:r>
        <w:rPr>
          <w:rFonts w:hint="eastAsia" w:ascii="宋体" w:hAnsi="宋体"/>
          <w:b/>
          <w:color w:val="auto"/>
          <w:sz w:val="24"/>
          <w:highlight w:val="none"/>
        </w:rPr>
        <w:t>附录4 资格审查条件(信誉最低</w:t>
      </w:r>
      <w:r>
        <w:rPr>
          <w:rFonts w:hint="eastAsia" w:ascii="宋体" w:hAnsi="宋体"/>
          <w:b/>
          <w:color w:val="auto"/>
          <w:sz w:val="24"/>
          <w:highlight w:val="none"/>
          <w:lang w:val="en-US" w:eastAsia="zh-CN"/>
        </w:rPr>
        <w:t>要求</w:t>
      </w:r>
      <w:r>
        <w:rPr>
          <w:rFonts w:hint="eastAsia" w:ascii="宋体" w:hAnsi="宋体"/>
          <w:b/>
          <w:color w:val="auto"/>
          <w:sz w:val="24"/>
          <w:highlight w:val="none"/>
        </w:rPr>
        <w:t>)</w:t>
      </w:r>
    </w:p>
    <w:p w14:paraId="3A3F210D">
      <w:pPr>
        <w:pStyle w:val="3"/>
        <w:rPr>
          <w:rFonts w:hint="eastAsia"/>
          <w:color w:val="auto"/>
          <w:highlight w:val="none"/>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14:paraId="3A00A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jc w:val="center"/>
        </w:trPr>
        <w:tc>
          <w:tcPr>
            <w:tcW w:w="9629" w:type="dxa"/>
            <w:noWrap w:val="0"/>
            <w:vAlign w:val="center"/>
          </w:tcPr>
          <w:p w14:paraId="2AF30BC6">
            <w:pPr>
              <w:jc w:val="center"/>
              <w:rPr>
                <w:rFonts w:hint="eastAsia" w:ascii="宋体" w:hAnsi="宋体"/>
                <w:color w:val="auto"/>
                <w:szCs w:val="21"/>
                <w:highlight w:val="none"/>
              </w:rPr>
            </w:pPr>
            <w:r>
              <w:rPr>
                <w:rFonts w:hint="eastAsia" w:ascii="宋体" w:hAnsi="宋体"/>
                <w:color w:val="auto"/>
                <w:szCs w:val="21"/>
                <w:highlight w:val="none"/>
              </w:rPr>
              <w:t>信誉要求</w:t>
            </w:r>
          </w:p>
        </w:tc>
      </w:tr>
      <w:tr w14:paraId="19A69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7" w:hRule="atLeast"/>
          <w:jc w:val="center"/>
        </w:trPr>
        <w:tc>
          <w:tcPr>
            <w:tcW w:w="9629" w:type="dxa"/>
            <w:noWrap w:val="0"/>
            <w:vAlign w:val="center"/>
          </w:tcPr>
          <w:p w14:paraId="3D92E83B">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投标人在过去1年中（</w:t>
            </w:r>
            <w:r>
              <w:rPr>
                <w:rFonts w:hint="eastAsia" w:ascii="宋体" w:hAnsi="宋体"/>
                <w:color w:val="auto"/>
                <w:szCs w:val="21"/>
                <w:highlight w:val="none"/>
                <w:lang w:eastAsia="zh-CN"/>
              </w:rPr>
              <w:t>2024年7月1日至今</w:t>
            </w:r>
            <w:r>
              <w:rPr>
                <w:rFonts w:hint="eastAsia" w:ascii="宋体" w:hAnsi="宋体"/>
                <w:color w:val="auto"/>
                <w:szCs w:val="21"/>
                <w:highlight w:val="none"/>
              </w:rPr>
              <w:t>）不曾在工程实施中违约而被驱逐或因投标人自身的原因而使施工合同被解除。</w:t>
            </w:r>
          </w:p>
        </w:tc>
      </w:tr>
    </w:tbl>
    <w:p w14:paraId="19BC8A6F">
      <w:pPr>
        <w:jc w:val="center"/>
        <w:rPr>
          <w:rFonts w:hint="eastAsia" w:ascii="宋体" w:hAnsi="宋体"/>
          <w:b/>
          <w:color w:val="auto"/>
          <w:sz w:val="24"/>
          <w:highlight w:val="none"/>
        </w:rPr>
      </w:pPr>
    </w:p>
    <w:p w14:paraId="2508A93D">
      <w:pPr>
        <w:jc w:val="center"/>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附录5 资格审查条件(项目经理及项目总工最低要求)</w:t>
      </w:r>
    </w:p>
    <w:p w14:paraId="61273498">
      <w:pPr>
        <w:jc w:val="center"/>
        <w:rPr>
          <w:rFonts w:ascii="宋体" w:hAnsi="宋体"/>
          <w:color w:val="auto"/>
          <w:sz w:val="28"/>
          <w:szCs w:val="28"/>
          <w:highlight w:val="none"/>
        </w:rPr>
      </w:pPr>
      <w:r>
        <w:rPr>
          <w:rFonts w:ascii="宋体" w:hAnsi="宋体"/>
          <w:color w:val="auto"/>
          <w:sz w:val="28"/>
          <w:szCs w:val="28"/>
          <w:highlight w:val="none"/>
        </w:rPr>
        <w:tab/>
      </w:r>
      <w:r>
        <w:rPr>
          <w:rFonts w:ascii="宋体" w:hAnsi="宋体"/>
          <w:color w:val="auto"/>
          <w:sz w:val="28"/>
          <w:szCs w:val="28"/>
          <w:highlight w:val="none"/>
        </w:rPr>
        <w:tab/>
      </w:r>
    </w:p>
    <w:tbl>
      <w:tblPr>
        <w:tblStyle w:val="5"/>
        <w:tblW w:w="93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720"/>
        <w:gridCol w:w="6772"/>
        <w:gridCol w:w="1167"/>
      </w:tblGrid>
      <w:tr w14:paraId="21A53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99" w:type="dxa"/>
            <w:tcBorders>
              <w:tl2br w:val="nil"/>
              <w:tr2bl w:val="nil"/>
            </w:tcBorders>
            <w:noWrap w:val="0"/>
            <w:vAlign w:val="center"/>
          </w:tcPr>
          <w:p w14:paraId="13471F73">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720" w:type="dxa"/>
            <w:tcBorders>
              <w:tl2br w:val="nil"/>
              <w:tr2bl w:val="nil"/>
            </w:tcBorders>
            <w:noWrap w:val="0"/>
            <w:vAlign w:val="center"/>
          </w:tcPr>
          <w:p w14:paraId="46F48B54">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72" w:type="dxa"/>
            <w:tcBorders>
              <w:tl2br w:val="nil"/>
              <w:tr2bl w:val="nil"/>
            </w:tcBorders>
            <w:noWrap w:val="0"/>
            <w:vAlign w:val="center"/>
          </w:tcPr>
          <w:p w14:paraId="4F89EBC6">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167" w:type="dxa"/>
            <w:tcBorders>
              <w:tl2br w:val="nil"/>
              <w:tr2bl w:val="nil"/>
            </w:tcBorders>
            <w:noWrap w:val="0"/>
            <w:vAlign w:val="center"/>
          </w:tcPr>
          <w:p w14:paraId="11B02AF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w:t>
            </w:r>
          </w:p>
          <w:p w14:paraId="5A2D4CA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14:paraId="78DA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99" w:type="dxa"/>
            <w:tcBorders>
              <w:tl2br w:val="nil"/>
              <w:tr2bl w:val="nil"/>
            </w:tcBorders>
            <w:noWrap w:val="0"/>
            <w:vAlign w:val="center"/>
          </w:tcPr>
          <w:p w14:paraId="0386FDC4">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720" w:type="dxa"/>
            <w:tcBorders>
              <w:tl2br w:val="nil"/>
              <w:tr2bl w:val="nil"/>
            </w:tcBorders>
            <w:noWrap w:val="0"/>
            <w:vAlign w:val="center"/>
          </w:tcPr>
          <w:p w14:paraId="43966EDD">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72" w:type="dxa"/>
            <w:tcBorders>
              <w:tl2br w:val="nil"/>
              <w:tr2bl w:val="nil"/>
            </w:tcBorders>
            <w:noWrap w:val="0"/>
            <w:vAlign w:val="center"/>
          </w:tcPr>
          <w:p w14:paraId="3E28CA23">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工程师或以上职称。具有二级及以上建造师注册证书(公路工程专业或机电工程专业)；具有省级及以上交通运输主管部门颁发的《安全生产考核合格证书》B 类；</w:t>
            </w:r>
          </w:p>
          <w:p w14:paraId="304CEAC2">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要求近5年内（</w:t>
            </w:r>
            <w:r>
              <w:rPr>
                <w:rFonts w:hint="eastAsia" w:ascii="宋体" w:hAnsi="宋体" w:eastAsia="宋体" w:cs="宋体"/>
                <w:color w:val="auto"/>
                <w:sz w:val="21"/>
                <w:szCs w:val="21"/>
                <w:highlight w:val="none"/>
                <w:lang w:eastAsia="zh-CN"/>
              </w:rPr>
              <w:t>2020年7月1日至今</w:t>
            </w:r>
            <w:r>
              <w:rPr>
                <w:rFonts w:hint="eastAsia" w:ascii="宋体" w:hAnsi="宋体" w:eastAsia="宋体" w:cs="宋体"/>
                <w:color w:val="auto"/>
                <w:sz w:val="21"/>
                <w:szCs w:val="21"/>
                <w:highlight w:val="none"/>
              </w:rPr>
              <w:t>，以交工时间为准）</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sz w:val="21"/>
                <w:szCs w:val="21"/>
                <w:highlight w:val="none"/>
              </w:rPr>
              <w:t>1项二级或以上等级公路的交通工程（公路机电工程分项）施工项目的项目经理或项目总工。</w:t>
            </w:r>
          </w:p>
        </w:tc>
        <w:tc>
          <w:tcPr>
            <w:tcW w:w="1167" w:type="dxa"/>
            <w:vMerge w:val="restart"/>
            <w:tcBorders>
              <w:tl2br w:val="nil"/>
              <w:tr2bl w:val="nil"/>
            </w:tcBorders>
            <w:noWrap w:val="0"/>
            <w:vAlign w:val="center"/>
          </w:tcPr>
          <w:p w14:paraId="40B0D80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目前未在其他项目上任职，或虽在其他项目上任职但本项目中标后能够从该项目撤离</w:t>
            </w:r>
          </w:p>
        </w:tc>
      </w:tr>
      <w:tr w14:paraId="1066E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699" w:type="dxa"/>
            <w:tcBorders>
              <w:tl2br w:val="nil"/>
              <w:tr2bl w:val="nil"/>
            </w:tcBorders>
            <w:noWrap w:val="0"/>
            <w:vAlign w:val="center"/>
          </w:tcPr>
          <w:p w14:paraId="59932922">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tc>
        <w:tc>
          <w:tcPr>
            <w:tcW w:w="720" w:type="dxa"/>
            <w:tcBorders>
              <w:tl2br w:val="nil"/>
              <w:tr2bl w:val="nil"/>
            </w:tcBorders>
            <w:noWrap w:val="0"/>
            <w:vAlign w:val="center"/>
          </w:tcPr>
          <w:p w14:paraId="70742243">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72" w:type="dxa"/>
            <w:tcBorders>
              <w:tl2br w:val="nil"/>
              <w:tr2bl w:val="nil"/>
            </w:tcBorders>
            <w:noWrap w:val="0"/>
            <w:vAlign w:val="center"/>
          </w:tcPr>
          <w:p w14:paraId="02E8F380">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工程师或以上职称。具有省级及以上交通运输主管部门颁发的《安全生产考核合格证书》B 类；</w:t>
            </w:r>
          </w:p>
          <w:p w14:paraId="214248F7">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要求近5年内（</w:t>
            </w:r>
            <w:r>
              <w:rPr>
                <w:rFonts w:hint="eastAsia" w:ascii="宋体" w:hAnsi="宋体" w:eastAsia="宋体" w:cs="宋体"/>
                <w:color w:val="auto"/>
                <w:sz w:val="21"/>
                <w:szCs w:val="21"/>
                <w:highlight w:val="none"/>
                <w:lang w:eastAsia="zh-CN"/>
              </w:rPr>
              <w:t>2020年7月1日至今</w:t>
            </w:r>
            <w:r>
              <w:rPr>
                <w:rFonts w:hint="eastAsia" w:ascii="宋体" w:hAnsi="宋体" w:eastAsia="宋体" w:cs="宋体"/>
                <w:color w:val="auto"/>
                <w:sz w:val="21"/>
                <w:szCs w:val="21"/>
                <w:highlight w:val="none"/>
              </w:rPr>
              <w:t>，以交工时间为准）</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sz w:val="21"/>
                <w:szCs w:val="21"/>
                <w:highlight w:val="none"/>
              </w:rPr>
              <w:t>1项二级或以上等级公路的交通工程（公路机电工程分项）施工项目的项目经理或项目总工。</w:t>
            </w:r>
          </w:p>
        </w:tc>
        <w:tc>
          <w:tcPr>
            <w:tcW w:w="1167" w:type="dxa"/>
            <w:vMerge w:val="continue"/>
            <w:tcBorders>
              <w:tl2br w:val="nil"/>
              <w:tr2bl w:val="nil"/>
            </w:tcBorders>
            <w:noWrap w:val="0"/>
            <w:vAlign w:val="top"/>
          </w:tcPr>
          <w:p w14:paraId="5785E167">
            <w:pPr>
              <w:adjustRightInd w:val="0"/>
              <w:snapToGrid w:val="0"/>
              <w:ind w:firstLine="420" w:firstLineChars="200"/>
              <w:rPr>
                <w:rFonts w:hint="eastAsia" w:ascii="宋体" w:hAnsi="宋体" w:eastAsia="宋体" w:cs="宋体"/>
                <w:color w:val="auto"/>
                <w:sz w:val="21"/>
                <w:szCs w:val="21"/>
                <w:highlight w:val="none"/>
              </w:rPr>
            </w:pPr>
          </w:p>
        </w:tc>
      </w:tr>
    </w:tbl>
    <w:p w14:paraId="2C36AD3E">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color w:val="auto"/>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1.</w:t>
      </w:r>
      <w:r>
        <w:rPr>
          <w:rFonts w:hint="eastAsia"/>
          <w:color w:val="auto"/>
          <w:highlight w:val="none"/>
        </w:rPr>
        <w:t>项目经理和项目总工要求必须为投标人自有人员。</w:t>
      </w: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个别直辖市安全生产考核合格证书（B类）当地省级交通运输行政主管部门不予颁发的，应提供交通部颁发的或其当地省级部门颁发的适用于交通行业的安全生产考核合格证书（B类）。</w:t>
      </w:r>
      <w:r>
        <w:rPr>
          <w:rFonts w:hint="eastAsia" w:ascii="Calibri" w:eastAsia="宋体"/>
          <w:color w:val="auto"/>
          <w:sz w:val="21"/>
          <w:szCs w:val="21"/>
          <w:highlight w:val="none"/>
          <w:lang w:val="en-US" w:eastAsia="zh-CN"/>
        </w:rPr>
        <w:t>3.</w:t>
      </w:r>
      <w:r>
        <w:rPr>
          <w:rFonts w:hint="eastAsia" w:ascii="Times New Roman" w:hAnsi="Times New Roman" w:eastAsia="宋体" w:cs="Times New Roman"/>
          <w:color w:val="auto"/>
          <w:highlight w:val="none"/>
          <w:lang w:val="en-US" w:eastAsia="zh-CN"/>
        </w:rPr>
        <w:t>根据《住房和城乡建设部办公厅关于全面实行一级建造师电子注册证书的通知》建办市〔2021〕40号文件要求，如项目经理为一级注册建造师，则必须提供电子证书，且个人签名处手写本人签名，未手写签名或与签名图像笔迹不一致的，该电子证书无效。</w:t>
      </w:r>
    </w:p>
    <w:p w14:paraId="5A79E634">
      <w:pPr>
        <w:rPr>
          <w:rFonts w:hint="eastAsia"/>
          <w:color w:val="auto"/>
          <w:highlight w:val="none"/>
        </w:rPr>
      </w:pPr>
    </w:p>
    <w:p w14:paraId="0A02D2CC">
      <w:pPr>
        <w:bidi w:val="0"/>
        <w:rPr>
          <w:rFonts w:hint="eastAsia"/>
          <w:color w:val="auto"/>
          <w:highlight w:val="none"/>
        </w:rPr>
      </w:pPr>
    </w:p>
    <w:p w14:paraId="57C8C216">
      <w:pPr>
        <w:bidi w:val="0"/>
        <w:rPr>
          <w:rFonts w:hint="eastAsia"/>
          <w:color w:val="auto"/>
          <w:highlight w:val="none"/>
        </w:rPr>
      </w:pPr>
    </w:p>
    <w:p w14:paraId="436218A6">
      <w:pPr>
        <w:bidi w:val="0"/>
        <w:jc w:val="center"/>
        <w:rPr>
          <w:rFonts w:hint="eastAsia" w:ascii="宋体" w:hAnsi="宋体"/>
          <w:b/>
          <w:color w:val="auto"/>
          <w:sz w:val="24"/>
          <w:highlight w:val="none"/>
        </w:rPr>
      </w:pPr>
      <w:r>
        <w:rPr>
          <w:rFonts w:hint="eastAsia" w:ascii="宋体" w:hAnsi="宋体"/>
          <w:b/>
          <w:color w:val="auto"/>
          <w:sz w:val="24"/>
          <w:highlight w:val="none"/>
        </w:rPr>
        <w:t>附录</w:t>
      </w:r>
      <w:r>
        <w:rPr>
          <w:rFonts w:hint="eastAsia" w:ascii="宋体" w:hAnsi="宋体"/>
          <w:b/>
          <w:color w:val="auto"/>
          <w:sz w:val="24"/>
          <w:highlight w:val="none"/>
          <w:lang w:val="en-US" w:eastAsia="zh-CN"/>
        </w:rPr>
        <w:t>6</w:t>
      </w:r>
      <w:r>
        <w:rPr>
          <w:rFonts w:hint="eastAsia" w:ascii="宋体" w:hAnsi="宋体"/>
          <w:b/>
          <w:color w:val="auto"/>
          <w:sz w:val="24"/>
          <w:highlight w:val="none"/>
        </w:rPr>
        <w:t xml:space="preserve"> 资格审查条件(</w:t>
      </w:r>
      <w:r>
        <w:rPr>
          <w:rFonts w:hint="eastAsia" w:ascii="宋体" w:hAnsi="宋体"/>
          <w:b/>
          <w:color w:val="auto"/>
          <w:sz w:val="24"/>
          <w:highlight w:val="none"/>
          <w:lang w:val="en-US" w:eastAsia="zh-CN"/>
        </w:rPr>
        <w:t>其他要求</w:t>
      </w:r>
      <w:r>
        <w:rPr>
          <w:rFonts w:hint="eastAsia" w:ascii="宋体" w:hAnsi="宋体"/>
          <w:b/>
          <w:color w:val="auto"/>
          <w:sz w:val="24"/>
          <w:highlight w:val="none"/>
        </w:rPr>
        <w:t>)</w:t>
      </w:r>
    </w:p>
    <w:tbl>
      <w:tblPr>
        <w:tblStyle w:val="5"/>
        <w:tblpPr w:leftFromText="180" w:rightFromText="180" w:vertAnchor="text" w:horzAnchor="page" w:tblpX="1209"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2EE5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00" w:type="dxa"/>
            <w:tcBorders>
              <w:bottom w:val="single" w:color="auto" w:sz="4" w:space="0"/>
            </w:tcBorders>
            <w:noWrap w:val="0"/>
            <w:vAlign w:val="center"/>
          </w:tcPr>
          <w:p w14:paraId="52E2F80A">
            <w:pPr>
              <w:jc w:val="center"/>
              <w:rPr>
                <w:rFonts w:hint="eastAsia" w:ascii="宋体" w:hAnsi="宋体"/>
                <w:color w:val="auto"/>
                <w:szCs w:val="21"/>
                <w:highlight w:val="none"/>
              </w:rPr>
            </w:pPr>
            <w:r>
              <w:rPr>
                <w:rFonts w:hint="eastAsia" w:ascii="宋体" w:hAnsi="宋体"/>
                <w:color w:val="auto"/>
                <w:szCs w:val="21"/>
                <w:highlight w:val="none"/>
                <w:lang w:val="en-US" w:eastAsia="zh-CN"/>
              </w:rPr>
              <w:t>其他</w:t>
            </w:r>
            <w:r>
              <w:rPr>
                <w:rFonts w:hint="eastAsia" w:ascii="宋体" w:hAnsi="宋体"/>
                <w:color w:val="auto"/>
                <w:szCs w:val="21"/>
                <w:highlight w:val="none"/>
              </w:rPr>
              <w:t>要求</w:t>
            </w:r>
          </w:p>
        </w:tc>
      </w:tr>
      <w:tr w14:paraId="719E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500" w:type="dxa"/>
            <w:tcBorders>
              <w:top w:val="single" w:color="auto" w:sz="4" w:space="0"/>
            </w:tcBorders>
            <w:noWrap w:val="0"/>
            <w:vAlign w:val="center"/>
          </w:tcPr>
          <w:p w14:paraId="36F0FD5F">
            <w:pPr>
              <w:spacing w:line="240" w:lineRule="auto"/>
              <w:jc w:val="both"/>
              <w:rPr>
                <w:rFonts w:hint="eastAsia"/>
                <w:color w:val="auto"/>
                <w:highlight w:val="none"/>
              </w:rPr>
            </w:pPr>
            <w:r>
              <w:rPr>
                <w:rFonts w:hint="eastAsia" w:hAnsi="宋体"/>
                <w:color w:val="auto"/>
                <w:sz w:val="21"/>
                <w:szCs w:val="21"/>
                <w:highlight w:val="none"/>
                <w:lang w:val="en-US" w:eastAsia="zh-CN"/>
              </w:rPr>
              <w:t>投标人须为中型企业或小型企业或微型企业。</w:t>
            </w:r>
          </w:p>
        </w:tc>
      </w:tr>
    </w:tbl>
    <w:p w14:paraId="1BF8E774">
      <w:pPr>
        <w:pStyle w:val="4"/>
        <w:rPr>
          <w:color w:val="auto"/>
          <w:highlight w:val="none"/>
        </w:rPr>
      </w:pPr>
      <w:r>
        <w:rPr>
          <w:color w:val="auto"/>
          <w:highlight w:val="none"/>
        </w:rPr>
        <w:br w:type="page"/>
      </w:r>
      <w:bookmarkStart w:id="27" w:name="_Hlk63236288"/>
      <w:r>
        <w:rPr>
          <w:rFonts w:hint="eastAsia" w:ascii="Times New Roman" w:hAnsi="Times New Roman"/>
          <w:b/>
          <w:bCs/>
          <w:color w:val="auto"/>
          <w:szCs w:val="28"/>
          <w:highlight w:val="none"/>
        </w:rPr>
        <w:t>附件二：评标办法</w:t>
      </w:r>
      <w:bookmarkEnd w:id="27"/>
    </w:p>
    <w:p w14:paraId="29DB50E8">
      <w:pPr>
        <w:pStyle w:val="2"/>
        <w:spacing w:before="120" w:beforeLines="50" w:after="120" w:afterLines="50" w:line="240" w:lineRule="auto"/>
        <w:rPr>
          <w:rFonts w:hint="eastAsia" w:ascii="宋体" w:hAnsi="宋体"/>
          <w:color w:val="auto"/>
          <w:szCs w:val="24"/>
          <w:highlight w:val="none"/>
        </w:rPr>
      </w:pPr>
      <w:r>
        <w:rPr>
          <w:rFonts w:ascii="宋体" w:hAnsi="宋体"/>
          <w:color w:val="auto"/>
          <w:szCs w:val="24"/>
          <w:highlight w:val="none"/>
        </w:rPr>
        <w:t>评标办法前附表</w:t>
      </w:r>
    </w:p>
    <w:tbl>
      <w:tblPr>
        <w:tblStyle w:val="5"/>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96"/>
        <w:gridCol w:w="7183"/>
      </w:tblGrid>
      <w:tr w14:paraId="7E99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2649" w:type="dxa"/>
            <w:gridSpan w:val="2"/>
            <w:noWrap w:val="0"/>
            <w:vAlign w:val="center"/>
          </w:tcPr>
          <w:p w14:paraId="349872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color w:val="auto"/>
                <w:highlight w:val="none"/>
              </w:rPr>
            </w:pPr>
            <w:r>
              <w:rPr>
                <w:rFonts w:hint="eastAsia" w:ascii="宋体" w:hAnsi="宋体"/>
                <w:b/>
                <w:color w:val="auto"/>
                <w:szCs w:val="21"/>
                <w:highlight w:val="none"/>
              </w:rPr>
              <w:t>条款号</w:t>
            </w:r>
          </w:p>
        </w:tc>
        <w:tc>
          <w:tcPr>
            <w:tcW w:w="7183" w:type="dxa"/>
            <w:noWrap w:val="0"/>
            <w:vAlign w:val="center"/>
          </w:tcPr>
          <w:p w14:paraId="098534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color w:val="auto"/>
                <w:highlight w:val="none"/>
              </w:rPr>
            </w:pPr>
            <w:r>
              <w:rPr>
                <w:rFonts w:hint="eastAsia" w:ascii="宋体" w:hAnsi="宋体"/>
                <w:b/>
                <w:color w:val="auto"/>
                <w:szCs w:val="21"/>
                <w:highlight w:val="none"/>
              </w:rPr>
              <w:t>评审因素</w:t>
            </w:r>
            <w:r>
              <w:rPr>
                <w:rFonts w:hint="eastAsia" w:ascii="宋体" w:hAnsi="宋体"/>
                <w:b/>
                <w:color w:val="auto"/>
                <w:highlight w:val="none"/>
              </w:rPr>
              <w:t>与评审</w:t>
            </w:r>
            <w:r>
              <w:rPr>
                <w:rFonts w:hint="eastAsia" w:ascii="宋体" w:hAnsi="宋体"/>
                <w:b/>
                <w:color w:val="auto"/>
                <w:szCs w:val="21"/>
                <w:highlight w:val="none"/>
              </w:rPr>
              <w:t>标准</w:t>
            </w:r>
          </w:p>
        </w:tc>
      </w:tr>
      <w:tr w14:paraId="4CE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53" w:type="dxa"/>
            <w:noWrap w:val="0"/>
            <w:vAlign w:val="center"/>
          </w:tcPr>
          <w:p w14:paraId="5D1854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 xml:space="preserve">1 </w:t>
            </w:r>
          </w:p>
        </w:tc>
        <w:tc>
          <w:tcPr>
            <w:tcW w:w="1896" w:type="dxa"/>
            <w:noWrap w:val="0"/>
            <w:vAlign w:val="center"/>
          </w:tcPr>
          <w:p w14:paraId="5C4B97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评标办法</w:t>
            </w:r>
          </w:p>
        </w:tc>
        <w:tc>
          <w:tcPr>
            <w:tcW w:w="7183" w:type="dxa"/>
            <w:noWrap w:val="0"/>
            <w:vAlign w:val="center"/>
          </w:tcPr>
          <w:p w14:paraId="517EAF9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auto"/>
                <w:highlight w:val="none"/>
              </w:rPr>
            </w:pPr>
            <w:r>
              <w:rPr>
                <w:rFonts w:hint="eastAsia"/>
                <w:color w:val="auto"/>
                <w:highlight w:val="none"/>
              </w:rPr>
              <w:t>本次评标采用技术评分最低标价法，双信封形式。</w:t>
            </w:r>
          </w:p>
          <w:p w14:paraId="00BFB47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auto"/>
                <w:highlight w:val="none"/>
              </w:rPr>
            </w:pPr>
            <w:r>
              <w:rPr>
                <w:rFonts w:hint="eastAsia"/>
                <w:color w:val="auto"/>
                <w:highlight w:val="none"/>
              </w:rPr>
              <w:t>评标委员会首先对投标文件第一个信封(商务及技术文件)进行形式评审与响应性评审、资格评审，并对通过评审的投标文件第一个信封按照本章第 2.2 款规定的评分标准进行打分，按照得分由高到低排序。得分相等时，以满足资格审查条件“附录3资格审查条件(业绩最低条件)”的业绩数量多的优先；数量也相等时，以满足资格审查条件“附录3资格审查条件(业绩最低条件)”的业绩累计合同金额多的优先,对前3名的投标人的报价文件进行第二个信封报价评审。</w:t>
            </w:r>
          </w:p>
          <w:p w14:paraId="57E0D817">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宋体" w:cs="Times New Roman"/>
                <w:color w:val="auto"/>
                <w:highlight w:val="none"/>
                <w:lang w:val="en-US" w:eastAsia="zh-CN"/>
              </w:rPr>
            </w:pPr>
            <w:r>
              <w:rPr>
                <w:rFonts w:hint="eastAsia"/>
                <w:color w:val="auto"/>
                <w:highlight w:val="none"/>
              </w:rPr>
              <w:t>评标委员会对满足招标文件实质性要求的投标文件按评标价由低到高的顺序推荐中标候选人。评标价相等时，以第一个信封排名高的优先。评标委员会通过第一信封商务文件和技术文件评审的投标人少于3个的，评标委员会可以否决全部投标；未否决全部投标的，评标委员会应当在评标报告中阐明理由；评标委员会通过第二信封报价文件评审的投标人少于3 个的，评标委员会可以否决全部投标；未否决全部投标的，评标委员会应当在评标报告中阐明理由并推荐中标候选人。</w:t>
            </w:r>
          </w:p>
        </w:tc>
      </w:tr>
      <w:tr w14:paraId="6A9F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53" w:type="dxa"/>
            <w:noWrap w:val="0"/>
            <w:vAlign w:val="center"/>
          </w:tcPr>
          <w:p w14:paraId="3E7CC7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highlight w:val="none"/>
              </w:rPr>
            </w:pPr>
            <w:r>
              <w:rPr>
                <w:rFonts w:hint="eastAsia" w:ascii="宋体" w:hAnsi="宋体"/>
                <w:color w:val="auto"/>
                <w:highlight w:val="none"/>
              </w:rPr>
              <w:t>2.1.1</w:t>
            </w:r>
          </w:p>
          <w:p w14:paraId="3E33D6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highlight w:val="none"/>
              </w:rPr>
            </w:pPr>
            <w:r>
              <w:rPr>
                <w:rFonts w:hint="eastAsia" w:ascii="宋体" w:hAnsi="宋体"/>
                <w:color w:val="auto"/>
                <w:highlight w:val="none"/>
              </w:rPr>
              <w:t>2.1.3</w:t>
            </w:r>
          </w:p>
        </w:tc>
        <w:tc>
          <w:tcPr>
            <w:tcW w:w="1896" w:type="dxa"/>
            <w:noWrap w:val="0"/>
            <w:vAlign w:val="center"/>
          </w:tcPr>
          <w:p w14:paraId="05586C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olor w:val="auto"/>
                <w:highlight w:val="none"/>
              </w:rPr>
            </w:pPr>
            <w:r>
              <w:rPr>
                <w:rFonts w:hint="eastAsia" w:ascii="宋体" w:hAnsi="宋体"/>
                <w:color w:val="auto"/>
                <w:szCs w:val="21"/>
                <w:highlight w:val="none"/>
              </w:rPr>
              <w:t>形式评审与响应性评审标准</w:t>
            </w:r>
          </w:p>
        </w:tc>
        <w:tc>
          <w:tcPr>
            <w:tcW w:w="7183" w:type="dxa"/>
            <w:noWrap w:val="0"/>
            <w:vAlign w:val="top"/>
          </w:tcPr>
          <w:p w14:paraId="1E650C85">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第一个信封（商务文件）评审标准:</w:t>
            </w:r>
          </w:p>
          <w:p w14:paraId="5C2BF675">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eastAsia="zh-CN"/>
              </w:rPr>
              <w:t>投标文件由投标人使用“河北省公共资源交易服务平台-唐山市公共资源交易综合信息平台”的“投标文件制作工具”制作生成</w:t>
            </w:r>
            <w:r>
              <w:rPr>
                <w:rFonts w:hint="eastAsia" w:ascii="宋体" w:hAnsi="宋体"/>
                <w:b/>
                <w:bCs/>
                <w:color w:val="auto"/>
                <w:szCs w:val="21"/>
                <w:highlight w:val="none"/>
              </w:rPr>
              <w:t xml:space="preserve">。 </w:t>
            </w:r>
          </w:p>
          <w:p w14:paraId="791CD4E7">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bCs/>
                <w:color w:val="auto"/>
                <w:szCs w:val="21"/>
                <w:highlight w:val="none"/>
              </w:rPr>
            </w:pPr>
            <w:r>
              <w:rPr>
                <w:rFonts w:hint="eastAsia" w:ascii="宋体" w:hAnsi="宋体"/>
                <w:color w:val="auto"/>
                <w:szCs w:val="21"/>
                <w:highlight w:val="none"/>
              </w:rPr>
              <w:t>（2）投标人电子投标文件签字、盖章符合投标人须知3</w:t>
            </w:r>
            <w:r>
              <w:rPr>
                <w:rFonts w:ascii="宋体" w:hAnsi="宋体"/>
                <w:color w:val="auto"/>
                <w:szCs w:val="21"/>
                <w:highlight w:val="none"/>
              </w:rPr>
              <w:t>.7.3</w:t>
            </w:r>
            <w:r>
              <w:rPr>
                <w:rFonts w:hint="eastAsia" w:ascii="宋体" w:hAnsi="宋体"/>
                <w:color w:val="auto"/>
                <w:szCs w:val="21"/>
                <w:highlight w:val="none"/>
              </w:rPr>
              <w:t>（5）要求。</w:t>
            </w:r>
          </w:p>
          <w:p w14:paraId="44D0CB00">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（3）投标文件按照招标文件规定的格式、内容填写，字迹清晰可辩： </w:t>
            </w:r>
          </w:p>
          <w:p w14:paraId="0646BCDF">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a.投标函按招标文件规定填报了项目名称、标段号（如有）、补遗书编号（如有）、工期、工程质量要求及安全目标； </w:t>
            </w:r>
          </w:p>
          <w:p w14:paraId="67AD36ED">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b.投标函附录的所有数据均符合招标文件规定； </w:t>
            </w:r>
          </w:p>
          <w:p w14:paraId="6ACB849C">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c.投标文件组成齐全完整，内容均按规定填写。 </w:t>
            </w:r>
          </w:p>
          <w:p w14:paraId="782EE3A8">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（4）投标人按照招标文件的规定提供了投标保证金（</w:t>
            </w:r>
            <w:r>
              <w:rPr>
                <w:rFonts w:hint="eastAsia" w:ascii="宋体" w:hAnsi="宋体"/>
                <w:color w:val="auto"/>
                <w:szCs w:val="21"/>
                <w:highlight w:val="none"/>
                <w:lang w:val="en-US" w:eastAsia="zh-CN"/>
              </w:rPr>
              <w:t>本项目</w:t>
            </w:r>
            <w:r>
              <w:rPr>
                <w:rFonts w:hint="eastAsia" w:ascii="宋体" w:hAnsi="宋体"/>
                <w:color w:val="auto"/>
                <w:szCs w:val="21"/>
                <w:highlight w:val="none"/>
              </w:rPr>
              <w:t xml:space="preserve">不适用）： </w:t>
            </w:r>
          </w:p>
          <w:p w14:paraId="6958F14F">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（5）投标人法定代表人授权委托代理人签署投标文件的，需提交授权委托书，授权委托书符合招标文件要求。</w:t>
            </w:r>
          </w:p>
          <w:p w14:paraId="7907E97B">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（6）投标人法定代表人亲自签署投标文件的，提供法定代表人身份证明，法定代表人身份证明符合招标文件要求。 </w:t>
            </w:r>
          </w:p>
          <w:p w14:paraId="797E8EEB">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（7）投标人未以联合体形式投标。 </w:t>
            </w:r>
          </w:p>
          <w:p w14:paraId="379023DC">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（8）投标人未提出分包计划。 </w:t>
            </w:r>
          </w:p>
          <w:p w14:paraId="5727D0FE">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（9）同一投标人未提交两个以上不同的投标文件。 </w:t>
            </w:r>
          </w:p>
          <w:p w14:paraId="52292A0B">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lang w:eastAsia="zh-CN"/>
              </w:rPr>
              <w:t>投标文件（第一信封 商务部分）中未出现有关投标报价的内容</w:t>
            </w:r>
            <w:r>
              <w:rPr>
                <w:rFonts w:hint="eastAsia" w:ascii="宋体" w:hAnsi="宋体"/>
                <w:color w:val="auto"/>
                <w:szCs w:val="21"/>
                <w:highlight w:val="none"/>
              </w:rPr>
              <w:t xml:space="preserve">。 </w:t>
            </w:r>
          </w:p>
          <w:p w14:paraId="680FC634">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（11）投标文件载明的招标项目完成期限未超过招标文件规定的时限。 </w:t>
            </w:r>
          </w:p>
          <w:p w14:paraId="3D3EBD08">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ascii="宋体" w:hAnsi="宋体"/>
                <w:color w:val="auto"/>
                <w:szCs w:val="21"/>
                <w:highlight w:val="none"/>
              </w:rPr>
            </w:pPr>
            <w:r>
              <w:rPr>
                <w:rFonts w:hint="eastAsia" w:ascii="宋体" w:hAnsi="宋体"/>
                <w:color w:val="auto"/>
                <w:szCs w:val="21"/>
                <w:highlight w:val="none"/>
              </w:rPr>
              <w:t xml:space="preserve">（12）投标文件对招标文件的实质性要求和条件作出响应。 </w:t>
            </w:r>
          </w:p>
          <w:p w14:paraId="5AA0078A">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）权利义务符合招标文件规定： </w:t>
            </w:r>
          </w:p>
          <w:p w14:paraId="2D44E4DF">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a.投标人应接受招标文件规定的风险划分原则，未提出新的风险划分办法； </w:t>
            </w:r>
          </w:p>
          <w:p w14:paraId="5E65388A">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b.投标人未增加发包人的责任范围，或减少投标人义务； </w:t>
            </w:r>
          </w:p>
          <w:p w14:paraId="03390857">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c.投标人未提出不同的工程验收、计量、支付办法； </w:t>
            </w:r>
          </w:p>
          <w:p w14:paraId="6D49B8B8">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d.投标人对合同纠纷、事故处理办法未提出异议； </w:t>
            </w:r>
          </w:p>
          <w:p w14:paraId="781F9AFA">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e.投标人在投标活动中无欺诈行为；</w:t>
            </w:r>
          </w:p>
          <w:p w14:paraId="2D8FB750">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f.投标人未对合同条款有重要保留。 </w:t>
            </w:r>
          </w:p>
          <w:p w14:paraId="64520C36">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）投标人名称与营业执照、资质证书</w:t>
            </w:r>
            <w:r>
              <w:rPr>
                <w:rFonts w:hint="eastAsia" w:ascii="宋体" w:hAnsi="宋体"/>
                <w:color w:val="auto"/>
                <w:szCs w:val="21"/>
                <w:highlight w:val="none"/>
                <w:lang w:val="en-US" w:eastAsia="zh-CN"/>
              </w:rPr>
              <w:t>名称一致</w:t>
            </w:r>
            <w:r>
              <w:rPr>
                <w:rFonts w:hint="eastAsia" w:ascii="宋体" w:hAnsi="宋体"/>
                <w:color w:val="auto"/>
                <w:szCs w:val="21"/>
                <w:highlight w:val="none"/>
                <w:lang w:eastAsia="zh-CN"/>
              </w:rPr>
              <w:t>，</w:t>
            </w:r>
            <w:r>
              <w:rPr>
                <w:rFonts w:hint="eastAsia" w:ascii="宋体" w:hAnsi="宋体"/>
                <w:color w:val="auto"/>
                <w:szCs w:val="21"/>
                <w:highlight w:val="none"/>
              </w:rPr>
              <w:t>如企业名称有变更的，应提变更记录或相关部门的合法批件复印件。</w:t>
            </w:r>
          </w:p>
          <w:p w14:paraId="65439239">
            <w:pPr>
              <w:pStyle w:val="3"/>
              <w:rPr>
                <w:rFonts w:hint="eastAsia"/>
                <w:color w:val="auto"/>
                <w:highlight w:val="none"/>
              </w:rPr>
            </w:pPr>
            <w:r>
              <w:rPr>
                <w:rFonts w:hint="eastAsia"/>
                <w:b/>
                <w:bCs/>
                <w:color w:val="auto"/>
                <w:highlight w:val="none"/>
              </w:rPr>
              <w:t>第一个信封（技术文件）评审标准：</w:t>
            </w:r>
          </w:p>
          <w:p w14:paraId="26111A22">
            <w:pPr>
              <w:pStyle w:val="3"/>
              <w:rPr>
                <w:rFonts w:hint="eastAsia"/>
                <w:color w:val="auto"/>
                <w:highlight w:val="none"/>
              </w:rPr>
            </w:pPr>
            <w:r>
              <w:rPr>
                <w:rFonts w:hint="eastAsia"/>
                <w:color w:val="auto"/>
                <w:highlight w:val="none"/>
              </w:rPr>
              <w:t>（1）投标文件技术文件暗标编制要求符合投标人须知3.7.3（7）规定。</w:t>
            </w:r>
          </w:p>
          <w:p w14:paraId="5B6C2C33">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color w:val="auto"/>
                <w:szCs w:val="21"/>
                <w:highlight w:val="none"/>
              </w:rPr>
            </w:pPr>
            <w:r>
              <w:rPr>
                <w:rFonts w:hint="eastAsia" w:ascii="宋体" w:hAnsi="宋体"/>
                <w:b/>
                <w:color w:val="auto"/>
                <w:szCs w:val="21"/>
                <w:highlight w:val="none"/>
              </w:rPr>
              <w:t>第二个信封（报价文件）评审标准：</w:t>
            </w:r>
          </w:p>
          <w:p w14:paraId="3F22D3D4">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eastAsia="zh-CN"/>
              </w:rPr>
              <w:t>投标文件由投标人使用“河北省公共资源交易服务平台-唐山市公共资源交易综合信息平台”的“投标文件制作工具”制作生成。</w:t>
            </w:r>
          </w:p>
          <w:p w14:paraId="2D8A219F">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bCs/>
                <w:color w:val="auto"/>
                <w:szCs w:val="21"/>
                <w:highlight w:val="none"/>
              </w:rPr>
            </w:pPr>
            <w:r>
              <w:rPr>
                <w:rFonts w:hint="eastAsia" w:ascii="宋体" w:hAnsi="宋体"/>
                <w:color w:val="auto"/>
                <w:szCs w:val="21"/>
                <w:highlight w:val="none"/>
              </w:rPr>
              <w:t>（2）投标人电子投标文件签字、盖章符合投标人须知3</w:t>
            </w:r>
            <w:r>
              <w:rPr>
                <w:rFonts w:ascii="宋体" w:hAnsi="宋体"/>
                <w:color w:val="auto"/>
                <w:szCs w:val="21"/>
                <w:highlight w:val="none"/>
              </w:rPr>
              <w:t>.7.3</w:t>
            </w:r>
            <w:r>
              <w:rPr>
                <w:rFonts w:hint="eastAsia" w:ascii="宋体" w:hAnsi="宋体"/>
                <w:color w:val="auto"/>
                <w:szCs w:val="21"/>
                <w:highlight w:val="none"/>
              </w:rPr>
              <w:t>（5）要求</w:t>
            </w:r>
            <w:r>
              <w:rPr>
                <w:rFonts w:hint="eastAsia"/>
                <w:b/>
                <w:bCs/>
                <w:color w:val="auto"/>
                <w:highlight w:val="none"/>
              </w:rPr>
              <w:t>。</w:t>
            </w:r>
            <w:r>
              <w:rPr>
                <w:rFonts w:hint="eastAsia" w:ascii="宋体" w:hAnsi="宋体"/>
                <w:b/>
                <w:bCs/>
                <w:color w:val="auto"/>
                <w:szCs w:val="21"/>
                <w:highlight w:val="none"/>
              </w:rPr>
              <w:t xml:space="preserve"> </w:t>
            </w:r>
          </w:p>
          <w:p w14:paraId="350116DF">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（3）投标文件按照招标文件规定的格式、内容填写，字迹清晰可辨；</w:t>
            </w:r>
          </w:p>
          <w:p w14:paraId="72180351">
            <w:pPr>
              <w:keepNext w:val="0"/>
              <w:keepLines w:val="0"/>
              <w:pageBreakBefore w:val="0"/>
              <w:widowControl w:val="0"/>
              <w:tabs>
                <w:tab w:val="left" w:pos="3060"/>
              </w:tabs>
              <w:kinsoku/>
              <w:wordWrap/>
              <w:overflowPunct/>
              <w:topLinePunct w:val="0"/>
              <w:autoSpaceDE/>
              <w:autoSpaceDN/>
              <w:bidi w:val="0"/>
              <w:adjustRightInd/>
              <w:snapToGrid/>
              <w:spacing w:line="280" w:lineRule="exact"/>
              <w:ind w:left="210"/>
              <w:textAlignment w:val="auto"/>
              <w:rPr>
                <w:rFonts w:hint="eastAsia" w:ascii="宋体" w:hAnsi="宋体"/>
                <w:color w:val="auto"/>
                <w:szCs w:val="21"/>
                <w:highlight w:val="none"/>
              </w:rPr>
            </w:pPr>
            <w:r>
              <w:rPr>
                <w:rFonts w:hint="eastAsia" w:ascii="宋体" w:hAnsi="宋体"/>
                <w:color w:val="auto"/>
                <w:szCs w:val="21"/>
                <w:highlight w:val="none"/>
              </w:rPr>
              <w:t xml:space="preserve">a.投标函按照招标文件规定填报了项目名称、标段号（如有）、补遗书编号（如有）、投标价（包括大写金额和小写金额）； </w:t>
            </w:r>
          </w:p>
          <w:p w14:paraId="4FFD71CA">
            <w:pPr>
              <w:keepNext w:val="0"/>
              <w:keepLines w:val="0"/>
              <w:pageBreakBefore w:val="0"/>
              <w:widowControl w:val="0"/>
              <w:tabs>
                <w:tab w:val="left" w:pos="3060"/>
              </w:tabs>
              <w:kinsoku/>
              <w:wordWrap/>
              <w:overflowPunct/>
              <w:topLinePunct w:val="0"/>
              <w:autoSpaceDE/>
              <w:autoSpaceDN/>
              <w:bidi w:val="0"/>
              <w:adjustRightInd/>
              <w:snapToGrid/>
              <w:spacing w:line="280" w:lineRule="exact"/>
              <w:ind w:left="210"/>
              <w:textAlignment w:val="auto"/>
              <w:rPr>
                <w:rFonts w:hint="eastAsia" w:ascii="宋体" w:hAnsi="宋体"/>
                <w:color w:val="auto"/>
                <w:szCs w:val="21"/>
                <w:highlight w:val="none"/>
              </w:rPr>
            </w:pPr>
            <w:r>
              <w:rPr>
                <w:rFonts w:hint="eastAsia" w:ascii="宋体" w:hAnsi="宋体"/>
                <w:color w:val="auto"/>
                <w:szCs w:val="21"/>
                <w:highlight w:val="none"/>
              </w:rPr>
              <w:t>b.已标价工程量清单说明文字与招标文件规定一致，未进行实质性修改和删减；</w:t>
            </w:r>
          </w:p>
          <w:p w14:paraId="3B433C85">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c．投标文件组成齐全完整，内容均按规定填写。</w:t>
            </w:r>
          </w:p>
          <w:p w14:paraId="0FA5AE4B">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（4）投标报价中的报价未超过招标文件设定的最高投标限价。 </w:t>
            </w:r>
          </w:p>
          <w:p w14:paraId="44D5337C">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（5）投标报价中报价的大写金额能够确定具体数值。 </w:t>
            </w:r>
          </w:p>
          <w:p w14:paraId="21DFB9A5">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（6）同一投标人对同一项目未提交两个以上不同的投标报价。 </w:t>
            </w:r>
          </w:p>
          <w:p w14:paraId="10A2A5B8">
            <w:pPr>
              <w:keepNext w:val="0"/>
              <w:keepLines w:val="0"/>
              <w:pageBreakBefore w:val="0"/>
              <w:widowControl w:val="0"/>
              <w:tabs>
                <w:tab w:val="left" w:pos="3060"/>
              </w:tabs>
              <w:kinsoku/>
              <w:wordWrap/>
              <w:overflowPunct/>
              <w:topLinePunct w:val="0"/>
              <w:autoSpaceDE/>
              <w:autoSpaceDN/>
              <w:bidi w:val="0"/>
              <w:adjustRightInd/>
              <w:snapToGrid/>
              <w:spacing w:line="280" w:lineRule="exact"/>
              <w:textAlignment w:val="auto"/>
              <w:rPr>
                <w:rFonts w:hint="eastAsia" w:ascii="宋体" w:hAnsi="宋体"/>
                <w:b/>
                <w:color w:val="auto"/>
                <w:szCs w:val="21"/>
                <w:highlight w:val="none"/>
              </w:rPr>
            </w:pPr>
            <w:r>
              <w:rPr>
                <w:rFonts w:hint="eastAsia" w:ascii="宋体" w:hAnsi="宋体"/>
                <w:color w:val="auto"/>
                <w:szCs w:val="21"/>
                <w:highlight w:val="none"/>
              </w:rPr>
              <w:t xml:space="preserve">（7）投标人若填写工程量固化清单，填写完毕的工程量固化清单未对工程量固化清单电子文件中的数据、格式和运算定义进行修改；工程量固化清单中的投标报价和投标函中大写金额报价一致。 </w:t>
            </w:r>
          </w:p>
        </w:tc>
      </w:tr>
      <w:tr w14:paraId="1C20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67F324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highlight w:val="none"/>
              </w:rPr>
            </w:pPr>
            <w:r>
              <w:rPr>
                <w:rFonts w:hint="eastAsia" w:ascii="宋体" w:hAnsi="宋体"/>
                <w:color w:val="auto"/>
                <w:highlight w:val="none"/>
              </w:rPr>
              <w:t>2.1.2</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64CFC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olor w:val="auto"/>
                <w:szCs w:val="21"/>
                <w:highlight w:val="none"/>
              </w:rPr>
            </w:pPr>
            <w:r>
              <w:rPr>
                <w:rFonts w:hint="eastAsia" w:ascii="宋体" w:hAnsi="宋体"/>
                <w:color w:val="auto"/>
                <w:szCs w:val="21"/>
                <w:highlight w:val="none"/>
              </w:rPr>
              <w:t>资格评审标准</w:t>
            </w:r>
          </w:p>
        </w:tc>
        <w:tc>
          <w:tcPr>
            <w:tcW w:w="7183" w:type="dxa"/>
            <w:tcBorders>
              <w:top w:val="single" w:color="auto" w:sz="4" w:space="0"/>
              <w:left w:val="single" w:color="auto" w:sz="4" w:space="0"/>
              <w:bottom w:val="single" w:color="auto" w:sz="4" w:space="0"/>
              <w:right w:val="single" w:color="auto" w:sz="4" w:space="0"/>
            </w:tcBorders>
            <w:noWrap w:val="0"/>
            <w:vAlign w:val="top"/>
          </w:tcPr>
          <w:p w14:paraId="07267733">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（1）投标人具备有效的营业执照、组织机构代码证（三证合一的不需要提供）、资质证书；</w:t>
            </w:r>
          </w:p>
          <w:p w14:paraId="3A58364F">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（2）投标人的资质等级符合招标文件规定；</w:t>
            </w:r>
          </w:p>
          <w:p w14:paraId="63CC3FDA">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（3）投标人的财务状况应符合招标文件规定；</w:t>
            </w:r>
          </w:p>
          <w:p w14:paraId="585BA306">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（4）投标人的类似项目业绩符合招标文件规定；</w:t>
            </w:r>
          </w:p>
          <w:p w14:paraId="1D8D6A58">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（5）投标人的信誉符合招标文件规定；</w:t>
            </w:r>
          </w:p>
          <w:p w14:paraId="1DE6D803">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rPr>
              <w:t>（6）投标人的项目经理和项目总工资格符合招标文件规定；</w:t>
            </w:r>
          </w:p>
          <w:p w14:paraId="55199199">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Times New Roman" w:hAnsi="Times New Roman" w:eastAsia="宋体" w:cs="Times New Roman"/>
                <w:color w:val="auto"/>
                <w:highlight w:val="none"/>
                <w:lang w:val="en-US" w:eastAsia="zh-CN"/>
              </w:rPr>
              <w:t>投标人的其他要求符合招标文件规定；</w:t>
            </w:r>
          </w:p>
          <w:p w14:paraId="3E05ADBB">
            <w:pPr>
              <w:keepNext w:val="0"/>
              <w:keepLines w:val="0"/>
              <w:pageBreakBefore w:val="0"/>
              <w:widowControl w:val="0"/>
              <w:tabs>
                <w:tab w:val="left" w:pos="3060"/>
              </w:tabs>
              <w:kinsoku/>
              <w:wordWrap/>
              <w:overflowPunct/>
              <w:topLinePunct w:val="0"/>
              <w:autoSpaceDE/>
              <w:autoSpaceDN/>
              <w:bidi w:val="0"/>
              <w:adjustRightInd/>
              <w:snapToGrid/>
              <w:spacing w:line="280" w:lineRule="exact"/>
              <w:ind w:firstLine="105" w:firstLineChars="50"/>
              <w:textAlignment w:val="auto"/>
              <w:rPr>
                <w:rFonts w:hint="eastAsia"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）投标人不存在第二章“投标人须知”第1.4.3项或第1.4.4项规定的任何一种情形。</w:t>
            </w:r>
          </w:p>
        </w:tc>
      </w:tr>
    </w:tbl>
    <w:p w14:paraId="32A27C49">
      <w:pPr>
        <w:pStyle w:val="8"/>
        <w:rPr>
          <w:rFonts w:hint="eastAsia"/>
          <w:color w:val="auto"/>
          <w:highlight w:val="none"/>
        </w:rPr>
      </w:pPr>
      <w:r>
        <w:rPr>
          <w:rFonts w:hint="eastAsia"/>
          <w:color w:val="auto"/>
          <w:highlight w:val="none"/>
        </w:rPr>
        <w:br w:type="page"/>
      </w:r>
    </w:p>
    <w:tbl>
      <w:tblPr>
        <w:tblStyle w:val="5"/>
        <w:tblW w:w="957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83"/>
        <w:gridCol w:w="940"/>
        <w:gridCol w:w="1179"/>
        <w:gridCol w:w="1549"/>
        <w:gridCol w:w="1193"/>
        <w:gridCol w:w="3734"/>
      </w:tblGrid>
      <w:tr w14:paraId="5CD3C3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983" w:type="dxa"/>
            <w:noWrap w:val="0"/>
            <w:vAlign w:val="center"/>
          </w:tcPr>
          <w:p w14:paraId="44ADD554">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119" w:type="dxa"/>
            <w:gridSpan w:val="2"/>
            <w:noWrap w:val="0"/>
            <w:vAlign w:val="center"/>
          </w:tcPr>
          <w:p w14:paraId="4A859C60">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条款内容</w:t>
            </w:r>
          </w:p>
        </w:tc>
        <w:tc>
          <w:tcPr>
            <w:tcW w:w="6476" w:type="dxa"/>
            <w:gridSpan w:val="3"/>
            <w:noWrap w:val="0"/>
            <w:vAlign w:val="center"/>
          </w:tcPr>
          <w:p w14:paraId="3D0F5F5C">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编 列 内 容</w:t>
            </w:r>
          </w:p>
        </w:tc>
      </w:tr>
      <w:tr w14:paraId="35CB7C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4" w:hRule="atLeast"/>
          <w:jc w:val="center"/>
        </w:trPr>
        <w:tc>
          <w:tcPr>
            <w:tcW w:w="983" w:type="dxa"/>
            <w:noWrap w:val="0"/>
            <w:vAlign w:val="center"/>
          </w:tcPr>
          <w:p w14:paraId="3030AC02">
            <w:pPr>
              <w:spacing w:line="360" w:lineRule="exact"/>
              <w:ind w:right="113"/>
              <w:jc w:val="center"/>
              <w:rPr>
                <w:rFonts w:hint="eastAsia" w:ascii="宋体" w:hAnsi="宋体"/>
                <w:color w:val="auto"/>
                <w:szCs w:val="21"/>
                <w:highlight w:val="none"/>
              </w:rPr>
            </w:pPr>
            <w:r>
              <w:rPr>
                <w:rFonts w:hint="eastAsia" w:ascii="宋体" w:hAnsi="宋体"/>
                <w:color w:val="auto"/>
                <w:szCs w:val="21"/>
                <w:highlight w:val="none"/>
              </w:rPr>
              <w:t>2.2.1</w:t>
            </w:r>
          </w:p>
        </w:tc>
        <w:tc>
          <w:tcPr>
            <w:tcW w:w="2119" w:type="dxa"/>
            <w:gridSpan w:val="2"/>
            <w:noWrap w:val="0"/>
            <w:vAlign w:val="center"/>
          </w:tcPr>
          <w:p w14:paraId="46E337F9">
            <w:pPr>
              <w:ind w:left="113" w:right="113"/>
              <w:jc w:val="center"/>
              <w:rPr>
                <w:rFonts w:hint="eastAsia" w:ascii="宋体" w:hAnsi="宋体"/>
                <w:color w:val="auto"/>
                <w:szCs w:val="21"/>
                <w:highlight w:val="none"/>
              </w:rPr>
            </w:pPr>
            <w:r>
              <w:rPr>
                <w:rFonts w:ascii="宋体" w:hAnsi="宋体"/>
                <w:color w:val="auto"/>
                <w:szCs w:val="21"/>
                <w:highlight w:val="none"/>
              </w:rPr>
              <w:t>第一个信封评分分值构</w:t>
            </w:r>
            <w:r>
              <w:rPr>
                <w:rFonts w:hint="eastAsia" w:ascii="宋体" w:hAnsi="宋体"/>
                <w:color w:val="auto"/>
                <w:szCs w:val="21"/>
                <w:highlight w:val="none"/>
              </w:rPr>
              <w:t>成</w:t>
            </w:r>
          </w:p>
          <w:p w14:paraId="2AB5A39F">
            <w:pPr>
              <w:ind w:right="113"/>
              <w:jc w:val="center"/>
              <w:rPr>
                <w:color w:val="auto"/>
                <w:highlight w:val="none"/>
              </w:rPr>
            </w:pPr>
            <w:r>
              <w:rPr>
                <w:rFonts w:hint="eastAsia" w:ascii="宋体" w:hAnsi="宋体"/>
                <w:color w:val="auto"/>
                <w:szCs w:val="21"/>
                <w:highlight w:val="none"/>
              </w:rPr>
              <w:t>(总分100分)</w:t>
            </w:r>
          </w:p>
        </w:tc>
        <w:tc>
          <w:tcPr>
            <w:tcW w:w="6476" w:type="dxa"/>
            <w:gridSpan w:val="3"/>
            <w:noWrap w:val="0"/>
            <w:vAlign w:val="center"/>
          </w:tcPr>
          <w:p w14:paraId="001B7C7B">
            <w:pPr>
              <w:ind w:right="113"/>
              <w:rPr>
                <w:rFonts w:hint="eastAsia" w:ascii="宋体" w:hAnsi="宋体"/>
                <w:color w:val="auto"/>
                <w:highlight w:val="none"/>
              </w:rPr>
            </w:pPr>
            <w:r>
              <w:rPr>
                <w:color w:val="auto"/>
                <w:highlight w:val="none"/>
              </w:rPr>
              <w:t>施工</w:t>
            </w:r>
            <w:r>
              <w:rPr>
                <w:color w:val="auto"/>
                <w:spacing w:val="-3"/>
                <w:highlight w:val="none"/>
              </w:rPr>
              <w:t>组</w:t>
            </w:r>
            <w:r>
              <w:rPr>
                <w:color w:val="auto"/>
                <w:highlight w:val="none"/>
              </w:rPr>
              <w:t>织</w:t>
            </w:r>
            <w:r>
              <w:rPr>
                <w:color w:val="auto"/>
                <w:spacing w:val="-3"/>
                <w:highlight w:val="none"/>
              </w:rPr>
              <w:t>设</w:t>
            </w:r>
            <w:r>
              <w:rPr>
                <w:rFonts w:ascii="宋体" w:hAnsi="宋体"/>
                <w:color w:val="auto"/>
                <w:highlight w:val="none"/>
              </w:rPr>
              <w:t>计</w:t>
            </w:r>
            <w:r>
              <w:rPr>
                <w:rFonts w:ascii="宋体" w:hAnsi="宋体"/>
                <w:color w:val="auto"/>
                <w:spacing w:val="-3"/>
                <w:highlight w:val="none"/>
              </w:rPr>
              <w:t>：</w:t>
            </w:r>
            <w:r>
              <w:rPr>
                <w:rFonts w:hint="eastAsia" w:ascii="宋体" w:hAnsi="宋体"/>
                <w:color w:val="auto"/>
                <w:spacing w:val="-3"/>
                <w:highlight w:val="none"/>
                <w:u w:val="single"/>
              </w:rPr>
              <w:t>60</w:t>
            </w:r>
            <w:r>
              <w:rPr>
                <w:rFonts w:ascii="宋体" w:hAnsi="宋体"/>
                <w:color w:val="auto"/>
                <w:highlight w:val="none"/>
              </w:rPr>
              <w:t>分</w:t>
            </w:r>
            <w:r>
              <w:rPr>
                <w:rFonts w:hint="eastAsia" w:ascii="宋体" w:hAnsi="宋体"/>
                <w:color w:val="auto"/>
                <w:highlight w:val="none"/>
              </w:rPr>
              <w:t>；</w:t>
            </w:r>
          </w:p>
          <w:p w14:paraId="2326E360">
            <w:pPr>
              <w:ind w:right="113"/>
              <w:rPr>
                <w:rFonts w:hint="eastAsia" w:ascii="宋体" w:hAnsi="宋体"/>
                <w:color w:val="auto"/>
                <w:highlight w:val="none"/>
              </w:rPr>
            </w:pPr>
            <w:r>
              <w:rPr>
                <w:rFonts w:ascii="宋体" w:hAnsi="宋体"/>
                <w:color w:val="auto"/>
                <w:highlight w:val="none"/>
              </w:rPr>
              <w:t>主要</w:t>
            </w:r>
            <w:r>
              <w:rPr>
                <w:rFonts w:ascii="宋体" w:hAnsi="宋体"/>
                <w:color w:val="auto"/>
                <w:spacing w:val="-3"/>
                <w:highlight w:val="none"/>
              </w:rPr>
              <w:t>人</w:t>
            </w:r>
            <w:r>
              <w:rPr>
                <w:rFonts w:ascii="宋体" w:hAnsi="宋体"/>
                <w:color w:val="auto"/>
                <w:highlight w:val="none"/>
              </w:rPr>
              <w:t>员</w:t>
            </w:r>
            <w:r>
              <w:rPr>
                <w:rFonts w:ascii="宋体" w:hAnsi="宋体"/>
                <w:color w:val="auto"/>
                <w:spacing w:val="-3"/>
                <w:highlight w:val="none"/>
              </w:rPr>
              <w:t>：</w:t>
            </w:r>
            <w:r>
              <w:rPr>
                <w:rFonts w:hint="eastAsia" w:ascii="宋体" w:hAnsi="宋体"/>
                <w:color w:val="auto"/>
                <w:spacing w:val="-3"/>
                <w:highlight w:val="none"/>
                <w:u w:val="single"/>
              </w:rPr>
              <w:t xml:space="preserve"> 20 </w:t>
            </w:r>
            <w:r>
              <w:rPr>
                <w:rFonts w:ascii="宋体" w:hAnsi="宋体"/>
                <w:color w:val="auto"/>
                <w:highlight w:val="none"/>
              </w:rPr>
              <w:t>分</w:t>
            </w:r>
            <w:r>
              <w:rPr>
                <w:rFonts w:hint="eastAsia" w:ascii="宋体" w:hAnsi="宋体"/>
                <w:color w:val="auto"/>
                <w:highlight w:val="none"/>
              </w:rPr>
              <w:t>；</w:t>
            </w:r>
          </w:p>
          <w:p w14:paraId="3C852657">
            <w:pPr>
              <w:ind w:right="113"/>
              <w:rPr>
                <w:rFonts w:hint="eastAsia" w:ascii="宋体" w:hAnsi="宋体"/>
                <w:color w:val="auto"/>
                <w:highlight w:val="none"/>
              </w:rPr>
            </w:pPr>
            <w:r>
              <w:rPr>
                <w:rFonts w:hint="eastAsia" w:ascii="宋体" w:hAnsi="宋体"/>
                <w:color w:val="auto"/>
                <w:highlight w:val="none"/>
              </w:rPr>
              <w:t>其它因素</w:t>
            </w:r>
            <w:r>
              <w:rPr>
                <w:rFonts w:ascii="宋体" w:hAnsi="宋体"/>
                <w:color w:val="auto"/>
                <w:highlight w:val="none"/>
              </w:rPr>
              <w:t>：</w:t>
            </w:r>
            <w:r>
              <w:rPr>
                <w:rFonts w:hint="eastAsia" w:ascii="宋体" w:hAnsi="宋体"/>
                <w:color w:val="auto"/>
                <w:highlight w:val="none"/>
                <w:u w:val="single"/>
              </w:rPr>
              <w:t>20</w:t>
            </w:r>
            <w:r>
              <w:rPr>
                <w:rFonts w:hint="eastAsia" w:ascii="宋体" w:hAnsi="宋体"/>
                <w:color w:val="auto"/>
                <w:highlight w:val="none"/>
              </w:rPr>
              <w:t xml:space="preserve">分 </w:t>
            </w:r>
          </w:p>
        </w:tc>
      </w:tr>
      <w:tr w14:paraId="3D8951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983" w:type="dxa"/>
            <w:noWrap w:val="0"/>
            <w:vAlign w:val="center"/>
          </w:tcPr>
          <w:p w14:paraId="55726F3D">
            <w:pPr>
              <w:spacing w:line="360" w:lineRule="exact"/>
              <w:ind w:right="113"/>
              <w:jc w:val="center"/>
              <w:rPr>
                <w:rFonts w:ascii="宋体" w:hAnsi="宋体"/>
                <w:color w:val="auto"/>
                <w:szCs w:val="21"/>
                <w:highlight w:val="none"/>
              </w:rPr>
            </w:pPr>
            <w:r>
              <w:rPr>
                <w:rFonts w:ascii="宋体" w:hAnsi="宋体"/>
                <w:color w:val="auto"/>
                <w:szCs w:val="21"/>
                <w:highlight w:val="none"/>
              </w:rPr>
              <w:t>2.2.3</w:t>
            </w:r>
          </w:p>
        </w:tc>
        <w:tc>
          <w:tcPr>
            <w:tcW w:w="2119" w:type="dxa"/>
            <w:gridSpan w:val="2"/>
            <w:noWrap w:val="0"/>
            <w:vAlign w:val="center"/>
          </w:tcPr>
          <w:p w14:paraId="0F2B7B8D">
            <w:pPr>
              <w:pStyle w:val="10"/>
              <w:ind w:left="112" w:right="99"/>
              <w:jc w:val="center"/>
              <w:rPr>
                <w:color w:val="auto"/>
                <w:sz w:val="21"/>
                <w:highlight w:val="none"/>
              </w:rPr>
            </w:pPr>
            <w:r>
              <w:rPr>
                <w:color w:val="auto"/>
                <w:sz w:val="21"/>
                <w:highlight w:val="none"/>
              </w:rPr>
              <w:t>第二个信封详细评审标准</w:t>
            </w:r>
          </w:p>
        </w:tc>
        <w:tc>
          <w:tcPr>
            <w:tcW w:w="6476" w:type="dxa"/>
            <w:gridSpan w:val="3"/>
            <w:noWrap w:val="0"/>
            <w:vAlign w:val="center"/>
          </w:tcPr>
          <w:p w14:paraId="6A750F20">
            <w:pPr>
              <w:pStyle w:val="10"/>
              <w:spacing w:before="89"/>
              <w:ind w:left="104"/>
              <w:rPr>
                <w:color w:val="auto"/>
                <w:sz w:val="21"/>
                <w:highlight w:val="none"/>
              </w:rPr>
            </w:pPr>
            <w:r>
              <w:rPr>
                <w:color w:val="auto"/>
                <w:sz w:val="21"/>
                <w:highlight w:val="none"/>
              </w:rPr>
              <w:t>评标价计算公式：</w:t>
            </w:r>
          </w:p>
          <w:p w14:paraId="331B9E40">
            <w:pPr>
              <w:pStyle w:val="10"/>
              <w:spacing w:before="89"/>
              <w:ind w:left="104"/>
              <w:rPr>
                <w:rFonts w:ascii="Times New Roman" w:hAnsi="Times New Roman"/>
                <w:color w:val="auto"/>
                <w:sz w:val="21"/>
                <w:highlight w:val="none"/>
              </w:rPr>
            </w:pPr>
            <w:r>
              <w:rPr>
                <w:color w:val="auto"/>
                <w:sz w:val="21"/>
                <w:highlight w:val="none"/>
              </w:rPr>
              <w:t>评标价＝投标函文字报价</w:t>
            </w:r>
          </w:p>
        </w:tc>
      </w:tr>
      <w:tr w14:paraId="3F2B67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9" w:hRule="atLeast"/>
          <w:jc w:val="center"/>
        </w:trPr>
        <w:tc>
          <w:tcPr>
            <w:tcW w:w="983" w:type="dxa"/>
            <w:noWrap w:val="0"/>
            <w:vAlign w:val="center"/>
          </w:tcPr>
          <w:p w14:paraId="0D3F68BC">
            <w:pPr>
              <w:spacing w:line="360" w:lineRule="exact"/>
              <w:ind w:right="113"/>
              <w:jc w:val="center"/>
              <w:rPr>
                <w:rFonts w:ascii="宋体" w:hAnsi="宋体"/>
                <w:color w:val="auto"/>
                <w:szCs w:val="21"/>
                <w:highlight w:val="none"/>
              </w:rPr>
            </w:pPr>
            <w:r>
              <w:rPr>
                <w:rFonts w:hint="eastAsia" w:ascii="宋体" w:hAnsi="宋体"/>
                <w:color w:val="auto"/>
                <w:szCs w:val="21"/>
                <w:highlight w:val="none"/>
              </w:rPr>
              <w:t>3.2.4</w:t>
            </w:r>
          </w:p>
        </w:tc>
        <w:tc>
          <w:tcPr>
            <w:tcW w:w="2119" w:type="dxa"/>
            <w:gridSpan w:val="2"/>
            <w:noWrap w:val="0"/>
            <w:vAlign w:val="center"/>
          </w:tcPr>
          <w:p w14:paraId="308B882F">
            <w:pPr>
              <w:pStyle w:val="10"/>
              <w:spacing w:before="1" w:line="360" w:lineRule="exact"/>
              <w:jc w:val="center"/>
              <w:rPr>
                <w:rFonts w:hint="eastAsia"/>
                <w:color w:val="auto"/>
                <w:sz w:val="21"/>
                <w:highlight w:val="none"/>
              </w:rPr>
            </w:pPr>
            <w:r>
              <w:rPr>
                <w:color w:val="auto"/>
                <w:sz w:val="21"/>
                <w:highlight w:val="none"/>
              </w:rPr>
              <w:t>通过第一个信封</w:t>
            </w:r>
          </w:p>
          <w:p w14:paraId="25BFAB68">
            <w:pPr>
              <w:pStyle w:val="10"/>
              <w:spacing w:before="1" w:line="360" w:lineRule="exact"/>
              <w:jc w:val="center"/>
              <w:rPr>
                <w:color w:val="auto"/>
                <w:sz w:val="20"/>
                <w:highlight w:val="none"/>
              </w:rPr>
            </w:pPr>
            <w:r>
              <w:rPr>
                <w:color w:val="auto"/>
                <w:sz w:val="21"/>
                <w:highlight w:val="none"/>
              </w:rPr>
              <w:t>详细评审的投标人数量</w:t>
            </w:r>
          </w:p>
        </w:tc>
        <w:tc>
          <w:tcPr>
            <w:tcW w:w="6476" w:type="dxa"/>
            <w:gridSpan w:val="3"/>
            <w:noWrap w:val="0"/>
            <w:vAlign w:val="center"/>
          </w:tcPr>
          <w:p w14:paraId="366CBD1B">
            <w:pPr>
              <w:pStyle w:val="10"/>
              <w:spacing w:before="89" w:line="360" w:lineRule="exact"/>
              <w:ind w:left="104"/>
              <w:rPr>
                <w:color w:val="auto"/>
                <w:sz w:val="21"/>
                <w:highlight w:val="none"/>
              </w:rPr>
            </w:pPr>
            <w:r>
              <w:rPr>
                <w:rFonts w:hint="eastAsia"/>
                <w:color w:val="auto"/>
                <w:sz w:val="21"/>
                <w:highlight w:val="none"/>
                <w:lang w:val="en-US"/>
              </w:rPr>
              <w:t>按照投标人的商务和技术得分由高到低排序，选择前3名通过详细评审的投标文件开启第二信封</w:t>
            </w:r>
          </w:p>
        </w:tc>
      </w:tr>
      <w:tr w14:paraId="35A0DA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5844" w:type="dxa"/>
            <w:gridSpan w:val="5"/>
            <w:tcBorders>
              <w:right w:val="single" w:color="auto" w:sz="4" w:space="0"/>
            </w:tcBorders>
            <w:noWrap w:val="0"/>
            <w:vAlign w:val="center"/>
          </w:tcPr>
          <w:p w14:paraId="513649FC">
            <w:pPr>
              <w:pStyle w:val="10"/>
              <w:spacing w:before="89" w:line="360" w:lineRule="exact"/>
              <w:ind w:left="104"/>
              <w:jc w:val="center"/>
              <w:rPr>
                <w:color w:val="auto"/>
                <w:sz w:val="21"/>
                <w:highlight w:val="none"/>
              </w:rPr>
            </w:pPr>
            <w:r>
              <w:rPr>
                <w:b/>
                <w:color w:val="auto"/>
                <w:sz w:val="21"/>
                <w:highlight w:val="none"/>
              </w:rPr>
              <w:t>评分因素与权重分值</w:t>
            </w:r>
          </w:p>
        </w:tc>
        <w:tc>
          <w:tcPr>
            <w:tcW w:w="3734" w:type="dxa"/>
            <w:vMerge w:val="restart"/>
            <w:tcBorders>
              <w:left w:val="single" w:color="auto" w:sz="4" w:space="0"/>
            </w:tcBorders>
            <w:noWrap w:val="0"/>
            <w:vAlign w:val="center"/>
          </w:tcPr>
          <w:p w14:paraId="67AE42F8">
            <w:pPr>
              <w:pStyle w:val="10"/>
              <w:spacing w:before="89" w:line="360" w:lineRule="exact"/>
              <w:jc w:val="center"/>
              <w:rPr>
                <w:color w:val="auto"/>
                <w:sz w:val="21"/>
                <w:highlight w:val="none"/>
              </w:rPr>
            </w:pPr>
            <w:r>
              <w:rPr>
                <w:b/>
                <w:color w:val="auto"/>
                <w:sz w:val="21"/>
                <w:highlight w:val="none"/>
              </w:rPr>
              <w:t>评分标准</w:t>
            </w:r>
          </w:p>
        </w:tc>
      </w:tr>
      <w:tr w14:paraId="52580C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983" w:type="dxa"/>
            <w:noWrap w:val="0"/>
            <w:vAlign w:val="center"/>
          </w:tcPr>
          <w:p w14:paraId="19BE8510">
            <w:pPr>
              <w:ind w:right="113"/>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940" w:type="dxa"/>
            <w:tcBorders>
              <w:right w:val="single" w:color="auto" w:sz="4" w:space="0"/>
            </w:tcBorders>
            <w:noWrap w:val="0"/>
            <w:vAlign w:val="center"/>
          </w:tcPr>
          <w:p w14:paraId="0DECF516">
            <w:pPr>
              <w:pStyle w:val="10"/>
              <w:spacing w:before="41"/>
              <w:ind w:left="93" w:right="83"/>
              <w:jc w:val="center"/>
              <w:rPr>
                <w:rFonts w:hint="eastAsia" w:cs="Times New Roman"/>
                <w:b/>
                <w:color w:val="auto"/>
                <w:kern w:val="2"/>
                <w:sz w:val="21"/>
                <w:szCs w:val="21"/>
                <w:highlight w:val="none"/>
                <w:lang w:val="en-US" w:bidi="ar-SA"/>
              </w:rPr>
            </w:pPr>
            <w:r>
              <w:rPr>
                <w:rFonts w:hint="eastAsia" w:cs="Times New Roman"/>
                <w:b/>
                <w:color w:val="auto"/>
                <w:kern w:val="2"/>
                <w:sz w:val="21"/>
                <w:szCs w:val="21"/>
                <w:highlight w:val="none"/>
                <w:lang w:val="en-US" w:bidi="ar-SA"/>
              </w:rPr>
              <w:t>评分</w:t>
            </w:r>
          </w:p>
          <w:p w14:paraId="05E9DE82">
            <w:pPr>
              <w:pStyle w:val="10"/>
              <w:spacing w:before="41"/>
              <w:ind w:left="93" w:right="83"/>
              <w:jc w:val="center"/>
              <w:rPr>
                <w:rFonts w:cs="Times New Roman"/>
                <w:b/>
                <w:color w:val="auto"/>
                <w:kern w:val="2"/>
                <w:sz w:val="21"/>
                <w:szCs w:val="21"/>
                <w:highlight w:val="none"/>
                <w:lang w:val="en-US" w:bidi="ar-SA"/>
              </w:rPr>
            </w:pPr>
            <w:r>
              <w:rPr>
                <w:rFonts w:hint="eastAsia" w:cs="Times New Roman"/>
                <w:b/>
                <w:color w:val="auto"/>
                <w:kern w:val="2"/>
                <w:sz w:val="21"/>
                <w:szCs w:val="21"/>
                <w:highlight w:val="none"/>
                <w:lang w:val="en-US" w:bidi="ar-SA"/>
              </w:rPr>
              <w:t>因素</w:t>
            </w:r>
          </w:p>
        </w:tc>
        <w:tc>
          <w:tcPr>
            <w:tcW w:w="1179" w:type="dxa"/>
            <w:tcBorders>
              <w:left w:val="single" w:color="auto" w:sz="4" w:space="0"/>
            </w:tcBorders>
            <w:noWrap w:val="0"/>
            <w:vAlign w:val="center"/>
          </w:tcPr>
          <w:p w14:paraId="29FE3E64">
            <w:pPr>
              <w:pStyle w:val="10"/>
              <w:spacing w:before="41"/>
              <w:ind w:left="93" w:right="83"/>
              <w:jc w:val="center"/>
              <w:rPr>
                <w:rFonts w:cs="Times New Roman"/>
                <w:b/>
                <w:color w:val="auto"/>
                <w:kern w:val="2"/>
                <w:sz w:val="21"/>
                <w:szCs w:val="21"/>
                <w:highlight w:val="none"/>
                <w:lang w:val="en-US" w:bidi="ar-SA"/>
              </w:rPr>
            </w:pPr>
            <w:r>
              <w:rPr>
                <w:rFonts w:cs="Times New Roman"/>
                <w:b/>
                <w:color w:val="auto"/>
                <w:kern w:val="2"/>
                <w:sz w:val="21"/>
                <w:szCs w:val="21"/>
                <w:highlight w:val="none"/>
                <w:lang w:val="en-US" w:bidi="ar-SA"/>
              </w:rPr>
              <w:t>评分因素权重分值</w:t>
            </w:r>
          </w:p>
        </w:tc>
        <w:tc>
          <w:tcPr>
            <w:tcW w:w="1549" w:type="dxa"/>
            <w:tcBorders>
              <w:right w:val="single" w:color="auto" w:sz="4" w:space="0"/>
            </w:tcBorders>
            <w:noWrap w:val="0"/>
            <w:vAlign w:val="center"/>
          </w:tcPr>
          <w:p w14:paraId="276F8B94">
            <w:pPr>
              <w:pStyle w:val="10"/>
              <w:spacing w:before="41"/>
              <w:ind w:left="93" w:right="83"/>
              <w:jc w:val="center"/>
              <w:rPr>
                <w:rFonts w:cs="Times New Roman"/>
                <w:b/>
                <w:color w:val="auto"/>
                <w:kern w:val="2"/>
                <w:sz w:val="21"/>
                <w:szCs w:val="21"/>
                <w:highlight w:val="none"/>
                <w:lang w:val="en-US" w:bidi="ar-SA"/>
              </w:rPr>
            </w:pPr>
            <w:r>
              <w:rPr>
                <w:rFonts w:cs="Times New Roman"/>
                <w:b/>
                <w:color w:val="auto"/>
                <w:kern w:val="2"/>
                <w:sz w:val="21"/>
                <w:szCs w:val="21"/>
                <w:highlight w:val="none"/>
                <w:lang w:val="en-US" w:bidi="ar-SA"/>
              </w:rPr>
              <w:t>各评分因素细分项</w:t>
            </w:r>
          </w:p>
        </w:tc>
        <w:tc>
          <w:tcPr>
            <w:tcW w:w="1193" w:type="dxa"/>
            <w:tcBorders>
              <w:left w:val="single" w:color="auto" w:sz="4" w:space="0"/>
              <w:right w:val="single" w:color="auto" w:sz="4" w:space="0"/>
            </w:tcBorders>
            <w:noWrap w:val="0"/>
            <w:vAlign w:val="center"/>
          </w:tcPr>
          <w:p w14:paraId="5A01AEC8">
            <w:pPr>
              <w:pStyle w:val="10"/>
              <w:spacing w:before="1"/>
              <w:jc w:val="center"/>
              <w:rPr>
                <w:rFonts w:cs="Times New Roman"/>
                <w:b/>
                <w:color w:val="auto"/>
                <w:kern w:val="2"/>
                <w:sz w:val="21"/>
                <w:szCs w:val="21"/>
                <w:highlight w:val="none"/>
                <w:lang w:val="en-US" w:bidi="ar-SA"/>
              </w:rPr>
            </w:pPr>
            <w:r>
              <w:rPr>
                <w:rFonts w:hint="eastAsia" w:cs="Times New Roman"/>
                <w:b/>
                <w:color w:val="auto"/>
                <w:kern w:val="2"/>
                <w:sz w:val="21"/>
                <w:szCs w:val="21"/>
                <w:highlight w:val="none"/>
                <w:lang w:val="en-US" w:bidi="ar-SA"/>
              </w:rPr>
              <w:t>分值</w:t>
            </w:r>
          </w:p>
        </w:tc>
        <w:tc>
          <w:tcPr>
            <w:tcW w:w="3734" w:type="dxa"/>
            <w:vMerge w:val="continue"/>
            <w:tcBorders>
              <w:left w:val="single" w:color="auto" w:sz="4" w:space="0"/>
            </w:tcBorders>
            <w:noWrap w:val="0"/>
            <w:vAlign w:val="center"/>
          </w:tcPr>
          <w:p w14:paraId="1166924B">
            <w:pPr>
              <w:spacing w:line="360" w:lineRule="exact"/>
              <w:ind w:right="113"/>
              <w:jc w:val="center"/>
              <w:rPr>
                <w:rFonts w:hint="eastAsia" w:ascii="宋体" w:hAnsi="宋体"/>
                <w:b/>
                <w:color w:val="auto"/>
                <w:szCs w:val="21"/>
                <w:highlight w:val="none"/>
              </w:rPr>
            </w:pPr>
          </w:p>
        </w:tc>
      </w:tr>
      <w:tr w14:paraId="51D099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restart"/>
            <w:noWrap w:val="0"/>
            <w:vAlign w:val="center"/>
          </w:tcPr>
          <w:p w14:paraId="52795005">
            <w:pPr>
              <w:spacing w:line="360" w:lineRule="exact"/>
              <w:ind w:right="113"/>
              <w:jc w:val="center"/>
              <w:rPr>
                <w:rFonts w:hint="eastAsia" w:ascii="宋体" w:hAnsi="宋体"/>
                <w:b/>
                <w:color w:val="auto"/>
                <w:szCs w:val="21"/>
                <w:highlight w:val="none"/>
              </w:rPr>
            </w:pPr>
            <w:r>
              <w:rPr>
                <w:rFonts w:hint="eastAsia" w:ascii="宋体" w:hAnsi="宋体"/>
                <w:b/>
                <w:color w:val="auto"/>
                <w:szCs w:val="21"/>
                <w:highlight w:val="none"/>
              </w:rPr>
              <w:t>2.2.2(1)</w:t>
            </w:r>
          </w:p>
        </w:tc>
        <w:tc>
          <w:tcPr>
            <w:tcW w:w="940" w:type="dxa"/>
            <w:vMerge w:val="restart"/>
            <w:tcBorders>
              <w:right w:val="single" w:color="auto" w:sz="4" w:space="0"/>
            </w:tcBorders>
            <w:noWrap w:val="0"/>
            <w:vAlign w:val="center"/>
          </w:tcPr>
          <w:p w14:paraId="534F6013">
            <w:pPr>
              <w:pStyle w:val="10"/>
              <w:spacing w:before="42" w:line="360" w:lineRule="exact"/>
              <w:ind w:right="99"/>
              <w:jc w:val="center"/>
              <w:rPr>
                <w:rFonts w:hint="eastAsia"/>
                <w:color w:val="auto"/>
                <w:sz w:val="21"/>
                <w:szCs w:val="21"/>
                <w:highlight w:val="none"/>
              </w:rPr>
            </w:pPr>
            <w:r>
              <w:rPr>
                <w:rFonts w:hint="eastAsia"/>
                <w:color w:val="auto"/>
                <w:sz w:val="21"/>
                <w:szCs w:val="21"/>
                <w:highlight w:val="none"/>
              </w:rPr>
              <w:t>施工组织设计</w:t>
            </w:r>
          </w:p>
          <w:p w14:paraId="229F2C7E">
            <w:pPr>
              <w:pStyle w:val="10"/>
              <w:spacing w:before="42" w:line="360" w:lineRule="exact"/>
              <w:ind w:right="99"/>
              <w:jc w:val="center"/>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暗标</w:t>
            </w:r>
            <w:r>
              <w:rPr>
                <w:rFonts w:hint="eastAsia"/>
                <w:color w:val="auto"/>
                <w:sz w:val="21"/>
                <w:szCs w:val="21"/>
                <w:highlight w:val="none"/>
                <w:lang w:eastAsia="zh-CN"/>
              </w:rPr>
              <w:t>）</w:t>
            </w:r>
          </w:p>
        </w:tc>
        <w:tc>
          <w:tcPr>
            <w:tcW w:w="1179" w:type="dxa"/>
            <w:vMerge w:val="restart"/>
            <w:tcBorders>
              <w:left w:val="single" w:color="auto" w:sz="4" w:space="0"/>
            </w:tcBorders>
            <w:noWrap w:val="0"/>
            <w:vAlign w:val="center"/>
          </w:tcPr>
          <w:p w14:paraId="53C63787">
            <w:pPr>
              <w:pStyle w:val="10"/>
              <w:spacing w:before="42" w:line="360" w:lineRule="exact"/>
              <w:ind w:right="99"/>
              <w:jc w:val="center"/>
              <w:rPr>
                <w:rFonts w:hint="eastAsia"/>
                <w:color w:val="auto"/>
                <w:sz w:val="21"/>
                <w:szCs w:val="21"/>
                <w:highlight w:val="none"/>
              </w:rPr>
            </w:pPr>
            <w:r>
              <w:rPr>
                <w:rFonts w:hint="eastAsia"/>
                <w:color w:val="auto"/>
                <w:sz w:val="21"/>
                <w:szCs w:val="21"/>
                <w:highlight w:val="none"/>
                <w:lang w:val="en-US"/>
              </w:rPr>
              <w:t>6</w:t>
            </w:r>
            <w:r>
              <w:rPr>
                <w:rFonts w:hint="eastAsia"/>
                <w:color w:val="auto"/>
                <w:sz w:val="21"/>
                <w:szCs w:val="21"/>
                <w:highlight w:val="none"/>
              </w:rPr>
              <w:t>0分</w:t>
            </w:r>
          </w:p>
          <w:p w14:paraId="3F4C0E88">
            <w:pPr>
              <w:pStyle w:val="10"/>
              <w:spacing w:before="42" w:line="360" w:lineRule="exact"/>
              <w:ind w:right="99"/>
              <w:jc w:val="center"/>
              <w:rPr>
                <w:color w:val="auto"/>
                <w:sz w:val="21"/>
                <w:szCs w:val="21"/>
                <w:highlight w:val="none"/>
              </w:rPr>
            </w:pPr>
          </w:p>
        </w:tc>
        <w:tc>
          <w:tcPr>
            <w:tcW w:w="1549" w:type="dxa"/>
            <w:vMerge w:val="restart"/>
            <w:tcBorders>
              <w:right w:val="single" w:color="auto" w:sz="4" w:space="0"/>
            </w:tcBorders>
            <w:noWrap w:val="0"/>
            <w:vAlign w:val="center"/>
          </w:tcPr>
          <w:p w14:paraId="47478E52">
            <w:pPr>
              <w:pStyle w:val="10"/>
              <w:spacing w:line="360" w:lineRule="exact"/>
              <w:jc w:val="center"/>
              <w:rPr>
                <w:rFonts w:hint="eastAsia"/>
                <w:color w:val="auto"/>
                <w:sz w:val="21"/>
                <w:szCs w:val="21"/>
                <w:highlight w:val="none"/>
              </w:rPr>
            </w:pPr>
            <w:r>
              <w:rPr>
                <w:rFonts w:hint="eastAsia"/>
                <w:color w:val="auto"/>
                <w:sz w:val="21"/>
                <w:szCs w:val="21"/>
                <w:highlight w:val="none"/>
              </w:rPr>
              <w:t>总体施工组织布置及规划</w:t>
            </w:r>
          </w:p>
        </w:tc>
        <w:tc>
          <w:tcPr>
            <w:tcW w:w="1193" w:type="dxa"/>
            <w:vMerge w:val="restart"/>
            <w:tcBorders>
              <w:left w:val="single" w:color="auto" w:sz="4" w:space="0"/>
              <w:right w:val="single" w:color="auto" w:sz="4" w:space="0"/>
            </w:tcBorders>
            <w:noWrap w:val="0"/>
            <w:vAlign w:val="center"/>
          </w:tcPr>
          <w:p w14:paraId="5495AFD4">
            <w:pPr>
              <w:pStyle w:val="10"/>
              <w:spacing w:line="360" w:lineRule="exact"/>
              <w:jc w:val="center"/>
              <w:rPr>
                <w:rFonts w:hint="eastAsia"/>
                <w:color w:val="auto"/>
                <w:sz w:val="21"/>
                <w:szCs w:val="21"/>
                <w:highlight w:val="none"/>
              </w:rPr>
            </w:pPr>
            <w:r>
              <w:rPr>
                <w:rFonts w:hint="eastAsia"/>
                <w:color w:val="auto"/>
                <w:sz w:val="21"/>
                <w:szCs w:val="21"/>
                <w:highlight w:val="none"/>
              </w:rPr>
              <w:t>4.80-8.00</w:t>
            </w:r>
          </w:p>
        </w:tc>
        <w:tc>
          <w:tcPr>
            <w:tcW w:w="3734" w:type="dxa"/>
            <w:tcBorders>
              <w:left w:val="single" w:color="auto" w:sz="4" w:space="0"/>
            </w:tcBorders>
            <w:noWrap w:val="0"/>
            <w:vAlign w:val="center"/>
          </w:tcPr>
          <w:p w14:paraId="1993B2A9">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总体施工组织布置内容一般，规划合理，得</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80</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tc>
      </w:tr>
      <w:tr w14:paraId="4DBD9F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1FA5132B">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65F2BAC9">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2456F988">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69718718">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00E3151F">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47CBF969">
            <w:pPr>
              <w:adjustRightInd w:val="0"/>
              <w:snapToGrid w:val="0"/>
              <w:spacing w:line="300" w:lineRule="exact"/>
              <w:jc w:val="left"/>
              <w:rPr>
                <w:rFonts w:hint="eastAsia" w:ascii="宋体" w:hAnsi="宋体"/>
                <w:color w:val="auto"/>
                <w:szCs w:val="21"/>
                <w:highlight w:val="none"/>
              </w:rPr>
            </w:pPr>
            <w:r>
              <w:rPr>
                <w:rFonts w:hint="eastAsia" w:ascii="宋体" w:hAnsi="宋体"/>
                <w:color w:val="auto"/>
                <w:szCs w:val="21"/>
                <w:highlight w:val="none"/>
              </w:rPr>
              <w:t>总体施工组织布置及规划内容具体、齐全，规划科学、合理，得</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41</w:t>
            </w:r>
            <w:r>
              <w:rPr>
                <w:rFonts w:hint="eastAsia" w:ascii="宋体" w:hAnsi="宋体"/>
                <w:color w:val="auto"/>
                <w:szCs w:val="21"/>
                <w:highlight w:val="none"/>
              </w:rPr>
              <w:t>－</w:t>
            </w:r>
            <w:r>
              <w:rPr>
                <w:rFonts w:ascii="宋体" w:hAnsi="宋体"/>
                <w:color w:val="auto"/>
                <w:szCs w:val="21"/>
                <w:highlight w:val="none"/>
              </w:rPr>
              <w:t>8.00</w:t>
            </w:r>
            <w:r>
              <w:rPr>
                <w:rFonts w:hint="eastAsia" w:ascii="宋体" w:hAnsi="宋体"/>
                <w:color w:val="auto"/>
                <w:szCs w:val="21"/>
                <w:highlight w:val="none"/>
              </w:rPr>
              <w:t>分</w:t>
            </w:r>
          </w:p>
        </w:tc>
      </w:tr>
      <w:tr w14:paraId="00E34C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3058D499">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4592BB43">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0298FEEF">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726EC48E">
            <w:pPr>
              <w:pStyle w:val="10"/>
              <w:spacing w:line="360" w:lineRule="exact"/>
              <w:jc w:val="center"/>
              <w:rPr>
                <w:rFonts w:hint="eastAsia"/>
                <w:color w:val="auto"/>
                <w:sz w:val="21"/>
                <w:szCs w:val="21"/>
                <w:highlight w:val="none"/>
              </w:rPr>
            </w:pPr>
            <w:r>
              <w:rPr>
                <w:rFonts w:hint="eastAsia"/>
                <w:color w:val="auto"/>
                <w:sz w:val="21"/>
                <w:szCs w:val="21"/>
                <w:highlight w:val="none"/>
              </w:rPr>
              <w:t>施工方案</w:t>
            </w:r>
          </w:p>
        </w:tc>
        <w:tc>
          <w:tcPr>
            <w:tcW w:w="1193" w:type="dxa"/>
            <w:vMerge w:val="restart"/>
            <w:tcBorders>
              <w:left w:val="single" w:color="auto" w:sz="4" w:space="0"/>
              <w:right w:val="single" w:color="auto" w:sz="4" w:space="0"/>
            </w:tcBorders>
            <w:noWrap w:val="0"/>
            <w:vAlign w:val="center"/>
          </w:tcPr>
          <w:p w14:paraId="0687A6D0">
            <w:pPr>
              <w:pStyle w:val="10"/>
              <w:spacing w:line="360" w:lineRule="exact"/>
              <w:jc w:val="center"/>
              <w:rPr>
                <w:rFonts w:hint="eastAsia"/>
                <w:color w:val="auto"/>
                <w:sz w:val="21"/>
                <w:szCs w:val="21"/>
                <w:highlight w:val="none"/>
              </w:rPr>
            </w:pPr>
            <w:r>
              <w:rPr>
                <w:rFonts w:hint="eastAsia"/>
                <w:color w:val="auto"/>
                <w:sz w:val="21"/>
                <w:szCs w:val="21"/>
                <w:highlight w:val="none"/>
              </w:rPr>
              <w:t>6.00-10.00</w:t>
            </w:r>
          </w:p>
        </w:tc>
        <w:tc>
          <w:tcPr>
            <w:tcW w:w="3734" w:type="dxa"/>
            <w:tcBorders>
              <w:left w:val="single" w:color="auto" w:sz="4" w:space="0"/>
            </w:tcBorders>
            <w:noWrap w:val="0"/>
            <w:vAlign w:val="center"/>
          </w:tcPr>
          <w:p w14:paraId="1DF55325">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施工方案一般，内容齐全、较合理，得6.0</w:t>
            </w:r>
            <w:r>
              <w:rPr>
                <w:rFonts w:ascii="宋体" w:hAnsi="宋体"/>
                <w:color w:val="auto"/>
                <w:szCs w:val="21"/>
                <w:highlight w:val="none"/>
              </w:rPr>
              <w:t>0</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0分</w:t>
            </w:r>
          </w:p>
        </w:tc>
      </w:tr>
      <w:tr w14:paraId="5D64E8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5BD2E96E">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3E7352D3">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51725CE4">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12B99DAA">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03C68526">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331E9916">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施工方案具体、齐全，可操作性强，配备合理，对工程重点、关键点和难点工作方案详细措施科学合理的，得8.0</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10.00</w:t>
            </w:r>
            <w:r>
              <w:rPr>
                <w:rFonts w:hint="eastAsia" w:ascii="宋体" w:hAnsi="宋体"/>
                <w:color w:val="auto"/>
                <w:szCs w:val="21"/>
                <w:highlight w:val="none"/>
              </w:rPr>
              <w:t>分</w:t>
            </w:r>
          </w:p>
        </w:tc>
      </w:tr>
      <w:tr w14:paraId="1828F1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0D42A99E">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2CC2C5B7">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1A829934">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1EA3C170">
            <w:pPr>
              <w:pStyle w:val="10"/>
              <w:spacing w:line="360" w:lineRule="exact"/>
              <w:jc w:val="center"/>
              <w:rPr>
                <w:rFonts w:hint="eastAsia"/>
                <w:color w:val="auto"/>
                <w:sz w:val="21"/>
                <w:szCs w:val="21"/>
                <w:highlight w:val="none"/>
              </w:rPr>
            </w:pPr>
            <w:r>
              <w:rPr>
                <w:rFonts w:hint="eastAsia" w:cs="Courier New"/>
                <w:color w:val="auto"/>
                <w:sz w:val="21"/>
                <w:szCs w:val="21"/>
                <w:highlight w:val="none"/>
              </w:rPr>
              <w:t>工期保证体系及保证措施</w:t>
            </w:r>
          </w:p>
        </w:tc>
        <w:tc>
          <w:tcPr>
            <w:tcW w:w="1193" w:type="dxa"/>
            <w:vMerge w:val="restart"/>
            <w:tcBorders>
              <w:left w:val="single" w:color="auto" w:sz="4" w:space="0"/>
              <w:right w:val="single" w:color="auto" w:sz="4" w:space="0"/>
            </w:tcBorders>
            <w:noWrap w:val="0"/>
            <w:vAlign w:val="center"/>
          </w:tcPr>
          <w:p w14:paraId="4A02C863">
            <w:pPr>
              <w:pStyle w:val="10"/>
              <w:spacing w:line="360" w:lineRule="exact"/>
              <w:jc w:val="center"/>
              <w:rPr>
                <w:rFonts w:hint="eastAsia"/>
                <w:color w:val="auto"/>
                <w:sz w:val="21"/>
                <w:szCs w:val="21"/>
                <w:highlight w:val="none"/>
              </w:rPr>
            </w:pPr>
            <w:r>
              <w:rPr>
                <w:rFonts w:hint="eastAsia"/>
                <w:color w:val="auto"/>
                <w:sz w:val="21"/>
                <w:szCs w:val="21"/>
                <w:highlight w:val="none"/>
              </w:rPr>
              <w:t>4.80-8.00</w:t>
            </w:r>
          </w:p>
        </w:tc>
        <w:tc>
          <w:tcPr>
            <w:tcW w:w="3734" w:type="dxa"/>
            <w:tcBorders>
              <w:left w:val="single" w:color="auto" w:sz="4" w:space="0"/>
            </w:tcBorders>
            <w:noWrap w:val="0"/>
            <w:vAlign w:val="center"/>
          </w:tcPr>
          <w:p w14:paraId="56037CBB">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体系及措施一般、较合理，得</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80</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tc>
      </w:tr>
      <w:tr w14:paraId="26EA51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74057609">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69BBEF33">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7EDF6BB0">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551AF77E">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4462E9CA">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278AB551">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体系及措施具体、齐全、科学合理，符合实际，可操作性强的，得</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41</w:t>
            </w:r>
            <w:r>
              <w:rPr>
                <w:rFonts w:hint="eastAsia" w:ascii="宋体" w:hAnsi="宋体"/>
                <w:color w:val="auto"/>
                <w:szCs w:val="21"/>
                <w:highlight w:val="none"/>
              </w:rPr>
              <w:t>－</w:t>
            </w:r>
            <w:r>
              <w:rPr>
                <w:rFonts w:ascii="宋体" w:hAnsi="宋体"/>
                <w:color w:val="auto"/>
                <w:szCs w:val="21"/>
                <w:highlight w:val="none"/>
              </w:rPr>
              <w:t>8.00</w:t>
            </w:r>
            <w:r>
              <w:rPr>
                <w:rFonts w:hint="eastAsia" w:ascii="宋体" w:hAnsi="宋体"/>
                <w:color w:val="auto"/>
                <w:szCs w:val="21"/>
                <w:highlight w:val="none"/>
              </w:rPr>
              <w:t>分</w:t>
            </w:r>
          </w:p>
        </w:tc>
      </w:tr>
      <w:tr w14:paraId="3D8904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27C30D19">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54F319BC">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6B569F6F">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3FD6E1CE">
            <w:pPr>
              <w:pStyle w:val="10"/>
              <w:spacing w:line="360" w:lineRule="exact"/>
              <w:jc w:val="center"/>
              <w:rPr>
                <w:rFonts w:hint="eastAsia"/>
                <w:color w:val="auto"/>
                <w:sz w:val="21"/>
                <w:szCs w:val="21"/>
                <w:highlight w:val="none"/>
              </w:rPr>
            </w:pPr>
            <w:r>
              <w:rPr>
                <w:rFonts w:hint="eastAsia"/>
                <w:color w:val="auto"/>
                <w:sz w:val="21"/>
                <w:szCs w:val="21"/>
                <w:highlight w:val="none"/>
              </w:rPr>
              <w:t>工程质量管理体系及保证措施</w:t>
            </w:r>
          </w:p>
        </w:tc>
        <w:tc>
          <w:tcPr>
            <w:tcW w:w="1193" w:type="dxa"/>
            <w:vMerge w:val="restart"/>
            <w:tcBorders>
              <w:left w:val="single" w:color="auto" w:sz="4" w:space="0"/>
              <w:right w:val="single" w:color="auto" w:sz="4" w:space="0"/>
            </w:tcBorders>
            <w:noWrap w:val="0"/>
            <w:vAlign w:val="center"/>
          </w:tcPr>
          <w:p w14:paraId="6DE8A39B">
            <w:pPr>
              <w:pStyle w:val="10"/>
              <w:spacing w:line="360" w:lineRule="exact"/>
              <w:jc w:val="center"/>
              <w:rPr>
                <w:rFonts w:hint="eastAsia"/>
                <w:color w:val="auto"/>
                <w:sz w:val="21"/>
                <w:szCs w:val="21"/>
                <w:highlight w:val="none"/>
              </w:rPr>
            </w:pPr>
            <w:r>
              <w:rPr>
                <w:rFonts w:hint="eastAsia"/>
                <w:color w:val="auto"/>
                <w:sz w:val="21"/>
                <w:szCs w:val="21"/>
                <w:highlight w:val="none"/>
              </w:rPr>
              <w:t>6.00-10.00</w:t>
            </w:r>
          </w:p>
        </w:tc>
        <w:tc>
          <w:tcPr>
            <w:tcW w:w="3734" w:type="dxa"/>
            <w:tcBorders>
              <w:left w:val="single" w:color="auto" w:sz="4" w:space="0"/>
            </w:tcBorders>
            <w:noWrap w:val="0"/>
            <w:vAlign w:val="center"/>
          </w:tcPr>
          <w:p w14:paraId="59B13CAE">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体系及措施一般、较合理，得6.0</w:t>
            </w:r>
            <w:r>
              <w:rPr>
                <w:rFonts w:ascii="宋体" w:hAnsi="宋体"/>
                <w:color w:val="auto"/>
                <w:szCs w:val="21"/>
                <w:highlight w:val="none"/>
              </w:rPr>
              <w:t>0</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0分</w:t>
            </w:r>
          </w:p>
        </w:tc>
      </w:tr>
      <w:tr w14:paraId="5F891E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45976C81">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050FDC47">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176CE9E3">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5B3601FB">
            <w:pPr>
              <w:pStyle w:val="10"/>
              <w:spacing w:line="360" w:lineRule="exact"/>
              <w:jc w:val="center"/>
              <w:rPr>
                <w:rFonts w:hint="eastAsia" w:cs="Courier New"/>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5CBA4310">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762D6F0D">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体系及措施具体、齐全、科学合理，符合实际，可操作性强的，得8.0</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10.00</w:t>
            </w:r>
            <w:r>
              <w:rPr>
                <w:rFonts w:hint="eastAsia" w:ascii="宋体" w:hAnsi="宋体"/>
                <w:color w:val="auto"/>
                <w:szCs w:val="21"/>
                <w:highlight w:val="none"/>
              </w:rPr>
              <w:t>分</w:t>
            </w:r>
          </w:p>
        </w:tc>
      </w:tr>
      <w:tr w14:paraId="6B561B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5261CAFF">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03FCFE11">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5F60730B">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607D6FD9">
            <w:pPr>
              <w:pStyle w:val="10"/>
              <w:spacing w:line="360" w:lineRule="exact"/>
              <w:jc w:val="center"/>
              <w:rPr>
                <w:rFonts w:hint="eastAsia"/>
                <w:color w:val="auto"/>
                <w:sz w:val="21"/>
                <w:szCs w:val="21"/>
                <w:highlight w:val="none"/>
              </w:rPr>
            </w:pPr>
            <w:r>
              <w:rPr>
                <w:rFonts w:hint="eastAsia"/>
                <w:color w:val="auto"/>
                <w:sz w:val="21"/>
                <w:szCs w:val="21"/>
                <w:highlight w:val="none"/>
              </w:rPr>
              <w:t>安全生产管理体系及保证措施</w:t>
            </w:r>
          </w:p>
        </w:tc>
        <w:tc>
          <w:tcPr>
            <w:tcW w:w="1193" w:type="dxa"/>
            <w:vMerge w:val="restart"/>
            <w:tcBorders>
              <w:left w:val="single" w:color="auto" w:sz="4" w:space="0"/>
              <w:right w:val="single" w:color="auto" w:sz="4" w:space="0"/>
            </w:tcBorders>
            <w:noWrap w:val="0"/>
            <w:vAlign w:val="center"/>
          </w:tcPr>
          <w:p w14:paraId="4FB95E80">
            <w:pPr>
              <w:pStyle w:val="10"/>
              <w:spacing w:line="360" w:lineRule="exact"/>
              <w:jc w:val="center"/>
              <w:rPr>
                <w:rFonts w:hint="eastAsia"/>
                <w:color w:val="auto"/>
                <w:sz w:val="21"/>
                <w:szCs w:val="21"/>
                <w:highlight w:val="none"/>
              </w:rPr>
            </w:pPr>
            <w:r>
              <w:rPr>
                <w:rFonts w:hint="eastAsia"/>
                <w:color w:val="auto"/>
                <w:sz w:val="21"/>
                <w:szCs w:val="21"/>
                <w:highlight w:val="none"/>
              </w:rPr>
              <w:t>4.80-8.00</w:t>
            </w:r>
          </w:p>
        </w:tc>
        <w:tc>
          <w:tcPr>
            <w:tcW w:w="3734" w:type="dxa"/>
            <w:tcBorders>
              <w:left w:val="single" w:color="auto" w:sz="4" w:space="0"/>
            </w:tcBorders>
            <w:noWrap w:val="0"/>
            <w:vAlign w:val="center"/>
          </w:tcPr>
          <w:p w14:paraId="5A1C607F">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体系及措施一般、较合理，得</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80</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tc>
      </w:tr>
      <w:tr w14:paraId="2C5043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1E5B4BE8">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3587AA43">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4D383D67">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4318F181">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3590EE4B">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39D296D3">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体系及措施具体、齐全、科学合理，符合实际，可操作性强的，得</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41</w:t>
            </w:r>
            <w:r>
              <w:rPr>
                <w:rFonts w:hint="eastAsia" w:ascii="宋体" w:hAnsi="宋体"/>
                <w:color w:val="auto"/>
                <w:szCs w:val="21"/>
                <w:highlight w:val="none"/>
              </w:rPr>
              <w:t>－</w:t>
            </w:r>
            <w:r>
              <w:rPr>
                <w:rFonts w:ascii="宋体" w:hAnsi="宋体"/>
                <w:color w:val="auto"/>
                <w:szCs w:val="21"/>
                <w:highlight w:val="none"/>
              </w:rPr>
              <w:t>8.00</w:t>
            </w:r>
            <w:r>
              <w:rPr>
                <w:rFonts w:hint="eastAsia" w:ascii="宋体" w:hAnsi="宋体"/>
                <w:color w:val="auto"/>
                <w:szCs w:val="21"/>
                <w:highlight w:val="none"/>
              </w:rPr>
              <w:t>分</w:t>
            </w:r>
          </w:p>
        </w:tc>
      </w:tr>
      <w:tr w14:paraId="776401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1431CF37">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3C121FC4">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2D8F5362">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777206B3">
            <w:pPr>
              <w:pStyle w:val="10"/>
              <w:spacing w:line="360" w:lineRule="exact"/>
              <w:jc w:val="center"/>
              <w:rPr>
                <w:rFonts w:hint="eastAsia"/>
                <w:color w:val="auto"/>
                <w:sz w:val="21"/>
                <w:szCs w:val="21"/>
                <w:highlight w:val="none"/>
              </w:rPr>
            </w:pPr>
            <w:r>
              <w:rPr>
                <w:rFonts w:hint="eastAsia"/>
                <w:color w:val="auto"/>
                <w:sz w:val="21"/>
                <w:szCs w:val="21"/>
                <w:highlight w:val="none"/>
              </w:rPr>
              <w:t>项目风险预测与防范，事故应急预案</w:t>
            </w:r>
          </w:p>
        </w:tc>
        <w:tc>
          <w:tcPr>
            <w:tcW w:w="1193" w:type="dxa"/>
            <w:vMerge w:val="restart"/>
            <w:tcBorders>
              <w:left w:val="single" w:color="auto" w:sz="4" w:space="0"/>
              <w:right w:val="single" w:color="auto" w:sz="4" w:space="0"/>
            </w:tcBorders>
            <w:noWrap w:val="0"/>
            <w:vAlign w:val="center"/>
          </w:tcPr>
          <w:p w14:paraId="4F7675B7">
            <w:pPr>
              <w:pStyle w:val="10"/>
              <w:spacing w:line="360" w:lineRule="exact"/>
              <w:jc w:val="center"/>
              <w:rPr>
                <w:rFonts w:hint="eastAsia"/>
                <w:color w:val="auto"/>
                <w:sz w:val="21"/>
                <w:szCs w:val="21"/>
                <w:highlight w:val="none"/>
              </w:rPr>
            </w:pPr>
            <w:r>
              <w:rPr>
                <w:rFonts w:hint="eastAsia"/>
                <w:color w:val="auto"/>
                <w:sz w:val="21"/>
                <w:szCs w:val="21"/>
                <w:highlight w:val="none"/>
              </w:rPr>
              <w:t>4.80-8.00</w:t>
            </w:r>
          </w:p>
        </w:tc>
        <w:tc>
          <w:tcPr>
            <w:tcW w:w="3734" w:type="dxa"/>
            <w:tcBorders>
              <w:left w:val="single" w:color="auto" w:sz="4" w:space="0"/>
            </w:tcBorders>
            <w:noWrap w:val="0"/>
            <w:vAlign w:val="center"/>
          </w:tcPr>
          <w:p w14:paraId="64592EFF">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内容一般，操作性较强，得</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80</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tc>
      </w:tr>
      <w:tr w14:paraId="25300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0E1BBEB3">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799BAD1A">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3AECC04A">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12B02953">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1ECDBB03">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11FC79F0">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内容齐全，规划合理，可操作性强，风险和事故防范和应急预案科学合理，得</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41</w:t>
            </w:r>
            <w:r>
              <w:rPr>
                <w:rFonts w:hint="eastAsia" w:ascii="宋体" w:hAnsi="宋体"/>
                <w:color w:val="auto"/>
                <w:szCs w:val="21"/>
                <w:highlight w:val="none"/>
              </w:rPr>
              <w:t>－</w:t>
            </w:r>
            <w:r>
              <w:rPr>
                <w:rFonts w:ascii="宋体" w:hAnsi="宋体"/>
                <w:color w:val="auto"/>
                <w:szCs w:val="21"/>
                <w:highlight w:val="none"/>
              </w:rPr>
              <w:t>8.00</w:t>
            </w:r>
            <w:r>
              <w:rPr>
                <w:rFonts w:hint="eastAsia" w:ascii="宋体" w:hAnsi="宋体"/>
                <w:color w:val="auto"/>
                <w:szCs w:val="21"/>
                <w:highlight w:val="none"/>
              </w:rPr>
              <w:t>分</w:t>
            </w:r>
          </w:p>
        </w:tc>
      </w:tr>
      <w:tr w14:paraId="4E2AC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1D1E194E">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2CF50B14">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4EA25E27">
            <w:pPr>
              <w:pStyle w:val="10"/>
              <w:spacing w:before="42" w:line="360" w:lineRule="exact"/>
              <w:ind w:right="99"/>
              <w:jc w:val="center"/>
              <w:rPr>
                <w:rFonts w:hint="eastAsia"/>
                <w:color w:val="auto"/>
                <w:sz w:val="21"/>
                <w:szCs w:val="21"/>
                <w:highlight w:val="none"/>
              </w:rPr>
            </w:pPr>
          </w:p>
        </w:tc>
        <w:tc>
          <w:tcPr>
            <w:tcW w:w="1549" w:type="dxa"/>
            <w:vMerge w:val="restart"/>
            <w:tcBorders>
              <w:right w:val="single" w:color="auto" w:sz="4" w:space="0"/>
            </w:tcBorders>
            <w:noWrap w:val="0"/>
            <w:vAlign w:val="center"/>
          </w:tcPr>
          <w:p w14:paraId="187E2AFE">
            <w:pPr>
              <w:pStyle w:val="10"/>
              <w:spacing w:line="360" w:lineRule="exact"/>
              <w:jc w:val="center"/>
              <w:rPr>
                <w:rFonts w:hint="eastAsia"/>
                <w:color w:val="auto"/>
                <w:sz w:val="21"/>
                <w:szCs w:val="21"/>
                <w:highlight w:val="none"/>
              </w:rPr>
            </w:pPr>
            <w:r>
              <w:rPr>
                <w:rFonts w:hint="eastAsia"/>
                <w:color w:val="auto"/>
                <w:sz w:val="21"/>
                <w:szCs w:val="21"/>
                <w:highlight w:val="none"/>
              </w:rPr>
              <w:t>环境保护体系、扬尘污染防治方案及措施</w:t>
            </w:r>
          </w:p>
        </w:tc>
        <w:tc>
          <w:tcPr>
            <w:tcW w:w="1193" w:type="dxa"/>
            <w:vMerge w:val="restart"/>
            <w:tcBorders>
              <w:left w:val="single" w:color="auto" w:sz="4" w:space="0"/>
              <w:right w:val="single" w:color="auto" w:sz="4" w:space="0"/>
            </w:tcBorders>
            <w:noWrap w:val="0"/>
            <w:vAlign w:val="center"/>
          </w:tcPr>
          <w:p w14:paraId="7B524AD4">
            <w:pPr>
              <w:pStyle w:val="10"/>
              <w:spacing w:line="360" w:lineRule="exact"/>
              <w:jc w:val="center"/>
              <w:rPr>
                <w:rFonts w:hint="eastAsia"/>
                <w:color w:val="auto"/>
                <w:sz w:val="21"/>
                <w:szCs w:val="21"/>
                <w:highlight w:val="none"/>
              </w:rPr>
            </w:pPr>
            <w:r>
              <w:rPr>
                <w:rFonts w:hint="eastAsia"/>
                <w:color w:val="auto"/>
                <w:sz w:val="21"/>
                <w:szCs w:val="21"/>
                <w:highlight w:val="none"/>
              </w:rPr>
              <w:t>4.80-8.00</w:t>
            </w:r>
          </w:p>
        </w:tc>
        <w:tc>
          <w:tcPr>
            <w:tcW w:w="3734" w:type="dxa"/>
            <w:tcBorders>
              <w:left w:val="single" w:color="auto" w:sz="4" w:space="0"/>
            </w:tcBorders>
            <w:noWrap w:val="0"/>
            <w:vAlign w:val="center"/>
          </w:tcPr>
          <w:p w14:paraId="56057A15">
            <w:pPr>
              <w:adjustRightInd w:val="0"/>
              <w:snapToGrid w:val="0"/>
              <w:spacing w:line="300" w:lineRule="exact"/>
              <w:jc w:val="left"/>
              <w:rPr>
                <w:rFonts w:hint="eastAsia" w:ascii="宋体" w:hAnsi="宋体"/>
                <w:color w:val="auto"/>
                <w:szCs w:val="21"/>
                <w:highlight w:val="none"/>
              </w:rPr>
            </w:pPr>
            <w:r>
              <w:rPr>
                <w:rFonts w:hint="eastAsia" w:ascii="宋体" w:hAnsi="宋体"/>
                <w:color w:val="auto"/>
                <w:szCs w:val="21"/>
                <w:highlight w:val="none"/>
              </w:rPr>
              <w:t>内容一般，较合理的，得</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80</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tc>
      </w:tr>
      <w:tr w14:paraId="0E444E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983" w:type="dxa"/>
            <w:vMerge w:val="continue"/>
            <w:noWrap w:val="0"/>
            <w:vAlign w:val="center"/>
          </w:tcPr>
          <w:p w14:paraId="3931223B">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393094FE">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70810F04">
            <w:pPr>
              <w:pStyle w:val="10"/>
              <w:spacing w:before="42" w:line="360" w:lineRule="exact"/>
              <w:ind w:right="99"/>
              <w:jc w:val="center"/>
              <w:rPr>
                <w:rFonts w:hint="eastAsia"/>
                <w:color w:val="auto"/>
                <w:sz w:val="21"/>
                <w:szCs w:val="21"/>
                <w:highlight w:val="none"/>
              </w:rPr>
            </w:pPr>
          </w:p>
        </w:tc>
        <w:tc>
          <w:tcPr>
            <w:tcW w:w="1549" w:type="dxa"/>
            <w:vMerge w:val="continue"/>
            <w:tcBorders>
              <w:right w:val="single" w:color="auto" w:sz="4" w:space="0"/>
            </w:tcBorders>
            <w:noWrap w:val="0"/>
            <w:vAlign w:val="center"/>
          </w:tcPr>
          <w:p w14:paraId="66121FFB">
            <w:pPr>
              <w:pStyle w:val="10"/>
              <w:spacing w:line="360" w:lineRule="exact"/>
              <w:jc w:val="center"/>
              <w:rPr>
                <w:rFonts w:hint="eastAsia"/>
                <w:color w:val="auto"/>
                <w:sz w:val="21"/>
                <w:szCs w:val="21"/>
                <w:highlight w:val="none"/>
              </w:rPr>
            </w:pPr>
          </w:p>
        </w:tc>
        <w:tc>
          <w:tcPr>
            <w:tcW w:w="1193" w:type="dxa"/>
            <w:vMerge w:val="continue"/>
            <w:tcBorders>
              <w:left w:val="single" w:color="auto" w:sz="4" w:space="0"/>
              <w:right w:val="single" w:color="auto" w:sz="4" w:space="0"/>
            </w:tcBorders>
            <w:noWrap w:val="0"/>
            <w:vAlign w:val="center"/>
          </w:tcPr>
          <w:p w14:paraId="77C88805">
            <w:pPr>
              <w:pStyle w:val="10"/>
              <w:spacing w:line="360" w:lineRule="exact"/>
              <w:jc w:val="center"/>
              <w:rPr>
                <w:color w:val="auto"/>
                <w:sz w:val="21"/>
                <w:szCs w:val="21"/>
                <w:highlight w:val="none"/>
              </w:rPr>
            </w:pPr>
          </w:p>
        </w:tc>
        <w:tc>
          <w:tcPr>
            <w:tcW w:w="3734" w:type="dxa"/>
            <w:tcBorders>
              <w:left w:val="single" w:color="auto" w:sz="4" w:space="0"/>
            </w:tcBorders>
            <w:noWrap w:val="0"/>
            <w:vAlign w:val="center"/>
          </w:tcPr>
          <w:p w14:paraId="151ED7B9">
            <w:pPr>
              <w:adjustRightInd w:val="0"/>
              <w:snapToGrid w:val="0"/>
              <w:spacing w:line="300" w:lineRule="exact"/>
              <w:jc w:val="left"/>
              <w:rPr>
                <w:rFonts w:ascii="宋体" w:hAnsi="宋体"/>
                <w:color w:val="auto"/>
                <w:szCs w:val="21"/>
                <w:highlight w:val="none"/>
              </w:rPr>
            </w:pPr>
            <w:r>
              <w:rPr>
                <w:rFonts w:hint="eastAsia" w:ascii="宋体" w:hAnsi="宋体"/>
                <w:color w:val="auto"/>
                <w:szCs w:val="21"/>
                <w:highlight w:val="none"/>
              </w:rPr>
              <w:t>内容齐全，体系、方案科学合理，措施符合河北省、唐山市及交通行业相关规定，且可操作性强的，得</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41</w:t>
            </w:r>
            <w:r>
              <w:rPr>
                <w:rFonts w:hint="eastAsia" w:ascii="宋体" w:hAnsi="宋体"/>
                <w:color w:val="auto"/>
                <w:szCs w:val="21"/>
                <w:highlight w:val="none"/>
              </w:rPr>
              <w:t>－</w:t>
            </w:r>
            <w:r>
              <w:rPr>
                <w:rFonts w:ascii="宋体" w:hAnsi="宋体"/>
                <w:color w:val="auto"/>
                <w:szCs w:val="21"/>
                <w:highlight w:val="none"/>
              </w:rPr>
              <w:t>8.00</w:t>
            </w:r>
            <w:r>
              <w:rPr>
                <w:rFonts w:hint="eastAsia" w:ascii="宋体" w:hAnsi="宋体"/>
                <w:color w:val="auto"/>
                <w:szCs w:val="21"/>
                <w:highlight w:val="none"/>
              </w:rPr>
              <w:t>分</w:t>
            </w:r>
          </w:p>
        </w:tc>
      </w:tr>
      <w:tr w14:paraId="3CAA22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83" w:type="dxa"/>
            <w:vMerge w:val="restart"/>
            <w:noWrap w:val="0"/>
            <w:vAlign w:val="center"/>
          </w:tcPr>
          <w:p w14:paraId="6147C9EE">
            <w:pPr>
              <w:spacing w:line="360" w:lineRule="exact"/>
              <w:ind w:right="113"/>
              <w:jc w:val="center"/>
              <w:rPr>
                <w:rFonts w:hint="eastAsia" w:ascii="宋体" w:hAnsi="宋体"/>
                <w:b/>
                <w:color w:val="auto"/>
                <w:szCs w:val="21"/>
                <w:highlight w:val="none"/>
              </w:rPr>
            </w:pPr>
            <w:r>
              <w:rPr>
                <w:rFonts w:hint="eastAsia" w:ascii="宋体" w:hAnsi="宋体"/>
                <w:b/>
                <w:color w:val="auto"/>
                <w:szCs w:val="21"/>
                <w:highlight w:val="none"/>
              </w:rPr>
              <w:t>2.2.2(2)</w:t>
            </w:r>
          </w:p>
        </w:tc>
        <w:tc>
          <w:tcPr>
            <w:tcW w:w="940" w:type="dxa"/>
            <w:vMerge w:val="restart"/>
            <w:tcBorders>
              <w:right w:val="single" w:color="auto" w:sz="4" w:space="0"/>
            </w:tcBorders>
            <w:noWrap w:val="0"/>
            <w:vAlign w:val="center"/>
          </w:tcPr>
          <w:p w14:paraId="72C6E03F">
            <w:pPr>
              <w:pStyle w:val="10"/>
              <w:spacing w:before="42" w:line="360" w:lineRule="exact"/>
              <w:ind w:right="99"/>
              <w:jc w:val="center"/>
              <w:rPr>
                <w:rFonts w:hint="eastAsia"/>
                <w:color w:val="auto"/>
                <w:sz w:val="21"/>
                <w:szCs w:val="21"/>
                <w:highlight w:val="none"/>
              </w:rPr>
            </w:pPr>
            <w:r>
              <w:rPr>
                <w:rFonts w:hint="eastAsia"/>
                <w:color w:val="auto"/>
                <w:sz w:val="21"/>
                <w:szCs w:val="21"/>
                <w:highlight w:val="none"/>
              </w:rPr>
              <w:t>主要</w:t>
            </w:r>
          </w:p>
          <w:p w14:paraId="56E3AF4A">
            <w:pPr>
              <w:pStyle w:val="10"/>
              <w:spacing w:before="42" w:line="360" w:lineRule="exact"/>
              <w:ind w:right="99"/>
              <w:jc w:val="center"/>
              <w:rPr>
                <w:color w:val="auto"/>
                <w:sz w:val="21"/>
                <w:szCs w:val="21"/>
                <w:highlight w:val="none"/>
              </w:rPr>
            </w:pPr>
            <w:r>
              <w:rPr>
                <w:rFonts w:hint="eastAsia"/>
                <w:color w:val="auto"/>
                <w:sz w:val="21"/>
                <w:szCs w:val="21"/>
                <w:highlight w:val="none"/>
              </w:rPr>
              <w:t>人员</w:t>
            </w:r>
          </w:p>
        </w:tc>
        <w:tc>
          <w:tcPr>
            <w:tcW w:w="1179" w:type="dxa"/>
            <w:vMerge w:val="restart"/>
            <w:tcBorders>
              <w:left w:val="single" w:color="auto" w:sz="4" w:space="0"/>
            </w:tcBorders>
            <w:noWrap w:val="0"/>
            <w:vAlign w:val="center"/>
          </w:tcPr>
          <w:p w14:paraId="3AD3D2FC">
            <w:pPr>
              <w:pStyle w:val="10"/>
              <w:spacing w:before="42" w:line="360" w:lineRule="exact"/>
              <w:ind w:right="99"/>
              <w:jc w:val="center"/>
              <w:rPr>
                <w:color w:val="auto"/>
                <w:sz w:val="21"/>
                <w:szCs w:val="21"/>
                <w:highlight w:val="none"/>
              </w:rPr>
            </w:pPr>
            <w:r>
              <w:rPr>
                <w:rFonts w:hint="eastAsia"/>
                <w:color w:val="auto"/>
                <w:sz w:val="21"/>
                <w:szCs w:val="21"/>
                <w:highlight w:val="none"/>
                <w:lang w:val="en-US"/>
              </w:rPr>
              <w:t>20</w:t>
            </w:r>
            <w:r>
              <w:rPr>
                <w:rFonts w:hint="eastAsia"/>
                <w:color w:val="auto"/>
                <w:sz w:val="21"/>
                <w:szCs w:val="21"/>
                <w:highlight w:val="none"/>
              </w:rPr>
              <w:t>分</w:t>
            </w:r>
          </w:p>
        </w:tc>
        <w:tc>
          <w:tcPr>
            <w:tcW w:w="1549" w:type="dxa"/>
            <w:tcBorders>
              <w:right w:val="single" w:color="auto" w:sz="4" w:space="0"/>
            </w:tcBorders>
            <w:noWrap w:val="0"/>
            <w:vAlign w:val="center"/>
          </w:tcPr>
          <w:p w14:paraId="2245046A">
            <w:pPr>
              <w:pStyle w:val="10"/>
              <w:spacing w:before="42" w:line="360" w:lineRule="exact"/>
              <w:ind w:right="99"/>
              <w:jc w:val="center"/>
              <w:rPr>
                <w:color w:val="auto"/>
                <w:sz w:val="21"/>
                <w:szCs w:val="21"/>
                <w:highlight w:val="none"/>
              </w:rPr>
            </w:pPr>
            <w:r>
              <w:rPr>
                <w:rFonts w:hint="eastAsia"/>
                <w:color w:val="auto"/>
                <w:sz w:val="21"/>
                <w:szCs w:val="21"/>
                <w:highlight w:val="none"/>
              </w:rPr>
              <w:t>项目经理</w:t>
            </w:r>
          </w:p>
        </w:tc>
        <w:tc>
          <w:tcPr>
            <w:tcW w:w="1193" w:type="dxa"/>
            <w:tcBorders>
              <w:left w:val="single" w:color="auto" w:sz="4" w:space="0"/>
              <w:right w:val="single" w:color="auto" w:sz="4" w:space="0"/>
            </w:tcBorders>
            <w:noWrap w:val="0"/>
            <w:vAlign w:val="center"/>
          </w:tcPr>
          <w:p w14:paraId="54A9FEF2">
            <w:pPr>
              <w:pStyle w:val="10"/>
              <w:spacing w:line="360" w:lineRule="exact"/>
              <w:jc w:val="center"/>
              <w:rPr>
                <w:rFonts w:hint="eastAsia"/>
                <w:color w:val="auto"/>
                <w:sz w:val="21"/>
                <w:szCs w:val="21"/>
                <w:highlight w:val="none"/>
              </w:rPr>
            </w:pPr>
            <w:r>
              <w:rPr>
                <w:rFonts w:hint="eastAsia"/>
                <w:color w:val="auto"/>
                <w:sz w:val="21"/>
                <w:szCs w:val="21"/>
                <w:highlight w:val="none"/>
              </w:rPr>
              <w:t>0-10</w:t>
            </w:r>
          </w:p>
        </w:tc>
        <w:tc>
          <w:tcPr>
            <w:tcW w:w="3734" w:type="dxa"/>
            <w:tcBorders>
              <w:left w:val="single" w:color="auto" w:sz="4" w:space="0"/>
            </w:tcBorders>
            <w:noWrap w:val="0"/>
            <w:vAlign w:val="center"/>
          </w:tcPr>
          <w:p w14:paraId="2936083F">
            <w:pPr>
              <w:spacing w:line="300" w:lineRule="exact"/>
              <w:jc w:val="left"/>
              <w:rPr>
                <w:rFonts w:hint="eastAsia" w:ascii="宋体" w:hAnsi="宋体"/>
                <w:color w:val="auto"/>
                <w:szCs w:val="21"/>
                <w:highlight w:val="none"/>
              </w:rPr>
            </w:pPr>
            <w:r>
              <w:rPr>
                <w:rFonts w:hint="eastAsia" w:ascii="宋体" w:hAnsi="宋体"/>
                <w:color w:val="auto"/>
                <w:szCs w:val="21"/>
                <w:highlight w:val="none"/>
              </w:rPr>
              <w:t>满足资格审查条件要求得10分</w:t>
            </w:r>
          </w:p>
        </w:tc>
      </w:tr>
      <w:tr w14:paraId="29B83F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983" w:type="dxa"/>
            <w:vMerge w:val="continue"/>
            <w:noWrap w:val="0"/>
            <w:vAlign w:val="center"/>
          </w:tcPr>
          <w:p w14:paraId="405B6746">
            <w:pPr>
              <w:spacing w:line="360" w:lineRule="exact"/>
              <w:ind w:right="113"/>
              <w:jc w:val="center"/>
              <w:rPr>
                <w:rFonts w:hint="eastAsia" w:ascii="宋体" w:hAnsi="宋体"/>
                <w:b/>
                <w:color w:val="auto"/>
                <w:szCs w:val="21"/>
                <w:highlight w:val="none"/>
              </w:rPr>
            </w:pPr>
          </w:p>
        </w:tc>
        <w:tc>
          <w:tcPr>
            <w:tcW w:w="940" w:type="dxa"/>
            <w:vMerge w:val="continue"/>
            <w:tcBorders>
              <w:right w:val="single" w:color="auto" w:sz="4" w:space="0"/>
            </w:tcBorders>
            <w:noWrap w:val="0"/>
            <w:vAlign w:val="center"/>
          </w:tcPr>
          <w:p w14:paraId="518E7A09">
            <w:pPr>
              <w:pStyle w:val="10"/>
              <w:spacing w:before="42" w:line="360" w:lineRule="exact"/>
              <w:ind w:right="99"/>
              <w:jc w:val="center"/>
              <w:rPr>
                <w:rFonts w:hint="eastAsia"/>
                <w:color w:val="auto"/>
                <w:sz w:val="21"/>
                <w:szCs w:val="21"/>
                <w:highlight w:val="none"/>
              </w:rPr>
            </w:pPr>
          </w:p>
        </w:tc>
        <w:tc>
          <w:tcPr>
            <w:tcW w:w="1179" w:type="dxa"/>
            <w:vMerge w:val="continue"/>
            <w:tcBorders>
              <w:left w:val="single" w:color="auto" w:sz="4" w:space="0"/>
            </w:tcBorders>
            <w:noWrap w:val="0"/>
            <w:vAlign w:val="center"/>
          </w:tcPr>
          <w:p w14:paraId="57C6F782">
            <w:pPr>
              <w:pStyle w:val="10"/>
              <w:spacing w:before="42" w:line="360" w:lineRule="exact"/>
              <w:ind w:right="99"/>
              <w:jc w:val="center"/>
              <w:rPr>
                <w:rFonts w:hint="eastAsia"/>
                <w:color w:val="auto"/>
                <w:sz w:val="21"/>
                <w:szCs w:val="21"/>
                <w:highlight w:val="none"/>
                <w:lang w:val="en-US"/>
              </w:rPr>
            </w:pPr>
          </w:p>
        </w:tc>
        <w:tc>
          <w:tcPr>
            <w:tcW w:w="1549" w:type="dxa"/>
            <w:tcBorders>
              <w:right w:val="single" w:color="auto" w:sz="4" w:space="0"/>
            </w:tcBorders>
            <w:noWrap w:val="0"/>
            <w:vAlign w:val="center"/>
          </w:tcPr>
          <w:p w14:paraId="7B0E9625">
            <w:pPr>
              <w:pStyle w:val="10"/>
              <w:spacing w:before="42" w:line="360" w:lineRule="exact"/>
              <w:ind w:right="99"/>
              <w:jc w:val="center"/>
              <w:rPr>
                <w:color w:val="auto"/>
                <w:sz w:val="21"/>
                <w:szCs w:val="21"/>
                <w:highlight w:val="none"/>
              </w:rPr>
            </w:pPr>
            <w:r>
              <w:rPr>
                <w:rFonts w:hint="eastAsia"/>
                <w:color w:val="auto"/>
                <w:sz w:val="21"/>
                <w:szCs w:val="21"/>
                <w:highlight w:val="none"/>
              </w:rPr>
              <w:t>项目总工</w:t>
            </w:r>
          </w:p>
        </w:tc>
        <w:tc>
          <w:tcPr>
            <w:tcW w:w="1193" w:type="dxa"/>
            <w:tcBorders>
              <w:left w:val="single" w:color="auto" w:sz="4" w:space="0"/>
              <w:right w:val="single" w:color="auto" w:sz="4" w:space="0"/>
            </w:tcBorders>
            <w:noWrap w:val="0"/>
            <w:vAlign w:val="center"/>
          </w:tcPr>
          <w:p w14:paraId="215F8247">
            <w:pPr>
              <w:pStyle w:val="10"/>
              <w:spacing w:line="360" w:lineRule="exact"/>
              <w:jc w:val="center"/>
              <w:rPr>
                <w:rFonts w:hint="eastAsia"/>
                <w:color w:val="auto"/>
                <w:sz w:val="21"/>
                <w:szCs w:val="21"/>
                <w:highlight w:val="none"/>
              </w:rPr>
            </w:pPr>
            <w:r>
              <w:rPr>
                <w:rFonts w:hint="eastAsia"/>
                <w:color w:val="auto"/>
                <w:sz w:val="21"/>
                <w:szCs w:val="21"/>
                <w:highlight w:val="none"/>
              </w:rPr>
              <w:t>0-10</w:t>
            </w:r>
          </w:p>
        </w:tc>
        <w:tc>
          <w:tcPr>
            <w:tcW w:w="3734" w:type="dxa"/>
            <w:tcBorders>
              <w:left w:val="single" w:color="auto" w:sz="4" w:space="0"/>
            </w:tcBorders>
            <w:noWrap w:val="0"/>
            <w:vAlign w:val="center"/>
          </w:tcPr>
          <w:p w14:paraId="41844DB8">
            <w:pPr>
              <w:spacing w:line="300" w:lineRule="exact"/>
              <w:jc w:val="left"/>
              <w:rPr>
                <w:rFonts w:hint="eastAsia" w:ascii="宋体" w:hAnsi="宋体"/>
                <w:color w:val="auto"/>
                <w:szCs w:val="21"/>
                <w:highlight w:val="none"/>
              </w:rPr>
            </w:pPr>
            <w:r>
              <w:rPr>
                <w:rFonts w:hint="eastAsia" w:ascii="宋体" w:hAnsi="宋体"/>
                <w:color w:val="auto"/>
                <w:szCs w:val="21"/>
                <w:highlight w:val="none"/>
              </w:rPr>
              <w:t>满足资格审查条件要求得10分</w:t>
            </w:r>
          </w:p>
        </w:tc>
      </w:tr>
      <w:tr w14:paraId="3700F3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43" w:hRule="atLeast"/>
          <w:jc w:val="center"/>
        </w:trPr>
        <w:tc>
          <w:tcPr>
            <w:tcW w:w="983" w:type="dxa"/>
            <w:noWrap w:val="0"/>
            <w:vAlign w:val="center"/>
          </w:tcPr>
          <w:p w14:paraId="6FF37095">
            <w:pPr>
              <w:spacing w:line="360" w:lineRule="exact"/>
              <w:ind w:right="113"/>
              <w:jc w:val="center"/>
              <w:rPr>
                <w:rFonts w:hint="eastAsia" w:ascii="宋体" w:hAnsi="宋体"/>
                <w:b/>
                <w:color w:val="auto"/>
                <w:szCs w:val="21"/>
                <w:highlight w:val="none"/>
              </w:rPr>
            </w:pPr>
            <w:r>
              <w:rPr>
                <w:rFonts w:hint="eastAsia" w:ascii="宋体" w:hAnsi="宋体"/>
                <w:b/>
                <w:color w:val="auto"/>
                <w:szCs w:val="21"/>
                <w:highlight w:val="none"/>
              </w:rPr>
              <w:t>2.2.2(3)</w:t>
            </w:r>
          </w:p>
        </w:tc>
        <w:tc>
          <w:tcPr>
            <w:tcW w:w="940" w:type="dxa"/>
            <w:tcBorders>
              <w:right w:val="single" w:color="auto" w:sz="4" w:space="0"/>
            </w:tcBorders>
            <w:noWrap w:val="0"/>
            <w:vAlign w:val="center"/>
          </w:tcPr>
          <w:p w14:paraId="55BDB7EC">
            <w:pPr>
              <w:pStyle w:val="10"/>
              <w:spacing w:before="42" w:line="360" w:lineRule="exact"/>
              <w:ind w:right="99"/>
              <w:jc w:val="center"/>
              <w:rPr>
                <w:rFonts w:hint="eastAsia"/>
                <w:color w:val="auto"/>
                <w:sz w:val="21"/>
                <w:szCs w:val="21"/>
                <w:highlight w:val="none"/>
              </w:rPr>
            </w:pPr>
            <w:r>
              <w:rPr>
                <w:rFonts w:hint="eastAsia"/>
                <w:color w:val="auto"/>
                <w:sz w:val="21"/>
                <w:szCs w:val="21"/>
                <w:highlight w:val="none"/>
              </w:rPr>
              <w:t>其它</w:t>
            </w:r>
          </w:p>
          <w:p w14:paraId="0BA8253B">
            <w:pPr>
              <w:pStyle w:val="10"/>
              <w:spacing w:before="42" w:line="360" w:lineRule="exact"/>
              <w:ind w:right="99"/>
              <w:jc w:val="center"/>
              <w:rPr>
                <w:color w:val="auto"/>
                <w:sz w:val="21"/>
                <w:szCs w:val="21"/>
                <w:highlight w:val="none"/>
              </w:rPr>
            </w:pPr>
            <w:r>
              <w:rPr>
                <w:rFonts w:hint="eastAsia"/>
                <w:color w:val="auto"/>
                <w:sz w:val="21"/>
                <w:szCs w:val="21"/>
                <w:highlight w:val="none"/>
              </w:rPr>
              <w:t>因素</w:t>
            </w:r>
          </w:p>
        </w:tc>
        <w:tc>
          <w:tcPr>
            <w:tcW w:w="1179" w:type="dxa"/>
            <w:tcBorders>
              <w:left w:val="single" w:color="auto" w:sz="4" w:space="0"/>
            </w:tcBorders>
            <w:noWrap w:val="0"/>
            <w:vAlign w:val="center"/>
          </w:tcPr>
          <w:p w14:paraId="6159E0C4">
            <w:pPr>
              <w:spacing w:line="360" w:lineRule="exact"/>
              <w:jc w:val="center"/>
              <w:rPr>
                <w:rFonts w:ascii="宋体" w:hAnsi="宋体"/>
                <w:color w:val="auto"/>
                <w:szCs w:val="21"/>
                <w:highlight w:val="none"/>
              </w:rPr>
            </w:pPr>
            <w:r>
              <w:rPr>
                <w:rFonts w:hint="eastAsia" w:ascii="宋体" w:hAnsi="宋体"/>
                <w:color w:val="auto"/>
                <w:szCs w:val="21"/>
                <w:highlight w:val="none"/>
              </w:rPr>
              <w:t>20分</w:t>
            </w:r>
          </w:p>
        </w:tc>
        <w:tc>
          <w:tcPr>
            <w:tcW w:w="1549" w:type="dxa"/>
            <w:tcBorders>
              <w:right w:val="single" w:color="auto" w:sz="4" w:space="0"/>
            </w:tcBorders>
            <w:noWrap w:val="0"/>
            <w:vAlign w:val="center"/>
          </w:tcPr>
          <w:p w14:paraId="4E6D0B1E">
            <w:pPr>
              <w:spacing w:line="360" w:lineRule="exact"/>
              <w:jc w:val="center"/>
              <w:rPr>
                <w:rFonts w:hint="eastAsia" w:ascii="宋体" w:hAnsi="宋体"/>
                <w:color w:val="auto"/>
                <w:szCs w:val="21"/>
                <w:highlight w:val="none"/>
              </w:rPr>
            </w:pPr>
            <w:r>
              <w:rPr>
                <w:rFonts w:hint="eastAsia" w:ascii="宋体" w:hAnsi="宋体"/>
                <w:color w:val="auto"/>
                <w:szCs w:val="21"/>
                <w:highlight w:val="none"/>
              </w:rPr>
              <w:t>企业业绩</w:t>
            </w:r>
          </w:p>
        </w:tc>
        <w:tc>
          <w:tcPr>
            <w:tcW w:w="1193" w:type="dxa"/>
            <w:tcBorders>
              <w:left w:val="single" w:color="auto" w:sz="4" w:space="0"/>
              <w:right w:val="single" w:color="auto" w:sz="4" w:space="0"/>
            </w:tcBorders>
            <w:noWrap w:val="0"/>
            <w:vAlign w:val="center"/>
          </w:tcPr>
          <w:p w14:paraId="596E247C">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0-20</w:t>
            </w:r>
          </w:p>
        </w:tc>
        <w:tc>
          <w:tcPr>
            <w:tcW w:w="3734" w:type="dxa"/>
            <w:tcBorders>
              <w:left w:val="single" w:color="auto" w:sz="4" w:space="0"/>
            </w:tcBorders>
            <w:noWrap w:val="0"/>
            <w:vAlign w:val="center"/>
          </w:tcPr>
          <w:p w14:paraId="32E179D1">
            <w:pPr>
              <w:spacing w:line="300" w:lineRule="exact"/>
              <w:jc w:val="left"/>
              <w:rPr>
                <w:rFonts w:hint="eastAsia" w:cs="Times New Roman"/>
                <w:color w:val="auto"/>
                <w:kern w:val="2"/>
                <w:sz w:val="21"/>
                <w:szCs w:val="21"/>
                <w:highlight w:val="none"/>
                <w:lang w:val="en-US" w:bidi="ar-SA"/>
              </w:rPr>
            </w:pPr>
            <w:r>
              <w:rPr>
                <w:rFonts w:hint="eastAsia" w:ascii="宋体" w:hAnsi="宋体"/>
                <w:color w:val="auto"/>
                <w:szCs w:val="21"/>
                <w:highlight w:val="none"/>
              </w:rPr>
              <w:t>满足资格审查条件要求的得</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r>
      <w:tr w14:paraId="53980F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983" w:type="dxa"/>
            <w:noWrap w:val="0"/>
            <w:vAlign w:val="center"/>
          </w:tcPr>
          <w:p w14:paraId="5DEF7A1B">
            <w:pPr>
              <w:spacing w:line="360" w:lineRule="exact"/>
              <w:ind w:right="113"/>
              <w:jc w:val="center"/>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6</w:t>
            </w:r>
            <w:r>
              <w:rPr>
                <w:rFonts w:hint="eastAsia" w:ascii="宋体" w:hAnsi="宋体"/>
                <w:b/>
                <w:color w:val="auto"/>
                <w:szCs w:val="21"/>
                <w:highlight w:val="none"/>
              </w:rPr>
              <w:t>.</w:t>
            </w:r>
            <w:r>
              <w:rPr>
                <w:rFonts w:ascii="宋体" w:hAnsi="宋体"/>
                <w:b/>
                <w:color w:val="auto"/>
                <w:szCs w:val="21"/>
                <w:highlight w:val="none"/>
              </w:rPr>
              <w:t>1</w:t>
            </w:r>
          </w:p>
        </w:tc>
        <w:tc>
          <w:tcPr>
            <w:tcW w:w="8595" w:type="dxa"/>
            <w:gridSpan w:val="5"/>
            <w:noWrap w:val="0"/>
            <w:vAlign w:val="center"/>
          </w:tcPr>
          <w:p w14:paraId="4DF6BB97">
            <w:pPr>
              <w:spacing w:line="300" w:lineRule="exact"/>
              <w:jc w:val="left"/>
              <w:rPr>
                <w:rFonts w:hint="eastAsia" w:ascii="宋体" w:hAnsi="宋体"/>
                <w:color w:val="auto"/>
                <w:szCs w:val="21"/>
                <w:highlight w:val="none"/>
              </w:rPr>
            </w:pPr>
            <w:r>
              <w:rPr>
                <w:rFonts w:hint="eastAsia" w:ascii="宋体" w:hAnsi="宋体"/>
                <w:color w:val="auto"/>
                <w:szCs w:val="21"/>
                <w:highlight w:val="none"/>
              </w:rPr>
              <w:t>本款不适用</w:t>
            </w:r>
          </w:p>
        </w:tc>
      </w:tr>
      <w:tr w14:paraId="1FA244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9578" w:type="dxa"/>
            <w:gridSpan w:val="6"/>
            <w:noWrap w:val="0"/>
            <w:vAlign w:val="center"/>
          </w:tcPr>
          <w:p w14:paraId="55022CA4">
            <w:pPr>
              <w:spacing w:line="360" w:lineRule="exact"/>
              <w:ind w:right="113"/>
              <w:rPr>
                <w:rFonts w:hint="eastAsia"/>
                <w:color w:val="auto"/>
                <w:highlight w:val="none"/>
                <w:lang w:eastAsia="zh-CN"/>
              </w:rPr>
            </w:pPr>
            <w:r>
              <w:rPr>
                <w:rFonts w:hint="eastAsia"/>
                <w:color w:val="auto"/>
                <w:highlight w:val="none"/>
              </w:rPr>
              <w:t>需要补充的其他内容</w:t>
            </w:r>
            <w:r>
              <w:rPr>
                <w:rFonts w:hint="eastAsia" w:eastAsia="宋体"/>
                <w:color w:val="auto"/>
                <w:highlight w:val="none"/>
                <w:lang w:eastAsia="zh-CN"/>
              </w:rPr>
              <w:t>：</w:t>
            </w:r>
          </w:p>
          <w:p w14:paraId="30242C90">
            <w:pPr>
              <w:spacing w:line="360" w:lineRule="exact"/>
              <w:ind w:right="113"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1.修改3.1.1款：</w:t>
            </w:r>
          </w:p>
          <w:p w14:paraId="6652A615">
            <w:pPr>
              <w:spacing w:line="360" w:lineRule="exact"/>
              <w:ind w:right="113"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本款修改为：评标委员会依据本章第 2.1 款规定的标准对投标文件第一个信封（商务及技术文件）进行初步评审。有一项不符合评审标准的，评标委员会应否决其投标。</w:t>
            </w:r>
          </w:p>
          <w:p w14:paraId="0352C38B">
            <w:pPr>
              <w:spacing w:line="360" w:lineRule="exact"/>
              <w:ind w:right="113"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2.补充3.2.2款：</w:t>
            </w:r>
          </w:p>
          <w:p w14:paraId="05E73E4B">
            <w:pPr>
              <w:spacing w:line="360" w:lineRule="exact"/>
              <w:ind w:right="113"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本款补充内容：投标文件（第一信封）各项评分因素得分应以评标委员会各成员的打分平均值确定。若评标委员会打分保留一位小数的，默认小数点第二位为0。</w:t>
            </w:r>
          </w:p>
          <w:p w14:paraId="20C7BBD1">
            <w:pPr>
              <w:spacing w:line="360" w:lineRule="exact"/>
              <w:ind w:right="113"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本项目为全流程电子招投标，投标人无需到场参与开标会，评审过程中评标委员会无需评审相关证书和证件的原件。</w:t>
            </w:r>
          </w:p>
          <w:p w14:paraId="137EDF3C">
            <w:pPr>
              <w:spacing w:line="360" w:lineRule="exact"/>
              <w:ind w:right="113" w:firstLine="420" w:firstLineChars="200"/>
              <w:rPr>
                <w:rFonts w:hint="eastAsia"/>
                <w:color w:val="auto"/>
                <w:highlight w:val="none"/>
                <w:lang w:eastAsia="zh-CN"/>
              </w:rPr>
            </w:pPr>
            <w:r>
              <w:rPr>
                <w:rFonts w:hint="eastAsia" w:ascii="Times New Roman" w:hAnsi="Times New Roman" w:eastAsia="宋体" w:cs="Times New Roman"/>
                <w:color w:val="auto"/>
                <w:highlight w:val="none"/>
                <w:lang w:val="en-US" w:eastAsia="zh-CN"/>
              </w:rPr>
              <w:t>4.施工组织设计中评分低于满分值60%的，评标委员会成员应当在评标报告中作出说明。</w:t>
            </w:r>
          </w:p>
        </w:tc>
      </w:tr>
    </w:tbl>
    <w:p w14:paraId="4C2B4385">
      <w:pPr>
        <w:pStyle w:val="9"/>
        <w:rPr>
          <w:rFonts w:hint="eastAsia"/>
          <w:color w:val="auto"/>
          <w:highlight w:val="none"/>
        </w:rPr>
      </w:pPr>
    </w:p>
    <w:p w14:paraId="43EEF2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467C2"/>
    <w:rsid w:val="45C4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next w:val="4"/>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Body Text 2"/>
    <w:qFormat/>
    <w:uiPriority w:val="0"/>
    <w:pPr>
      <w:widowControl w:val="0"/>
      <w:jc w:val="both"/>
    </w:pPr>
    <w:rPr>
      <w:rFonts w:ascii="宋体" w:hAnsi="宋体" w:eastAsia="宋体" w:cs="Times New Roman"/>
      <w:kern w:val="2"/>
      <w:sz w:val="28"/>
      <w:szCs w:val="24"/>
      <w:lang w:val="en-US" w:eastAsia="zh-CN" w:bidi="ar-SA"/>
    </w:rPr>
  </w:style>
  <w:style w:type="character" w:styleId="7">
    <w:name w:val="Hyperlink"/>
    <w:qFormat/>
    <w:uiPriority w:val="0"/>
    <w:rPr>
      <w:color w:val="444444"/>
      <w:u w:val="none"/>
    </w:rPr>
  </w:style>
  <w:style w:type="paragraph" w:customStyle="1" w:styleId="8">
    <w:name w:val="正文1"/>
    <w:next w:val="9"/>
    <w:qFormat/>
    <w:uiPriority w:val="0"/>
    <w:pPr>
      <w:widowControl w:val="0"/>
      <w:snapToGrid w:val="0"/>
      <w:spacing w:line="500" w:lineRule="atLeast"/>
      <w:ind w:firstLine="539"/>
      <w:jc w:val="both"/>
    </w:pPr>
    <w:rPr>
      <w:rFonts w:ascii="宋体" w:hAnsi="Times New Roman" w:eastAsia="宋体" w:cs="Times New Roman"/>
      <w:spacing w:val="14"/>
      <w:kern w:val="2"/>
      <w:sz w:val="24"/>
      <w:szCs w:val="20"/>
      <w:lang w:val="en-US" w:eastAsia="zh-CN" w:bidi="ar-SA"/>
    </w:rPr>
  </w:style>
  <w:style w:type="paragraph" w:customStyle="1" w:styleId="9">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宋体" w:eastAsia="宋体" w:cs="宋体"/>
      <w:kern w:val="2"/>
      <w:sz w:val="28"/>
      <w:szCs w:val="20"/>
      <w:lang w:val="en-US" w:eastAsia="zh-CN" w:bidi="ar-SA"/>
    </w:rPr>
  </w:style>
  <w:style w:type="paragraph" w:customStyle="1" w:styleId="10">
    <w:name w:val="Table Paragraph"/>
    <w:qFormat/>
    <w:uiPriority w:val="1"/>
    <w:pPr>
      <w:widowControl w:val="0"/>
      <w:autoSpaceDE w:val="0"/>
      <w:autoSpaceDN w:val="0"/>
      <w:jc w:val="left"/>
    </w:pPr>
    <w:rPr>
      <w:rFonts w:ascii="宋体" w:hAnsi="宋体" w:eastAsia="宋体" w:cs="宋体"/>
      <w:kern w:val="0"/>
      <w:sz w:val="22"/>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2025-07-31T08:31:00Z</dcterms:created>
  <dc:creator>Lenovo</dc:creator>
  <cp:lastModifiedBy>Lenovo</cp:lastModifiedBy>
  <dcterms:modified xsi:type="dcterms:W3CDTF">2025-07-31T08:40:06Z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73E4892F59EC47668E170E4455CA41B5_11</vt:lpwstr>
  </property>
  <property fmtid="{D5CDD505-2E9C-101B-9397-08002B2CF9AE}" pid="4" name="KSOTemplateDocerSaveRecord">
    <vt:lpwstr>eyJoZGlkIjoiNDUwYjRlYzM5YjNkOTUxMDU1M2JmNTFmNDIyMTRlZDYiLCJ1c2VySWQiOiI1MDMzMzE3MTMifQ==</vt:lpwstr>
  </property>
</Properties>
</file>