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F66" w:rsidRDefault="00676F66" w:rsidP="00676F66">
      <w:pPr>
        <w:spacing w:line="400" w:lineRule="exact"/>
        <w:jc w:val="center"/>
        <w:rPr>
          <w:rFonts w:ascii="宋体" w:eastAsia="宋体" w:hAnsi="宋体"/>
          <w:b/>
          <w:sz w:val="32"/>
          <w:szCs w:val="32"/>
        </w:rPr>
      </w:pPr>
      <w:r>
        <w:rPr>
          <w:rFonts w:ascii="宋体" w:eastAsia="宋体" w:hAnsi="宋体"/>
          <w:b/>
          <w:sz w:val="32"/>
          <w:szCs w:val="32"/>
        </w:rPr>
        <w:t>交 易 提 示</w:t>
      </w:r>
    </w:p>
    <w:p w:rsidR="00676F66" w:rsidRDefault="00676F66" w:rsidP="00676F66">
      <w:pPr>
        <w:spacing w:before="100" w:beforeAutospacing="1" w:after="100" w:afterAutospacing="1"/>
        <w:rPr>
          <w:rFonts w:ascii="宋体" w:eastAsia="宋体" w:hAnsi="宋体"/>
          <w:sz w:val="24"/>
          <w:szCs w:val="24"/>
        </w:rPr>
      </w:pPr>
      <w:r>
        <w:rPr>
          <w:rFonts w:ascii="宋体" w:eastAsia="宋体" w:hAnsi="宋体" w:hint="eastAsia"/>
          <w:sz w:val="24"/>
          <w:szCs w:val="24"/>
        </w:rPr>
        <w:t>致</w:t>
      </w:r>
      <w:r>
        <w:rPr>
          <w:rFonts w:ascii="宋体" w:eastAsia="宋体" w:hAnsi="宋体"/>
          <w:sz w:val="24"/>
          <w:szCs w:val="24"/>
        </w:rPr>
        <w:t>：</w:t>
      </w:r>
      <w:r>
        <w:rPr>
          <w:rFonts w:ascii="宋体" w:eastAsia="宋体" w:hAnsi="宋体" w:hint="eastAsia"/>
          <w:sz w:val="24"/>
          <w:szCs w:val="24"/>
        </w:rPr>
        <w:t>交易当事人</w:t>
      </w:r>
    </w:p>
    <w:p w:rsidR="00676F66" w:rsidRDefault="00676F66" w:rsidP="00676F66">
      <w:pPr>
        <w:spacing w:before="100" w:beforeAutospacing="1" w:after="100" w:afterAutospacing="1"/>
        <w:rPr>
          <w:rFonts w:ascii="宋体" w:eastAsia="宋体" w:hAnsi="宋体"/>
          <w:sz w:val="24"/>
          <w:szCs w:val="24"/>
        </w:rPr>
      </w:pPr>
      <w:r>
        <w:rPr>
          <w:rFonts w:ascii="宋体" w:eastAsia="宋体" w:hAnsi="宋体" w:hint="eastAsia"/>
          <w:sz w:val="24"/>
          <w:szCs w:val="24"/>
        </w:rPr>
        <w:t xml:space="preserve">   非常感谢参加青岛产权交易所有限公司（下称</w:t>
      </w:r>
      <w:r>
        <w:rPr>
          <w:rFonts w:ascii="宋体" w:eastAsia="宋体" w:hAnsi="宋体" w:hint="eastAsia"/>
          <w:sz w:val="24"/>
          <w:szCs w:val="24"/>
          <w:lang w:eastAsia="zh-Hans"/>
        </w:rPr>
        <w:t>“</w:t>
      </w:r>
      <w:r>
        <w:rPr>
          <w:rFonts w:ascii="宋体" w:eastAsia="宋体" w:hAnsi="宋体" w:hint="eastAsia"/>
          <w:sz w:val="24"/>
          <w:szCs w:val="24"/>
        </w:rPr>
        <w:t>青交所</w:t>
      </w:r>
      <w:r>
        <w:rPr>
          <w:rFonts w:ascii="宋体" w:eastAsia="宋体" w:hAnsi="宋体" w:hint="eastAsia"/>
          <w:sz w:val="24"/>
          <w:szCs w:val="24"/>
          <w:lang w:eastAsia="zh-Hans"/>
        </w:rPr>
        <w:t>”</w:t>
      </w:r>
      <w:r>
        <w:rPr>
          <w:rFonts w:ascii="宋体" w:eastAsia="宋体" w:hAnsi="宋体" w:hint="eastAsia"/>
          <w:sz w:val="24"/>
          <w:szCs w:val="24"/>
        </w:rPr>
        <w:t>）组织的交易。现就部分相关规则做如下提示。</w:t>
      </w:r>
    </w:p>
    <w:p w:rsidR="00676F66" w:rsidRDefault="00676F66" w:rsidP="00676F66">
      <w:pPr>
        <w:spacing w:before="100" w:beforeAutospacing="1" w:after="100" w:afterAutospacing="1"/>
        <w:rPr>
          <w:rFonts w:ascii="宋体" w:eastAsia="宋体" w:hAnsi="宋体"/>
          <w:sz w:val="24"/>
          <w:szCs w:val="24"/>
        </w:rPr>
      </w:pPr>
      <w:r>
        <w:rPr>
          <w:rFonts w:ascii="宋体" w:eastAsia="宋体" w:hAnsi="宋体" w:hint="eastAsia"/>
          <w:sz w:val="24"/>
          <w:szCs w:val="24"/>
        </w:rPr>
        <w:t xml:space="preserve">    一、所有交易，无论青交所是否组织交易当事人对交易标的作现场查看或做相关验证，交易当事人均有义务自行对交易标的做详尽了解，包括但不限于其权利状况</w:t>
      </w:r>
      <w:r>
        <w:rPr>
          <w:rFonts w:ascii="宋体" w:eastAsia="宋体" w:hAnsi="宋体"/>
          <w:sz w:val="24"/>
          <w:szCs w:val="24"/>
        </w:rPr>
        <w:t>、</w:t>
      </w:r>
      <w:r>
        <w:rPr>
          <w:rFonts w:ascii="宋体" w:eastAsia="宋体" w:hAnsi="宋体" w:hint="eastAsia"/>
          <w:sz w:val="24"/>
          <w:szCs w:val="24"/>
        </w:rPr>
        <w:t>物理状况等。若相关交易当事人成为该交易标的的买受方（买受方指按照青交所交易规则确认的受让方、投资方、承租方等，下同），即视为该当事人已对交易标的进行了详尽了解，并同意按照交易标的权利或物理等实际状况进行交易。青交所不对该交易标的之权利</w:t>
      </w:r>
      <w:r>
        <w:rPr>
          <w:rFonts w:ascii="宋体" w:eastAsia="宋体" w:hAnsi="宋体" w:hint="eastAsia"/>
          <w:sz w:val="24"/>
          <w:szCs w:val="24"/>
          <w:lang w:eastAsia="zh-Hans"/>
        </w:rPr>
        <w:t>或</w:t>
      </w:r>
      <w:r>
        <w:rPr>
          <w:rFonts w:ascii="宋体" w:eastAsia="宋体" w:hAnsi="宋体" w:hint="eastAsia"/>
          <w:sz w:val="24"/>
          <w:szCs w:val="24"/>
        </w:rPr>
        <w:t>物理瑕疵及其相关的信息披露（公告等）的不完整、不真实、不有效等承担任何责任。</w:t>
      </w:r>
    </w:p>
    <w:p w:rsidR="00676F66" w:rsidRDefault="00676F66" w:rsidP="00676F66">
      <w:pPr>
        <w:spacing w:before="100" w:beforeAutospacing="1" w:after="100" w:afterAutospacing="1"/>
        <w:ind w:firstLineChars="200" w:firstLine="480"/>
        <w:rPr>
          <w:rFonts w:ascii="宋体" w:eastAsia="宋体" w:hAnsi="宋体"/>
          <w:sz w:val="24"/>
          <w:szCs w:val="24"/>
        </w:rPr>
      </w:pPr>
      <w:r>
        <w:rPr>
          <w:rFonts w:ascii="宋体" w:eastAsia="宋体" w:hAnsi="宋体" w:hint="eastAsia"/>
          <w:sz w:val="24"/>
          <w:szCs w:val="24"/>
        </w:rPr>
        <w:t>二、在确定买受方后，买受方有全额支付交易价款等义务，委托方（委托方指各类项目信息披露委托方）有交付标的等义务，皆不以签订相关转让/租赁等合同文本为履行的前置要件。青交所的支付或交付通知送达后未能及时履行所通知义务的，既为对相对方的违约，应当承担相应</w:t>
      </w:r>
      <w:r>
        <w:rPr>
          <w:rFonts w:ascii="宋体" w:eastAsia="宋体" w:hAnsi="宋体" w:hint="eastAsia"/>
          <w:sz w:val="24"/>
          <w:szCs w:val="24"/>
          <w:lang w:eastAsia="zh-Hans"/>
        </w:rPr>
        <w:t>的</w:t>
      </w:r>
      <w:r>
        <w:rPr>
          <w:rFonts w:ascii="宋体" w:eastAsia="宋体" w:hAnsi="宋体" w:hint="eastAsia"/>
          <w:sz w:val="24"/>
          <w:szCs w:val="24"/>
        </w:rPr>
        <w:t>违约责任。</w:t>
      </w:r>
    </w:p>
    <w:p w:rsidR="00676F66" w:rsidRDefault="00676F66" w:rsidP="00676F66">
      <w:pPr>
        <w:spacing w:before="100" w:beforeAutospacing="1" w:after="100" w:afterAutospacing="1"/>
        <w:ind w:firstLineChars="200" w:firstLine="480"/>
        <w:rPr>
          <w:rFonts w:ascii="宋体" w:eastAsia="宋体" w:hAnsi="宋体"/>
          <w:sz w:val="24"/>
          <w:szCs w:val="24"/>
        </w:rPr>
      </w:pPr>
      <w:r>
        <w:rPr>
          <w:rFonts w:ascii="宋体" w:eastAsia="宋体" w:hAnsi="宋体" w:hint="eastAsia"/>
          <w:sz w:val="24"/>
          <w:szCs w:val="24"/>
        </w:rPr>
        <w:t>三、青交所不必向任何交易当事人支付交易价款（含保证金）在青交所保管期间内（包括但不限于在交易涉讼或非讼调解期间、交易价款的结算合理期间或其他合理保管、处置期间）产生的利息。</w:t>
      </w:r>
    </w:p>
    <w:p w:rsidR="00676F66" w:rsidRDefault="00676F66" w:rsidP="00676F66">
      <w:pPr>
        <w:spacing w:before="100" w:beforeAutospacing="1" w:after="100" w:afterAutospacing="1"/>
        <w:ind w:firstLineChars="200" w:firstLine="480"/>
        <w:rPr>
          <w:rFonts w:ascii="宋体" w:eastAsia="宋体" w:hAnsi="宋体"/>
          <w:sz w:val="24"/>
          <w:szCs w:val="24"/>
        </w:rPr>
      </w:pPr>
      <w:r>
        <w:rPr>
          <w:rFonts w:ascii="宋体" w:eastAsia="宋体" w:hAnsi="宋体" w:hint="eastAsia"/>
          <w:sz w:val="24"/>
          <w:szCs w:val="24"/>
        </w:rPr>
        <w:t>四、鉴于青交所为交易提供了场所、设施及服务，未有特别规定或约定，交易确定买受方之时，既为青交所“应收服务费用”之时，相关各方应当自此时交纳相关服务费用（不以相关通知送达或签订交易标的的转让/租赁合同等为要件）。</w:t>
      </w:r>
    </w:p>
    <w:p w:rsidR="00676F66" w:rsidRDefault="00676F66" w:rsidP="00676F66">
      <w:pPr>
        <w:spacing w:before="100" w:beforeAutospacing="1" w:after="100" w:afterAutospacing="1"/>
        <w:ind w:firstLineChars="200" w:firstLine="480"/>
        <w:rPr>
          <w:rFonts w:ascii="宋体" w:eastAsia="宋体" w:hAnsi="宋体"/>
          <w:sz w:val="24"/>
          <w:szCs w:val="24"/>
        </w:rPr>
      </w:pPr>
      <w:r>
        <w:rPr>
          <w:rFonts w:ascii="宋体" w:eastAsia="宋体" w:hAnsi="宋体" w:hint="eastAsia"/>
          <w:sz w:val="24"/>
          <w:szCs w:val="24"/>
        </w:rPr>
        <w:t>五、交易当事人已经仔细阅读《青岛产权交易所保证金管理办法》，对于保证金的保管和处置没有任何异议。交易当事人对涉及该项交易的青交所其他交易规则，已做详尽了解，交易规则可在青交所官网浏览，网址为www.qdcq.net。</w:t>
      </w:r>
    </w:p>
    <w:p w:rsidR="00676F66" w:rsidRDefault="00676F66" w:rsidP="00676F66">
      <w:pPr>
        <w:spacing w:before="100" w:beforeAutospacing="1" w:after="100" w:afterAutospacing="1"/>
        <w:ind w:firstLineChars="200" w:firstLine="480"/>
        <w:rPr>
          <w:rFonts w:ascii="宋体" w:eastAsia="宋体" w:hAnsi="宋体"/>
          <w:sz w:val="24"/>
          <w:szCs w:val="24"/>
        </w:rPr>
      </w:pPr>
      <w:r>
        <w:rPr>
          <w:rFonts w:ascii="宋体" w:eastAsia="宋体" w:hAnsi="宋体" w:hint="eastAsia"/>
          <w:sz w:val="24"/>
          <w:szCs w:val="24"/>
        </w:rPr>
        <w:t>六、青交所留存的交易当事人认可的任一地址或联系方式（有多地址、方式的，不论留存时间先后），皆为青交所通知送达的有效地址或联系的有效方式。</w:t>
      </w:r>
    </w:p>
    <w:p w:rsidR="00676F66" w:rsidRDefault="00676F66" w:rsidP="00676F66">
      <w:pPr>
        <w:rPr>
          <w:rFonts w:ascii="宋体" w:eastAsia="宋体" w:hAnsi="宋体"/>
          <w:b/>
          <w:sz w:val="24"/>
          <w:szCs w:val="24"/>
        </w:rPr>
      </w:pPr>
      <w:r>
        <w:rPr>
          <w:rFonts w:ascii="宋体" w:eastAsia="宋体" w:hAnsi="宋体" w:hint="eastAsia"/>
          <w:sz w:val="24"/>
          <w:szCs w:val="24"/>
        </w:rPr>
        <w:t xml:space="preserve">    七、与该提示矛盾的规定或约定，以该提示为准（该提示为特别约定）。</w:t>
      </w:r>
    </w:p>
    <w:p w:rsidR="00676F66" w:rsidRDefault="00676F66" w:rsidP="00676F66">
      <w:pPr>
        <w:rPr>
          <w:rFonts w:ascii="宋体" w:eastAsia="宋体" w:hAnsi="宋体"/>
          <w:b/>
          <w:sz w:val="24"/>
          <w:szCs w:val="24"/>
        </w:rPr>
      </w:pPr>
    </w:p>
    <w:p w:rsidR="00676F66" w:rsidRDefault="00676F66" w:rsidP="00676F66">
      <w:pPr>
        <w:adjustRightInd w:val="0"/>
        <w:snapToGrid w:val="0"/>
        <w:spacing w:before="100" w:beforeAutospacing="1" w:after="100" w:afterAutospacing="1"/>
        <w:ind w:firstLine="450"/>
        <w:rPr>
          <w:rFonts w:ascii="宋体" w:eastAsia="宋体" w:hAnsi="宋体"/>
          <w:b/>
          <w:sz w:val="24"/>
          <w:szCs w:val="24"/>
        </w:rPr>
      </w:pPr>
      <w:r>
        <w:rPr>
          <w:rFonts w:ascii="宋体" w:eastAsia="宋体" w:hAnsi="宋体" w:hint="eastAsia"/>
          <w:sz w:val="24"/>
          <w:szCs w:val="24"/>
        </w:rPr>
        <w:t xml:space="preserve">                                          </w:t>
      </w:r>
      <w:r>
        <w:rPr>
          <w:rFonts w:ascii="宋体" w:eastAsia="宋体" w:hAnsi="宋体" w:hint="eastAsia"/>
          <w:b/>
          <w:sz w:val="24"/>
          <w:szCs w:val="24"/>
        </w:rPr>
        <w:t>意向方：（公章）</w:t>
      </w:r>
    </w:p>
    <w:p w:rsidR="00676F66" w:rsidRDefault="00676F66" w:rsidP="00676F66">
      <w:pPr>
        <w:adjustRightInd w:val="0"/>
        <w:snapToGrid w:val="0"/>
        <w:spacing w:before="100" w:beforeAutospacing="1" w:after="100" w:afterAutospacing="1"/>
        <w:ind w:firstLine="450"/>
        <w:rPr>
          <w:rFonts w:ascii="宋体" w:eastAsia="宋体" w:hAnsi="宋体"/>
          <w:b/>
          <w:sz w:val="24"/>
          <w:szCs w:val="24"/>
        </w:rPr>
      </w:pPr>
      <w:r>
        <w:rPr>
          <w:rFonts w:ascii="宋体" w:eastAsia="宋体" w:hAnsi="宋体" w:hint="eastAsia"/>
          <w:b/>
          <w:sz w:val="24"/>
          <w:szCs w:val="24"/>
        </w:rPr>
        <w:t xml:space="preserve">                                          </w:t>
      </w:r>
    </w:p>
    <w:p w:rsidR="00676F66" w:rsidRDefault="00676F66" w:rsidP="00676F66">
      <w:pPr>
        <w:adjustRightInd w:val="0"/>
        <w:snapToGrid w:val="0"/>
        <w:spacing w:before="100" w:beforeAutospacing="1" w:after="100" w:afterAutospacing="1"/>
        <w:ind w:firstLine="450"/>
        <w:rPr>
          <w:rFonts w:ascii="宋体" w:eastAsia="宋体" w:hAnsi="宋体"/>
          <w:b/>
          <w:sz w:val="24"/>
          <w:szCs w:val="24"/>
        </w:rPr>
      </w:pPr>
      <w:r>
        <w:rPr>
          <w:rFonts w:ascii="宋体" w:eastAsia="宋体" w:hAnsi="宋体" w:hint="eastAsia"/>
          <w:b/>
          <w:sz w:val="24"/>
          <w:szCs w:val="24"/>
        </w:rPr>
        <w:t xml:space="preserve">                                          法定代表人：（签字或盖章）</w:t>
      </w:r>
    </w:p>
    <w:p w:rsidR="00307277" w:rsidRPr="00676F66" w:rsidRDefault="00307277">
      <w:bookmarkStart w:id="0" w:name="_GoBack"/>
      <w:bookmarkEnd w:id="0"/>
    </w:p>
    <w:sectPr w:rsidR="00307277" w:rsidRPr="00676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646" w:rsidRDefault="004D2646" w:rsidP="00676F66">
      <w:r>
        <w:separator/>
      </w:r>
    </w:p>
  </w:endnote>
  <w:endnote w:type="continuationSeparator" w:id="0">
    <w:p w:rsidR="004D2646" w:rsidRDefault="004D2646" w:rsidP="0067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646" w:rsidRDefault="004D2646" w:rsidP="00676F66">
      <w:r>
        <w:separator/>
      </w:r>
    </w:p>
  </w:footnote>
  <w:footnote w:type="continuationSeparator" w:id="0">
    <w:p w:rsidR="004D2646" w:rsidRDefault="004D2646" w:rsidP="00676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F5"/>
    <w:rsid w:val="00307277"/>
    <w:rsid w:val="003241F5"/>
    <w:rsid w:val="004D2646"/>
    <w:rsid w:val="00676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45BA08-478E-42C1-B04F-E347915F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F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F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6F66"/>
    <w:rPr>
      <w:sz w:val="18"/>
      <w:szCs w:val="18"/>
    </w:rPr>
  </w:style>
  <w:style w:type="paragraph" w:styleId="a5">
    <w:name w:val="footer"/>
    <w:basedOn w:val="a"/>
    <w:link w:val="a6"/>
    <w:uiPriority w:val="99"/>
    <w:unhideWhenUsed/>
    <w:rsid w:val="00676F66"/>
    <w:pPr>
      <w:tabs>
        <w:tab w:val="center" w:pos="4153"/>
        <w:tab w:val="right" w:pos="8306"/>
      </w:tabs>
      <w:snapToGrid w:val="0"/>
      <w:jc w:val="left"/>
    </w:pPr>
    <w:rPr>
      <w:sz w:val="18"/>
      <w:szCs w:val="18"/>
    </w:rPr>
  </w:style>
  <w:style w:type="character" w:customStyle="1" w:styleId="a6">
    <w:name w:val="页脚 字符"/>
    <w:basedOn w:val="a0"/>
    <w:link w:val="a5"/>
    <w:uiPriority w:val="99"/>
    <w:rsid w:val="00676F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2021-12-10T05:59:00Z</dcterms:created>
  <dcterms:modified xsi:type="dcterms:W3CDTF">2021-12-10T05:59:00Z</dcterms:modified>
</cp:coreProperties>
</file>