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80" w:lineRule="exact"/>
        <w:ind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  <w:t>国网陕西电力2025年第三次原集体企业市场化项目授权服务联合竞争性谈判采购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="100" w:beforeAutospacing="0" w:after="100" w:afterAutospacing="0"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val="en-US" w:eastAsia="zh-CN"/>
        </w:rPr>
        <w:t>成交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</w:rPr>
        <w:t>结果公告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val="en-US" w:eastAsia="zh-CN"/>
        </w:rPr>
        <w:t>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beforeAutospacing="0" w:afterAutospacing="0" w:line="580" w:lineRule="exact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（采购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编号：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CY2625SCFT03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国网陕西电力2025年第三次原集体企业市场化项目授权服务联合竞争性谈判采购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评审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工作已结束，经评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委员会评审并报公司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招标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工作领导小组工作领导小组批准，现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将成交结果公告如下：</w:t>
      </w:r>
    </w:p>
    <w:tbl>
      <w:tblPr>
        <w:tblStyle w:val="3"/>
        <w:tblW w:w="85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2041"/>
        <w:gridCol w:w="1535"/>
        <w:gridCol w:w="1953"/>
        <w:gridCol w:w="19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分标名称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分包编号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推荐的成交候选人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招标代理服务费（元）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标10陕西汉水服务金额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包001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陕西洁源新能电力科技有限公司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4350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标10陕西汉水服务金额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包002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湖南鸿源电力建设有限公司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5424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标11陕西汉水零星服务比例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包001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西安隆鑫电气设备有限公司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11829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标11陕西汉水零星服务比例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包002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安康市联庆机电设备有限责任公司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2982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标11陕西汉水零星服务比例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包005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安康华晨盛达工程机械租赁有限公司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标11陕西汉水零星服务比例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包006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汉中远东电力工程有限公司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11637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标11陕西汉水零星服务比例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包007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西安瑞天岩土工程检测有限公司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5868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标11陕西汉水零星服务比例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包008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汉阴县鑫盛机械租赁有限公司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5999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备注：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成交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通知书领取事项如下：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快递邮寄：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成交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人须将法定代表人授权委托书（加盖公章）、缴纳服务费银行回执单扫描件及邮寄地址发送至邮箱sxdlwzgs@126.com，咨询电话029-81001325，经审核合格后邮寄发出。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二、招标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代理服务费发票领取事项通知如下：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由于财务工作需要，请各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成交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人自即日起5个工作日内足额向招标代理机构缴纳招标代理服务费后7个工作日后登陆智能采购平台（http://202.100.20.94）的“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服务费发票下载”模块下载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服务费全电发票。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备注：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每月25日后转款单位于次月5号后登陆智能采购平台下载发票，如遇法定节假日顺延5个工作日。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成交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人未及时领取招标代理服务费发票，后果由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成交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人自行承担，跨年度不予以更换。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招标代理服务费账户：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1.若付款单位通过</w:t>
      </w:r>
      <w:r>
        <w:rPr>
          <w:rFonts w:hint="eastAsia" w:ascii="仿宋_GB2312" w:hAnsi="仿宋_GB2312" w:eastAsia="仿宋_GB2312" w:cs="仿宋_GB2312"/>
          <w:b/>
          <w:bCs/>
          <w:color w:val="FF0000"/>
          <w:kern w:val="0"/>
          <w:sz w:val="32"/>
          <w:szCs w:val="32"/>
          <w:highlight w:val="none"/>
          <w:lang w:bidi="ar"/>
        </w:rPr>
        <w:t>非工行账户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付款，收款信息为：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收款账号：120082641020100000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收款户名：陕西电力供应链管理有限公司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收款银行：中国工商银行西安市东新街支行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联行号：102791000040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2.若付款单位通过</w:t>
      </w:r>
      <w:r>
        <w:rPr>
          <w:rFonts w:hint="eastAsia" w:ascii="仿宋_GB2312" w:hAnsi="仿宋_GB2312" w:eastAsia="仿宋_GB2312" w:cs="仿宋_GB2312"/>
          <w:b/>
          <w:bCs/>
          <w:color w:val="FF0000"/>
          <w:kern w:val="0"/>
          <w:sz w:val="32"/>
          <w:szCs w:val="32"/>
          <w:highlight w:val="none"/>
          <w:lang w:bidi="ar"/>
        </w:rPr>
        <w:t>工行账户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付款，收款信息为：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收款账号：120082641020100000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收款户名：陕西电力供应链管理有限公司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收款银行：中国农业银行西安钟楼支行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联行号：103791014506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3、若付款单位为国网各单位并已在</w:t>
      </w:r>
      <w:r>
        <w:rPr>
          <w:rFonts w:hint="eastAsia" w:ascii="仿宋_GB2312" w:hAnsi="仿宋_GB2312" w:eastAsia="仿宋_GB2312" w:cs="仿宋_GB2312"/>
          <w:b/>
          <w:bCs/>
          <w:color w:val="FF0000"/>
          <w:kern w:val="0"/>
          <w:sz w:val="32"/>
          <w:szCs w:val="32"/>
          <w:highlight w:val="none"/>
          <w:lang w:bidi="ar"/>
        </w:rPr>
        <w:t>中电财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开立账户时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收款账号：1200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826410201000001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收款户名：陕西电力供应链管理有限公司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收款银行：中国电力财务有限公司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西北分公司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直属营业部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付款单位在国网管控系统中填写直属营业部对应的联行号999791001200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汇款备注：服务费-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 w:bidi="ar"/>
        </w:rPr>
        <w:t>CY2625SCFT03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备注：不接受个人汇款，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成交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人必须从基本帐户汇至招标代理机构指定账户。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人：延安通和电业有限责任公司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代理机构：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陕西电力供应链管理有限公司</w:t>
      </w:r>
    </w:p>
    <w:p>
      <w:pPr>
        <w:pStyle w:val="7"/>
        <w:rPr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 xml:space="preserve">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2025年6月18日</w:t>
      </w:r>
    </w:p>
    <w:p>
      <w:pPr>
        <w:pStyle w:val="6"/>
        <w:keepNext w:val="0"/>
        <w:keepLines w:val="0"/>
        <w:spacing w:beforeLines="0" w:afterLines="0"/>
        <w:outlineLvl w:val="9"/>
        <w:rPr>
          <w:rFonts w:hint="eastAsia" w:ascii="方正仿宋_GBK" w:hAnsi="方正仿宋_GBK" w:cs="方正仿宋_GBK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3582B"/>
    <w:rsid w:val="03E8744C"/>
    <w:rsid w:val="04DC0189"/>
    <w:rsid w:val="083D5F06"/>
    <w:rsid w:val="0D620D2F"/>
    <w:rsid w:val="0F657378"/>
    <w:rsid w:val="1289708E"/>
    <w:rsid w:val="14293A70"/>
    <w:rsid w:val="1DB6115D"/>
    <w:rsid w:val="21262757"/>
    <w:rsid w:val="26C9173B"/>
    <w:rsid w:val="276E0E65"/>
    <w:rsid w:val="292949FD"/>
    <w:rsid w:val="2E240A22"/>
    <w:rsid w:val="2FC22ECA"/>
    <w:rsid w:val="2FEA028E"/>
    <w:rsid w:val="330073F0"/>
    <w:rsid w:val="3BE65232"/>
    <w:rsid w:val="457F4A25"/>
    <w:rsid w:val="4EA968C8"/>
    <w:rsid w:val="4F810A8F"/>
    <w:rsid w:val="52483D98"/>
    <w:rsid w:val="53325A7C"/>
    <w:rsid w:val="575E63BD"/>
    <w:rsid w:val="58A93E37"/>
    <w:rsid w:val="5B0B5D76"/>
    <w:rsid w:val="658D3908"/>
    <w:rsid w:val="6A650FCF"/>
    <w:rsid w:val="6BDD0654"/>
    <w:rsid w:val="6CCB26F6"/>
    <w:rsid w:val="6D17354B"/>
    <w:rsid w:val="6DF871BF"/>
    <w:rsid w:val="6E036F58"/>
    <w:rsid w:val="6EA50294"/>
    <w:rsid w:val="72E37CA4"/>
    <w:rsid w:val="77D1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semiHidden/>
    <w:qFormat/>
    <w:uiPriority w:val="99"/>
    <w:rPr>
      <w:rFonts w:cs="Times New Roman"/>
      <w:color w:val="0000FF"/>
      <w:u w:val="single"/>
    </w:rPr>
  </w:style>
  <w:style w:type="paragraph" w:customStyle="1" w:styleId="6">
    <w:name w:val="自编标题2"/>
    <w:basedOn w:val="2"/>
    <w:next w:val="7"/>
    <w:qFormat/>
    <w:uiPriority w:val="0"/>
    <w:pPr>
      <w:spacing w:beforeLines="50" w:afterLines="50" w:line="240" w:lineRule="auto"/>
    </w:pPr>
    <w:rPr>
      <w:rFonts w:eastAsia="方正仿宋_GBK"/>
    </w:rPr>
  </w:style>
  <w:style w:type="paragraph" w:customStyle="1" w:styleId="7">
    <w:name w:val="自编正文"/>
    <w:basedOn w:val="1"/>
    <w:qFormat/>
    <w:uiPriority w:val="0"/>
    <w:pPr>
      <w:spacing w:line="560" w:lineRule="exact"/>
      <w:ind w:firstLine="200" w:firstLineChars="200"/>
    </w:pPr>
    <w:rPr>
      <w:rFonts w:eastAsia="方正仿宋_GBK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2023-07-26T08:52:00Z</dcterms:created>
  <dc:creator>123</dc:creator>
  <cp:lastModifiedBy>WZGS_SN</cp:lastModifiedBy>
  <dcterms:modified xsi:type="dcterms:W3CDTF">2025-06-16T09:28:50Z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8CD0DA26E65D4E8DAB688C92BB6939A9</vt:lpwstr>
  </property>
</Properties>
</file>