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817554">
      <w:pPr>
        <w:spacing w:line="360" w:lineRule="auto"/>
        <w:ind w:left="-3" w:leftChars="-86" w:hanging="178"/>
        <w:jc w:val="center"/>
        <w:rPr>
          <w:rFonts w:hint="eastAsia" w:ascii="仿宋" w:hAnsi="仿宋" w:eastAsia="仿宋" w:cs="仿宋"/>
          <w:color w:val="auto"/>
          <w:sz w:val="18"/>
          <w:szCs w:val="18"/>
          <w:highlight w:val="none"/>
        </w:rPr>
      </w:pPr>
    </w:p>
    <w:p w14:paraId="0F3F8442">
      <w:pPr>
        <w:pStyle w:val="130"/>
        <w:bidi w:val="0"/>
        <w:rPr>
          <w:rFonts w:hint="eastAsia" w:ascii="仿宋" w:hAnsi="仿宋" w:eastAsia="仿宋" w:cs="仿宋"/>
          <w:color w:val="auto"/>
          <w:highlight w:val="none"/>
          <w:lang w:eastAsia="zh-CN"/>
        </w:rPr>
      </w:pPr>
    </w:p>
    <w:p w14:paraId="275F045C">
      <w:pPr>
        <w:spacing w:line="276" w:lineRule="auto"/>
        <w:ind w:left="-2" w:leftChars="-1" w:firstLine="1"/>
        <w:jc w:val="center"/>
        <w:rPr>
          <w:rFonts w:hint="eastAsia" w:ascii="仿宋" w:hAnsi="仿宋" w:eastAsia="仿宋" w:cs="仿宋"/>
          <w:color w:val="auto"/>
          <w:sz w:val="72"/>
          <w:szCs w:val="72"/>
          <w:highlight w:val="none"/>
        </w:rPr>
      </w:pPr>
      <w:r>
        <w:rPr>
          <w:rFonts w:hint="eastAsia" w:ascii="仿宋" w:hAnsi="仿宋" w:eastAsia="仿宋" w:cs="仿宋"/>
          <w:bCs/>
          <w:snapToGrid w:val="0"/>
          <w:color w:val="auto"/>
          <w:sz w:val="72"/>
          <w:szCs w:val="72"/>
          <w:highlight w:val="none"/>
        </w:rPr>
        <w:t>采购文件</w:t>
      </w:r>
    </w:p>
    <w:p w14:paraId="71AE9F42">
      <w:pPr>
        <w:spacing w:line="360" w:lineRule="auto"/>
        <w:jc w:val="center"/>
        <w:rPr>
          <w:rFonts w:hint="eastAsia" w:ascii="仿宋" w:hAnsi="仿宋" w:eastAsia="仿宋" w:cs="仿宋"/>
          <w:b/>
          <w:color w:val="auto"/>
          <w:sz w:val="48"/>
          <w:szCs w:val="48"/>
          <w:highlight w:val="none"/>
        </w:rPr>
      </w:pPr>
    </w:p>
    <w:p w14:paraId="4CBE89E9">
      <w:pPr>
        <w:spacing w:line="360" w:lineRule="auto"/>
        <w:jc w:val="center"/>
        <w:rPr>
          <w:rFonts w:hint="eastAsia" w:ascii="仿宋" w:hAnsi="仿宋" w:eastAsia="仿宋" w:cs="仿宋"/>
          <w:b/>
          <w:bCs/>
          <w:color w:val="auto"/>
          <w:sz w:val="28"/>
          <w:szCs w:val="28"/>
          <w:highlight w:val="none"/>
        </w:rPr>
      </w:pPr>
    </w:p>
    <w:p w14:paraId="7801F634">
      <w:pPr>
        <w:pStyle w:val="17"/>
        <w:adjustRightInd w:val="0"/>
        <w:snapToGrid w:val="0"/>
        <w:spacing w:line="300" w:lineRule="auto"/>
        <w:ind w:left="733" w:leftChars="200" w:hanging="313" w:hangingChars="98"/>
        <w:rPr>
          <w:rFonts w:hint="eastAsia" w:ascii="仿宋" w:hAnsi="仿宋" w:eastAsia="仿宋" w:cs="仿宋"/>
          <w:snapToGrid w:val="0"/>
          <w:color w:val="auto"/>
          <w:sz w:val="32"/>
          <w:highlight w:val="none"/>
          <w:u w:val="single"/>
          <w:lang w:eastAsia="zh-CN"/>
        </w:rPr>
      </w:pPr>
      <w:r>
        <w:rPr>
          <w:rFonts w:hint="eastAsia" w:ascii="仿宋" w:hAnsi="仿宋" w:eastAsia="仿宋" w:cs="仿宋"/>
          <w:snapToGrid w:val="0"/>
          <w:color w:val="auto"/>
          <w:sz w:val="32"/>
          <w:highlight w:val="none"/>
        </w:rPr>
        <w:t>采购项目编号：</w:t>
      </w:r>
      <w:r>
        <w:rPr>
          <w:rFonts w:hint="eastAsia" w:ascii="仿宋" w:hAnsi="仿宋" w:eastAsia="仿宋" w:cs="仿宋"/>
          <w:snapToGrid w:val="0"/>
          <w:color w:val="auto"/>
          <w:sz w:val="32"/>
          <w:highlight w:val="none"/>
          <w:u w:val="single"/>
          <w:lang w:eastAsia="zh-CN"/>
        </w:rPr>
        <w:t>HNZX（CG）-2026001</w:t>
      </w:r>
    </w:p>
    <w:p w14:paraId="184B8ED1">
      <w:pPr>
        <w:pStyle w:val="17"/>
        <w:adjustRightInd w:val="0"/>
        <w:snapToGrid w:val="0"/>
        <w:spacing w:line="300" w:lineRule="auto"/>
        <w:ind w:left="735" w:leftChars="350"/>
        <w:rPr>
          <w:rFonts w:hint="eastAsia" w:ascii="仿宋" w:hAnsi="仿宋" w:eastAsia="仿宋" w:cs="仿宋"/>
          <w:snapToGrid w:val="0"/>
          <w:color w:val="auto"/>
          <w:sz w:val="32"/>
          <w:highlight w:val="none"/>
        </w:rPr>
      </w:pPr>
    </w:p>
    <w:p w14:paraId="2CAC3CDA">
      <w:pPr>
        <w:rPr>
          <w:rFonts w:hint="eastAsia" w:ascii="仿宋" w:hAnsi="仿宋" w:eastAsia="仿宋" w:cs="仿宋"/>
          <w:color w:val="auto"/>
          <w:highlight w:val="none"/>
        </w:rPr>
      </w:pPr>
    </w:p>
    <w:p w14:paraId="15104D75">
      <w:pPr>
        <w:pStyle w:val="17"/>
        <w:adjustRightInd w:val="0"/>
        <w:snapToGrid w:val="0"/>
        <w:spacing w:line="300" w:lineRule="auto"/>
        <w:ind w:left="2733" w:leftChars="200" w:hanging="2313"/>
        <w:rPr>
          <w:rFonts w:hint="eastAsia" w:ascii="仿宋" w:hAnsi="仿宋" w:eastAsia="仿宋" w:cs="仿宋"/>
          <w:b w:val="0"/>
          <w:bCs w:val="0"/>
          <w:snapToGrid w:val="0"/>
          <w:color w:val="auto"/>
          <w:sz w:val="32"/>
          <w:highlight w:val="none"/>
          <w:u w:val="single"/>
          <w:lang w:eastAsia="zh-CN"/>
        </w:rPr>
      </w:pPr>
      <w:r>
        <w:rPr>
          <w:rFonts w:hint="eastAsia" w:ascii="仿宋" w:hAnsi="仿宋" w:eastAsia="仿宋" w:cs="仿宋"/>
          <w:b w:val="0"/>
          <w:bCs w:val="0"/>
          <w:snapToGrid w:val="0"/>
          <w:color w:val="auto"/>
          <w:sz w:val="32"/>
          <w:highlight w:val="none"/>
        </w:rPr>
        <w:t>采购项目名称：</w:t>
      </w:r>
      <w:bookmarkStart w:id="0" w:name="OLE_LINK1"/>
      <w:r>
        <w:rPr>
          <w:rFonts w:hint="eastAsia" w:ascii="仿宋" w:hAnsi="仿宋" w:eastAsia="仿宋" w:cs="仿宋"/>
          <w:b w:val="0"/>
          <w:bCs w:val="0"/>
          <w:snapToGrid w:val="0"/>
          <w:color w:val="auto"/>
          <w:sz w:val="32"/>
          <w:highlight w:val="none"/>
          <w:u w:val="single"/>
          <w:lang w:eastAsia="zh-CN"/>
        </w:rPr>
        <w:t>南海文化中心项目结算单审和双审初审服务</w:t>
      </w:r>
    </w:p>
    <w:p w14:paraId="2311A958">
      <w:pPr>
        <w:pStyle w:val="17"/>
        <w:adjustRightInd w:val="0"/>
        <w:snapToGrid w:val="0"/>
        <w:spacing w:line="300" w:lineRule="auto"/>
        <w:ind w:left="3937" w:leftChars="1264" w:hanging="1283" w:hangingChars="401"/>
        <w:rPr>
          <w:rFonts w:hint="eastAsia" w:ascii="仿宋" w:hAnsi="仿宋" w:eastAsia="仿宋" w:cs="仿宋"/>
          <w:b w:val="0"/>
          <w:bCs w:val="0"/>
          <w:snapToGrid w:val="0"/>
          <w:color w:val="auto"/>
          <w:sz w:val="32"/>
          <w:highlight w:val="none"/>
          <w:lang w:eastAsia="zh-CN"/>
        </w:rPr>
      </w:pPr>
    </w:p>
    <w:bookmarkEnd w:id="0"/>
    <w:p w14:paraId="4557A661">
      <w:pPr>
        <w:pStyle w:val="17"/>
        <w:adjustRightInd w:val="0"/>
        <w:snapToGrid w:val="0"/>
        <w:spacing w:line="300" w:lineRule="auto"/>
        <w:ind w:left="2622" w:leftChars="199" w:hanging="2204" w:hangingChars="689"/>
        <w:rPr>
          <w:rFonts w:hint="eastAsia" w:ascii="仿宋" w:hAnsi="仿宋" w:eastAsia="仿宋" w:cs="仿宋"/>
          <w:snapToGrid w:val="0"/>
          <w:color w:val="auto"/>
          <w:sz w:val="32"/>
          <w:highlight w:val="none"/>
        </w:rPr>
      </w:pPr>
      <w:r>
        <w:rPr>
          <w:rFonts w:hint="eastAsia" w:ascii="仿宋" w:hAnsi="仿宋" w:eastAsia="仿宋" w:cs="仿宋"/>
          <w:snapToGrid w:val="0"/>
          <w:color w:val="auto"/>
          <w:sz w:val="32"/>
          <w:highlight w:val="none"/>
        </w:rPr>
        <w:t>采购方式：</w:t>
      </w:r>
      <w:r>
        <w:rPr>
          <w:rFonts w:hint="eastAsia" w:ascii="仿宋" w:hAnsi="仿宋" w:eastAsia="仿宋" w:cs="仿宋"/>
          <w:snapToGrid w:val="0"/>
          <w:color w:val="auto"/>
          <w:sz w:val="32"/>
          <w:highlight w:val="none"/>
          <w:u w:val="single"/>
        </w:rPr>
        <w:t>公开招标</w:t>
      </w:r>
    </w:p>
    <w:p w14:paraId="5E8A9F0A">
      <w:pPr>
        <w:pStyle w:val="17"/>
        <w:adjustRightInd w:val="0"/>
        <w:snapToGrid w:val="0"/>
        <w:spacing w:line="300" w:lineRule="auto"/>
        <w:ind w:firstLine="732" w:firstLineChars="229"/>
        <w:rPr>
          <w:rFonts w:hint="eastAsia" w:ascii="仿宋" w:hAnsi="仿宋" w:eastAsia="仿宋" w:cs="仿宋"/>
          <w:snapToGrid w:val="0"/>
          <w:color w:val="auto"/>
          <w:sz w:val="32"/>
          <w:highlight w:val="none"/>
        </w:rPr>
      </w:pPr>
      <w:r>
        <w:rPr>
          <w:rFonts w:hint="eastAsia" w:ascii="仿宋" w:hAnsi="仿宋" w:eastAsia="仿宋" w:cs="仿宋"/>
          <w:snapToGrid w:val="0"/>
          <w:color w:val="auto"/>
          <w:sz w:val="32"/>
          <w:highlight w:val="none"/>
        </w:rPr>
        <w:fldChar w:fldCharType="begin"/>
      </w:r>
      <w:r>
        <w:rPr>
          <w:rFonts w:hint="eastAsia" w:ascii="仿宋" w:hAnsi="仿宋" w:eastAsia="仿宋" w:cs="仿宋"/>
          <w:snapToGrid w:val="0"/>
          <w:color w:val="auto"/>
          <w:sz w:val="32"/>
          <w:highlight w:val="none"/>
        </w:rPr>
        <w:instrText xml:space="preserve"> DOCVARIABLE  项目名称  \* MERGEFORMAT </w:instrText>
      </w:r>
      <w:r>
        <w:rPr>
          <w:rFonts w:hint="eastAsia" w:ascii="仿宋" w:hAnsi="仿宋" w:eastAsia="仿宋" w:cs="仿宋"/>
          <w:snapToGrid w:val="0"/>
          <w:color w:val="auto"/>
          <w:sz w:val="32"/>
          <w:highlight w:val="none"/>
        </w:rPr>
        <w:fldChar w:fldCharType="end"/>
      </w:r>
    </w:p>
    <w:p w14:paraId="585D427B">
      <w:pPr>
        <w:pStyle w:val="17"/>
        <w:adjustRightInd w:val="0"/>
        <w:snapToGrid w:val="0"/>
        <w:spacing w:line="300" w:lineRule="auto"/>
        <w:ind w:left="2622" w:leftChars="199" w:hanging="2204" w:hangingChars="689"/>
        <w:rPr>
          <w:rFonts w:hint="eastAsia" w:ascii="仿宋" w:hAnsi="仿宋" w:eastAsia="仿宋" w:cs="仿宋"/>
          <w:snapToGrid w:val="0"/>
          <w:color w:val="auto"/>
          <w:sz w:val="32"/>
          <w:highlight w:val="none"/>
          <w:lang w:eastAsia="zh-CN"/>
        </w:rPr>
      </w:pPr>
      <w:r>
        <w:rPr>
          <w:rFonts w:hint="eastAsia" w:ascii="仿宋" w:hAnsi="仿宋" w:eastAsia="仿宋" w:cs="仿宋"/>
          <w:snapToGrid w:val="0"/>
          <w:color w:val="auto"/>
          <w:sz w:val="32"/>
          <w:highlight w:val="none"/>
        </w:rPr>
        <w:t>采购人（章）</w:t>
      </w:r>
      <w:r>
        <w:rPr>
          <w:rFonts w:hint="eastAsia" w:ascii="仿宋" w:hAnsi="仿宋" w:eastAsia="仿宋" w:cs="仿宋"/>
          <w:snapToGrid w:val="0"/>
          <w:color w:val="auto"/>
          <w:sz w:val="32"/>
          <w:highlight w:val="none"/>
          <w:lang w:eastAsia="zh-CN"/>
        </w:rPr>
        <w:t>：</w:t>
      </w:r>
      <w:r>
        <w:rPr>
          <w:rFonts w:hint="eastAsia" w:ascii="仿宋" w:hAnsi="仿宋" w:eastAsia="仿宋" w:cs="仿宋"/>
          <w:snapToGrid w:val="0"/>
          <w:color w:val="auto"/>
          <w:sz w:val="32"/>
          <w:highlight w:val="none"/>
          <w:u w:val="single"/>
          <w:lang w:eastAsia="zh-CN"/>
        </w:rPr>
        <w:t>佛山市南海有为百越文化有限公司</w:t>
      </w:r>
    </w:p>
    <w:p w14:paraId="52AB9718">
      <w:pPr>
        <w:pStyle w:val="17"/>
        <w:adjustRightInd w:val="0"/>
        <w:snapToGrid w:val="0"/>
        <w:spacing w:line="300" w:lineRule="auto"/>
        <w:ind w:firstLine="732" w:firstLineChars="229"/>
        <w:rPr>
          <w:rFonts w:hint="eastAsia" w:ascii="仿宋" w:hAnsi="仿宋" w:eastAsia="仿宋" w:cs="仿宋"/>
          <w:snapToGrid w:val="0"/>
          <w:color w:val="auto"/>
          <w:sz w:val="32"/>
          <w:highlight w:val="none"/>
        </w:rPr>
      </w:pPr>
    </w:p>
    <w:p w14:paraId="5072EC15">
      <w:pPr>
        <w:pStyle w:val="17"/>
        <w:adjustRightInd w:val="0"/>
        <w:snapToGrid w:val="0"/>
        <w:spacing w:line="300" w:lineRule="auto"/>
        <w:ind w:firstLine="732" w:firstLineChars="229"/>
        <w:rPr>
          <w:rFonts w:hint="eastAsia" w:ascii="仿宋" w:hAnsi="仿宋" w:eastAsia="仿宋" w:cs="仿宋"/>
          <w:snapToGrid w:val="0"/>
          <w:color w:val="auto"/>
          <w:sz w:val="32"/>
          <w:highlight w:val="none"/>
        </w:rPr>
      </w:pPr>
    </w:p>
    <w:p w14:paraId="0ADFAC04">
      <w:pPr>
        <w:pStyle w:val="17"/>
        <w:adjustRightInd w:val="0"/>
        <w:snapToGrid w:val="0"/>
        <w:spacing w:line="300" w:lineRule="auto"/>
        <w:ind w:left="2622" w:leftChars="199" w:hanging="2204" w:hangingChars="689"/>
        <w:rPr>
          <w:rFonts w:hint="eastAsia" w:ascii="仿宋" w:hAnsi="仿宋" w:eastAsia="仿宋" w:cs="仿宋"/>
          <w:snapToGrid w:val="0"/>
          <w:color w:val="auto"/>
          <w:sz w:val="32"/>
          <w:highlight w:val="none"/>
          <w:lang w:eastAsia="zh-CN"/>
        </w:rPr>
      </w:pPr>
      <w:r>
        <w:rPr>
          <w:rFonts w:hint="eastAsia" w:ascii="仿宋" w:hAnsi="仿宋" w:eastAsia="仿宋" w:cs="仿宋"/>
          <w:snapToGrid w:val="0"/>
          <w:color w:val="auto"/>
          <w:sz w:val="32"/>
          <w:highlight w:val="none"/>
        </w:rPr>
        <w:t>采购代理机构（章）</w:t>
      </w:r>
      <w:r>
        <w:rPr>
          <w:rFonts w:hint="eastAsia" w:ascii="仿宋" w:hAnsi="仿宋" w:eastAsia="仿宋" w:cs="仿宋"/>
          <w:snapToGrid w:val="0"/>
          <w:color w:val="auto"/>
          <w:sz w:val="32"/>
          <w:highlight w:val="none"/>
          <w:lang w:eastAsia="zh-CN"/>
        </w:rPr>
        <w:t>：</w:t>
      </w:r>
      <w:r>
        <w:rPr>
          <w:rFonts w:hint="eastAsia" w:ascii="仿宋" w:hAnsi="仿宋" w:eastAsia="仿宋" w:cs="仿宋"/>
          <w:snapToGrid w:val="0"/>
          <w:color w:val="auto"/>
          <w:sz w:val="32"/>
          <w:highlight w:val="none"/>
          <w:u w:val="single"/>
          <w:lang w:eastAsia="zh-CN"/>
        </w:rPr>
        <w:t>佛山市海纳建设工程咨询有限公司</w:t>
      </w:r>
    </w:p>
    <w:p w14:paraId="7901DB58">
      <w:pPr>
        <w:pStyle w:val="17"/>
        <w:spacing w:line="360" w:lineRule="auto"/>
        <w:ind w:firstLine="644" w:firstLineChars="229"/>
        <w:rPr>
          <w:rFonts w:hint="eastAsia" w:ascii="仿宋" w:hAnsi="仿宋" w:eastAsia="仿宋" w:cs="仿宋"/>
          <w:b/>
          <w:bCs/>
          <w:color w:val="auto"/>
          <w:sz w:val="28"/>
          <w:szCs w:val="28"/>
          <w:highlight w:val="none"/>
        </w:rPr>
      </w:pPr>
    </w:p>
    <w:p w14:paraId="6C22F2D1">
      <w:pPr>
        <w:pStyle w:val="17"/>
        <w:spacing w:line="360" w:lineRule="auto"/>
        <w:ind w:firstLine="644" w:firstLineChars="229"/>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 xml:space="preserve"> </w:t>
      </w:r>
    </w:p>
    <w:p w14:paraId="592604A0">
      <w:pPr>
        <w:pStyle w:val="17"/>
        <w:adjustRightInd w:val="0"/>
        <w:snapToGrid w:val="0"/>
        <w:spacing w:line="300" w:lineRule="auto"/>
        <w:ind w:left="2622" w:leftChars="199" w:hanging="2204" w:hangingChars="689"/>
        <w:rPr>
          <w:rFonts w:hint="eastAsia" w:ascii="仿宋" w:hAnsi="仿宋" w:eastAsia="仿宋" w:cs="仿宋"/>
          <w:snapToGrid w:val="0"/>
          <w:color w:val="auto"/>
          <w:sz w:val="32"/>
          <w:highlight w:val="none"/>
        </w:rPr>
      </w:pPr>
      <w:r>
        <w:rPr>
          <w:rFonts w:hint="eastAsia" w:ascii="仿宋" w:hAnsi="仿宋" w:eastAsia="仿宋" w:cs="仿宋"/>
          <w:snapToGrid w:val="0"/>
          <w:color w:val="auto"/>
          <w:sz w:val="32"/>
          <w:highlight w:val="none"/>
        </w:rPr>
        <w:t>日        期：</w:t>
      </w:r>
      <w:r>
        <w:rPr>
          <w:rFonts w:hint="eastAsia" w:ascii="仿宋" w:hAnsi="仿宋" w:eastAsia="仿宋" w:cs="仿宋"/>
          <w:snapToGrid w:val="0"/>
          <w:color w:val="auto"/>
          <w:sz w:val="32"/>
          <w:highlight w:val="none"/>
          <w:u w:val="single"/>
          <w:lang w:val="en-US" w:eastAsia="zh-CN"/>
        </w:rPr>
        <w:t>2026年2月</w:t>
      </w:r>
    </w:p>
    <w:p w14:paraId="20DC3558">
      <w:pPr>
        <w:spacing w:line="240" w:lineRule="auto"/>
        <w:ind w:left="0" w:leftChars="0" w:firstLine="0"/>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br w:type="page"/>
      </w:r>
    </w:p>
    <w:p w14:paraId="1031C149">
      <w:pPr>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目  录</w:t>
      </w:r>
    </w:p>
    <w:p w14:paraId="6FD6DE42">
      <w:pPr>
        <w:spacing w:line="360" w:lineRule="auto"/>
        <w:jc w:val="center"/>
        <w:rPr>
          <w:rFonts w:hint="eastAsia" w:ascii="仿宋" w:hAnsi="仿宋" w:eastAsia="仿宋" w:cs="仿宋"/>
          <w:b/>
          <w:color w:val="auto"/>
          <w:sz w:val="27"/>
          <w:highlight w:val="none"/>
        </w:rPr>
      </w:pPr>
    </w:p>
    <w:p w14:paraId="3D0488DB">
      <w:pPr>
        <w:spacing w:line="360" w:lineRule="auto"/>
        <w:jc w:val="center"/>
        <w:rPr>
          <w:rFonts w:hint="eastAsia" w:ascii="仿宋" w:hAnsi="仿宋" w:eastAsia="仿宋" w:cs="仿宋"/>
          <w:b/>
          <w:color w:val="auto"/>
          <w:sz w:val="27"/>
          <w:highlight w:val="none"/>
        </w:rPr>
      </w:pPr>
    </w:p>
    <w:p w14:paraId="6B54FEB5">
      <w:pPr>
        <w:pStyle w:val="25"/>
        <w:tabs>
          <w:tab w:val="right" w:leader="dot" w:pos="8998"/>
        </w:tabs>
        <w:spacing w:line="48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TOC \o "1-1" \h \z \u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\l _Toc22217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 xml:space="preserve">第一部分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投标邀请函</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PAGEREF _Toc22217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fldChar w:fldCharType="end"/>
      </w:r>
    </w:p>
    <w:p w14:paraId="245A4711">
      <w:pPr>
        <w:pStyle w:val="25"/>
        <w:tabs>
          <w:tab w:val="right" w:leader="dot" w:pos="8998"/>
        </w:tabs>
        <w:spacing w:line="48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\l _Toc30235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第二部分　采购项目内容</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PAGEREF _Toc30235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fldChar w:fldCharType="end"/>
      </w:r>
    </w:p>
    <w:p w14:paraId="6F8A9E1B">
      <w:pPr>
        <w:pStyle w:val="25"/>
        <w:tabs>
          <w:tab w:val="right" w:leader="dot" w:pos="8998"/>
        </w:tabs>
        <w:spacing w:line="48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none"/>
          <w:lang w:val="zh-CN"/>
        </w:rPr>
        <w:fldChar w:fldCharType="begin"/>
      </w:r>
      <w:r>
        <w:rPr>
          <w:rFonts w:hint="eastAsia" w:ascii="仿宋" w:hAnsi="仿宋" w:eastAsia="仿宋" w:cs="仿宋"/>
          <w:color w:val="auto"/>
          <w:sz w:val="24"/>
          <w:szCs w:val="24"/>
          <w:highlight w:val="none"/>
          <w:u w:val="none"/>
          <w:lang w:val="zh-CN"/>
        </w:rPr>
        <w:instrText xml:space="preserve"> HYPERLINK \l "第三部分" </w:instrText>
      </w:r>
      <w:r>
        <w:rPr>
          <w:rFonts w:hint="eastAsia" w:ascii="仿宋" w:hAnsi="仿宋" w:eastAsia="仿宋" w:cs="仿宋"/>
          <w:color w:val="auto"/>
          <w:sz w:val="24"/>
          <w:szCs w:val="24"/>
          <w:highlight w:val="none"/>
          <w:u w:val="none"/>
          <w:lang w:val="zh-CN"/>
        </w:rPr>
        <w:fldChar w:fldCharType="separate"/>
      </w:r>
      <w:r>
        <w:rPr>
          <w:rStyle w:val="46"/>
          <w:rFonts w:hint="eastAsia" w:ascii="仿宋" w:hAnsi="仿宋" w:eastAsia="仿宋" w:cs="仿宋"/>
          <w:color w:val="auto"/>
          <w:sz w:val="24"/>
          <w:szCs w:val="24"/>
          <w:highlight w:val="none"/>
          <w:lang w:val="zh-CN"/>
        </w:rPr>
        <w:t>第三部分　</w:t>
      </w:r>
      <w:r>
        <w:rPr>
          <w:rStyle w:val="46"/>
          <w:rFonts w:hint="eastAsia" w:ascii="仿宋" w:hAnsi="仿宋" w:eastAsia="仿宋" w:cs="仿宋"/>
          <w:color w:val="auto"/>
          <w:sz w:val="24"/>
          <w:szCs w:val="24"/>
          <w:highlight w:val="none"/>
        </w:rPr>
        <w:t>投标人须知</w:t>
      </w:r>
      <w:r>
        <w:rPr>
          <w:rStyle w:val="46"/>
          <w:rFonts w:hint="eastAsia" w:ascii="仿宋" w:hAnsi="仿宋" w:eastAsia="仿宋" w:cs="仿宋"/>
          <w:color w:val="auto"/>
          <w:sz w:val="24"/>
          <w:szCs w:val="24"/>
          <w:highlight w:val="none"/>
        </w:rPr>
        <w:tab/>
      </w:r>
      <w:r>
        <w:rPr>
          <w:rStyle w:val="46"/>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u w:val="none"/>
          <w:lang w:val="zh-CN"/>
        </w:rPr>
        <w:fldChar w:fldCharType="end"/>
      </w:r>
      <w:r>
        <w:rPr>
          <w:rFonts w:hint="eastAsia" w:ascii="仿宋" w:hAnsi="仿宋" w:eastAsia="仿宋" w:cs="仿宋"/>
          <w:color w:val="auto"/>
          <w:sz w:val="24"/>
          <w:szCs w:val="24"/>
          <w:highlight w:val="none"/>
          <w:u w:val="none"/>
          <w:lang w:val="en-US" w:eastAsia="zh-CN"/>
        </w:rPr>
        <w:t>5</w:t>
      </w:r>
    </w:p>
    <w:p w14:paraId="73BF4995">
      <w:pPr>
        <w:pStyle w:val="25"/>
        <w:tabs>
          <w:tab w:val="right" w:leader="dot" w:pos="8998"/>
        </w:tabs>
        <w:spacing w:line="48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\l _Toc30807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第四部分　合同书格式</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PAGEREF _Toc30807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25</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fldChar w:fldCharType="end"/>
      </w:r>
    </w:p>
    <w:p w14:paraId="1367DC86">
      <w:pPr>
        <w:pStyle w:val="25"/>
        <w:tabs>
          <w:tab w:val="right" w:leader="dot" w:pos="8998"/>
        </w:tabs>
        <w:spacing w:line="48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\l _Toc4473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第五部分　投标文件格式</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PAGEREF _Toc4473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59</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fldChar w:fldCharType="end"/>
      </w:r>
    </w:p>
    <w:p w14:paraId="1904C56D">
      <w:pPr>
        <w:pStyle w:val="25"/>
        <w:tabs>
          <w:tab w:val="right" w:leader="dot" w:pos="8998"/>
        </w:tabs>
        <w:spacing w:line="48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\l _Toc14286 </w:instrText>
      </w:r>
      <w:r>
        <w:rPr>
          <w:rFonts w:hint="eastAsia" w:ascii="仿宋" w:hAnsi="仿宋" w:eastAsia="仿宋" w:cs="仿宋"/>
          <w:color w:val="auto"/>
          <w:sz w:val="24"/>
          <w:szCs w:val="24"/>
          <w:highlight w:val="none"/>
        </w:rPr>
        <w:fldChar w:fldCharType="separate"/>
      </w:r>
      <w:r>
        <w:rPr>
          <w:rFonts w:hint="eastAsia" w:ascii="仿宋" w:hAnsi="仿宋" w:eastAsia="仿宋" w:cs="仿宋"/>
          <w:bCs/>
          <w:color w:val="auto"/>
          <w:kern w:val="0"/>
          <w:sz w:val="24"/>
          <w:szCs w:val="24"/>
          <w:highlight w:val="none"/>
        </w:rPr>
        <w:t>附件一  评审细则</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PAGEREF _Toc14286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85</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fldChar w:fldCharType="end"/>
      </w:r>
    </w:p>
    <w:p w14:paraId="285F09A1">
      <w:pPr>
        <w:pStyle w:val="25"/>
        <w:tabs>
          <w:tab w:val="right" w:leader="dot" w:pos="8998"/>
        </w:tabs>
        <w:spacing w:line="48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\l _Toc2072 </w:instrText>
      </w:r>
      <w:r>
        <w:rPr>
          <w:rFonts w:hint="eastAsia" w:ascii="仿宋" w:hAnsi="仿宋" w:eastAsia="仿宋" w:cs="仿宋"/>
          <w:color w:val="auto"/>
          <w:sz w:val="24"/>
          <w:szCs w:val="24"/>
          <w:highlight w:val="none"/>
        </w:rPr>
        <w:fldChar w:fldCharType="separate"/>
      </w:r>
      <w:r>
        <w:rPr>
          <w:rFonts w:hint="eastAsia" w:ascii="仿宋" w:hAnsi="仿宋" w:eastAsia="仿宋" w:cs="仿宋"/>
          <w:bCs/>
          <w:color w:val="auto"/>
          <w:kern w:val="0"/>
          <w:sz w:val="24"/>
          <w:szCs w:val="24"/>
          <w:highlight w:val="none"/>
        </w:rPr>
        <w:t>附件二  外包装封面参考格式</w:t>
      </w:r>
      <w:r>
        <w:rPr>
          <w:rFonts w:hint="eastAsia" w:ascii="仿宋" w:hAnsi="仿宋" w:eastAsia="仿宋" w:cs="仿宋"/>
          <w:color w:val="auto"/>
          <w:sz w:val="24"/>
          <w:szCs w:val="24"/>
          <w:highlight w:val="none"/>
        </w:rPr>
        <w:tab/>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PAGEREF _Toc2072 \h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100</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fldChar w:fldCharType="end"/>
      </w:r>
    </w:p>
    <w:p w14:paraId="01C1C722">
      <w:pPr>
        <w:pStyle w:val="115"/>
        <w:spacing w:line="480" w:lineRule="auto"/>
        <w:rPr>
          <w:rFonts w:hint="eastAsia" w:ascii="仿宋" w:hAnsi="仿宋" w:eastAsia="仿宋" w:cs="仿宋"/>
          <w:color w:val="auto"/>
          <w:szCs w:val="28"/>
          <w:highlight w:val="none"/>
        </w:rPr>
      </w:pPr>
      <w:r>
        <w:rPr>
          <w:rFonts w:hint="eastAsia" w:ascii="仿宋" w:hAnsi="仿宋" w:eastAsia="仿宋" w:cs="仿宋"/>
          <w:color w:val="auto"/>
          <w:sz w:val="24"/>
          <w:szCs w:val="24"/>
          <w:highlight w:val="none"/>
        </w:rPr>
        <w:fldChar w:fldCharType="end"/>
      </w:r>
    </w:p>
    <w:p w14:paraId="65628954">
      <w:pPr>
        <w:pStyle w:val="115"/>
        <w:spacing w:line="480" w:lineRule="auto"/>
        <w:rPr>
          <w:rFonts w:hint="eastAsia" w:ascii="仿宋" w:hAnsi="仿宋" w:eastAsia="仿宋" w:cs="仿宋"/>
          <w:color w:val="auto"/>
          <w:szCs w:val="28"/>
          <w:highlight w:val="none"/>
        </w:rPr>
        <w:sectPr>
          <w:footerReference r:id="rId5" w:type="first"/>
          <w:headerReference r:id="rId3" w:type="default"/>
          <w:footerReference r:id="rId4" w:type="default"/>
          <w:pgSz w:w="11906" w:h="16838"/>
          <w:pgMar w:top="1440" w:right="1080" w:bottom="1440" w:left="1080" w:header="851" w:footer="992" w:gutter="0"/>
          <w:pgNumType w:fmt="decimal" w:start="1"/>
          <w:cols w:space="720" w:num="1"/>
          <w:docGrid w:linePitch="462" w:charSpace="0"/>
        </w:sectPr>
      </w:pPr>
    </w:p>
    <w:p w14:paraId="022B9420">
      <w:pPr>
        <w:pStyle w:val="115"/>
        <w:spacing w:line="480" w:lineRule="auto"/>
        <w:rPr>
          <w:rFonts w:hint="eastAsia" w:ascii="仿宋" w:hAnsi="仿宋" w:eastAsia="仿宋" w:cs="仿宋"/>
          <w:color w:val="auto"/>
          <w:szCs w:val="28"/>
          <w:highlight w:val="none"/>
        </w:rPr>
      </w:pPr>
    </w:p>
    <w:p w14:paraId="5EF5A592">
      <w:pPr>
        <w:pStyle w:val="115"/>
        <w:spacing w:line="480" w:lineRule="auto"/>
        <w:rPr>
          <w:rFonts w:hint="eastAsia" w:ascii="仿宋" w:hAnsi="仿宋" w:eastAsia="仿宋" w:cs="仿宋"/>
          <w:color w:val="auto"/>
          <w:szCs w:val="28"/>
          <w:highlight w:val="none"/>
        </w:rPr>
      </w:pPr>
    </w:p>
    <w:p w14:paraId="292FA2E0">
      <w:pPr>
        <w:pStyle w:val="115"/>
        <w:spacing w:line="480" w:lineRule="auto"/>
        <w:rPr>
          <w:rFonts w:hint="eastAsia" w:ascii="仿宋" w:hAnsi="仿宋" w:eastAsia="仿宋" w:cs="仿宋"/>
          <w:color w:val="auto"/>
          <w:szCs w:val="28"/>
          <w:highlight w:val="none"/>
        </w:rPr>
      </w:pPr>
    </w:p>
    <w:p w14:paraId="7874464E">
      <w:pPr>
        <w:pStyle w:val="115"/>
        <w:spacing w:line="480" w:lineRule="auto"/>
        <w:rPr>
          <w:rFonts w:hint="eastAsia" w:ascii="仿宋" w:hAnsi="仿宋" w:eastAsia="仿宋" w:cs="仿宋"/>
          <w:color w:val="auto"/>
          <w:szCs w:val="28"/>
          <w:highlight w:val="none"/>
        </w:rPr>
      </w:pPr>
    </w:p>
    <w:p w14:paraId="41234321">
      <w:pPr>
        <w:pStyle w:val="115"/>
        <w:spacing w:line="480" w:lineRule="auto"/>
        <w:rPr>
          <w:rFonts w:hint="eastAsia" w:ascii="仿宋" w:hAnsi="仿宋" w:eastAsia="仿宋" w:cs="仿宋"/>
          <w:color w:val="auto"/>
          <w:szCs w:val="28"/>
          <w:highlight w:val="none"/>
        </w:rPr>
      </w:pPr>
    </w:p>
    <w:p w14:paraId="44B48C30">
      <w:pPr>
        <w:pStyle w:val="173"/>
        <w:bidi w:val="0"/>
        <w:rPr>
          <w:rFonts w:hint="eastAsia" w:ascii="仿宋" w:hAnsi="仿宋" w:eastAsia="仿宋" w:cs="仿宋"/>
          <w:color w:val="auto"/>
          <w:highlight w:val="none"/>
        </w:rPr>
        <w:sectPr>
          <w:footerReference r:id="rId6" w:type="default"/>
          <w:pgSz w:w="11906" w:h="16838"/>
          <w:pgMar w:top="1440" w:right="1080" w:bottom="1440" w:left="1080" w:header="851" w:footer="992" w:gutter="0"/>
          <w:pgNumType w:fmt="decimal" w:start="1"/>
          <w:cols w:space="720" w:num="1"/>
          <w:docGrid w:linePitch="462" w:charSpace="0"/>
        </w:sectPr>
      </w:pPr>
      <w:bookmarkStart w:id="1" w:name="_Toc22217"/>
      <w:r>
        <w:rPr>
          <w:rFonts w:hint="eastAsia" w:ascii="仿宋" w:hAnsi="仿宋" w:eastAsia="仿宋" w:cs="仿宋"/>
          <w:highlight w:val="none"/>
        </w:rPr>
        <w:t>第一部分 投标邀请函</w:t>
      </w:r>
      <w:bookmarkEnd w:id="1"/>
    </w:p>
    <w:p w14:paraId="29F548FE">
      <w:pPr>
        <w:spacing w:line="360" w:lineRule="auto"/>
        <w:ind w:firstLine="151" w:firstLineChars="47"/>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2"/>
          <w:szCs w:val="32"/>
          <w:highlight w:val="none"/>
          <w:lang w:eastAsia="zh-CN"/>
        </w:rPr>
        <w:t>南海文化中心项目结算单审和双审初审服务</w:t>
      </w:r>
      <w:r>
        <w:rPr>
          <w:rFonts w:hint="eastAsia" w:ascii="仿宋" w:hAnsi="仿宋" w:eastAsia="仿宋" w:cs="仿宋"/>
          <w:b/>
          <w:color w:val="auto"/>
          <w:kern w:val="0"/>
          <w:sz w:val="32"/>
          <w:szCs w:val="32"/>
          <w:highlight w:val="none"/>
        </w:rPr>
        <w:t>投标邀请函</w:t>
      </w:r>
    </w:p>
    <w:p w14:paraId="3EF7FBC7">
      <w:pPr>
        <w:spacing w:line="360" w:lineRule="auto"/>
        <w:ind w:firstLine="480" w:firstLineChars="200"/>
        <w:rPr>
          <w:rFonts w:hint="eastAsia" w:ascii="仿宋" w:hAnsi="仿宋" w:eastAsia="仿宋" w:cs="仿宋"/>
          <w:color w:val="auto"/>
          <w:sz w:val="24"/>
          <w:highlight w:val="none"/>
        </w:rPr>
      </w:pPr>
    </w:p>
    <w:p w14:paraId="2DA92B9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佛山市海纳建设工程咨询有限公司受</w:t>
      </w:r>
      <w:r>
        <w:rPr>
          <w:rFonts w:hint="eastAsia" w:ascii="仿宋" w:hAnsi="仿宋" w:eastAsia="仿宋" w:cs="仿宋"/>
          <w:color w:val="auto"/>
          <w:sz w:val="24"/>
          <w:highlight w:val="none"/>
          <w:lang w:eastAsia="zh-CN"/>
        </w:rPr>
        <w:t>佛山市南海有为百越文化有限公司</w:t>
      </w:r>
      <w:r>
        <w:rPr>
          <w:rFonts w:hint="eastAsia" w:ascii="仿宋" w:hAnsi="仿宋" w:eastAsia="仿宋" w:cs="仿宋"/>
          <w:color w:val="auto"/>
          <w:sz w:val="24"/>
          <w:highlight w:val="none"/>
        </w:rPr>
        <w:t>的委托，对</w:t>
      </w:r>
      <w:r>
        <w:rPr>
          <w:rFonts w:hint="eastAsia" w:ascii="仿宋" w:hAnsi="仿宋" w:eastAsia="仿宋" w:cs="仿宋"/>
          <w:color w:val="auto"/>
          <w:sz w:val="24"/>
          <w:highlight w:val="none"/>
          <w:u w:val="single"/>
          <w:lang w:eastAsia="zh-CN"/>
        </w:rPr>
        <w:t>南海文化中心项目结算单审和双审初审服务</w:t>
      </w:r>
      <w:r>
        <w:rPr>
          <w:rFonts w:hint="eastAsia" w:ascii="仿宋" w:hAnsi="仿宋" w:eastAsia="仿宋" w:cs="仿宋"/>
          <w:color w:val="auto"/>
          <w:sz w:val="24"/>
          <w:highlight w:val="none"/>
        </w:rPr>
        <w:t>进行公开招标采购，欢迎符合资格条件的投标人投标。</w:t>
      </w:r>
    </w:p>
    <w:p w14:paraId="4973D557">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一、采购项目编号：</w:t>
      </w:r>
      <w:r>
        <w:rPr>
          <w:rFonts w:hint="eastAsia" w:ascii="仿宋" w:hAnsi="仿宋" w:eastAsia="仿宋" w:cs="仿宋"/>
          <w:color w:val="auto"/>
          <w:sz w:val="24"/>
          <w:highlight w:val="none"/>
          <w:lang w:eastAsia="zh-CN"/>
        </w:rPr>
        <w:t>HNZX（CG）-2026001</w:t>
      </w:r>
    </w:p>
    <w:p w14:paraId="1AD1A0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二、采购项目名称：</w:t>
      </w:r>
      <w:r>
        <w:rPr>
          <w:rFonts w:hint="eastAsia" w:ascii="仿宋" w:hAnsi="仿宋" w:eastAsia="仿宋" w:cs="仿宋"/>
          <w:color w:val="auto"/>
          <w:sz w:val="24"/>
          <w:highlight w:val="none"/>
          <w:lang w:eastAsia="zh-CN"/>
        </w:rPr>
        <w:t>南海文化中心项目结算单审和双审初审服务</w:t>
      </w:r>
    </w:p>
    <w:p w14:paraId="51F18F1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三、采购性质：企业采购</w:t>
      </w:r>
    </w:p>
    <w:p w14:paraId="44A534AF">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四、项目类型：服务类</w:t>
      </w:r>
    </w:p>
    <w:p w14:paraId="28B44107">
      <w:pPr>
        <w:spacing w:line="360" w:lineRule="auto"/>
        <w:rPr>
          <w:rFonts w:hint="eastAsia" w:ascii="仿宋" w:hAnsi="仿宋" w:eastAsia="仿宋" w:cs="仿宋"/>
          <w:bCs w:val="0"/>
          <w:color w:val="auto"/>
          <w:sz w:val="24"/>
          <w:highlight w:val="none"/>
          <w:lang w:val="en-US" w:eastAsia="zh-CN"/>
        </w:rPr>
      </w:pPr>
      <w:r>
        <w:rPr>
          <w:rFonts w:hint="eastAsia" w:ascii="仿宋" w:hAnsi="仿宋" w:eastAsia="仿宋" w:cs="仿宋"/>
          <w:bCs/>
          <w:color w:val="auto"/>
          <w:sz w:val="24"/>
          <w:highlight w:val="none"/>
          <w:lang w:val="en-US" w:eastAsia="zh-CN"/>
        </w:rPr>
        <w:t>五、采购项目预算金额：人民</w:t>
      </w:r>
      <w:r>
        <w:rPr>
          <w:rFonts w:hint="eastAsia" w:ascii="仿宋" w:hAnsi="仿宋" w:eastAsia="仿宋" w:cs="仿宋"/>
          <w:bCs w:val="0"/>
          <w:color w:val="auto"/>
          <w:sz w:val="24"/>
          <w:highlight w:val="none"/>
          <w:lang w:val="en-US" w:eastAsia="zh-CN"/>
        </w:rPr>
        <w:t>币</w:t>
      </w:r>
      <w:r>
        <w:rPr>
          <w:rFonts w:hint="eastAsia" w:ascii="仿宋" w:hAnsi="仿宋" w:eastAsia="仿宋" w:cs="仿宋"/>
          <w:color w:val="auto"/>
          <w:sz w:val="24"/>
          <w:szCs w:val="24"/>
          <w:highlight w:val="none"/>
          <w:lang w:val="en-US" w:eastAsia="zh-CN"/>
        </w:rPr>
        <w:t>3418937.62</w:t>
      </w:r>
      <w:r>
        <w:rPr>
          <w:rFonts w:hint="eastAsia" w:ascii="仿宋" w:hAnsi="仿宋" w:eastAsia="仿宋" w:cs="仿宋"/>
          <w:bCs w:val="0"/>
          <w:color w:val="auto"/>
          <w:sz w:val="24"/>
          <w:highlight w:val="none"/>
          <w:lang w:val="en-US" w:eastAsia="zh-CN"/>
        </w:rPr>
        <w:t>元。</w:t>
      </w:r>
    </w:p>
    <w:p w14:paraId="560D076B">
      <w:pPr>
        <w:spacing w:line="360" w:lineRule="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六、本项目最高限价</w:t>
      </w:r>
      <w:r>
        <w:rPr>
          <w:rFonts w:hint="eastAsia" w:ascii="仿宋" w:hAnsi="仿宋" w:eastAsia="仿宋" w:cs="仿宋"/>
          <w:color w:val="auto"/>
          <w:sz w:val="24"/>
          <w:szCs w:val="24"/>
          <w:highlight w:val="none"/>
          <w:lang w:val="en-US" w:eastAsia="zh-CN"/>
        </w:rPr>
        <w:t>：最高投标折率65.00%。承包方式：固定折率包干</w:t>
      </w:r>
      <w:r>
        <w:rPr>
          <w:rFonts w:hint="eastAsia" w:ascii="仿宋" w:hAnsi="仿宋" w:eastAsia="仿宋" w:cs="仿宋"/>
          <w:bCs/>
          <w:color w:val="auto"/>
          <w:sz w:val="24"/>
          <w:highlight w:val="none"/>
          <w:lang w:val="en-US" w:eastAsia="zh-CN"/>
        </w:rPr>
        <w:t>。</w:t>
      </w:r>
    </w:p>
    <w:p w14:paraId="6DC16A39">
      <w:pPr>
        <w:spacing w:line="360" w:lineRule="auto"/>
        <w:ind w:left="420" w:hanging="420" w:hangingChars="175"/>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七</w:t>
      </w:r>
      <w:r>
        <w:rPr>
          <w:rFonts w:hint="eastAsia" w:ascii="仿宋" w:hAnsi="仿宋" w:eastAsia="仿宋" w:cs="仿宋"/>
          <w:color w:val="auto"/>
          <w:sz w:val="24"/>
          <w:highlight w:val="none"/>
        </w:rPr>
        <w:t>、采购项目内容</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本项目采购内容为南海文化中心项目结算单审和双审初审服务，审核范围包括但不限于土建施工总承包、幕墙系统工程、高低压变配电工程、装修及机电安装工程、三圣河（南海文化中心段）改造、智能化工程、自然科学探索馆布展工程、图书馆专用设备采购、电梯设备采购与安装工程、图书馆专用家具采购、舞台设备供应及安装、办公家具、用具采购、其他工程、采购及服务项目等</w:t>
      </w:r>
      <w:r>
        <w:rPr>
          <w:rFonts w:hint="eastAsia" w:ascii="仿宋" w:hAnsi="仿宋" w:eastAsia="仿宋" w:cs="仿宋"/>
          <w:color w:val="auto"/>
          <w:sz w:val="24"/>
          <w:highlight w:val="none"/>
          <w:lang w:eastAsia="zh-CN"/>
        </w:rPr>
        <w:t>。</w:t>
      </w:r>
    </w:p>
    <w:p w14:paraId="47D012E5">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八</w:t>
      </w:r>
      <w:r>
        <w:rPr>
          <w:rFonts w:hint="eastAsia" w:ascii="仿宋" w:hAnsi="仿宋" w:eastAsia="仿宋" w:cs="仿宋"/>
          <w:color w:val="auto"/>
          <w:sz w:val="24"/>
          <w:highlight w:val="none"/>
        </w:rPr>
        <w:t>、投标人资格：</w:t>
      </w:r>
    </w:p>
    <w:p w14:paraId="042AF8A4">
      <w:pPr>
        <w:pStyle w:val="37"/>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1.1满足以下规定的条件：</w:t>
      </w:r>
    </w:p>
    <w:p w14:paraId="34629076">
      <w:pPr>
        <w:pStyle w:val="37"/>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p>
    <w:p w14:paraId="0AC4CDCD">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（2）具有良好的商业信誉和健全的财务会计制度；</w:t>
      </w:r>
    </w:p>
    <w:p w14:paraId="225007F5">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（3）具有履行合同所必需的设备和专业技术能力；</w:t>
      </w:r>
    </w:p>
    <w:p w14:paraId="647E0363">
      <w:pPr>
        <w:pStyle w:val="37"/>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66B32F36">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（5）参加采购活动前三年内，在经营活动中</w:t>
      </w:r>
      <w:r>
        <w:rPr>
          <w:rFonts w:hint="eastAsia" w:ascii="仿宋" w:hAnsi="仿宋" w:eastAsia="仿宋" w:cs="仿宋"/>
          <w:color w:val="auto"/>
          <w:sz w:val="24"/>
          <w:highlight w:val="none"/>
          <w:lang w:val="en-US" w:eastAsia="zh-CN"/>
        </w:rPr>
        <w:t>无</w:t>
      </w:r>
      <w:r>
        <w:rPr>
          <w:rFonts w:hint="eastAsia" w:ascii="仿宋" w:hAnsi="仿宋" w:eastAsia="仿宋" w:cs="仿宋"/>
          <w:color w:val="auto"/>
          <w:sz w:val="24"/>
          <w:highlight w:val="none"/>
        </w:rPr>
        <w:t>重大违法记录</w:t>
      </w:r>
      <w:r>
        <w:rPr>
          <w:rFonts w:hint="eastAsia" w:ascii="仿宋" w:hAnsi="仿宋" w:eastAsia="仿宋" w:cs="仿宋"/>
          <w:color w:val="auto"/>
          <w:sz w:val="24"/>
          <w:highlight w:val="none"/>
          <w:lang w:eastAsia="zh-CN"/>
        </w:rPr>
        <w:t>；</w:t>
      </w:r>
    </w:p>
    <w:p w14:paraId="342BFE48">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）法律、行政法规规定的其他条件。</w:t>
      </w:r>
    </w:p>
    <w:p w14:paraId="172769A2">
      <w:pPr>
        <w:pStyle w:val="37"/>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1.2落实政策需满足的资格要求：</w:t>
      </w:r>
    </w:p>
    <w:p w14:paraId="597E29D7">
      <w:pPr>
        <w:pStyle w:val="37"/>
        <w:widowControl w:val="0"/>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投标人应未被列入“信用中国”网站（www.creditchina.gov.cn）“失信被执行人或重大税收违法失信主体”记录名单。（以资格审查期间查询投标人在“信用中国”网站相关主体信用记录结果为准。如相关失信记录已失效，投标人需在资格审查资料中附相关证明资料。）</w:t>
      </w:r>
    </w:p>
    <w:p w14:paraId="3845089F">
      <w:pPr>
        <w:pStyle w:val="37"/>
        <w:widowControl w:val="0"/>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）单位负责人为同一人或者存在直接控股、管理关系的不同</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，不得同时参加本采购项目投标。</w:t>
      </w:r>
    </w:p>
    <w:p w14:paraId="4EFEC59B">
      <w:pPr>
        <w:pStyle w:val="37"/>
        <w:spacing w:before="0" w:beforeAutospacing="0" w:after="0" w:afterAutospacing="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）为采购项目提供整体设计、规范编制或者项目管理、监理、检测等服务的</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，不得再参加该采购项目的其他采购活动。</w:t>
      </w:r>
    </w:p>
    <w:p w14:paraId="1AAB49A8">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投标人为“南海文化中心项目”的实施单位的（包括勘察、设计、设计咨询、施工图审查、施工、监理等单位），不得参加本采购项目投标。</w:t>
      </w:r>
    </w:p>
    <w:p w14:paraId="0A296248">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（5）投标人参与过“南海文化中心项目”其他阶段造价咨询服务的（包括预算编制、预算审核、全过程造价咨询等），不得参加本采购项目投标。</w:t>
      </w:r>
    </w:p>
    <w:p w14:paraId="5AA62C8F">
      <w:pPr>
        <w:pStyle w:val="37"/>
        <w:spacing w:before="0" w:beforeAutospacing="0" w:after="0" w:afterAutospacing="0"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1.3本项目</w:t>
      </w:r>
      <w:r>
        <w:rPr>
          <w:rFonts w:hint="eastAsia" w:ascii="仿宋" w:hAnsi="仿宋" w:eastAsia="仿宋" w:cs="仿宋"/>
          <w:b w:val="0"/>
          <w:bCs w:val="0"/>
          <w:color w:val="auto"/>
          <w:sz w:val="24"/>
          <w:highlight w:val="none"/>
          <w:u w:val="none"/>
          <w:lang w:val="en-US" w:eastAsia="zh-CN"/>
        </w:rPr>
        <w:t>不</w:t>
      </w:r>
      <w:r>
        <w:rPr>
          <w:rFonts w:hint="eastAsia" w:ascii="仿宋" w:hAnsi="仿宋" w:eastAsia="仿宋" w:cs="仿宋"/>
          <w:b w:val="0"/>
          <w:bCs w:val="0"/>
          <w:color w:val="auto"/>
          <w:sz w:val="24"/>
          <w:highlight w:val="none"/>
          <w:u w:val="none"/>
        </w:rPr>
        <w:t>接受</w:t>
      </w:r>
      <w:r>
        <w:rPr>
          <w:rFonts w:hint="eastAsia" w:ascii="仿宋" w:hAnsi="仿宋" w:eastAsia="仿宋" w:cs="仿宋"/>
          <w:color w:val="auto"/>
          <w:sz w:val="24"/>
          <w:highlight w:val="none"/>
        </w:rPr>
        <w:t>联合体投标。</w:t>
      </w:r>
    </w:p>
    <w:p w14:paraId="4ABD19F5">
      <w:pPr>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lang w:eastAsia="zh-CN"/>
        </w:rPr>
        <w:t>九</w:t>
      </w:r>
      <w:r>
        <w:rPr>
          <w:rFonts w:hint="eastAsia" w:ascii="仿宋" w:hAnsi="仿宋" w:eastAsia="仿宋" w:cs="仿宋"/>
          <w:b/>
          <w:color w:val="auto"/>
          <w:sz w:val="24"/>
          <w:highlight w:val="none"/>
        </w:rPr>
        <w:t>、获取采购文件方法：</w:t>
      </w:r>
      <w:r>
        <w:rPr>
          <w:rFonts w:hint="eastAsia" w:ascii="仿宋" w:hAnsi="仿宋" w:eastAsia="仿宋" w:cs="仿宋"/>
          <w:b/>
          <w:color w:val="auto"/>
          <w:kern w:val="0"/>
          <w:sz w:val="24"/>
          <w:highlight w:val="none"/>
        </w:rPr>
        <w:t>（自行下载）</w:t>
      </w:r>
    </w:p>
    <w:p w14:paraId="67C9726C">
      <w:pPr>
        <w:spacing w:line="360" w:lineRule="auto"/>
        <w:rPr>
          <w:rFonts w:hint="eastAsia" w:ascii="仿宋" w:hAnsi="仿宋" w:eastAsia="仿宋" w:cs="仿宋"/>
          <w:color w:val="auto"/>
          <w:sz w:val="24"/>
          <w:highlight w:val="none"/>
        </w:rPr>
      </w:pPr>
      <w:r>
        <w:rPr>
          <w:rFonts w:hint="eastAsia" w:ascii="仿宋" w:hAnsi="仿宋" w:eastAsia="仿宋" w:cs="仿宋"/>
          <w:b/>
          <w:color w:val="auto"/>
          <w:kern w:val="0"/>
          <w:sz w:val="24"/>
          <w:highlight w:val="none"/>
        </w:rPr>
        <w:t>采购</w:t>
      </w:r>
      <w:r>
        <w:rPr>
          <w:rFonts w:hint="eastAsia" w:ascii="仿宋" w:hAnsi="仿宋" w:eastAsia="仿宋" w:cs="仿宋"/>
          <w:b/>
          <w:color w:val="auto"/>
          <w:kern w:val="0"/>
          <w:sz w:val="24"/>
          <w:szCs w:val="21"/>
          <w:highlight w:val="none"/>
        </w:rPr>
        <w:t>文件详见附件：</w:t>
      </w:r>
      <w:r>
        <w:rPr>
          <w:rFonts w:hint="eastAsia" w:ascii="仿宋" w:hAnsi="仿宋" w:eastAsia="仿宋" w:cs="仿宋"/>
          <w:b/>
          <w:color w:val="auto"/>
          <w:kern w:val="0"/>
          <w:sz w:val="24"/>
          <w:highlight w:val="none"/>
        </w:rPr>
        <w:t>采购</w:t>
      </w:r>
      <w:r>
        <w:rPr>
          <w:rFonts w:hint="eastAsia" w:ascii="仿宋" w:hAnsi="仿宋" w:eastAsia="仿宋" w:cs="仿宋"/>
          <w:b/>
          <w:color w:val="auto"/>
          <w:kern w:val="0"/>
          <w:sz w:val="24"/>
          <w:szCs w:val="21"/>
          <w:highlight w:val="none"/>
        </w:rPr>
        <w:t>文件下载。</w:t>
      </w:r>
    </w:p>
    <w:p w14:paraId="30DE12C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十</w:t>
      </w:r>
      <w:r>
        <w:rPr>
          <w:rFonts w:hint="eastAsia" w:ascii="仿宋" w:hAnsi="仿宋" w:eastAsia="仿宋" w:cs="仿宋"/>
          <w:color w:val="auto"/>
          <w:sz w:val="24"/>
          <w:highlight w:val="none"/>
        </w:rPr>
        <w:t>、递交投标文件时间自</w:t>
      </w:r>
      <w:r>
        <w:rPr>
          <w:rFonts w:hint="eastAsia" w:ascii="仿宋" w:hAnsi="仿宋" w:eastAsia="仿宋" w:cs="仿宋"/>
          <w:color w:val="auto"/>
          <w:sz w:val="24"/>
          <w:szCs w:val="24"/>
          <w:highlight w:val="none"/>
          <w:u w:val="single"/>
          <w:lang w:eastAsia="zh-CN"/>
        </w:rPr>
        <w:t>2026年</w:t>
      </w:r>
      <w:r>
        <w:rPr>
          <w:rFonts w:hint="eastAsia" w:ascii="仿宋" w:hAnsi="仿宋" w:eastAsia="仿宋" w:cs="仿宋"/>
          <w:color w:val="auto"/>
          <w:sz w:val="24"/>
          <w:szCs w:val="24"/>
          <w:highlight w:val="none"/>
          <w:u w:val="single"/>
          <w:lang w:val="en-US" w:eastAsia="zh-CN"/>
        </w:rPr>
        <w:t>3月6日</w:t>
      </w:r>
      <w:r>
        <w:rPr>
          <w:rFonts w:hint="eastAsia" w:ascii="仿宋" w:hAnsi="仿宋" w:eastAsia="仿宋" w:cs="仿宋"/>
          <w:color w:val="auto"/>
          <w:sz w:val="24"/>
          <w:szCs w:val="24"/>
          <w:highlight w:val="none"/>
          <w:u w:val="single"/>
          <w:lang w:eastAsia="zh-CN"/>
        </w:rPr>
        <w:t>9时00分至2026年</w:t>
      </w:r>
      <w:r>
        <w:rPr>
          <w:rFonts w:hint="eastAsia" w:ascii="仿宋" w:hAnsi="仿宋" w:eastAsia="仿宋" w:cs="仿宋"/>
          <w:color w:val="auto"/>
          <w:sz w:val="24"/>
          <w:szCs w:val="24"/>
          <w:highlight w:val="none"/>
          <w:u w:val="single"/>
          <w:lang w:val="en-US" w:eastAsia="zh-CN"/>
        </w:rPr>
        <w:t>3月6日</w:t>
      </w:r>
      <w:r>
        <w:rPr>
          <w:rFonts w:hint="eastAsia" w:ascii="仿宋" w:hAnsi="仿宋" w:eastAsia="仿宋" w:cs="仿宋"/>
          <w:color w:val="auto"/>
          <w:sz w:val="24"/>
          <w:szCs w:val="24"/>
          <w:highlight w:val="none"/>
          <w:u w:val="single"/>
          <w:lang w:eastAsia="zh-CN"/>
        </w:rPr>
        <w:t>9时30分</w:t>
      </w:r>
      <w:r>
        <w:rPr>
          <w:rFonts w:hint="eastAsia" w:ascii="仿宋" w:hAnsi="仿宋" w:eastAsia="仿宋" w:cs="仿宋"/>
          <w:color w:val="auto"/>
          <w:sz w:val="24"/>
          <w:highlight w:val="none"/>
          <w:u w:val="single"/>
        </w:rPr>
        <w:t>止</w:t>
      </w:r>
      <w:r>
        <w:rPr>
          <w:rFonts w:hint="eastAsia" w:ascii="仿宋" w:hAnsi="仿宋" w:eastAsia="仿宋" w:cs="仿宋"/>
          <w:color w:val="auto"/>
          <w:sz w:val="24"/>
          <w:highlight w:val="none"/>
        </w:rPr>
        <w:t>。</w:t>
      </w:r>
    </w:p>
    <w:p w14:paraId="19F8E99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一</w:t>
      </w:r>
      <w:r>
        <w:rPr>
          <w:rFonts w:hint="eastAsia" w:ascii="仿宋" w:hAnsi="仿宋" w:eastAsia="仿宋" w:cs="仿宋"/>
          <w:color w:val="auto"/>
          <w:sz w:val="24"/>
          <w:highlight w:val="none"/>
        </w:rPr>
        <w:t>、提交投标文件地点：</w:t>
      </w:r>
      <w:r>
        <w:rPr>
          <w:rFonts w:hint="eastAsia" w:ascii="仿宋" w:hAnsi="仿宋" w:eastAsia="仿宋" w:cs="仿宋"/>
          <w:color w:val="auto"/>
          <w:kern w:val="0"/>
          <w:sz w:val="24"/>
          <w:highlight w:val="none"/>
        </w:rPr>
        <w:t>佛山市南海区桂城海六路8号联达大厦21楼佛山市南海公有资产流转服务有限公司</w:t>
      </w:r>
      <w:r>
        <w:rPr>
          <w:rFonts w:hint="eastAsia" w:ascii="仿宋" w:hAnsi="仿宋" w:eastAsia="仿宋" w:cs="仿宋"/>
          <w:color w:val="auto"/>
          <w:sz w:val="24"/>
          <w:highlight w:val="none"/>
        </w:rPr>
        <w:t>。</w:t>
      </w:r>
    </w:p>
    <w:p w14:paraId="27BA090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、开标时间：</w:t>
      </w:r>
      <w:r>
        <w:rPr>
          <w:rFonts w:hint="eastAsia" w:ascii="仿宋" w:hAnsi="仿宋" w:eastAsia="仿宋" w:cs="仿宋"/>
          <w:color w:val="auto"/>
          <w:sz w:val="24"/>
          <w:szCs w:val="24"/>
          <w:highlight w:val="none"/>
          <w:u w:val="single"/>
          <w:lang w:eastAsia="zh-CN"/>
        </w:rPr>
        <w:t>2026年</w:t>
      </w:r>
      <w:r>
        <w:rPr>
          <w:rFonts w:hint="eastAsia" w:ascii="仿宋" w:hAnsi="仿宋" w:eastAsia="仿宋" w:cs="仿宋"/>
          <w:color w:val="auto"/>
          <w:sz w:val="24"/>
          <w:szCs w:val="24"/>
          <w:highlight w:val="none"/>
          <w:u w:val="single"/>
          <w:lang w:val="en-US" w:eastAsia="zh-CN"/>
        </w:rPr>
        <w:t>3月6日</w:t>
      </w:r>
      <w:r>
        <w:rPr>
          <w:rFonts w:hint="eastAsia" w:ascii="仿宋" w:hAnsi="仿宋" w:eastAsia="仿宋" w:cs="仿宋"/>
          <w:color w:val="auto"/>
          <w:sz w:val="24"/>
          <w:szCs w:val="24"/>
          <w:highlight w:val="none"/>
          <w:u w:val="single"/>
          <w:lang w:eastAsia="zh-CN"/>
        </w:rPr>
        <w:t>9时30分</w:t>
      </w:r>
      <w:r>
        <w:rPr>
          <w:rFonts w:hint="eastAsia" w:ascii="仿宋" w:hAnsi="仿宋" w:eastAsia="仿宋" w:cs="仿宋"/>
          <w:color w:val="auto"/>
          <w:sz w:val="24"/>
          <w:highlight w:val="none"/>
        </w:rPr>
        <w:t>（北京时间）。</w:t>
      </w:r>
    </w:p>
    <w:p w14:paraId="4ADC2B7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、开标地点：</w:t>
      </w:r>
      <w:r>
        <w:rPr>
          <w:rFonts w:hint="eastAsia" w:ascii="仿宋" w:hAnsi="仿宋" w:eastAsia="仿宋" w:cs="仿宋"/>
          <w:color w:val="auto"/>
          <w:kern w:val="0"/>
          <w:sz w:val="24"/>
          <w:highlight w:val="none"/>
        </w:rPr>
        <w:t>佛山市南海区桂城海六路8号联达大厦21楼佛山市南海公有资产流转服务有限公司</w:t>
      </w:r>
      <w:r>
        <w:rPr>
          <w:rFonts w:hint="eastAsia" w:ascii="仿宋" w:hAnsi="仿宋" w:eastAsia="仿宋" w:cs="仿宋"/>
          <w:color w:val="auto"/>
          <w:sz w:val="24"/>
          <w:highlight w:val="none"/>
        </w:rPr>
        <w:t xml:space="preserve">。 </w:t>
      </w:r>
    </w:p>
    <w:p w14:paraId="6578D6C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val="en-US" w:eastAsia="zh-CN"/>
        </w:rPr>
        <w:t>四</w:t>
      </w:r>
      <w:r>
        <w:rPr>
          <w:rFonts w:hint="eastAsia" w:ascii="仿宋" w:hAnsi="仿宋" w:eastAsia="仿宋" w:cs="仿宋"/>
          <w:color w:val="auto"/>
          <w:sz w:val="24"/>
          <w:highlight w:val="none"/>
        </w:rPr>
        <w:t>、投标保证金递交时间、支付方式及保证金金额：</w:t>
      </w:r>
    </w:p>
    <w:p w14:paraId="047F8E8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投标人须于公告之日起至</w:t>
      </w:r>
      <w:r>
        <w:rPr>
          <w:rFonts w:hint="eastAsia" w:ascii="仿宋" w:hAnsi="仿宋" w:eastAsia="仿宋" w:cs="仿宋"/>
          <w:color w:val="auto"/>
          <w:sz w:val="24"/>
          <w:szCs w:val="24"/>
          <w:highlight w:val="none"/>
          <w:u w:val="single"/>
          <w:lang w:eastAsia="zh-CN"/>
        </w:rPr>
        <w:t>2026年</w:t>
      </w:r>
      <w:r>
        <w:rPr>
          <w:rFonts w:hint="eastAsia" w:ascii="仿宋" w:hAnsi="仿宋" w:eastAsia="仿宋" w:cs="仿宋"/>
          <w:color w:val="auto"/>
          <w:sz w:val="24"/>
          <w:szCs w:val="24"/>
          <w:highlight w:val="none"/>
          <w:u w:val="single"/>
          <w:lang w:val="en-US" w:eastAsia="zh-CN"/>
        </w:rPr>
        <w:t>3</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3</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highlight w:val="none"/>
          <w:u w:val="single"/>
        </w:rPr>
        <w:t>下午17：00时</w:t>
      </w:r>
      <w:r>
        <w:rPr>
          <w:rFonts w:hint="eastAsia" w:ascii="仿宋" w:hAnsi="仿宋" w:eastAsia="仿宋" w:cs="仿宋"/>
          <w:color w:val="auto"/>
          <w:sz w:val="24"/>
          <w:highlight w:val="none"/>
        </w:rPr>
        <w:t>前，将</w:t>
      </w:r>
      <w:r>
        <w:rPr>
          <w:rFonts w:hint="eastAsia" w:ascii="仿宋" w:hAnsi="仿宋" w:eastAsia="仿宋" w:cs="仿宋"/>
          <w:color w:val="auto"/>
          <w:sz w:val="24"/>
          <w:highlight w:val="none"/>
          <w:lang w:val="en-US" w:eastAsia="zh-CN"/>
        </w:rPr>
        <w:t>投标</w:t>
      </w:r>
      <w:r>
        <w:rPr>
          <w:rFonts w:hint="eastAsia" w:ascii="仿宋" w:hAnsi="仿宋" w:eastAsia="仿宋" w:cs="仿宋"/>
          <w:color w:val="auto"/>
          <w:sz w:val="24"/>
          <w:highlight w:val="none"/>
        </w:rPr>
        <w:t>保证金由投标人名下的银行账户（采用银行柜台、网上银行转账两种方式之一的方式）缴纳到以下指定账户，以银行到账为准。保证金金额为</w:t>
      </w:r>
      <w:r>
        <w:rPr>
          <w:rFonts w:hint="eastAsia" w:ascii="仿宋" w:hAnsi="仿宋" w:eastAsia="仿宋" w:cs="仿宋"/>
          <w:color w:val="auto"/>
          <w:sz w:val="24"/>
          <w:highlight w:val="none"/>
          <w:lang w:val="en-US" w:eastAsia="zh-CN"/>
        </w:rPr>
        <w:t>60000.00元</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大写</w:t>
      </w:r>
      <w:r>
        <w:rPr>
          <w:rFonts w:hint="eastAsia" w:ascii="仿宋" w:hAnsi="仿宋" w:eastAsia="仿宋" w:cs="仿宋"/>
          <w:color w:val="auto"/>
          <w:sz w:val="24"/>
          <w:highlight w:val="none"/>
          <w:lang w:val="en-US" w:eastAsia="zh-CN"/>
        </w:rPr>
        <w:t>陆万元整</w:t>
      </w:r>
      <w:r>
        <w:rPr>
          <w:rFonts w:hint="eastAsia" w:ascii="仿宋" w:hAnsi="仿宋" w:eastAsia="仿宋" w:cs="仿宋"/>
          <w:color w:val="auto"/>
          <w:sz w:val="24"/>
          <w:highlight w:val="none"/>
        </w:rPr>
        <w:t>）。</w:t>
      </w:r>
    </w:p>
    <w:p w14:paraId="1F20D6EC">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特别说明：本项目无须报名，已经缴纳保证金的投标人须在规定时间内提交投标文件，《企业采购保证金退付委托书》和营业执照复印件（均须加盖单位公章）须另外单独提交，其为投标人办理投标保证金退付的必须资料，由佛山市南海公有资产流转服务有限公司按照相关文件要求规定办理退款（不计利息）。）</w:t>
      </w:r>
    </w:p>
    <w:p w14:paraId="2C99289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通过银行柜台转账时，必须在银行进账单或汇款凭证中准确填写收款人和交款人名称、账户，以及缴纳金额、交纳人证件号码信息；银行进账单或汇款凭证的备注/用途/附言等备注信息栏中需准确填写采购项目的项目名称简称。</w:t>
      </w:r>
    </w:p>
    <w:p w14:paraId="3A7C1F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（2）通过网上银行转账时，必须在网上银行支付界面准确填写收款人和交款人名称、账户、缴纳金额，备注/用途/附言等备注信息栏中需准确填写采购项目的项目名称简称。</w:t>
      </w:r>
    </w:p>
    <w:p w14:paraId="1354003C">
      <w:pPr>
        <w:spacing w:line="360" w:lineRule="auto"/>
        <w:ind w:firstLine="480" w:firstLineChars="200"/>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highlight w:val="none"/>
        </w:rPr>
        <w:t>（3）本项目名称简称：</w:t>
      </w:r>
      <w:r>
        <w:rPr>
          <w:rFonts w:hint="eastAsia" w:ascii="仿宋" w:hAnsi="仿宋" w:eastAsia="仿宋" w:cs="仿宋"/>
          <w:b/>
          <w:bCs/>
          <w:color w:val="auto"/>
          <w:sz w:val="24"/>
          <w:szCs w:val="24"/>
          <w:highlight w:val="none"/>
          <w:u w:val="single"/>
          <w:lang w:val="en-US" w:eastAsia="zh-CN"/>
        </w:rPr>
        <w:t>文化中心结算单审和双审初审</w:t>
      </w:r>
    </w:p>
    <w:p w14:paraId="14B018D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收款（人）单位名称：佛山市南海公有资产流转服务有限公司</w:t>
      </w:r>
    </w:p>
    <w:p w14:paraId="615C86E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账号：44504001040012386</w:t>
      </w:r>
    </w:p>
    <w:p w14:paraId="55B4649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开户行：中国农业银行佛山南海灯湖支行</w:t>
      </w:r>
    </w:p>
    <w:p w14:paraId="34071FA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五</w:t>
      </w:r>
      <w:r>
        <w:rPr>
          <w:rFonts w:hint="eastAsia" w:ascii="仿宋" w:hAnsi="仿宋" w:eastAsia="仿宋" w:cs="仿宋"/>
          <w:color w:val="auto"/>
          <w:sz w:val="24"/>
          <w:highlight w:val="none"/>
        </w:rPr>
        <w:t>、本公告期限</w:t>
      </w:r>
      <w:r>
        <w:rPr>
          <w:rFonts w:hint="eastAsia" w:ascii="仿宋" w:hAnsi="仿宋" w:eastAsia="仿宋" w:cs="仿宋"/>
          <w:color w:val="auto"/>
          <w:kern w:val="0"/>
          <w:sz w:val="24"/>
          <w:highlight w:val="none"/>
        </w:rPr>
        <w:t>（5个工作日）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自</w:t>
      </w:r>
      <w:r>
        <w:rPr>
          <w:rFonts w:hint="eastAsia" w:ascii="仿宋" w:hAnsi="仿宋" w:eastAsia="仿宋" w:cs="仿宋"/>
          <w:i w:val="0"/>
          <w:iCs w:val="0"/>
          <w:color w:val="auto"/>
          <w:sz w:val="24"/>
          <w:szCs w:val="24"/>
          <w:highlight w:val="none"/>
          <w:u w:val="none"/>
          <w:lang w:eastAsia="zh-CN"/>
        </w:rPr>
        <w:t>2026年</w:t>
      </w:r>
      <w:r>
        <w:rPr>
          <w:rFonts w:hint="eastAsia" w:ascii="仿宋" w:hAnsi="仿宋" w:eastAsia="仿宋" w:cs="仿宋"/>
          <w:i w:val="0"/>
          <w:iCs w:val="0"/>
          <w:color w:val="auto"/>
          <w:sz w:val="24"/>
          <w:szCs w:val="24"/>
          <w:highlight w:val="none"/>
          <w:u w:val="none"/>
          <w:lang w:val="en-US" w:eastAsia="zh-CN"/>
        </w:rPr>
        <w:t>2</w:t>
      </w:r>
      <w:r>
        <w:rPr>
          <w:rFonts w:hint="eastAsia" w:ascii="仿宋" w:hAnsi="仿宋" w:eastAsia="仿宋" w:cs="仿宋"/>
          <w:i w:val="0"/>
          <w:iCs w:val="0"/>
          <w:color w:val="auto"/>
          <w:sz w:val="24"/>
          <w:szCs w:val="24"/>
          <w:highlight w:val="none"/>
          <w:u w:val="none"/>
          <w:lang w:eastAsia="zh-CN"/>
        </w:rPr>
        <w:t>月</w:t>
      </w:r>
      <w:r>
        <w:rPr>
          <w:rFonts w:hint="eastAsia" w:ascii="仿宋" w:hAnsi="仿宋" w:eastAsia="仿宋" w:cs="仿宋"/>
          <w:i w:val="0"/>
          <w:iCs w:val="0"/>
          <w:color w:val="auto"/>
          <w:sz w:val="24"/>
          <w:szCs w:val="24"/>
          <w:highlight w:val="none"/>
          <w:u w:val="none"/>
          <w:lang w:val="en-US" w:eastAsia="zh-CN"/>
        </w:rPr>
        <w:t>13</w:t>
      </w:r>
      <w:r>
        <w:rPr>
          <w:rFonts w:hint="eastAsia" w:ascii="仿宋" w:hAnsi="仿宋" w:eastAsia="仿宋" w:cs="仿宋"/>
          <w:i w:val="0"/>
          <w:iCs w:val="0"/>
          <w:color w:val="auto"/>
          <w:sz w:val="24"/>
          <w:szCs w:val="24"/>
          <w:highlight w:val="none"/>
          <w:u w:val="none"/>
          <w:lang w:eastAsia="zh-CN"/>
        </w:rPr>
        <w:t>日至2026年</w:t>
      </w:r>
      <w:r>
        <w:rPr>
          <w:rFonts w:hint="eastAsia" w:ascii="仿宋" w:hAnsi="仿宋" w:eastAsia="仿宋" w:cs="仿宋"/>
          <w:i w:val="0"/>
          <w:iCs w:val="0"/>
          <w:color w:val="auto"/>
          <w:sz w:val="24"/>
          <w:szCs w:val="24"/>
          <w:highlight w:val="none"/>
          <w:u w:val="none"/>
          <w:lang w:val="en-US" w:eastAsia="zh-CN"/>
        </w:rPr>
        <w:t>2</w:t>
      </w:r>
      <w:r>
        <w:rPr>
          <w:rFonts w:hint="eastAsia" w:ascii="仿宋" w:hAnsi="仿宋" w:eastAsia="仿宋" w:cs="仿宋"/>
          <w:i w:val="0"/>
          <w:iCs w:val="0"/>
          <w:color w:val="auto"/>
          <w:sz w:val="24"/>
          <w:szCs w:val="24"/>
          <w:highlight w:val="none"/>
          <w:u w:val="none"/>
          <w:lang w:eastAsia="zh-CN"/>
        </w:rPr>
        <w:t>月</w:t>
      </w:r>
      <w:r>
        <w:rPr>
          <w:rFonts w:hint="eastAsia" w:ascii="仿宋" w:hAnsi="仿宋" w:eastAsia="仿宋" w:cs="仿宋"/>
          <w:i w:val="0"/>
          <w:iCs w:val="0"/>
          <w:color w:val="auto"/>
          <w:sz w:val="24"/>
          <w:szCs w:val="24"/>
          <w:highlight w:val="none"/>
          <w:u w:val="none"/>
          <w:lang w:val="en-US" w:eastAsia="zh-CN"/>
        </w:rPr>
        <w:t>26</w:t>
      </w:r>
      <w:r>
        <w:rPr>
          <w:rFonts w:hint="eastAsia" w:ascii="仿宋" w:hAnsi="仿宋" w:eastAsia="仿宋" w:cs="仿宋"/>
          <w:i w:val="0"/>
          <w:iCs w:val="0"/>
          <w:color w:val="auto"/>
          <w:sz w:val="24"/>
          <w:szCs w:val="24"/>
          <w:highlight w:val="none"/>
          <w:u w:val="none"/>
          <w:lang w:eastAsia="zh-CN"/>
        </w:rPr>
        <w:t>日</w:t>
      </w:r>
      <w:r>
        <w:rPr>
          <w:rFonts w:hint="eastAsia" w:ascii="仿宋" w:hAnsi="仿宋" w:eastAsia="仿宋" w:cs="仿宋"/>
          <w:color w:val="auto"/>
          <w:sz w:val="24"/>
          <w:highlight w:val="none"/>
          <w:lang w:eastAsia="zh-CN"/>
        </w:rPr>
        <w:t>止</w:t>
      </w:r>
      <w:r>
        <w:rPr>
          <w:rFonts w:hint="eastAsia" w:ascii="仿宋" w:hAnsi="仿宋" w:eastAsia="仿宋" w:cs="仿宋"/>
          <w:color w:val="auto"/>
          <w:sz w:val="24"/>
          <w:highlight w:val="none"/>
        </w:rPr>
        <w:t>。</w:t>
      </w:r>
    </w:p>
    <w:p w14:paraId="7743C45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六</w:t>
      </w:r>
      <w:r>
        <w:rPr>
          <w:rFonts w:hint="eastAsia" w:ascii="仿宋" w:hAnsi="仿宋" w:eastAsia="仿宋" w:cs="仿宋"/>
          <w:color w:val="auto"/>
          <w:sz w:val="24"/>
          <w:highlight w:val="none"/>
        </w:rPr>
        <w:t>、本项目非政府采购，采购过程中如出现异常情况，佛山市南海公有资产流转服务有限公司有权暂停或者中止该采购项目。</w:t>
      </w:r>
    </w:p>
    <w:p w14:paraId="1A7E73F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七</w:t>
      </w:r>
      <w:r>
        <w:rPr>
          <w:rFonts w:hint="eastAsia" w:ascii="仿宋" w:hAnsi="仿宋" w:eastAsia="仿宋" w:cs="仿宋"/>
          <w:color w:val="auto"/>
          <w:sz w:val="24"/>
          <w:highlight w:val="none"/>
        </w:rPr>
        <w:t>、其他说明</w:t>
      </w:r>
    </w:p>
    <w:p w14:paraId="4070B2A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1.发布公告媒介：</w:t>
      </w:r>
    </w:p>
    <w:p w14:paraId="50886C8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佛山市南海区人民政府网站（http://www.nanhai.gov.cn/）；</w:t>
      </w:r>
    </w:p>
    <w:p w14:paraId="0BC360DA">
      <w:pPr>
        <w:spacing w:line="360" w:lineRule="auto"/>
        <w:ind w:firstLine="531" w:firstLineChars="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佛山市海纳建设工程咨询有限公司网（http://www</w:t>
      </w:r>
      <w:bookmarkStart w:id="585" w:name="_GoBack"/>
      <w:bookmarkEnd w:id="585"/>
      <w:r>
        <w:rPr>
          <w:rFonts w:hint="eastAsia" w:ascii="仿宋" w:hAnsi="仿宋" w:eastAsia="仿宋" w:cs="仿宋"/>
          <w:color w:val="auto"/>
          <w:sz w:val="24"/>
          <w:highlight w:val="none"/>
          <w:lang w:val="en-US" w:eastAsia="zh-CN"/>
        </w:rPr>
        <w:t>.fshnzx.cn/）。</w:t>
      </w:r>
    </w:p>
    <w:p w14:paraId="07A1999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.询问、质疑：本项目实行网上答疑，凡对</w:t>
      </w:r>
      <w:r>
        <w:rPr>
          <w:rFonts w:hint="eastAsia" w:ascii="仿宋" w:hAnsi="仿宋" w:eastAsia="仿宋" w:cs="仿宋"/>
          <w:color w:val="auto"/>
          <w:sz w:val="24"/>
          <w:highlight w:val="none"/>
          <w:lang w:eastAsia="zh-CN"/>
        </w:rPr>
        <w:t>采购文件</w:t>
      </w:r>
      <w:r>
        <w:rPr>
          <w:rFonts w:hint="eastAsia" w:ascii="仿宋" w:hAnsi="仿宋" w:eastAsia="仿宋" w:cs="仿宋"/>
          <w:color w:val="auto"/>
          <w:sz w:val="24"/>
          <w:highlight w:val="none"/>
        </w:rPr>
        <w:t>有任何疑问的（包括认为</w:t>
      </w:r>
      <w:r>
        <w:rPr>
          <w:rFonts w:hint="eastAsia" w:ascii="仿宋" w:hAnsi="仿宋" w:eastAsia="仿宋" w:cs="仿宋"/>
          <w:color w:val="auto"/>
          <w:sz w:val="24"/>
          <w:highlight w:val="none"/>
          <w:lang w:eastAsia="zh-CN"/>
        </w:rPr>
        <w:t>采购文件</w:t>
      </w:r>
      <w:r>
        <w:rPr>
          <w:rFonts w:hint="eastAsia" w:ascii="仿宋" w:hAnsi="仿宋" w:eastAsia="仿宋" w:cs="仿宋"/>
          <w:color w:val="auto"/>
          <w:sz w:val="24"/>
          <w:highlight w:val="none"/>
        </w:rPr>
        <w:t>的服务或商务条款存在排他性或歧视性条款），请投标人在公示期间或者自期满之日起七个工作日内以书面形式向招标代理机构提出(发送邮件至</w:t>
      </w:r>
      <w:r>
        <w:rPr>
          <w:rFonts w:hint="eastAsia" w:ascii="仿宋" w:hAnsi="仿宋" w:eastAsia="仿宋" w:cs="仿宋"/>
          <w:b w:val="0"/>
          <w:bCs w:val="0"/>
          <w:color w:val="auto"/>
          <w:kern w:val="0"/>
          <w:sz w:val="24"/>
          <w:szCs w:val="24"/>
          <w:highlight w:val="none"/>
        </w:rPr>
        <w:fldChar w:fldCharType="begin"/>
      </w:r>
      <w:r>
        <w:rPr>
          <w:rFonts w:hint="eastAsia" w:ascii="仿宋" w:hAnsi="仿宋" w:eastAsia="仿宋" w:cs="仿宋"/>
          <w:b w:val="0"/>
          <w:bCs w:val="0"/>
          <w:color w:val="auto"/>
          <w:kern w:val="0"/>
          <w:sz w:val="24"/>
          <w:szCs w:val="24"/>
          <w:highlight w:val="none"/>
        </w:rPr>
        <w:instrText xml:space="preserve"> HYPERLINK "mailto:Fs_HaiNa@126.com" </w:instrText>
      </w:r>
      <w:r>
        <w:rPr>
          <w:rFonts w:hint="eastAsia" w:ascii="仿宋" w:hAnsi="仿宋" w:eastAsia="仿宋" w:cs="仿宋"/>
          <w:b w:val="0"/>
          <w:bCs w:val="0"/>
          <w:color w:val="auto"/>
          <w:kern w:val="0"/>
          <w:sz w:val="24"/>
          <w:szCs w:val="24"/>
          <w:highlight w:val="none"/>
        </w:rPr>
        <w:fldChar w:fldCharType="separate"/>
      </w:r>
      <w:r>
        <w:rPr>
          <w:rStyle w:val="43"/>
          <w:rFonts w:hint="eastAsia" w:ascii="仿宋" w:hAnsi="仿宋" w:eastAsia="仿宋" w:cs="仿宋"/>
          <w:b w:val="0"/>
          <w:bCs w:val="0"/>
          <w:color w:val="auto"/>
          <w:kern w:val="0"/>
          <w:sz w:val="24"/>
          <w:szCs w:val="24"/>
          <w:highlight w:val="none"/>
        </w:rPr>
        <w:t>Fs_HaiNa@126.com</w:t>
      </w:r>
      <w:r>
        <w:rPr>
          <w:rFonts w:hint="eastAsia" w:ascii="仿宋" w:hAnsi="仿宋" w:eastAsia="仿宋" w:cs="仿宋"/>
          <w:b w:val="0"/>
          <w:bCs w:val="0"/>
          <w:color w:val="auto"/>
          <w:kern w:val="0"/>
          <w:sz w:val="24"/>
          <w:szCs w:val="24"/>
          <w:highlight w:val="none"/>
        </w:rPr>
        <w:fldChar w:fldCharType="end"/>
      </w:r>
      <w:r>
        <w:rPr>
          <w:rFonts w:hint="eastAsia" w:ascii="仿宋" w:hAnsi="仿宋" w:eastAsia="仿宋" w:cs="仿宋"/>
          <w:color w:val="auto"/>
          <w:sz w:val="24"/>
          <w:highlight w:val="none"/>
        </w:rPr>
        <w:t>),逾期不受理。答疑结果或相关的补充说明以修正/澄清公告形式及在指定媒体网站中公布，望投标人及时关注本项目的投标答疑情况。投标人因疏忽未及时登陆了解相关的答疑情况及补充说明而产生的不利后果由投标人自行承担。</w:t>
      </w:r>
    </w:p>
    <w:p w14:paraId="31F42A0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eastAsia="zh-CN"/>
        </w:rPr>
        <w:t>八</w:t>
      </w:r>
      <w:r>
        <w:rPr>
          <w:rFonts w:hint="eastAsia" w:ascii="仿宋" w:hAnsi="仿宋" w:eastAsia="仿宋" w:cs="仿宋"/>
          <w:color w:val="auto"/>
          <w:sz w:val="24"/>
          <w:highlight w:val="none"/>
        </w:rPr>
        <w:t>、联系事项</w:t>
      </w:r>
    </w:p>
    <w:tbl>
      <w:tblPr>
        <w:tblStyle w:val="41"/>
        <w:tblW w:w="89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7"/>
        <w:gridCol w:w="4088"/>
        <w:gridCol w:w="4000"/>
      </w:tblGrid>
      <w:tr w14:paraId="7854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827" w:type="dxa"/>
          </w:tcPr>
          <w:p w14:paraId="24C79CB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w:t>
            </w:r>
          </w:p>
        </w:tc>
        <w:tc>
          <w:tcPr>
            <w:tcW w:w="4088" w:type="dxa"/>
          </w:tcPr>
          <w:p w14:paraId="0E5A14B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采购人：</w:t>
            </w:r>
            <w:r>
              <w:rPr>
                <w:rFonts w:hint="eastAsia" w:ascii="仿宋" w:hAnsi="仿宋" w:eastAsia="仿宋" w:cs="仿宋"/>
                <w:color w:val="auto"/>
                <w:sz w:val="24"/>
                <w:highlight w:val="none"/>
                <w:lang w:eastAsia="zh-CN"/>
              </w:rPr>
              <w:t>佛山市南海有为百越文化有限公司</w:t>
            </w:r>
          </w:p>
        </w:tc>
        <w:tc>
          <w:tcPr>
            <w:tcW w:w="4000" w:type="dxa"/>
          </w:tcPr>
          <w:p w14:paraId="3FF53B7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lang w:eastAsia="zh-CN"/>
              </w:rPr>
              <w:t>佛山市南海区桂城南海大道北33号丽雅苑会所三层</w:t>
            </w:r>
          </w:p>
        </w:tc>
      </w:tr>
      <w:tr w14:paraId="42AC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7" w:type="dxa"/>
          </w:tcPr>
          <w:p w14:paraId="7BB0EF3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p>
        </w:tc>
        <w:tc>
          <w:tcPr>
            <w:tcW w:w="4088" w:type="dxa"/>
          </w:tcPr>
          <w:p w14:paraId="3677DF7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val="en-US" w:eastAsia="zh-CN"/>
              </w:rPr>
              <w:t>陈工</w:t>
            </w:r>
          </w:p>
        </w:tc>
        <w:tc>
          <w:tcPr>
            <w:tcW w:w="4000" w:type="dxa"/>
          </w:tcPr>
          <w:p w14:paraId="0DB07BB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0757-86301386</w:t>
            </w:r>
          </w:p>
        </w:tc>
      </w:tr>
      <w:tr w14:paraId="45E3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7" w:type="dxa"/>
            <w:vAlign w:val="top"/>
          </w:tcPr>
          <w:p w14:paraId="2185259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w:t>
            </w:r>
          </w:p>
        </w:tc>
        <w:tc>
          <w:tcPr>
            <w:tcW w:w="4088" w:type="dxa"/>
            <w:vAlign w:val="top"/>
          </w:tcPr>
          <w:p w14:paraId="7A790F2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采购代理机构：</w:t>
            </w:r>
            <w:r>
              <w:rPr>
                <w:rFonts w:hint="eastAsia" w:ascii="仿宋" w:hAnsi="仿宋" w:eastAsia="仿宋" w:cs="仿宋"/>
                <w:color w:val="auto"/>
                <w:sz w:val="24"/>
                <w:highlight w:val="none"/>
                <w:lang w:eastAsia="zh-CN"/>
              </w:rPr>
              <w:t>佛山市海纳建设工程咨询有限公司</w:t>
            </w:r>
            <w:r>
              <w:rPr>
                <w:rFonts w:hint="eastAsia" w:ascii="仿宋" w:hAnsi="仿宋" w:eastAsia="仿宋" w:cs="仿宋"/>
                <w:color w:val="auto"/>
                <w:sz w:val="24"/>
                <w:highlight w:val="none"/>
              </w:rPr>
              <w:t xml:space="preserve"> </w:t>
            </w:r>
          </w:p>
        </w:tc>
        <w:tc>
          <w:tcPr>
            <w:tcW w:w="4000" w:type="dxa"/>
            <w:vAlign w:val="top"/>
          </w:tcPr>
          <w:p w14:paraId="69E1F38D">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lang w:eastAsia="zh-CN"/>
              </w:rPr>
              <w:t>佛山市南海区桂城街道南平西路13号承业大厦第八层809单元</w:t>
            </w:r>
          </w:p>
        </w:tc>
      </w:tr>
      <w:tr w14:paraId="7D0D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7" w:type="dxa"/>
            <w:vAlign w:val="top"/>
          </w:tcPr>
          <w:p w14:paraId="0EFE37D6">
            <w:pPr>
              <w:spacing w:line="360" w:lineRule="auto"/>
              <w:rPr>
                <w:rFonts w:hint="eastAsia" w:ascii="仿宋" w:hAnsi="仿宋" w:eastAsia="仿宋" w:cs="仿宋"/>
                <w:color w:val="auto"/>
                <w:sz w:val="24"/>
                <w:highlight w:val="none"/>
              </w:rPr>
            </w:pPr>
          </w:p>
        </w:tc>
        <w:tc>
          <w:tcPr>
            <w:tcW w:w="4088" w:type="dxa"/>
            <w:vAlign w:val="top"/>
          </w:tcPr>
          <w:p w14:paraId="7A752125">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val="en-US" w:eastAsia="zh-CN"/>
              </w:rPr>
              <w:t>陈工</w:t>
            </w:r>
          </w:p>
        </w:tc>
        <w:tc>
          <w:tcPr>
            <w:tcW w:w="4000" w:type="dxa"/>
            <w:vAlign w:val="top"/>
          </w:tcPr>
          <w:p w14:paraId="6A28A7FC">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0757-86329619</w:t>
            </w:r>
          </w:p>
        </w:tc>
      </w:tr>
      <w:tr w14:paraId="6102B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7" w:type="dxa"/>
            <w:vAlign w:val="top"/>
          </w:tcPr>
          <w:p w14:paraId="0A6DB8C8">
            <w:pPr>
              <w:spacing w:line="360" w:lineRule="auto"/>
              <w:rPr>
                <w:rFonts w:hint="eastAsia" w:ascii="仿宋" w:hAnsi="仿宋" w:eastAsia="仿宋" w:cs="仿宋"/>
                <w:color w:val="auto"/>
                <w:sz w:val="24"/>
                <w:highlight w:val="none"/>
              </w:rPr>
            </w:pPr>
          </w:p>
        </w:tc>
        <w:tc>
          <w:tcPr>
            <w:tcW w:w="4088" w:type="dxa"/>
            <w:vAlign w:val="top"/>
          </w:tcPr>
          <w:p w14:paraId="051F0967">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tc>
        <w:tc>
          <w:tcPr>
            <w:tcW w:w="4000" w:type="dxa"/>
            <w:vAlign w:val="top"/>
          </w:tcPr>
          <w:p w14:paraId="27A9B22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邮    编：528200</w:t>
            </w:r>
          </w:p>
        </w:tc>
      </w:tr>
    </w:tbl>
    <w:p w14:paraId="66F7CD20">
      <w:pPr>
        <w:spacing w:line="360" w:lineRule="auto"/>
        <w:jc w:val="right"/>
        <w:rPr>
          <w:rFonts w:hint="eastAsia" w:ascii="仿宋" w:hAnsi="仿宋" w:eastAsia="仿宋" w:cs="仿宋"/>
          <w:color w:val="auto"/>
          <w:sz w:val="24"/>
          <w:highlight w:val="none"/>
          <w:lang w:eastAsia="zh-CN"/>
        </w:rPr>
      </w:pPr>
    </w:p>
    <w:p w14:paraId="020BBA4A">
      <w:pPr>
        <w:spacing w:line="360" w:lineRule="auto"/>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佛山市海纳建设工程咨询有限公司</w:t>
      </w:r>
    </w:p>
    <w:p w14:paraId="21ADD980">
      <w:pPr>
        <w:spacing w:line="360" w:lineRule="auto"/>
        <w:jc w:val="right"/>
        <w:rPr>
          <w:rFonts w:hint="eastAsia" w:ascii="仿宋" w:hAnsi="仿宋" w:eastAsia="仿宋" w:cs="仿宋"/>
          <w:color w:val="auto"/>
          <w:highlight w:val="none"/>
        </w:rPr>
      </w:pPr>
      <w:r>
        <w:rPr>
          <w:rFonts w:hint="eastAsia" w:ascii="仿宋" w:hAnsi="仿宋" w:eastAsia="仿宋" w:cs="仿宋"/>
          <w:color w:val="auto"/>
          <w:sz w:val="24"/>
          <w:highlight w:val="none"/>
        </w:rPr>
        <w:t>公告日期：</w:t>
      </w:r>
      <w:r>
        <w:rPr>
          <w:rFonts w:hint="eastAsia" w:ascii="仿宋" w:hAnsi="仿宋" w:eastAsia="仿宋" w:cs="仿宋"/>
          <w:color w:val="auto"/>
          <w:sz w:val="24"/>
          <w:szCs w:val="24"/>
          <w:highlight w:val="none"/>
          <w:u w:val="none"/>
          <w:lang w:eastAsia="zh-CN"/>
        </w:rPr>
        <w:t>2026年</w:t>
      </w: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auto"/>
          <w:sz w:val="24"/>
          <w:szCs w:val="24"/>
          <w:highlight w:val="none"/>
          <w:u w:val="none"/>
          <w:lang w:eastAsia="zh-CN"/>
        </w:rPr>
        <w:t>月</w:t>
      </w:r>
      <w:r>
        <w:rPr>
          <w:rFonts w:hint="eastAsia" w:ascii="仿宋" w:hAnsi="仿宋" w:eastAsia="仿宋" w:cs="仿宋"/>
          <w:color w:val="auto"/>
          <w:sz w:val="24"/>
          <w:szCs w:val="24"/>
          <w:highlight w:val="none"/>
          <w:u w:val="none"/>
          <w:lang w:val="en-US" w:eastAsia="zh-CN"/>
        </w:rPr>
        <w:t>12</w:t>
      </w:r>
      <w:r>
        <w:rPr>
          <w:rFonts w:hint="eastAsia" w:ascii="仿宋" w:hAnsi="仿宋" w:eastAsia="仿宋" w:cs="仿宋"/>
          <w:color w:val="auto"/>
          <w:sz w:val="24"/>
          <w:szCs w:val="24"/>
          <w:highlight w:val="none"/>
          <w:u w:val="none"/>
          <w:lang w:eastAsia="zh-CN"/>
        </w:rPr>
        <w:t>日</w:t>
      </w:r>
      <w:r>
        <w:rPr>
          <w:rStyle w:val="67"/>
          <w:rFonts w:hint="eastAsia" w:ascii="仿宋" w:hAnsi="仿宋" w:eastAsia="仿宋" w:cs="仿宋"/>
          <w:color w:val="auto"/>
          <w:szCs w:val="21"/>
          <w:highlight w:val="none"/>
        </w:rPr>
        <w:br w:type="page"/>
      </w:r>
    </w:p>
    <w:p w14:paraId="1F37E1C1">
      <w:pPr>
        <w:spacing w:line="360" w:lineRule="auto"/>
        <w:rPr>
          <w:rFonts w:hint="eastAsia" w:ascii="仿宋" w:hAnsi="仿宋" w:eastAsia="仿宋" w:cs="仿宋"/>
          <w:color w:val="auto"/>
          <w:highlight w:val="none"/>
        </w:rPr>
      </w:pPr>
    </w:p>
    <w:p w14:paraId="7882FB74">
      <w:pPr>
        <w:spacing w:line="360" w:lineRule="auto"/>
        <w:rPr>
          <w:rFonts w:hint="eastAsia" w:ascii="仿宋" w:hAnsi="仿宋" w:eastAsia="仿宋" w:cs="仿宋"/>
          <w:color w:val="auto"/>
          <w:highlight w:val="none"/>
        </w:rPr>
      </w:pPr>
    </w:p>
    <w:p w14:paraId="4BDA69FD">
      <w:pPr>
        <w:spacing w:line="360" w:lineRule="auto"/>
        <w:rPr>
          <w:rFonts w:hint="eastAsia" w:ascii="仿宋" w:hAnsi="仿宋" w:eastAsia="仿宋" w:cs="仿宋"/>
          <w:color w:val="auto"/>
          <w:highlight w:val="none"/>
        </w:rPr>
      </w:pPr>
    </w:p>
    <w:p w14:paraId="157A016A">
      <w:pPr>
        <w:spacing w:line="360" w:lineRule="auto"/>
        <w:rPr>
          <w:rFonts w:hint="eastAsia" w:ascii="仿宋" w:hAnsi="仿宋" w:eastAsia="仿宋" w:cs="仿宋"/>
          <w:color w:val="auto"/>
          <w:highlight w:val="none"/>
        </w:rPr>
      </w:pPr>
    </w:p>
    <w:p w14:paraId="2FD5D831">
      <w:pPr>
        <w:spacing w:line="360" w:lineRule="auto"/>
        <w:rPr>
          <w:rFonts w:hint="eastAsia" w:ascii="仿宋" w:hAnsi="仿宋" w:eastAsia="仿宋" w:cs="仿宋"/>
          <w:color w:val="auto"/>
          <w:highlight w:val="none"/>
        </w:rPr>
      </w:pPr>
    </w:p>
    <w:p w14:paraId="6221E23E">
      <w:pPr>
        <w:spacing w:line="360" w:lineRule="auto"/>
        <w:rPr>
          <w:rFonts w:hint="eastAsia" w:ascii="仿宋" w:hAnsi="仿宋" w:eastAsia="仿宋" w:cs="仿宋"/>
          <w:color w:val="auto"/>
          <w:highlight w:val="none"/>
        </w:rPr>
      </w:pPr>
    </w:p>
    <w:p w14:paraId="5E2D70DF">
      <w:pPr>
        <w:spacing w:line="360" w:lineRule="auto"/>
        <w:rPr>
          <w:rFonts w:hint="eastAsia" w:ascii="仿宋" w:hAnsi="仿宋" w:eastAsia="仿宋" w:cs="仿宋"/>
          <w:color w:val="auto"/>
          <w:highlight w:val="none"/>
        </w:rPr>
      </w:pPr>
    </w:p>
    <w:p w14:paraId="5DE0FD64">
      <w:pPr>
        <w:spacing w:line="360" w:lineRule="auto"/>
        <w:rPr>
          <w:rFonts w:hint="eastAsia" w:ascii="仿宋" w:hAnsi="仿宋" w:eastAsia="仿宋" w:cs="仿宋"/>
          <w:color w:val="auto"/>
          <w:highlight w:val="none"/>
        </w:rPr>
      </w:pPr>
    </w:p>
    <w:p w14:paraId="0FB8B9DC">
      <w:pPr>
        <w:spacing w:line="360" w:lineRule="auto"/>
        <w:rPr>
          <w:rFonts w:hint="eastAsia" w:ascii="仿宋" w:hAnsi="仿宋" w:eastAsia="仿宋" w:cs="仿宋"/>
          <w:color w:val="auto"/>
          <w:highlight w:val="none"/>
        </w:rPr>
      </w:pPr>
    </w:p>
    <w:p w14:paraId="56488BDF">
      <w:pPr>
        <w:spacing w:line="360" w:lineRule="auto"/>
        <w:rPr>
          <w:rFonts w:hint="eastAsia" w:ascii="仿宋" w:hAnsi="仿宋" w:eastAsia="仿宋" w:cs="仿宋"/>
          <w:color w:val="auto"/>
          <w:highlight w:val="none"/>
        </w:rPr>
      </w:pPr>
    </w:p>
    <w:p w14:paraId="4DD37CC5">
      <w:pPr>
        <w:pStyle w:val="173"/>
        <w:bidi w:val="0"/>
        <w:rPr>
          <w:rFonts w:hint="eastAsia" w:ascii="仿宋" w:hAnsi="仿宋" w:eastAsia="仿宋" w:cs="仿宋"/>
          <w:color w:val="auto"/>
          <w:highlight w:val="none"/>
        </w:rPr>
      </w:pPr>
      <w:bookmarkStart w:id="2" w:name="_Toc30235"/>
      <w:r>
        <w:rPr>
          <w:rFonts w:hint="eastAsia" w:ascii="仿宋" w:hAnsi="仿宋" w:eastAsia="仿宋" w:cs="仿宋"/>
          <w:highlight w:val="none"/>
        </w:rPr>
        <w:t>第二部分　采购项目内容</w:t>
      </w:r>
      <w:bookmarkEnd w:id="2"/>
    </w:p>
    <w:p w14:paraId="28C7B462">
      <w:pPr>
        <w:autoSpaceDE w:val="0"/>
        <w:autoSpaceDN w:val="0"/>
        <w:spacing w:line="360" w:lineRule="auto"/>
        <w:ind w:left="-4" w:leftChars="-18" w:hanging="34" w:hangingChars="12"/>
        <w:jc w:val="both"/>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2AC65759">
      <w:pPr>
        <w:shd w:val="clear"/>
        <w:autoSpaceDE w:val="0"/>
        <w:autoSpaceDN w:val="0"/>
        <w:spacing w:line="360" w:lineRule="auto"/>
        <w:ind w:left="0" w:leftChars="0" w:firstLine="0" w:firstLineChars="0"/>
        <w:jc w:val="both"/>
        <w:rPr>
          <w:rFonts w:hint="eastAsia" w:ascii="仿宋" w:hAnsi="仿宋" w:eastAsia="仿宋" w:cs="仿宋"/>
          <w:b/>
          <w:color w:val="auto"/>
          <w:sz w:val="28"/>
          <w:szCs w:val="28"/>
          <w:highlight w:val="none"/>
        </w:rPr>
      </w:pPr>
      <w:r>
        <w:rPr>
          <w:rFonts w:hint="eastAsia" w:ascii="仿宋" w:hAnsi="仿宋" w:eastAsia="仿宋" w:cs="仿宋"/>
          <w:b/>
          <w:bCs w:val="0"/>
          <w:color w:val="auto"/>
          <w:sz w:val="24"/>
          <w:szCs w:val="36"/>
          <w:highlight w:val="none"/>
        </w:rPr>
        <w:t>说明：1</w:t>
      </w:r>
      <w:r>
        <w:rPr>
          <w:rFonts w:hint="eastAsia" w:ascii="仿宋" w:hAnsi="仿宋" w:eastAsia="仿宋" w:cs="仿宋"/>
          <w:b/>
          <w:bCs w:val="0"/>
          <w:color w:val="auto"/>
          <w:sz w:val="24"/>
          <w:szCs w:val="36"/>
          <w:highlight w:val="none"/>
          <w:lang w:eastAsia="zh-CN"/>
        </w:rPr>
        <w:t>、</w:t>
      </w:r>
      <w:r>
        <w:rPr>
          <w:rFonts w:hint="eastAsia" w:ascii="仿宋" w:hAnsi="仿宋" w:eastAsia="仿宋" w:cs="仿宋"/>
          <w:b/>
          <w:bCs w:val="0"/>
          <w:color w:val="auto"/>
          <w:sz w:val="24"/>
          <w:szCs w:val="36"/>
          <w:highlight w:val="none"/>
        </w:rPr>
        <w:t>实质性条款包括带“★”的响应条款（如有）及其他视为无效投标的条款。实质性条款为必须满足条款，投标人如不能完全响应或负偏离将导致投标无效。2</w:t>
      </w:r>
      <w:r>
        <w:rPr>
          <w:rFonts w:hint="eastAsia" w:ascii="仿宋" w:hAnsi="仿宋" w:eastAsia="仿宋" w:cs="仿宋"/>
          <w:b/>
          <w:bCs w:val="0"/>
          <w:color w:val="auto"/>
          <w:sz w:val="24"/>
          <w:szCs w:val="36"/>
          <w:highlight w:val="none"/>
          <w:lang w:eastAsia="zh-CN"/>
        </w:rPr>
        <w:t>、</w:t>
      </w:r>
      <w:r>
        <w:rPr>
          <w:rFonts w:hint="eastAsia" w:ascii="仿宋" w:hAnsi="仿宋" w:eastAsia="仿宋" w:cs="仿宋"/>
          <w:b/>
          <w:bCs w:val="0"/>
          <w:color w:val="auto"/>
          <w:sz w:val="24"/>
          <w:szCs w:val="36"/>
          <w:highlight w:val="none"/>
        </w:rPr>
        <w:t>用户需求书中带“▲”的响应条款（如有）为重要条款，投标人如不能完全响应或负偏离将作为技术、商务评价表的扣分项。</w:t>
      </w:r>
    </w:p>
    <w:p w14:paraId="14243247">
      <w:pPr>
        <w:keepNext w:val="0"/>
        <w:keepLines w:val="0"/>
        <w:pageBreakBefore w:val="0"/>
        <w:widowControl w:val="0"/>
        <w:kinsoku/>
        <w:wordWrap/>
        <w:overflowPunct/>
        <w:topLinePunct w:val="0"/>
        <w:autoSpaceDE w:val="0"/>
        <w:autoSpaceDN w:val="0"/>
        <w:bidi w:val="0"/>
        <w:spacing w:line="440" w:lineRule="exact"/>
        <w:ind w:left="-9" w:leftChars="-18" w:hanging="29" w:hangingChars="12"/>
        <w:jc w:val="both"/>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一、投标人资格</w:t>
      </w:r>
    </w:p>
    <w:p w14:paraId="7240CF7C">
      <w:pPr>
        <w:keepNext w:val="0"/>
        <w:keepLines w:val="0"/>
        <w:pageBreakBefore w:val="0"/>
        <w:widowControl w:val="0"/>
        <w:kinsoku/>
        <w:wordWrap/>
        <w:overflowPunct/>
        <w:topLinePunct w:val="0"/>
        <w:autoSpaceDE w:val="0"/>
        <w:autoSpaceDN w:val="0"/>
        <w:bidi w:val="0"/>
        <w:spacing w:line="440" w:lineRule="exact"/>
        <w:ind w:firstLine="242" w:firstLineChars="101"/>
        <w:jc w:val="both"/>
        <w:textAlignment w:val="auto"/>
        <w:rPr>
          <w:rFonts w:hint="eastAsia" w:ascii="仿宋" w:hAnsi="仿宋" w:eastAsia="仿宋" w:cs="仿宋"/>
          <w:color w:val="auto"/>
          <w:kern w:val="0"/>
          <w:sz w:val="24"/>
          <w:szCs w:val="24"/>
          <w:highlight w:val="none"/>
        </w:rPr>
      </w:pPr>
      <w:r>
        <w:rPr>
          <w:rFonts w:hint="eastAsia" w:ascii="仿宋" w:hAnsi="仿宋" w:eastAsia="仿宋" w:cs="仿宋"/>
          <w:bCs/>
          <w:color w:val="auto"/>
          <w:sz w:val="24"/>
          <w:szCs w:val="24"/>
          <w:highlight w:val="none"/>
        </w:rPr>
        <w:t>详见投标邀请函。</w:t>
      </w:r>
    </w:p>
    <w:p w14:paraId="0932DE25">
      <w:pPr>
        <w:keepNext w:val="0"/>
        <w:keepLines w:val="0"/>
        <w:pageBreakBefore w:val="0"/>
        <w:widowControl w:val="0"/>
        <w:kinsoku/>
        <w:wordWrap/>
        <w:overflowPunct/>
        <w:topLinePunct w:val="0"/>
        <w:autoSpaceDE w:val="0"/>
        <w:autoSpaceDN w:val="0"/>
        <w:bidi w:val="0"/>
        <w:spacing w:line="440" w:lineRule="exact"/>
        <w:ind w:left="-4" w:leftChars="-18" w:hanging="34" w:hangingChars="14"/>
        <w:jc w:val="both"/>
        <w:textAlignment w:val="auto"/>
        <w:rPr>
          <w:rFonts w:hint="eastAsia" w:ascii="仿宋" w:hAnsi="仿宋" w:eastAsia="仿宋" w:cs="仿宋"/>
          <w:b/>
          <w:color w:val="auto"/>
          <w:sz w:val="24"/>
          <w:szCs w:val="24"/>
          <w:highlight w:val="none"/>
        </w:rPr>
      </w:pPr>
      <w:bookmarkStart w:id="3" w:name="_Toc37670349"/>
      <w:bookmarkStart w:id="4" w:name="_Toc78604590"/>
      <w:bookmarkStart w:id="5" w:name="_Toc49329249"/>
      <w:bookmarkStart w:id="6" w:name="_Toc113157418"/>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rPr>
        <w:fldChar w:fldCharType="begin"/>
      </w:r>
      <w:r>
        <w:rPr>
          <w:rFonts w:hint="eastAsia" w:ascii="仿宋" w:hAnsi="仿宋" w:eastAsia="仿宋" w:cs="仿宋"/>
          <w:b/>
          <w:color w:val="auto"/>
          <w:sz w:val="24"/>
          <w:szCs w:val="24"/>
          <w:highlight w:val="none"/>
        </w:rPr>
        <w:instrText xml:space="preserve"> DOCVARIABLE  技术要求开始  \* MERGEFORMAT </w:instrText>
      </w:r>
      <w:r>
        <w:rPr>
          <w:rFonts w:hint="eastAsia" w:ascii="仿宋" w:hAnsi="仿宋" w:eastAsia="仿宋" w:cs="仿宋"/>
          <w:b/>
          <w:color w:val="auto"/>
          <w:sz w:val="24"/>
          <w:szCs w:val="24"/>
          <w:highlight w:val="none"/>
        </w:rPr>
        <w:fldChar w:fldCharType="end"/>
      </w:r>
      <w:bookmarkStart w:id="7" w:name="_Toc159385043"/>
      <w:bookmarkStart w:id="8" w:name="_Toc301946966"/>
      <w:r>
        <w:rPr>
          <w:rFonts w:hint="eastAsia" w:ascii="仿宋" w:hAnsi="仿宋" w:eastAsia="仿宋" w:cs="仿宋"/>
          <w:b/>
          <w:color w:val="auto"/>
          <w:sz w:val="24"/>
          <w:szCs w:val="24"/>
          <w:highlight w:val="none"/>
        </w:rPr>
        <w:t>采购项目商务要</w:t>
      </w:r>
      <w:bookmarkEnd w:id="3"/>
      <w:bookmarkEnd w:id="4"/>
      <w:bookmarkEnd w:id="5"/>
      <w:bookmarkStart w:id="9" w:name="_Toc37670350"/>
      <w:bookmarkStart w:id="10" w:name="_Toc49329250"/>
      <w:r>
        <w:rPr>
          <w:rFonts w:hint="eastAsia" w:ascii="仿宋" w:hAnsi="仿宋" w:eastAsia="仿宋" w:cs="仿宋"/>
          <w:b/>
          <w:color w:val="auto"/>
          <w:sz w:val="24"/>
          <w:szCs w:val="24"/>
          <w:highlight w:val="none"/>
        </w:rPr>
        <w:t>求</w:t>
      </w:r>
      <w:bookmarkEnd w:id="6"/>
      <w:bookmarkEnd w:id="7"/>
      <w:bookmarkEnd w:id="8"/>
      <w:bookmarkEnd w:id="9"/>
      <w:bookmarkEnd w:id="10"/>
    </w:p>
    <w:p w14:paraId="70219DF3">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2" w:firstLineChars="200"/>
        <w:textAlignment w:val="auto"/>
        <w:rPr>
          <w:rFonts w:hint="eastAsia" w:ascii="仿宋" w:hAnsi="仿宋" w:eastAsia="仿宋" w:cs="仿宋"/>
          <w:b/>
          <w:color w:val="auto"/>
          <w:sz w:val="24"/>
          <w:szCs w:val="24"/>
          <w:highlight w:val="none"/>
          <w:lang w:val="en-US" w:eastAsia="zh-CN"/>
        </w:rPr>
      </w:pPr>
      <w:bookmarkStart w:id="11" w:name="_Toc11435"/>
      <w:r>
        <w:rPr>
          <w:rFonts w:hint="eastAsia" w:ascii="仿宋" w:hAnsi="仿宋" w:eastAsia="仿宋" w:cs="仿宋"/>
          <w:b/>
          <w:bCs/>
          <w:color w:val="auto"/>
          <w:sz w:val="24"/>
          <w:szCs w:val="24"/>
          <w:highlight w:val="none"/>
        </w:rPr>
        <w:t>★</w:t>
      </w:r>
      <w:r>
        <w:rPr>
          <w:rFonts w:hint="eastAsia" w:ascii="仿宋" w:hAnsi="仿宋" w:eastAsia="仿宋" w:cs="仿宋"/>
          <w:b/>
          <w:color w:val="auto"/>
          <w:kern w:val="2"/>
          <w:sz w:val="24"/>
          <w:szCs w:val="24"/>
          <w:highlight w:val="none"/>
          <w:lang w:val="en-US" w:eastAsia="zh-CN" w:bidi="ar-SA"/>
        </w:rPr>
        <w:t>（一）</w:t>
      </w:r>
      <w:r>
        <w:rPr>
          <w:rFonts w:hint="eastAsia" w:ascii="仿宋" w:hAnsi="仿宋" w:eastAsia="仿宋" w:cs="仿宋"/>
          <w:b/>
          <w:color w:val="auto"/>
          <w:sz w:val="24"/>
          <w:szCs w:val="24"/>
          <w:highlight w:val="none"/>
          <w:lang w:val="en-US" w:eastAsia="zh-CN"/>
        </w:rPr>
        <w:t>报价要求</w:t>
      </w:r>
    </w:p>
    <w:p w14:paraId="0C33141D">
      <w:pPr>
        <w:keepNext w:val="0"/>
        <w:keepLines w:val="0"/>
        <w:pageBreakBefore w:val="0"/>
        <w:widowControl w:val="0"/>
        <w:numPr>
          <w:ilvl w:val="0"/>
          <w:numId w:val="3"/>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投标报价方式：</w:t>
      </w:r>
    </w:p>
    <w:p w14:paraId="41709E2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  1.1本项目承包方式为</w:t>
      </w:r>
      <w:r>
        <w:rPr>
          <w:rFonts w:hint="eastAsia" w:ascii="仿宋" w:hAnsi="仿宋" w:eastAsia="仿宋" w:cs="仿宋"/>
          <w:b/>
          <w:bCs/>
          <w:color w:val="auto"/>
          <w:sz w:val="24"/>
          <w:szCs w:val="24"/>
          <w:highlight w:val="none"/>
          <w:lang w:val="en-US" w:eastAsia="zh-CN"/>
        </w:rPr>
        <w:t>固定折率包干</w:t>
      </w:r>
      <w:r>
        <w:rPr>
          <w:rFonts w:hint="eastAsia" w:ascii="仿宋" w:hAnsi="仿宋" w:eastAsia="仿宋" w:cs="仿宋"/>
          <w:b w:val="0"/>
          <w:bCs w:val="0"/>
          <w:color w:val="auto"/>
          <w:sz w:val="24"/>
          <w:szCs w:val="24"/>
          <w:highlight w:val="none"/>
          <w:lang w:val="en-US" w:eastAsia="zh-CN"/>
        </w:rPr>
        <w:t>。</w:t>
      </w:r>
    </w:p>
    <w:p w14:paraId="00E41B4C">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1.2本项目</w:t>
      </w:r>
      <w:r>
        <w:rPr>
          <w:rFonts w:hint="eastAsia" w:ascii="仿宋" w:hAnsi="仿宋" w:eastAsia="仿宋" w:cs="仿宋"/>
          <w:bCs w:val="0"/>
          <w:color w:val="auto"/>
          <w:kern w:val="2"/>
          <w:sz w:val="24"/>
          <w:highlight w:val="none"/>
          <w:lang w:bidi="ar"/>
        </w:rPr>
        <w:t>结算审核咨询服务费</w:t>
      </w:r>
      <w:r>
        <w:rPr>
          <w:rFonts w:hint="eastAsia" w:ascii="仿宋" w:hAnsi="仿宋" w:eastAsia="仿宋" w:cs="仿宋"/>
          <w:b w:val="0"/>
          <w:bCs w:val="0"/>
          <w:color w:val="auto"/>
          <w:sz w:val="24"/>
          <w:szCs w:val="24"/>
          <w:highlight w:val="none"/>
          <w:lang w:val="en-US" w:eastAsia="zh-CN"/>
        </w:rPr>
        <w:t>投标报价采用</w:t>
      </w:r>
      <w:r>
        <w:rPr>
          <w:rFonts w:hint="eastAsia" w:ascii="仿宋" w:hAnsi="仿宋" w:eastAsia="仿宋" w:cs="仿宋"/>
          <w:b/>
          <w:bCs/>
          <w:color w:val="auto"/>
          <w:sz w:val="24"/>
          <w:szCs w:val="24"/>
          <w:highlight w:val="none"/>
          <w:lang w:val="en-US" w:eastAsia="zh-CN"/>
        </w:rPr>
        <w:t>投标折率</w:t>
      </w:r>
      <w:r>
        <w:rPr>
          <w:rFonts w:hint="eastAsia" w:ascii="仿宋" w:hAnsi="仿宋" w:eastAsia="仿宋" w:cs="仿宋"/>
          <w:b w:val="0"/>
          <w:bCs w:val="0"/>
          <w:color w:val="auto"/>
          <w:sz w:val="24"/>
          <w:szCs w:val="24"/>
          <w:highlight w:val="none"/>
          <w:lang w:val="en-US" w:eastAsia="zh-CN"/>
        </w:rPr>
        <w:t>的方式进行报价</w:t>
      </w:r>
      <w:r>
        <w:rPr>
          <w:rFonts w:hint="eastAsia" w:ascii="仿宋" w:hAnsi="仿宋" w:eastAsia="仿宋" w:cs="仿宋"/>
          <w:b w:val="0"/>
          <w:bCs w:val="0"/>
          <w:color w:val="auto"/>
          <w:sz w:val="24"/>
          <w:szCs w:val="24"/>
          <w:highlight w:val="none"/>
          <w:u w:val="none"/>
          <w:lang w:val="en-US" w:eastAsia="zh-CN"/>
        </w:rPr>
        <w:t>。投标人无需填报投标总价报价。</w:t>
      </w:r>
    </w:p>
    <w:p w14:paraId="0E86D6BA">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960" w:firstLineChars="4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1.2.1</w:t>
      </w:r>
      <w:r>
        <w:rPr>
          <w:rFonts w:hint="eastAsia" w:ascii="仿宋" w:hAnsi="仿宋" w:eastAsia="仿宋" w:cs="仿宋"/>
          <w:b w:val="0"/>
          <w:bCs w:val="0"/>
          <w:color w:val="auto"/>
          <w:sz w:val="24"/>
          <w:szCs w:val="24"/>
          <w:highlight w:val="none"/>
          <w:lang w:val="en-US" w:eastAsia="zh-CN"/>
        </w:rPr>
        <w:t>采购项目预算金额：人民币3418937.62元。</w:t>
      </w:r>
    </w:p>
    <w:p w14:paraId="7C73E7D4">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960" w:firstLineChars="4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1.2.2</w:t>
      </w:r>
      <w:r>
        <w:rPr>
          <w:rFonts w:hint="eastAsia" w:ascii="仿宋" w:hAnsi="仿宋" w:eastAsia="仿宋" w:cs="仿宋"/>
          <w:b w:val="0"/>
          <w:bCs w:val="0"/>
          <w:color w:val="auto"/>
          <w:sz w:val="24"/>
          <w:szCs w:val="24"/>
          <w:highlight w:val="none"/>
          <w:lang w:val="en-US" w:eastAsia="zh-CN"/>
        </w:rPr>
        <w:t>投标折率最高投标限价：65.00%。投标折率精确至小数点后2位，若投标折率的小数点后第1位和第2位数字均为0，或者小数点后的第2位数字为0的，可以省略。</w:t>
      </w:r>
    </w:p>
    <w:p w14:paraId="318EED6C">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1.3投标人的投标报价不得低于其成本价或高于最高投标限价，否则该投标文件为无效投标。</w:t>
      </w:r>
    </w:p>
    <w:p w14:paraId="667211C6">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1.3.1风险控制价：2906096.98元（按照采购项目预算金额下浮15%计算）。当中标价低于风险控制价时，中标人应当在合同签订前提供现金转账、保函等形式的低价风险担保；中标人未按照要求提交低价风险担保的，视为放弃中标。</w:t>
      </w:r>
    </w:p>
    <w:p w14:paraId="490ADD6F">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1.3.2低价风险担保金额＝风险控制价-中标价</w:t>
      </w:r>
    </w:p>
    <w:p w14:paraId="6DEBE38C">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1.3.3中标价=本结算初审项目预算金额（3418937.62元）÷最高投标折率（65.00%）×中标折率，计算结果精确至小数点后二位，第三位小数四舍五入。</w:t>
      </w:r>
    </w:p>
    <w:p w14:paraId="313C5E0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投标人的投标报价已包含完成本项目服务范围内的所有造价咨询服务所需要收取的所有费用，包括但不限于结算审核咨询服务费、资料收集和整理费、文书编制及打印费、文件装订及寄送费、交通差旅费、现场跟踪和协调统筹服务费、工作人员的相关费用（含工资、餐费、通讯费、住宿费等）、会务费、驻场费（如有）、利润、税费、后续服务配合费等为完成合同规定责任和义务、达到合同目的以及合同实施过程中的应预见和不可预见的一切费用。</w:t>
      </w:r>
    </w:p>
    <w:p w14:paraId="5672EF08">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1.5本项目中标折率为固定折率，中标折率不随国家政策调整或法规、标准及市场因素的变化而进行调整。除超出采购文件、合同规定的工作内容范围外，中标人不得以任何理由向采购人申请追加服务费用。</w:t>
      </w:r>
    </w:p>
    <w:p w14:paraId="6D83EDB5">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bCs/>
          <w:color w:val="auto"/>
          <w:sz w:val="24"/>
          <w:szCs w:val="24"/>
          <w:highlight w:val="none"/>
        </w:rPr>
        <w:t>★</w:t>
      </w:r>
      <w:r>
        <w:rPr>
          <w:rFonts w:hint="eastAsia" w:ascii="仿宋" w:hAnsi="仿宋" w:eastAsia="仿宋" w:cs="仿宋"/>
          <w:b/>
          <w:color w:val="auto"/>
          <w:kern w:val="2"/>
          <w:sz w:val="24"/>
          <w:szCs w:val="24"/>
          <w:highlight w:val="none"/>
          <w:lang w:val="en-US" w:eastAsia="zh-CN" w:bidi="ar-SA"/>
        </w:rPr>
        <w:t>（二）</w:t>
      </w:r>
      <w:r>
        <w:rPr>
          <w:rFonts w:hint="eastAsia" w:ascii="仿宋" w:hAnsi="仿宋" w:eastAsia="仿宋" w:cs="仿宋"/>
          <w:b/>
          <w:color w:val="auto"/>
          <w:sz w:val="24"/>
          <w:szCs w:val="24"/>
          <w:highlight w:val="none"/>
          <w:lang w:val="en-US" w:eastAsia="zh-CN"/>
        </w:rPr>
        <w:t>服务期限及完成时间要求</w:t>
      </w:r>
    </w:p>
    <w:p w14:paraId="60D3A8FA">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2.1服务期限：自本合同签订之日起至完成合同所有结算审核咨询服务内容为止。</w:t>
      </w:r>
    </w:p>
    <w:p w14:paraId="1D988D42">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2.2服务时间要求：</w:t>
      </w:r>
    </w:p>
    <w:p w14:paraId="2CF4A357">
      <w:pPr>
        <w:keepNext w:val="0"/>
        <w:keepLines w:val="0"/>
        <w:pageBreakBefore w:val="0"/>
        <w:numPr>
          <w:ilvl w:val="0"/>
          <w:numId w:val="4"/>
        </w:numPr>
        <w:kinsoku/>
        <w:overflowPunct/>
        <w:topLinePunct w:val="0"/>
        <w:autoSpaceDE/>
        <w:autoSpaceDN/>
        <w:bidi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中标人</w:t>
      </w:r>
      <w:r>
        <w:rPr>
          <w:rFonts w:hint="eastAsia" w:ascii="仿宋" w:hAnsi="仿宋" w:eastAsia="仿宋" w:cs="仿宋"/>
          <w:color w:val="auto"/>
          <w:sz w:val="24"/>
          <w:highlight w:val="none"/>
          <w:lang w:eastAsia="zh-CN"/>
        </w:rPr>
        <w:t>应按</w:t>
      </w:r>
      <w:r>
        <w:rPr>
          <w:rFonts w:hint="eastAsia" w:ascii="仿宋" w:hAnsi="仿宋" w:eastAsia="仿宋" w:cs="仿宋"/>
          <w:color w:val="auto"/>
          <w:sz w:val="24"/>
          <w:highlight w:val="none"/>
          <w:lang w:val="en-US" w:eastAsia="zh-CN"/>
        </w:rPr>
        <w:t>下</w:t>
      </w:r>
      <w:r>
        <w:rPr>
          <w:rFonts w:hint="eastAsia" w:ascii="仿宋" w:hAnsi="仿宋" w:eastAsia="仿宋" w:cs="仿宋"/>
          <w:color w:val="auto"/>
          <w:sz w:val="24"/>
          <w:highlight w:val="none"/>
          <w:lang w:eastAsia="zh-CN"/>
        </w:rPr>
        <w:t>述规定时限完成咨询服务，遇特殊情况可按</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lang w:eastAsia="zh-CN"/>
        </w:rPr>
        <w:t>要求调整。</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693"/>
        <w:gridCol w:w="2492"/>
        <w:gridCol w:w="3920"/>
      </w:tblGrid>
      <w:tr w14:paraId="0750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5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C1783BD">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693"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F9AF465">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咨询业务类别</w:t>
            </w:r>
          </w:p>
        </w:tc>
        <w:tc>
          <w:tcPr>
            <w:tcW w:w="249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58CB46D7">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咨询业务规模</w:t>
            </w:r>
          </w:p>
        </w:tc>
        <w:tc>
          <w:tcPr>
            <w:tcW w:w="392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2F315B59">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完成时限</w:t>
            </w:r>
          </w:p>
        </w:tc>
      </w:tr>
      <w:tr w14:paraId="1D8F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3302D0D3">
            <w:pPr>
              <w:keepNext w:val="0"/>
              <w:keepLines w:val="0"/>
              <w:pageBreakBefore w:val="0"/>
              <w:kinsoku/>
              <w:overflowPunct/>
              <w:topLinePunct w:val="0"/>
              <w:autoSpaceDE/>
              <w:autoSpaceDN/>
              <w:bidi w:val="0"/>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693" w:type="dxa"/>
            <w:vMerge w:val="restart"/>
            <w:tcBorders>
              <w:top w:val="single" w:color="auto" w:sz="4" w:space="0"/>
              <w:left w:val="single" w:color="auto" w:sz="4" w:space="0"/>
              <w:bottom w:val="single" w:color="auto" w:sz="4" w:space="0"/>
              <w:right w:val="single" w:color="auto" w:sz="4" w:space="0"/>
            </w:tcBorders>
            <w:noWrap w:val="0"/>
            <w:vAlign w:val="center"/>
          </w:tcPr>
          <w:p w14:paraId="0F2E23B4">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结算审核</w:t>
            </w:r>
          </w:p>
        </w:tc>
        <w:tc>
          <w:tcPr>
            <w:tcW w:w="2492" w:type="dxa"/>
            <w:tcBorders>
              <w:top w:val="single" w:color="auto" w:sz="4" w:space="0"/>
              <w:left w:val="single" w:color="auto" w:sz="4" w:space="0"/>
              <w:bottom w:val="single" w:color="auto" w:sz="4" w:space="0"/>
              <w:right w:val="single" w:color="auto" w:sz="4" w:space="0"/>
            </w:tcBorders>
            <w:noWrap w:val="0"/>
            <w:vAlign w:val="center"/>
          </w:tcPr>
          <w:p w14:paraId="232C609C">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500万元内的</w:t>
            </w:r>
          </w:p>
        </w:tc>
        <w:tc>
          <w:tcPr>
            <w:tcW w:w="3920" w:type="dxa"/>
            <w:tcBorders>
              <w:top w:val="single" w:color="auto" w:sz="4" w:space="0"/>
              <w:left w:val="single" w:color="auto" w:sz="4" w:space="0"/>
              <w:bottom w:val="single" w:color="auto" w:sz="4" w:space="0"/>
              <w:right w:val="single" w:color="auto" w:sz="4" w:space="0"/>
            </w:tcBorders>
            <w:noWrap w:val="0"/>
            <w:vAlign w:val="center"/>
          </w:tcPr>
          <w:p w14:paraId="0DBEFDAA">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第一阶段完成时限为12个工作日，第二阶段完成时限为2个工作日</w:t>
            </w:r>
          </w:p>
        </w:tc>
      </w:tr>
      <w:tr w14:paraId="72B2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1AE9B739">
            <w:pPr>
              <w:keepNext w:val="0"/>
              <w:keepLines w:val="0"/>
              <w:pageBreakBefore w:val="0"/>
              <w:widowControl/>
              <w:kinsoku/>
              <w:overflowPunct/>
              <w:topLinePunct w:val="0"/>
              <w:autoSpaceDE/>
              <w:autoSpaceDN/>
              <w:bidi w:val="0"/>
              <w:spacing w:line="440" w:lineRule="exact"/>
              <w:jc w:val="left"/>
              <w:textAlignment w:val="auto"/>
              <w:rPr>
                <w:rFonts w:hint="eastAsia" w:ascii="仿宋" w:hAnsi="仿宋" w:eastAsia="仿宋" w:cs="仿宋"/>
                <w:color w:val="auto"/>
                <w:sz w:val="24"/>
                <w:highlight w:val="none"/>
              </w:rPr>
            </w:pPr>
          </w:p>
        </w:tc>
        <w:tc>
          <w:tcPr>
            <w:tcW w:w="1693" w:type="dxa"/>
            <w:vMerge w:val="continue"/>
            <w:tcBorders>
              <w:top w:val="single" w:color="auto" w:sz="4" w:space="0"/>
              <w:left w:val="single" w:color="auto" w:sz="4" w:space="0"/>
              <w:bottom w:val="single" w:color="auto" w:sz="4" w:space="0"/>
              <w:right w:val="single" w:color="auto" w:sz="4" w:space="0"/>
            </w:tcBorders>
            <w:noWrap w:val="0"/>
            <w:vAlign w:val="center"/>
          </w:tcPr>
          <w:p w14:paraId="6C33F8C5">
            <w:pPr>
              <w:keepNext w:val="0"/>
              <w:keepLines w:val="0"/>
              <w:pageBreakBefore w:val="0"/>
              <w:widowControl/>
              <w:kinsoku/>
              <w:overflowPunct/>
              <w:topLinePunct w:val="0"/>
              <w:autoSpaceDE/>
              <w:autoSpaceDN/>
              <w:bidi w:val="0"/>
              <w:spacing w:line="440" w:lineRule="exact"/>
              <w:jc w:val="left"/>
              <w:textAlignment w:val="auto"/>
              <w:rPr>
                <w:rFonts w:hint="eastAsia" w:ascii="仿宋" w:hAnsi="仿宋" w:eastAsia="仿宋" w:cs="仿宋"/>
                <w:color w:val="auto"/>
                <w:sz w:val="24"/>
                <w:highlight w:val="none"/>
              </w:rPr>
            </w:pPr>
          </w:p>
        </w:tc>
        <w:tc>
          <w:tcPr>
            <w:tcW w:w="2492" w:type="dxa"/>
            <w:tcBorders>
              <w:top w:val="single" w:color="auto" w:sz="4" w:space="0"/>
              <w:left w:val="single" w:color="auto" w:sz="4" w:space="0"/>
              <w:bottom w:val="single" w:color="auto" w:sz="4" w:space="0"/>
              <w:right w:val="single" w:color="auto" w:sz="4" w:space="0"/>
            </w:tcBorders>
            <w:noWrap w:val="0"/>
            <w:vAlign w:val="center"/>
          </w:tcPr>
          <w:p w14:paraId="0EFFEE66">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500~5000万元的</w:t>
            </w:r>
          </w:p>
        </w:tc>
        <w:tc>
          <w:tcPr>
            <w:tcW w:w="3920" w:type="dxa"/>
            <w:tcBorders>
              <w:top w:val="single" w:color="auto" w:sz="4" w:space="0"/>
              <w:left w:val="single" w:color="auto" w:sz="4" w:space="0"/>
              <w:bottom w:val="single" w:color="auto" w:sz="4" w:space="0"/>
              <w:right w:val="single" w:color="auto" w:sz="4" w:space="0"/>
            </w:tcBorders>
            <w:noWrap w:val="0"/>
            <w:vAlign w:val="center"/>
          </w:tcPr>
          <w:p w14:paraId="2165162C">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第一阶段完成时限为15个工作日，第二阶段完成时限为3个工作日</w:t>
            </w:r>
          </w:p>
        </w:tc>
      </w:tr>
      <w:tr w14:paraId="02E6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0C4C841A">
            <w:pPr>
              <w:keepNext w:val="0"/>
              <w:keepLines w:val="0"/>
              <w:pageBreakBefore w:val="0"/>
              <w:widowControl/>
              <w:kinsoku/>
              <w:overflowPunct/>
              <w:topLinePunct w:val="0"/>
              <w:autoSpaceDE/>
              <w:autoSpaceDN/>
              <w:bidi w:val="0"/>
              <w:spacing w:line="440" w:lineRule="exact"/>
              <w:jc w:val="left"/>
              <w:textAlignment w:val="auto"/>
              <w:rPr>
                <w:rFonts w:hint="eastAsia" w:ascii="仿宋" w:hAnsi="仿宋" w:eastAsia="仿宋" w:cs="仿宋"/>
                <w:color w:val="auto"/>
                <w:sz w:val="24"/>
                <w:highlight w:val="none"/>
              </w:rPr>
            </w:pPr>
          </w:p>
        </w:tc>
        <w:tc>
          <w:tcPr>
            <w:tcW w:w="1693" w:type="dxa"/>
            <w:vMerge w:val="continue"/>
            <w:tcBorders>
              <w:top w:val="single" w:color="auto" w:sz="4" w:space="0"/>
              <w:left w:val="single" w:color="auto" w:sz="4" w:space="0"/>
              <w:bottom w:val="single" w:color="auto" w:sz="4" w:space="0"/>
              <w:right w:val="single" w:color="auto" w:sz="4" w:space="0"/>
            </w:tcBorders>
            <w:noWrap w:val="0"/>
            <w:vAlign w:val="center"/>
          </w:tcPr>
          <w:p w14:paraId="10A1841F">
            <w:pPr>
              <w:keepNext w:val="0"/>
              <w:keepLines w:val="0"/>
              <w:pageBreakBefore w:val="0"/>
              <w:widowControl/>
              <w:kinsoku/>
              <w:overflowPunct/>
              <w:topLinePunct w:val="0"/>
              <w:autoSpaceDE/>
              <w:autoSpaceDN/>
              <w:bidi w:val="0"/>
              <w:spacing w:line="440" w:lineRule="exact"/>
              <w:jc w:val="left"/>
              <w:textAlignment w:val="auto"/>
              <w:rPr>
                <w:rFonts w:hint="eastAsia" w:ascii="仿宋" w:hAnsi="仿宋" w:eastAsia="仿宋" w:cs="仿宋"/>
                <w:color w:val="auto"/>
                <w:sz w:val="24"/>
                <w:highlight w:val="none"/>
              </w:rPr>
            </w:pPr>
          </w:p>
        </w:tc>
        <w:tc>
          <w:tcPr>
            <w:tcW w:w="2492" w:type="dxa"/>
            <w:tcBorders>
              <w:top w:val="single" w:color="auto" w:sz="4" w:space="0"/>
              <w:left w:val="single" w:color="auto" w:sz="4" w:space="0"/>
              <w:bottom w:val="single" w:color="auto" w:sz="4" w:space="0"/>
              <w:right w:val="single" w:color="auto" w:sz="4" w:space="0"/>
            </w:tcBorders>
            <w:noWrap w:val="0"/>
            <w:vAlign w:val="center"/>
          </w:tcPr>
          <w:p w14:paraId="5A710AB2">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5000~10000万元的</w:t>
            </w:r>
          </w:p>
        </w:tc>
        <w:tc>
          <w:tcPr>
            <w:tcW w:w="3920" w:type="dxa"/>
            <w:tcBorders>
              <w:top w:val="single" w:color="auto" w:sz="4" w:space="0"/>
              <w:left w:val="single" w:color="auto" w:sz="4" w:space="0"/>
              <w:bottom w:val="single" w:color="auto" w:sz="4" w:space="0"/>
              <w:right w:val="single" w:color="auto" w:sz="4" w:space="0"/>
            </w:tcBorders>
            <w:noWrap w:val="0"/>
            <w:vAlign w:val="center"/>
          </w:tcPr>
          <w:p w14:paraId="7A3D0F63">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第一阶段完成时限为20个工作日，第二阶段完成时限为3个工作日</w:t>
            </w:r>
          </w:p>
        </w:tc>
      </w:tr>
      <w:tr w14:paraId="7E90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0B6BBA8C">
            <w:pPr>
              <w:keepNext w:val="0"/>
              <w:keepLines w:val="0"/>
              <w:pageBreakBefore w:val="0"/>
              <w:widowControl/>
              <w:kinsoku/>
              <w:overflowPunct/>
              <w:topLinePunct w:val="0"/>
              <w:autoSpaceDE/>
              <w:autoSpaceDN/>
              <w:bidi w:val="0"/>
              <w:spacing w:line="440" w:lineRule="exact"/>
              <w:jc w:val="left"/>
              <w:textAlignment w:val="auto"/>
              <w:rPr>
                <w:rFonts w:hint="eastAsia" w:ascii="仿宋" w:hAnsi="仿宋" w:eastAsia="仿宋" w:cs="仿宋"/>
                <w:color w:val="auto"/>
                <w:sz w:val="24"/>
                <w:highlight w:val="none"/>
              </w:rPr>
            </w:pPr>
          </w:p>
        </w:tc>
        <w:tc>
          <w:tcPr>
            <w:tcW w:w="1693" w:type="dxa"/>
            <w:vMerge w:val="continue"/>
            <w:tcBorders>
              <w:top w:val="single" w:color="auto" w:sz="4" w:space="0"/>
              <w:left w:val="single" w:color="auto" w:sz="4" w:space="0"/>
              <w:bottom w:val="single" w:color="auto" w:sz="4" w:space="0"/>
              <w:right w:val="single" w:color="auto" w:sz="4" w:space="0"/>
            </w:tcBorders>
            <w:noWrap w:val="0"/>
            <w:vAlign w:val="center"/>
          </w:tcPr>
          <w:p w14:paraId="665CA71B">
            <w:pPr>
              <w:keepNext w:val="0"/>
              <w:keepLines w:val="0"/>
              <w:pageBreakBefore w:val="0"/>
              <w:widowControl/>
              <w:kinsoku/>
              <w:overflowPunct/>
              <w:topLinePunct w:val="0"/>
              <w:autoSpaceDE/>
              <w:autoSpaceDN/>
              <w:bidi w:val="0"/>
              <w:spacing w:line="440" w:lineRule="exact"/>
              <w:jc w:val="left"/>
              <w:textAlignment w:val="auto"/>
              <w:rPr>
                <w:rFonts w:hint="eastAsia" w:ascii="仿宋" w:hAnsi="仿宋" w:eastAsia="仿宋" w:cs="仿宋"/>
                <w:color w:val="auto"/>
                <w:sz w:val="24"/>
                <w:highlight w:val="none"/>
              </w:rPr>
            </w:pPr>
          </w:p>
        </w:tc>
        <w:tc>
          <w:tcPr>
            <w:tcW w:w="2492" w:type="dxa"/>
            <w:tcBorders>
              <w:top w:val="single" w:color="auto" w:sz="4" w:space="0"/>
              <w:left w:val="single" w:color="auto" w:sz="4" w:space="0"/>
              <w:bottom w:val="single" w:color="auto" w:sz="4" w:space="0"/>
              <w:right w:val="single" w:color="auto" w:sz="4" w:space="0"/>
            </w:tcBorders>
            <w:noWrap w:val="0"/>
            <w:vAlign w:val="center"/>
          </w:tcPr>
          <w:p w14:paraId="006A144D">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1亿~3亿元的</w:t>
            </w:r>
          </w:p>
        </w:tc>
        <w:tc>
          <w:tcPr>
            <w:tcW w:w="3920" w:type="dxa"/>
            <w:tcBorders>
              <w:top w:val="single" w:color="auto" w:sz="4" w:space="0"/>
              <w:left w:val="single" w:color="auto" w:sz="4" w:space="0"/>
              <w:bottom w:val="single" w:color="auto" w:sz="4" w:space="0"/>
              <w:right w:val="single" w:color="auto" w:sz="4" w:space="0"/>
            </w:tcBorders>
            <w:noWrap w:val="0"/>
            <w:vAlign w:val="center"/>
          </w:tcPr>
          <w:p w14:paraId="109BAA92">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第一阶段完成时限为25个工作日，第二阶段完成时限为4个工作日</w:t>
            </w:r>
          </w:p>
        </w:tc>
      </w:tr>
      <w:tr w14:paraId="57BE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D45D33F">
            <w:pPr>
              <w:keepNext w:val="0"/>
              <w:keepLines w:val="0"/>
              <w:pageBreakBefore w:val="0"/>
              <w:kinsoku/>
              <w:overflowPunct/>
              <w:topLinePunct w:val="0"/>
              <w:autoSpaceDE/>
              <w:autoSpaceDN/>
              <w:bidi w:val="0"/>
              <w:spacing w:line="440" w:lineRule="exact"/>
              <w:jc w:val="center"/>
              <w:textAlignment w:val="auto"/>
              <w:rPr>
                <w:rFonts w:hint="eastAsia" w:ascii="仿宋" w:hAnsi="仿宋" w:eastAsia="仿宋" w:cs="仿宋"/>
                <w:color w:val="auto"/>
                <w:sz w:val="24"/>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488A1E82">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p>
        </w:tc>
        <w:tc>
          <w:tcPr>
            <w:tcW w:w="2492" w:type="dxa"/>
            <w:tcBorders>
              <w:top w:val="single" w:color="auto" w:sz="4" w:space="0"/>
              <w:left w:val="single" w:color="auto" w:sz="4" w:space="0"/>
              <w:bottom w:val="single" w:color="auto" w:sz="4" w:space="0"/>
              <w:right w:val="single" w:color="auto" w:sz="4" w:space="0"/>
            </w:tcBorders>
            <w:noWrap w:val="0"/>
            <w:vAlign w:val="center"/>
          </w:tcPr>
          <w:p w14:paraId="0C119729">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3亿元以上的</w:t>
            </w:r>
          </w:p>
        </w:tc>
        <w:tc>
          <w:tcPr>
            <w:tcW w:w="3920" w:type="dxa"/>
            <w:tcBorders>
              <w:top w:val="single" w:color="auto" w:sz="4" w:space="0"/>
              <w:left w:val="single" w:color="auto" w:sz="4" w:space="0"/>
              <w:bottom w:val="single" w:color="auto" w:sz="4" w:space="0"/>
              <w:right w:val="single" w:color="auto" w:sz="4" w:space="0"/>
            </w:tcBorders>
            <w:noWrap w:val="0"/>
            <w:vAlign w:val="center"/>
          </w:tcPr>
          <w:p w14:paraId="243CC078">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第一阶段完成时限为28个工作日，第二阶段完成时限为5个工作日</w:t>
            </w:r>
          </w:p>
        </w:tc>
      </w:tr>
      <w:tr w14:paraId="0348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39C32271">
            <w:pPr>
              <w:keepNext w:val="0"/>
              <w:keepLines w:val="0"/>
              <w:pageBreakBefore w:val="0"/>
              <w:kinsoku/>
              <w:overflowPunct/>
              <w:topLinePunct w:val="0"/>
              <w:autoSpaceDE/>
              <w:autoSpaceDN/>
              <w:bidi w:val="0"/>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1AC1D9C3">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其它零星工作</w:t>
            </w:r>
          </w:p>
        </w:tc>
        <w:tc>
          <w:tcPr>
            <w:tcW w:w="2492" w:type="dxa"/>
            <w:tcBorders>
              <w:top w:val="single" w:color="auto" w:sz="4" w:space="0"/>
              <w:left w:val="single" w:color="auto" w:sz="4" w:space="0"/>
              <w:bottom w:val="single" w:color="auto" w:sz="4" w:space="0"/>
              <w:right w:val="single" w:color="auto" w:sz="4" w:space="0"/>
            </w:tcBorders>
            <w:noWrap w:val="0"/>
            <w:vAlign w:val="center"/>
          </w:tcPr>
          <w:p w14:paraId="55E249BC">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根据工程委托单的约定</w:t>
            </w:r>
          </w:p>
        </w:tc>
        <w:tc>
          <w:tcPr>
            <w:tcW w:w="3920" w:type="dxa"/>
            <w:tcBorders>
              <w:top w:val="single" w:color="auto" w:sz="4" w:space="0"/>
              <w:left w:val="single" w:color="auto" w:sz="4" w:space="0"/>
              <w:bottom w:val="single" w:color="auto" w:sz="4" w:space="0"/>
              <w:right w:val="single" w:color="auto" w:sz="4" w:space="0"/>
            </w:tcBorders>
            <w:noWrap w:val="0"/>
            <w:vAlign w:val="center"/>
          </w:tcPr>
          <w:p w14:paraId="2FD04E3F">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p>
        </w:tc>
      </w:tr>
      <w:tr w14:paraId="67A3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55" w:type="dxa"/>
            <w:gridSpan w:val="4"/>
            <w:tcBorders>
              <w:top w:val="single" w:color="auto" w:sz="4" w:space="0"/>
              <w:left w:val="single" w:color="auto" w:sz="4" w:space="0"/>
              <w:bottom w:val="single" w:color="auto" w:sz="4" w:space="0"/>
              <w:right w:val="single" w:color="auto" w:sz="4" w:space="0"/>
            </w:tcBorders>
            <w:noWrap w:val="0"/>
            <w:vAlign w:val="center"/>
          </w:tcPr>
          <w:p w14:paraId="54184EF2">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p>
        </w:tc>
      </w:tr>
      <w:tr w14:paraId="2856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55" w:type="dxa"/>
            <w:gridSpan w:val="4"/>
            <w:tcBorders>
              <w:top w:val="single" w:color="auto" w:sz="4" w:space="0"/>
              <w:left w:val="single" w:color="auto" w:sz="4" w:space="0"/>
              <w:bottom w:val="single" w:color="auto" w:sz="4" w:space="0"/>
              <w:right w:val="single" w:color="auto" w:sz="4" w:space="0"/>
            </w:tcBorders>
            <w:noWrap w:val="0"/>
            <w:vAlign w:val="center"/>
          </w:tcPr>
          <w:p w14:paraId="7503D758">
            <w:pPr>
              <w:keepNext w:val="0"/>
              <w:keepLines w:val="0"/>
              <w:pageBreakBefore w:val="0"/>
              <w:kinsoku/>
              <w:overflowPunct/>
              <w:topLinePunct w:val="0"/>
              <w:autoSpaceDE/>
              <w:autoSpaceDN/>
              <w:bidi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注：1、上述每宗咨询业务经</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审核后要求进行修正的，修正时间不得超过1-3个日历天，具体时间要求根据</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通知为准。</w:t>
            </w:r>
          </w:p>
          <w:p w14:paraId="2A9A0059">
            <w:pPr>
              <w:keepNext w:val="0"/>
              <w:keepLines w:val="0"/>
              <w:pageBreakBefore w:val="0"/>
              <w:widowControl w:val="0"/>
              <w:kinsoku/>
              <w:overflowPunct/>
              <w:topLinePunct w:val="0"/>
              <w:autoSpaceDE/>
              <w:autoSpaceDN/>
              <w:bidi w:val="0"/>
              <w:spacing w:line="440" w:lineRule="exact"/>
              <w:ind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2、第一阶段为中标人收到完整送审资料开始，第二阶段从收到“会审确认书”通知开始。所有计算时间从中标人收到完整资料开始计。</w:t>
            </w:r>
          </w:p>
        </w:tc>
      </w:tr>
    </w:tbl>
    <w:p w14:paraId="5C2AC597">
      <w:pPr>
        <w:keepNext w:val="0"/>
        <w:keepLines w:val="0"/>
        <w:pageBreakBefore w:val="0"/>
        <w:numPr>
          <w:ilvl w:val="0"/>
          <w:numId w:val="4"/>
        </w:numPr>
        <w:tabs>
          <w:tab w:val="left" w:pos="0"/>
        </w:tabs>
        <w:kinsoku/>
        <w:overflowPunct/>
        <w:topLinePunct w:val="0"/>
        <w:autoSpaceDE/>
        <w:autoSpaceDN/>
        <w:bidi w:val="0"/>
        <w:snapToGrid w:val="0"/>
        <w:spacing w:line="440" w:lineRule="exact"/>
        <w:ind w:left="0" w:firstLine="424" w:firstLineChars="177"/>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须提供常设全天候24小时热线服务和长期的免费技术支持。对</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的服务通知（包括接件及领资料），</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须在接报后1小时内响应；按</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的工作时间计算2小时内到达现场（每天工作时间为：上午8：30—12：00，下午14：00—17：30，具体工作时间根据</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的实际情况调整）。</w:t>
      </w:r>
    </w:p>
    <w:p w14:paraId="3E9BE69A">
      <w:pPr>
        <w:keepNext w:val="0"/>
        <w:keepLines w:val="0"/>
        <w:pageBreakBefore w:val="0"/>
        <w:numPr>
          <w:ilvl w:val="0"/>
          <w:numId w:val="4"/>
        </w:numPr>
        <w:tabs>
          <w:tab w:val="left" w:pos="0"/>
        </w:tabs>
        <w:kinsoku/>
        <w:overflowPunct/>
        <w:topLinePunct w:val="0"/>
        <w:autoSpaceDE/>
        <w:autoSpaceDN/>
        <w:bidi w:val="0"/>
        <w:snapToGrid w:val="0"/>
        <w:spacing w:line="440" w:lineRule="exact"/>
        <w:ind w:left="0" w:firstLine="424" w:firstLineChars="177"/>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通知对数或要求提供其他现场咨询服务，</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须在1个工作日内安排完成；</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在每次参加</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组织的会审对数或现场咨询时，须于约定时间10分钟前到达指定地点并向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进行审核情况交底。</w:t>
      </w:r>
    </w:p>
    <w:p w14:paraId="211DBF21">
      <w:pPr>
        <w:keepNext w:val="0"/>
        <w:keepLines w:val="0"/>
        <w:pageBreakBefore w:val="0"/>
        <w:numPr>
          <w:ilvl w:val="0"/>
          <w:numId w:val="4"/>
        </w:numPr>
        <w:tabs>
          <w:tab w:val="left" w:pos="0"/>
        </w:tabs>
        <w:kinsoku/>
        <w:overflowPunct/>
        <w:topLinePunct w:val="0"/>
        <w:autoSpaceDE/>
        <w:autoSpaceDN/>
        <w:bidi w:val="0"/>
        <w:snapToGrid w:val="0"/>
        <w:spacing w:line="440" w:lineRule="exact"/>
        <w:ind w:left="0" w:firstLine="424" w:firstLineChars="177"/>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的急件一旦接受委托，整个造价咨询过程的时间控制须严格按照</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的要求进行。</w:t>
      </w:r>
    </w:p>
    <w:p w14:paraId="0ECBACF4">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的其他预约服务应按其要求准时到达现场。</w:t>
      </w:r>
    </w:p>
    <w:p w14:paraId="46555267">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b/>
          <w:bCs/>
          <w:color w:val="auto"/>
          <w:sz w:val="24"/>
          <w:szCs w:val="24"/>
          <w:highlight w:val="none"/>
          <w:lang w:val="en-US"/>
        </w:rPr>
      </w:pPr>
      <w:r>
        <w:rPr>
          <w:rFonts w:hint="eastAsia" w:ascii="仿宋" w:hAnsi="仿宋" w:eastAsia="仿宋" w:cs="仿宋"/>
          <w:b/>
          <w:bCs/>
          <w:color w:val="auto"/>
          <w:sz w:val="24"/>
          <w:szCs w:val="24"/>
          <w:highlight w:val="none"/>
        </w:rPr>
        <w:t>★</w:t>
      </w:r>
      <w:r>
        <w:rPr>
          <w:rFonts w:hint="eastAsia" w:ascii="仿宋" w:hAnsi="仿宋" w:eastAsia="仿宋" w:cs="仿宋"/>
          <w:b/>
          <w:color w:val="auto"/>
          <w:kern w:val="2"/>
          <w:sz w:val="24"/>
          <w:szCs w:val="24"/>
          <w:highlight w:val="none"/>
          <w:lang w:val="en-US" w:eastAsia="zh-CN" w:bidi="ar-SA"/>
        </w:rPr>
        <w:t>（三）付款方式</w:t>
      </w:r>
    </w:p>
    <w:p w14:paraId="15DFED5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3.1</w:t>
      </w:r>
      <w:r>
        <w:rPr>
          <w:rFonts w:hint="eastAsia" w:ascii="仿宋" w:hAnsi="仿宋" w:eastAsia="仿宋" w:cs="仿宋"/>
          <w:color w:val="auto"/>
          <w:sz w:val="24"/>
          <w:highlight w:val="none"/>
        </w:rPr>
        <w:t>支付酬金</w:t>
      </w:r>
    </w:p>
    <w:tbl>
      <w:tblPr>
        <w:tblStyle w:val="41"/>
        <w:tblW w:w="0" w:type="auto"/>
        <w:jc w:val="center"/>
        <w:tblLayout w:type="fixed"/>
        <w:tblCellMar>
          <w:top w:w="0" w:type="dxa"/>
          <w:left w:w="108" w:type="dxa"/>
          <w:bottom w:w="0" w:type="dxa"/>
          <w:right w:w="108" w:type="dxa"/>
        </w:tblCellMar>
      </w:tblPr>
      <w:tblGrid>
        <w:gridCol w:w="9000"/>
      </w:tblGrid>
      <w:tr w14:paraId="6B5B3360">
        <w:tblPrEx>
          <w:tblCellMar>
            <w:top w:w="0" w:type="dxa"/>
            <w:left w:w="108" w:type="dxa"/>
            <w:bottom w:w="0" w:type="dxa"/>
            <w:right w:w="108" w:type="dxa"/>
          </w:tblCellMar>
        </w:tblPrEx>
        <w:trPr>
          <w:trHeight w:val="423" w:hRule="atLeast"/>
          <w:jc w:val="center"/>
        </w:trPr>
        <w:tc>
          <w:tcPr>
            <w:tcW w:w="9000" w:type="dxa"/>
            <w:tcBorders>
              <w:top w:val="single" w:color="auto" w:sz="4" w:space="0"/>
              <w:left w:val="single" w:color="auto" w:sz="4" w:space="0"/>
              <w:bottom w:val="single" w:color="auto" w:sz="4" w:space="0"/>
              <w:right w:val="single" w:color="auto" w:sz="4" w:space="0"/>
            </w:tcBorders>
            <w:noWrap w:val="0"/>
            <w:vAlign w:val="center"/>
          </w:tcPr>
          <w:p w14:paraId="56B43571">
            <w:pPr>
              <w:widowControl/>
              <w:wordWrap w:val="0"/>
              <w:snapToGrid w:val="0"/>
              <w:spacing w:line="440" w:lineRule="atLeast"/>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 xml:space="preserve">    （1）</w:t>
            </w:r>
            <w:r>
              <w:rPr>
                <w:rFonts w:hint="eastAsia" w:ascii="仿宋" w:hAnsi="仿宋" w:eastAsia="仿宋" w:cs="仿宋"/>
                <w:b/>
                <w:bCs w:val="0"/>
                <w:color w:val="auto"/>
                <w:kern w:val="0"/>
                <w:sz w:val="24"/>
                <w:highlight w:val="none"/>
                <w:lang w:val="en-US" w:eastAsia="zh-CN" w:bidi="ar"/>
              </w:rPr>
              <w:t>预付款</w:t>
            </w:r>
            <w:r>
              <w:rPr>
                <w:rFonts w:hint="eastAsia" w:ascii="仿宋" w:hAnsi="仿宋" w:eastAsia="仿宋" w:cs="仿宋"/>
                <w:bCs/>
                <w:color w:val="auto"/>
                <w:kern w:val="0"/>
                <w:sz w:val="24"/>
                <w:highlight w:val="none"/>
                <w:lang w:val="en-US" w:eastAsia="zh-CN" w:bidi="ar"/>
              </w:rPr>
              <w:t>：</w:t>
            </w:r>
            <w:r>
              <w:rPr>
                <w:rFonts w:hint="eastAsia" w:ascii="仿宋" w:hAnsi="仿宋" w:eastAsia="仿宋" w:cs="仿宋"/>
                <w:bCs/>
                <w:color w:val="auto"/>
                <w:kern w:val="0"/>
                <w:sz w:val="24"/>
                <w:highlight w:val="none"/>
                <w:lang w:bidi="ar"/>
              </w:rPr>
              <w:t>签订合同</w:t>
            </w:r>
            <w:r>
              <w:rPr>
                <w:rFonts w:hint="eastAsia" w:ascii="仿宋" w:hAnsi="仿宋" w:eastAsia="仿宋" w:cs="仿宋"/>
                <w:bCs/>
                <w:color w:val="auto"/>
                <w:kern w:val="0"/>
                <w:sz w:val="24"/>
                <w:highlight w:val="none"/>
                <w:lang w:val="en-US" w:eastAsia="zh-CN" w:bidi="ar"/>
              </w:rPr>
              <w:t>且中标人提交履约担保</w:t>
            </w:r>
            <w:r>
              <w:rPr>
                <w:rFonts w:hint="eastAsia" w:ascii="仿宋" w:hAnsi="仿宋" w:eastAsia="仿宋" w:cs="仿宋"/>
                <w:bCs/>
                <w:color w:val="auto"/>
                <w:kern w:val="0"/>
                <w:sz w:val="24"/>
                <w:highlight w:val="none"/>
                <w:lang w:bidi="ar"/>
              </w:rPr>
              <w:t>后，</w:t>
            </w:r>
            <w:r>
              <w:rPr>
                <w:rFonts w:hint="eastAsia" w:ascii="仿宋" w:hAnsi="仿宋" w:eastAsia="仿宋" w:cs="仿宋"/>
                <w:bCs/>
                <w:color w:val="auto"/>
                <w:kern w:val="0"/>
                <w:sz w:val="24"/>
                <w:highlight w:val="none"/>
                <w:lang w:eastAsia="zh-CN" w:bidi="ar"/>
              </w:rPr>
              <w:t>中标人</w:t>
            </w:r>
            <w:r>
              <w:rPr>
                <w:rFonts w:hint="eastAsia" w:ascii="仿宋" w:hAnsi="仿宋" w:eastAsia="仿宋" w:cs="仿宋"/>
                <w:bCs/>
                <w:color w:val="auto"/>
                <w:kern w:val="0"/>
                <w:sz w:val="24"/>
                <w:highlight w:val="none"/>
                <w:lang w:bidi="ar"/>
              </w:rPr>
              <w:t>向</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提交请款报告和正式发票之日起</w:t>
            </w:r>
            <w:r>
              <w:rPr>
                <w:rFonts w:hint="eastAsia" w:ascii="仿宋" w:hAnsi="仿宋" w:eastAsia="仿宋" w:cs="仿宋"/>
                <w:bCs/>
                <w:color w:val="auto"/>
                <w:kern w:val="0"/>
                <w:sz w:val="24"/>
                <w:highlight w:val="none"/>
                <w:lang w:val="en-US" w:eastAsia="zh-CN" w:bidi="ar"/>
              </w:rPr>
              <w:t>15</w:t>
            </w:r>
            <w:r>
              <w:rPr>
                <w:rFonts w:hint="eastAsia" w:ascii="仿宋" w:hAnsi="仿宋" w:eastAsia="仿宋" w:cs="仿宋"/>
                <w:bCs/>
                <w:color w:val="auto"/>
                <w:kern w:val="0"/>
                <w:sz w:val="24"/>
                <w:highlight w:val="none"/>
                <w:lang w:bidi="ar"/>
              </w:rPr>
              <w:t>天内，支付工程结算审核咨询服务费签约合同价的10%；</w:t>
            </w:r>
          </w:p>
          <w:p w14:paraId="7D24C2C9">
            <w:pPr>
              <w:widowControl/>
              <w:wordWrap w:val="0"/>
              <w:snapToGrid w:val="0"/>
              <w:spacing w:line="440" w:lineRule="atLeast"/>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 xml:space="preserve">    （2）</w:t>
            </w:r>
            <w:r>
              <w:rPr>
                <w:rFonts w:hint="eastAsia" w:ascii="仿宋" w:hAnsi="仿宋" w:eastAsia="仿宋" w:cs="仿宋"/>
                <w:b/>
                <w:bCs w:val="0"/>
                <w:color w:val="auto"/>
                <w:kern w:val="0"/>
                <w:sz w:val="24"/>
                <w:highlight w:val="none"/>
                <w:lang w:val="en-US" w:eastAsia="zh-CN" w:bidi="ar"/>
              </w:rPr>
              <w:t>进度款</w:t>
            </w:r>
            <w:r>
              <w:rPr>
                <w:rFonts w:hint="eastAsia" w:ascii="仿宋" w:hAnsi="仿宋" w:eastAsia="仿宋" w:cs="仿宋"/>
                <w:bCs/>
                <w:color w:val="auto"/>
                <w:kern w:val="0"/>
                <w:sz w:val="24"/>
                <w:highlight w:val="none"/>
                <w:lang w:val="en-US" w:eastAsia="zh-CN" w:bidi="ar"/>
              </w:rPr>
              <w:t>：</w:t>
            </w:r>
            <w:r>
              <w:rPr>
                <w:rFonts w:hint="eastAsia" w:ascii="仿宋" w:hAnsi="仿宋" w:eastAsia="仿宋" w:cs="仿宋"/>
                <w:bCs/>
                <w:color w:val="auto"/>
                <w:kern w:val="0"/>
                <w:sz w:val="24"/>
                <w:highlight w:val="none"/>
                <w:lang w:bidi="ar"/>
              </w:rPr>
              <w:t>完成本</w:t>
            </w:r>
            <w:r>
              <w:rPr>
                <w:rFonts w:hint="eastAsia" w:ascii="仿宋" w:hAnsi="仿宋" w:eastAsia="仿宋" w:cs="仿宋"/>
                <w:bCs/>
                <w:color w:val="auto"/>
                <w:kern w:val="0"/>
                <w:sz w:val="24"/>
                <w:highlight w:val="none"/>
                <w:lang w:val="en-US" w:eastAsia="zh-CN" w:bidi="ar"/>
              </w:rPr>
              <w:t>项目中</w:t>
            </w:r>
            <w:r>
              <w:rPr>
                <w:rFonts w:hint="eastAsia" w:ascii="仿宋" w:hAnsi="仿宋" w:eastAsia="仿宋" w:cs="仿宋"/>
                <w:bCs/>
                <w:color w:val="auto"/>
                <w:kern w:val="0"/>
                <w:sz w:val="24"/>
                <w:highlight w:val="none"/>
                <w:lang w:bidi="ar"/>
              </w:rPr>
              <w:t>每一</w:t>
            </w:r>
            <w:r>
              <w:rPr>
                <w:rFonts w:hint="eastAsia" w:ascii="仿宋" w:hAnsi="仿宋" w:eastAsia="仿宋" w:cs="仿宋"/>
                <w:bCs/>
                <w:color w:val="auto"/>
                <w:kern w:val="0"/>
                <w:sz w:val="24"/>
                <w:highlight w:val="none"/>
                <w:lang w:val="en-US" w:eastAsia="zh-CN" w:bidi="ar"/>
              </w:rPr>
              <w:t>送审项目</w:t>
            </w:r>
            <w:r>
              <w:rPr>
                <w:rFonts w:hint="eastAsia" w:ascii="仿宋" w:hAnsi="仿宋" w:eastAsia="仿宋" w:cs="仿宋"/>
                <w:bCs/>
                <w:color w:val="auto"/>
                <w:kern w:val="0"/>
                <w:sz w:val="24"/>
                <w:highlight w:val="none"/>
                <w:lang w:bidi="ar"/>
              </w:rPr>
              <w:t>结算审核</w:t>
            </w:r>
            <w:r>
              <w:rPr>
                <w:rFonts w:hint="eastAsia" w:ascii="仿宋" w:hAnsi="仿宋" w:eastAsia="仿宋" w:cs="仿宋"/>
                <w:bCs/>
                <w:color w:val="auto"/>
                <w:kern w:val="0"/>
                <w:sz w:val="24"/>
                <w:highlight w:val="none"/>
                <w:lang w:val="en-US" w:eastAsia="zh-CN" w:bidi="ar"/>
              </w:rPr>
              <w:t>后</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val="en-US" w:eastAsia="zh-CN" w:bidi="ar"/>
              </w:rPr>
              <w:t>若为双审项目则为结算复审审核定案后</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bidi="ar"/>
              </w:rPr>
              <w:t>，</w:t>
            </w:r>
            <w:r>
              <w:rPr>
                <w:rFonts w:hint="eastAsia" w:ascii="仿宋" w:hAnsi="仿宋" w:eastAsia="仿宋" w:cs="仿宋"/>
                <w:bCs/>
                <w:color w:val="auto"/>
                <w:kern w:val="0"/>
                <w:sz w:val="24"/>
                <w:highlight w:val="none"/>
                <w:lang w:eastAsia="zh-CN" w:bidi="ar"/>
              </w:rPr>
              <w:t>中标人</w:t>
            </w:r>
            <w:r>
              <w:rPr>
                <w:rFonts w:hint="eastAsia" w:ascii="仿宋" w:hAnsi="仿宋" w:eastAsia="仿宋" w:cs="仿宋"/>
                <w:bCs/>
                <w:color w:val="auto"/>
                <w:kern w:val="0"/>
                <w:sz w:val="24"/>
                <w:highlight w:val="none"/>
                <w:lang w:bidi="ar"/>
              </w:rPr>
              <w:t>向</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提交请款报告和正式发票之日起</w:t>
            </w:r>
            <w:r>
              <w:rPr>
                <w:rFonts w:hint="eastAsia" w:ascii="仿宋" w:hAnsi="仿宋" w:eastAsia="仿宋" w:cs="仿宋"/>
                <w:bCs/>
                <w:color w:val="auto"/>
                <w:kern w:val="0"/>
                <w:sz w:val="24"/>
                <w:highlight w:val="none"/>
                <w:lang w:val="en-US" w:eastAsia="zh-CN" w:bidi="ar"/>
              </w:rPr>
              <w:t>15</w:t>
            </w:r>
            <w:r>
              <w:rPr>
                <w:rFonts w:hint="eastAsia" w:ascii="仿宋" w:hAnsi="仿宋" w:eastAsia="仿宋" w:cs="仿宋"/>
                <w:bCs/>
                <w:color w:val="auto"/>
                <w:kern w:val="0"/>
                <w:sz w:val="24"/>
                <w:highlight w:val="none"/>
                <w:lang w:bidi="ar"/>
              </w:rPr>
              <w:t>天内，</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向</w:t>
            </w:r>
            <w:r>
              <w:rPr>
                <w:rFonts w:hint="eastAsia" w:ascii="仿宋" w:hAnsi="仿宋" w:eastAsia="仿宋" w:cs="仿宋"/>
                <w:bCs/>
                <w:color w:val="auto"/>
                <w:kern w:val="0"/>
                <w:sz w:val="24"/>
                <w:highlight w:val="none"/>
                <w:lang w:eastAsia="zh-CN" w:bidi="ar"/>
              </w:rPr>
              <w:t>中标人</w:t>
            </w:r>
            <w:r>
              <w:rPr>
                <w:rFonts w:hint="eastAsia" w:ascii="仿宋" w:hAnsi="仿宋" w:eastAsia="仿宋" w:cs="仿宋"/>
                <w:bCs/>
                <w:color w:val="auto"/>
                <w:kern w:val="0"/>
                <w:sz w:val="24"/>
                <w:highlight w:val="none"/>
                <w:lang w:bidi="ar"/>
              </w:rPr>
              <w:t>支付</w:t>
            </w:r>
            <w:r>
              <w:rPr>
                <w:rFonts w:hint="eastAsia" w:ascii="仿宋" w:hAnsi="仿宋" w:eastAsia="仿宋" w:cs="仿宋"/>
                <w:bCs/>
                <w:color w:val="auto"/>
                <w:kern w:val="0"/>
                <w:sz w:val="24"/>
                <w:highlight w:val="none"/>
                <w:lang w:val="en-US" w:eastAsia="zh-CN" w:bidi="ar"/>
              </w:rPr>
              <w:t>至</w:t>
            </w:r>
            <w:r>
              <w:rPr>
                <w:rFonts w:hint="eastAsia" w:ascii="仿宋" w:hAnsi="仿宋" w:eastAsia="仿宋" w:cs="仿宋"/>
                <w:bCs/>
                <w:color w:val="auto"/>
                <w:kern w:val="0"/>
                <w:sz w:val="24"/>
                <w:highlight w:val="none"/>
                <w:lang w:bidi="ar"/>
              </w:rPr>
              <w:t>本</w:t>
            </w:r>
            <w:r>
              <w:rPr>
                <w:rFonts w:hint="eastAsia" w:ascii="仿宋" w:hAnsi="仿宋" w:eastAsia="仿宋" w:cs="仿宋"/>
                <w:bCs/>
                <w:color w:val="auto"/>
                <w:kern w:val="0"/>
                <w:sz w:val="24"/>
                <w:highlight w:val="none"/>
                <w:lang w:val="en-US" w:eastAsia="zh-CN" w:bidi="ar"/>
              </w:rPr>
              <w:t>送审项目</w:t>
            </w:r>
            <w:r>
              <w:rPr>
                <w:rFonts w:hint="eastAsia" w:ascii="仿宋" w:hAnsi="仿宋" w:eastAsia="仿宋" w:cs="仿宋"/>
                <w:bCs/>
                <w:color w:val="auto"/>
                <w:kern w:val="0"/>
                <w:sz w:val="24"/>
                <w:highlight w:val="none"/>
                <w:lang w:bidi="ar"/>
              </w:rPr>
              <w:t>结算审核咨询服务费的</w:t>
            </w:r>
            <w:r>
              <w:rPr>
                <w:rFonts w:hint="eastAsia" w:ascii="仿宋" w:hAnsi="仿宋" w:eastAsia="仿宋" w:cs="仿宋"/>
                <w:bCs/>
                <w:color w:val="auto"/>
                <w:kern w:val="0"/>
                <w:sz w:val="24"/>
                <w:highlight w:val="none"/>
                <w:lang w:val="en-US" w:eastAsia="zh-CN" w:bidi="ar"/>
              </w:rPr>
              <w:t>90</w:t>
            </w:r>
            <w:r>
              <w:rPr>
                <w:rFonts w:hint="eastAsia" w:ascii="仿宋" w:hAnsi="仿宋" w:eastAsia="仿宋" w:cs="仿宋"/>
                <w:bCs/>
                <w:color w:val="auto"/>
                <w:kern w:val="0"/>
                <w:sz w:val="24"/>
                <w:highlight w:val="none"/>
                <w:lang w:bidi="ar"/>
              </w:rPr>
              <w:t>%；</w:t>
            </w:r>
          </w:p>
          <w:p w14:paraId="0E38E2BE">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val="en-US" w:eastAsia="zh-CN" w:bidi="ar"/>
              </w:rPr>
              <w:t>注：</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Cs/>
                <w:color w:val="auto"/>
                <w:kern w:val="0"/>
                <w:sz w:val="24"/>
                <w:highlight w:val="none"/>
                <w:lang w:val="en-US" w:eastAsia="zh-CN" w:bidi="ar"/>
              </w:rPr>
              <w:t>由基本收费和效益收费两部分组成</w:t>
            </w:r>
            <w:r>
              <w:rPr>
                <w:rFonts w:hint="eastAsia" w:ascii="仿宋" w:hAnsi="仿宋" w:eastAsia="仿宋" w:cs="仿宋"/>
                <w:bCs/>
                <w:color w:val="auto"/>
                <w:kern w:val="0"/>
                <w:sz w:val="24"/>
                <w:highlight w:val="none"/>
                <w:lang w:bidi="ar"/>
              </w:rPr>
              <w:t>；</w:t>
            </w:r>
          </w:p>
          <w:p w14:paraId="2AEFBC2F">
            <w:pPr>
              <w:widowControl/>
              <w:wordWrap w:val="0"/>
              <w:snapToGrid w:val="0"/>
              <w:spacing w:line="440" w:lineRule="atLeast"/>
              <w:ind w:firstLine="480" w:firstLineChars="20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val="en-US" w:eastAsia="zh-CN" w:bidi="ar"/>
              </w:rPr>
              <w:t>基本收费=本送审项目的结算审核报告金额（即结算单审报告或双审</w:t>
            </w:r>
            <w:r>
              <w:rPr>
                <w:rFonts w:hint="eastAsia" w:ascii="仿宋" w:hAnsi="仿宋" w:eastAsia="仿宋" w:cs="仿宋"/>
                <w:bCs/>
                <w:color w:val="auto"/>
                <w:kern w:val="0"/>
                <w:sz w:val="24"/>
                <w:highlight w:val="none"/>
                <w:u w:val="none"/>
                <w:lang w:val="en-US" w:eastAsia="zh-CN" w:bidi="ar"/>
              </w:rPr>
              <w:t>复审</w:t>
            </w:r>
            <w:r>
              <w:rPr>
                <w:rFonts w:hint="eastAsia" w:ascii="仿宋" w:hAnsi="仿宋" w:eastAsia="仿宋" w:cs="仿宋"/>
                <w:bCs/>
                <w:color w:val="auto"/>
                <w:kern w:val="0"/>
                <w:sz w:val="24"/>
                <w:highlight w:val="none"/>
                <w:lang w:val="en-US" w:eastAsia="zh-CN" w:bidi="ar"/>
              </w:rPr>
              <w:t>报告的定案金额）×</w:t>
            </w:r>
            <w:r>
              <w:rPr>
                <w:rFonts w:hint="eastAsia" w:ascii="仿宋" w:hAnsi="仿宋" w:eastAsia="仿宋" w:cs="仿宋"/>
                <w:b/>
                <w:bCs w:val="0"/>
                <w:color w:val="auto"/>
                <w:kern w:val="0"/>
                <w:sz w:val="24"/>
                <w:highlight w:val="none"/>
                <w:u w:val="single"/>
                <w:lang w:val="en-US" w:eastAsia="zh-CN" w:bidi="ar"/>
              </w:rPr>
              <w:t>过程支付暂定计费费率</w:t>
            </w:r>
            <w:r>
              <w:rPr>
                <w:rFonts w:hint="eastAsia" w:ascii="仿宋" w:hAnsi="仿宋" w:eastAsia="仿宋" w:cs="仿宋"/>
                <w:bCs/>
                <w:color w:val="auto"/>
                <w:kern w:val="0"/>
                <w:sz w:val="24"/>
                <w:highlight w:val="none"/>
                <w:lang w:val="en-US" w:eastAsia="zh-CN" w:bidi="ar"/>
              </w:rPr>
              <w:t>×结算审核服务费折率/65.00%</w:t>
            </w:r>
            <w:r>
              <w:rPr>
                <w:rFonts w:hint="eastAsia" w:ascii="仿宋" w:hAnsi="仿宋" w:eastAsia="仿宋" w:cs="仿宋"/>
                <w:bCs/>
                <w:color w:val="auto"/>
                <w:kern w:val="0"/>
                <w:sz w:val="24"/>
                <w:highlight w:val="none"/>
                <w:lang w:bidi="ar"/>
              </w:rPr>
              <w:t>；</w:t>
            </w:r>
          </w:p>
          <w:p w14:paraId="3E98337C">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效益收费=核减额（即结算单审报告或</w:t>
            </w:r>
            <w:r>
              <w:rPr>
                <w:rFonts w:hint="eastAsia" w:ascii="仿宋" w:hAnsi="仿宋" w:eastAsia="仿宋" w:cs="仿宋"/>
                <w:b/>
                <w:bCs w:val="0"/>
                <w:color w:val="auto"/>
                <w:kern w:val="0"/>
                <w:sz w:val="24"/>
                <w:highlight w:val="none"/>
                <w:lang w:val="en-US" w:eastAsia="zh-CN" w:bidi="ar"/>
              </w:rPr>
              <w:t>双审初审</w:t>
            </w:r>
            <w:r>
              <w:rPr>
                <w:rFonts w:hint="eastAsia" w:ascii="仿宋" w:hAnsi="仿宋" w:eastAsia="仿宋" w:cs="仿宋"/>
                <w:bCs/>
                <w:color w:val="auto"/>
                <w:kern w:val="0"/>
                <w:sz w:val="24"/>
                <w:highlight w:val="none"/>
                <w:lang w:val="en-US" w:eastAsia="zh-CN" w:bidi="ar"/>
              </w:rPr>
              <w:t>报告的定案金额－送审金额）×4.50%×结算审核服务费折率。</w:t>
            </w:r>
          </w:p>
          <w:p w14:paraId="151A49D9">
            <w:pPr>
              <w:widowControl/>
              <w:wordWrap w:val="0"/>
              <w:snapToGrid w:val="0"/>
              <w:spacing w:line="440" w:lineRule="atLeast"/>
              <w:ind w:firstLine="480" w:firstLineChars="20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请款资料包含（但不限于）：请款申请书、合同复印件、结算会审确认书</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val="en-US" w:eastAsia="zh-CN" w:bidi="ar"/>
              </w:rPr>
              <w:t>合法有效的发票</w:t>
            </w:r>
            <w:r>
              <w:rPr>
                <w:rFonts w:hint="eastAsia" w:ascii="仿宋" w:hAnsi="仿宋" w:eastAsia="仿宋" w:cs="仿宋"/>
                <w:bCs/>
                <w:color w:val="auto"/>
                <w:kern w:val="0"/>
                <w:sz w:val="24"/>
                <w:highlight w:val="none"/>
                <w:lang w:bidi="ar"/>
              </w:rPr>
              <w:t>及其它相关证明材料。</w:t>
            </w:r>
          </w:p>
          <w:p w14:paraId="3DAB4F3E">
            <w:pPr>
              <w:widowControl/>
              <w:wordWrap/>
              <w:snapToGrid w:val="0"/>
              <w:spacing w:line="440" w:lineRule="atLeast"/>
              <w:jc w:val="both"/>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 xml:space="preserve">    （3）</w:t>
            </w:r>
            <w:r>
              <w:rPr>
                <w:rFonts w:hint="eastAsia" w:ascii="仿宋" w:hAnsi="仿宋" w:eastAsia="仿宋" w:cs="仿宋"/>
                <w:b/>
                <w:bCs w:val="0"/>
                <w:color w:val="auto"/>
                <w:kern w:val="0"/>
                <w:sz w:val="24"/>
                <w:highlight w:val="none"/>
                <w:lang w:val="en-US" w:eastAsia="zh-CN" w:bidi="ar"/>
              </w:rPr>
              <w:t>结算款</w:t>
            </w:r>
            <w:r>
              <w:rPr>
                <w:rFonts w:hint="eastAsia" w:ascii="仿宋" w:hAnsi="仿宋" w:eastAsia="仿宋" w:cs="仿宋"/>
                <w:bCs/>
                <w:color w:val="auto"/>
                <w:kern w:val="0"/>
                <w:sz w:val="24"/>
                <w:highlight w:val="none"/>
                <w:lang w:val="en-US" w:eastAsia="zh-CN" w:bidi="ar"/>
              </w:rPr>
              <w:t>：</w:t>
            </w:r>
            <w:r>
              <w:rPr>
                <w:rFonts w:hint="eastAsia" w:ascii="仿宋" w:hAnsi="仿宋" w:eastAsia="仿宋" w:cs="仿宋"/>
                <w:bCs/>
                <w:color w:val="auto"/>
                <w:kern w:val="0"/>
                <w:sz w:val="24"/>
                <w:highlight w:val="none"/>
                <w:lang w:bidi="ar"/>
              </w:rPr>
              <w:t>本</w:t>
            </w:r>
            <w:r>
              <w:rPr>
                <w:rFonts w:hint="eastAsia" w:ascii="仿宋" w:hAnsi="仿宋" w:eastAsia="仿宋" w:cs="仿宋"/>
                <w:bCs/>
                <w:color w:val="auto"/>
                <w:kern w:val="0"/>
                <w:sz w:val="24"/>
                <w:highlight w:val="none"/>
                <w:lang w:val="en-US" w:eastAsia="zh-CN" w:bidi="ar"/>
              </w:rPr>
              <w:t>项目所有</w:t>
            </w:r>
            <w:r>
              <w:rPr>
                <w:rFonts w:hint="eastAsia" w:ascii="仿宋" w:hAnsi="仿宋" w:eastAsia="仿宋" w:cs="仿宋"/>
                <w:bCs/>
                <w:color w:val="auto"/>
                <w:kern w:val="0"/>
                <w:sz w:val="24"/>
                <w:highlight w:val="none"/>
                <w:lang w:bidi="ar"/>
              </w:rPr>
              <w:t>结算经</w:t>
            </w:r>
            <w:r>
              <w:rPr>
                <w:rFonts w:hint="eastAsia" w:ascii="仿宋" w:hAnsi="仿宋" w:eastAsia="仿宋" w:cs="仿宋"/>
                <w:bCs/>
                <w:color w:val="auto"/>
                <w:kern w:val="0"/>
                <w:sz w:val="24"/>
                <w:highlight w:val="none"/>
                <w:lang w:val="en-US" w:eastAsia="zh-CN" w:bidi="ar"/>
              </w:rPr>
              <w:t>财政部门（或政府指定部门）</w:t>
            </w:r>
            <w:r>
              <w:rPr>
                <w:rFonts w:hint="eastAsia" w:ascii="仿宋" w:hAnsi="仿宋" w:eastAsia="仿宋" w:cs="仿宋"/>
                <w:bCs/>
                <w:color w:val="auto"/>
                <w:kern w:val="0"/>
                <w:sz w:val="24"/>
                <w:highlight w:val="none"/>
                <w:lang w:bidi="ar"/>
              </w:rPr>
              <w:t>最终结算审核，</w:t>
            </w:r>
            <w:r>
              <w:rPr>
                <w:rFonts w:hint="eastAsia" w:ascii="仿宋" w:hAnsi="仿宋" w:eastAsia="仿宋" w:cs="仿宋"/>
                <w:bCs/>
                <w:color w:val="auto"/>
                <w:kern w:val="0"/>
                <w:sz w:val="24"/>
                <w:highlight w:val="none"/>
                <w:lang w:eastAsia="zh-CN" w:bidi="ar"/>
              </w:rPr>
              <w:t>中标人</w:t>
            </w:r>
            <w:r>
              <w:rPr>
                <w:rFonts w:hint="eastAsia" w:ascii="仿宋" w:hAnsi="仿宋" w:eastAsia="仿宋" w:cs="仿宋"/>
                <w:bCs/>
                <w:color w:val="auto"/>
                <w:kern w:val="0"/>
                <w:sz w:val="24"/>
                <w:highlight w:val="none"/>
                <w:lang w:bidi="ar"/>
              </w:rPr>
              <w:t>向</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提交</w:t>
            </w:r>
            <w:r>
              <w:rPr>
                <w:rFonts w:hint="eastAsia" w:ascii="仿宋" w:hAnsi="仿宋" w:eastAsia="仿宋" w:cs="仿宋"/>
                <w:bCs/>
                <w:color w:val="auto"/>
                <w:kern w:val="0"/>
                <w:sz w:val="24"/>
                <w:highlight w:val="none"/>
                <w:lang w:val="en-US" w:eastAsia="zh-CN" w:bidi="ar"/>
              </w:rPr>
              <w:t>的项目结算书经采购人审核后，中标人向采购人提交</w:t>
            </w:r>
            <w:r>
              <w:rPr>
                <w:rFonts w:hint="eastAsia" w:ascii="仿宋" w:hAnsi="仿宋" w:eastAsia="仿宋" w:cs="仿宋"/>
                <w:bCs/>
                <w:color w:val="auto"/>
                <w:kern w:val="0"/>
                <w:sz w:val="24"/>
                <w:highlight w:val="none"/>
                <w:lang w:bidi="ar"/>
              </w:rPr>
              <w:t>请款报告和正式发票之日起</w:t>
            </w:r>
            <w:r>
              <w:rPr>
                <w:rFonts w:hint="eastAsia" w:ascii="仿宋" w:hAnsi="仿宋" w:eastAsia="仿宋" w:cs="仿宋"/>
                <w:bCs/>
                <w:color w:val="auto"/>
                <w:kern w:val="0"/>
                <w:sz w:val="24"/>
                <w:highlight w:val="none"/>
                <w:lang w:val="en-US" w:eastAsia="zh-CN" w:bidi="ar"/>
              </w:rPr>
              <w:t>15</w:t>
            </w:r>
            <w:r>
              <w:rPr>
                <w:rFonts w:hint="eastAsia" w:ascii="仿宋" w:hAnsi="仿宋" w:eastAsia="仿宋" w:cs="仿宋"/>
                <w:bCs/>
                <w:color w:val="auto"/>
                <w:kern w:val="0"/>
                <w:sz w:val="24"/>
                <w:highlight w:val="none"/>
                <w:lang w:bidi="ar"/>
              </w:rPr>
              <w:t>天内，</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向</w:t>
            </w:r>
            <w:r>
              <w:rPr>
                <w:rFonts w:hint="eastAsia" w:ascii="仿宋" w:hAnsi="仿宋" w:eastAsia="仿宋" w:cs="仿宋"/>
                <w:bCs/>
                <w:color w:val="auto"/>
                <w:kern w:val="0"/>
                <w:sz w:val="24"/>
                <w:highlight w:val="none"/>
                <w:lang w:eastAsia="zh-CN" w:bidi="ar"/>
              </w:rPr>
              <w:t>中标人</w:t>
            </w:r>
            <w:r>
              <w:rPr>
                <w:rFonts w:hint="eastAsia" w:ascii="仿宋" w:hAnsi="仿宋" w:eastAsia="仿宋" w:cs="仿宋"/>
                <w:bCs/>
                <w:color w:val="auto"/>
                <w:kern w:val="0"/>
                <w:sz w:val="24"/>
                <w:highlight w:val="none"/>
                <w:lang w:bidi="ar"/>
              </w:rPr>
              <w:t>支付至</w:t>
            </w:r>
            <w:r>
              <w:rPr>
                <w:rFonts w:hint="eastAsia" w:ascii="仿宋" w:hAnsi="仿宋" w:eastAsia="仿宋" w:cs="仿宋"/>
                <w:bCs/>
                <w:color w:val="auto"/>
                <w:kern w:val="0"/>
                <w:sz w:val="24"/>
                <w:highlight w:val="none"/>
                <w:lang w:val="en-US" w:eastAsia="zh-CN" w:bidi="ar"/>
              </w:rPr>
              <w:t>本项目</w:t>
            </w:r>
            <w:r>
              <w:rPr>
                <w:rFonts w:hint="eastAsia" w:ascii="仿宋" w:hAnsi="仿宋" w:eastAsia="仿宋" w:cs="仿宋"/>
                <w:bCs/>
                <w:color w:val="auto"/>
                <w:kern w:val="0"/>
                <w:sz w:val="24"/>
                <w:highlight w:val="none"/>
                <w:lang w:bidi="ar"/>
              </w:rPr>
              <w:t>结算审核咨询服务费的100％。</w:t>
            </w:r>
          </w:p>
          <w:p w14:paraId="7BD3EA53">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请款资料包含（但不限于）：请款申请书、合同复印件、结算会审确认书、</w:t>
            </w:r>
            <w:r>
              <w:rPr>
                <w:rFonts w:hint="eastAsia" w:ascii="仿宋" w:hAnsi="仿宋" w:eastAsia="仿宋" w:cs="仿宋"/>
                <w:bCs/>
                <w:color w:val="auto"/>
                <w:kern w:val="0"/>
                <w:sz w:val="24"/>
                <w:highlight w:val="none"/>
                <w:lang w:val="en-US" w:eastAsia="zh-CN" w:bidi="ar"/>
              </w:rPr>
              <w:t>合法有效的发票、</w:t>
            </w:r>
            <w:r>
              <w:rPr>
                <w:rFonts w:hint="eastAsia" w:ascii="仿宋" w:hAnsi="仿宋" w:eastAsia="仿宋" w:cs="仿宋"/>
                <w:bCs/>
                <w:color w:val="auto"/>
                <w:kern w:val="0"/>
                <w:sz w:val="24"/>
                <w:highlight w:val="none"/>
                <w:lang w:bidi="ar"/>
              </w:rPr>
              <w:t>送审金额与</w:t>
            </w:r>
            <w:r>
              <w:rPr>
                <w:rFonts w:hint="eastAsia" w:ascii="仿宋" w:hAnsi="仿宋" w:eastAsia="仿宋" w:cs="仿宋"/>
                <w:bCs/>
                <w:color w:val="auto"/>
                <w:kern w:val="0"/>
                <w:sz w:val="24"/>
                <w:highlight w:val="none"/>
                <w:lang w:val="en-US" w:eastAsia="zh-CN" w:bidi="ar"/>
              </w:rPr>
              <w:t>财政部门（或政府指定部门）</w:t>
            </w:r>
            <w:r>
              <w:rPr>
                <w:rFonts w:hint="eastAsia" w:ascii="仿宋" w:hAnsi="仿宋" w:eastAsia="仿宋" w:cs="仿宋"/>
                <w:bCs/>
                <w:color w:val="auto"/>
                <w:kern w:val="0"/>
                <w:sz w:val="24"/>
                <w:highlight w:val="none"/>
                <w:lang w:bidi="ar"/>
              </w:rPr>
              <w:t>审定对比表及其它相关证明材料。</w:t>
            </w:r>
          </w:p>
          <w:p w14:paraId="69B820F8">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因本项目使用的是财政资金，待财政资金指标下达后，</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在上述规定时间内向政府提出资金申请手续，即视为</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按期支付。因政府财政支付审批流程及办理手续而造成项目支付进度有所推延，而导致</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逾期付款的，</w:t>
            </w:r>
            <w:r>
              <w:rPr>
                <w:rFonts w:hint="eastAsia" w:ascii="仿宋" w:hAnsi="仿宋" w:eastAsia="仿宋" w:cs="仿宋"/>
                <w:bCs/>
                <w:color w:val="auto"/>
                <w:kern w:val="0"/>
                <w:sz w:val="24"/>
                <w:highlight w:val="none"/>
                <w:lang w:eastAsia="zh-CN" w:bidi="ar"/>
              </w:rPr>
              <w:t>采购人</w:t>
            </w:r>
            <w:r>
              <w:rPr>
                <w:rFonts w:hint="eastAsia" w:ascii="仿宋" w:hAnsi="仿宋" w:eastAsia="仿宋" w:cs="仿宋"/>
                <w:bCs/>
                <w:color w:val="auto"/>
                <w:kern w:val="0"/>
                <w:sz w:val="24"/>
                <w:highlight w:val="none"/>
                <w:lang w:bidi="ar"/>
              </w:rPr>
              <w:t>不承担逾期付款违约责任。</w:t>
            </w:r>
          </w:p>
        </w:tc>
      </w:tr>
    </w:tbl>
    <w:p w14:paraId="66E0A177">
      <w:pPr>
        <w:snapToGrid w:val="0"/>
        <w:spacing w:line="360" w:lineRule="auto"/>
        <w:ind w:firstLine="482"/>
        <w:rPr>
          <w:rFonts w:hint="eastAsia" w:ascii="仿宋" w:hAnsi="仿宋" w:eastAsia="仿宋" w:cs="仿宋"/>
          <w:b w:val="0"/>
          <w:bCs/>
          <w:color w:val="auto"/>
          <w:sz w:val="24"/>
          <w:highlight w:val="none"/>
          <w:lang w:val="en-US" w:eastAsia="zh-CN"/>
        </w:rPr>
      </w:pPr>
    </w:p>
    <w:p w14:paraId="61D1B3CE">
      <w:pPr>
        <w:snapToGrid w:val="0"/>
        <w:spacing w:line="360" w:lineRule="auto"/>
        <w:ind w:firstLine="482"/>
        <w:rPr>
          <w:rFonts w:hint="eastAsia" w:ascii="仿宋" w:hAnsi="仿宋" w:eastAsia="仿宋" w:cs="仿宋"/>
          <w:bCs/>
          <w:color w:val="auto"/>
          <w:kern w:val="0"/>
          <w:sz w:val="24"/>
          <w:highlight w:val="none"/>
          <w:lang w:val="en-US" w:eastAsia="zh-CN" w:bidi="ar"/>
        </w:rPr>
      </w:pPr>
      <w:r>
        <w:rPr>
          <w:rFonts w:hint="eastAsia" w:ascii="仿宋" w:hAnsi="仿宋" w:eastAsia="仿宋" w:cs="仿宋"/>
          <w:b w:val="0"/>
          <w:bCs/>
          <w:color w:val="auto"/>
          <w:sz w:val="24"/>
          <w:highlight w:val="none"/>
          <w:lang w:val="en-US" w:eastAsia="zh-CN"/>
        </w:rPr>
        <w:t>3.2</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Cs/>
          <w:color w:val="auto"/>
          <w:kern w:val="0"/>
          <w:sz w:val="24"/>
          <w:highlight w:val="none"/>
          <w:lang w:val="en-US" w:eastAsia="zh-CN" w:bidi="ar"/>
        </w:rPr>
        <w:t>计算方式</w:t>
      </w:r>
    </w:p>
    <w:tbl>
      <w:tblPr>
        <w:tblStyle w:val="41"/>
        <w:tblW w:w="0" w:type="auto"/>
        <w:jc w:val="center"/>
        <w:tblLayout w:type="fixed"/>
        <w:tblCellMar>
          <w:top w:w="0" w:type="dxa"/>
          <w:left w:w="108" w:type="dxa"/>
          <w:bottom w:w="0" w:type="dxa"/>
          <w:right w:w="108" w:type="dxa"/>
        </w:tblCellMar>
      </w:tblPr>
      <w:tblGrid>
        <w:gridCol w:w="9000"/>
      </w:tblGrid>
      <w:tr w14:paraId="575CD8CA">
        <w:tblPrEx>
          <w:tblCellMar>
            <w:top w:w="0" w:type="dxa"/>
            <w:left w:w="108" w:type="dxa"/>
            <w:bottom w:w="0" w:type="dxa"/>
            <w:right w:w="108" w:type="dxa"/>
          </w:tblCellMar>
        </w:tblPrEx>
        <w:trPr>
          <w:trHeight w:val="423" w:hRule="atLeast"/>
          <w:jc w:val="center"/>
        </w:trPr>
        <w:tc>
          <w:tcPr>
            <w:tcW w:w="9000" w:type="dxa"/>
            <w:tcBorders>
              <w:top w:val="single" w:color="auto" w:sz="4" w:space="0"/>
              <w:left w:val="single" w:color="auto" w:sz="4" w:space="0"/>
              <w:bottom w:val="single" w:color="auto" w:sz="4" w:space="0"/>
              <w:right w:val="single" w:color="auto" w:sz="4" w:space="0"/>
            </w:tcBorders>
            <w:noWrap w:val="0"/>
            <w:vAlign w:val="center"/>
          </w:tcPr>
          <w:p w14:paraId="6E7EE014">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val="en-US" w:eastAsia="zh-CN" w:bidi="ar"/>
              </w:rPr>
              <w:t>1</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Cs/>
                <w:color w:val="auto"/>
                <w:kern w:val="0"/>
                <w:sz w:val="24"/>
                <w:highlight w:val="none"/>
                <w:lang w:val="en-US" w:eastAsia="zh-CN" w:bidi="ar"/>
              </w:rPr>
              <w:t>由基本收费和效益收费两部分组成</w:t>
            </w:r>
            <w:r>
              <w:rPr>
                <w:rFonts w:hint="eastAsia" w:ascii="仿宋" w:hAnsi="仿宋" w:eastAsia="仿宋" w:cs="仿宋"/>
                <w:bCs/>
                <w:color w:val="auto"/>
                <w:kern w:val="0"/>
                <w:sz w:val="24"/>
                <w:highlight w:val="none"/>
                <w:lang w:bidi="ar"/>
              </w:rPr>
              <w:t>；</w:t>
            </w:r>
          </w:p>
          <w:p w14:paraId="533D84B0">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（2）送审项目1-7</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
                <w:bCs w:val="0"/>
                <w:color w:val="auto"/>
                <w:kern w:val="0"/>
                <w:sz w:val="24"/>
                <w:highlight w:val="none"/>
                <w:lang w:val="en-US" w:eastAsia="zh-CN" w:bidi="ar"/>
              </w:rPr>
              <w:t>结算价</w:t>
            </w:r>
            <w:r>
              <w:rPr>
                <w:rFonts w:hint="eastAsia" w:ascii="仿宋" w:hAnsi="仿宋" w:eastAsia="仿宋" w:cs="仿宋"/>
                <w:bCs/>
                <w:color w:val="auto"/>
                <w:kern w:val="0"/>
                <w:sz w:val="24"/>
                <w:highlight w:val="none"/>
                <w:lang w:val="en-US" w:eastAsia="zh-CN" w:bidi="ar"/>
              </w:rPr>
              <w:t>=基本收费结算价＋效益收费结算价</w:t>
            </w:r>
          </w:p>
          <w:p w14:paraId="498418AD">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基本收费结算价=</w:t>
            </w:r>
            <w:r>
              <w:rPr>
                <w:rFonts w:hint="eastAsia" w:ascii="仿宋" w:hAnsi="仿宋" w:eastAsia="仿宋" w:cs="仿宋"/>
                <w:b/>
                <w:bCs w:val="0"/>
                <w:color w:val="auto"/>
                <w:kern w:val="0"/>
                <w:sz w:val="24"/>
                <w:highlight w:val="none"/>
                <w:lang w:val="en-US" w:eastAsia="zh-CN" w:bidi="ar"/>
              </w:rPr>
              <w:t>∑各送审项目最终审核定案金额（即结算单审报告或双审</w:t>
            </w:r>
            <w:r>
              <w:rPr>
                <w:rFonts w:hint="eastAsia" w:ascii="仿宋" w:hAnsi="仿宋" w:eastAsia="仿宋" w:cs="仿宋"/>
                <w:b/>
                <w:bCs w:val="0"/>
                <w:color w:val="auto"/>
                <w:kern w:val="0"/>
                <w:sz w:val="24"/>
                <w:highlight w:val="none"/>
                <w:u w:val="single"/>
                <w:lang w:val="en-US" w:eastAsia="zh-CN" w:bidi="ar"/>
              </w:rPr>
              <w:t>复审</w:t>
            </w:r>
            <w:r>
              <w:rPr>
                <w:rFonts w:hint="eastAsia" w:ascii="仿宋" w:hAnsi="仿宋" w:eastAsia="仿宋" w:cs="仿宋"/>
                <w:b/>
                <w:bCs w:val="0"/>
                <w:color w:val="auto"/>
                <w:kern w:val="0"/>
                <w:sz w:val="24"/>
                <w:highlight w:val="none"/>
                <w:lang w:val="en-US" w:eastAsia="zh-CN" w:bidi="ar"/>
              </w:rPr>
              <w:t>报告的定案金额）为基数，</w:t>
            </w:r>
            <w:r>
              <w:rPr>
                <w:rFonts w:hint="eastAsia" w:ascii="仿宋" w:hAnsi="仿宋" w:eastAsia="仿宋" w:cs="仿宋"/>
                <w:bCs/>
                <w:color w:val="auto"/>
                <w:kern w:val="0"/>
                <w:sz w:val="24"/>
                <w:highlight w:val="none"/>
                <w:lang w:val="en-US" w:eastAsia="zh-CN" w:bidi="ar"/>
              </w:rPr>
              <w:t>按照《佛山市南海区财政局工程造价咨询服务收费标准表》（FS2025（NH）WZ0002）</w:t>
            </w:r>
            <w:r>
              <w:rPr>
                <w:rFonts w:hint="eastAsia" w:ascii="仿宋" w:hAnsi="仿宋" w:eastAsia="仿宋" w:cs="仿宋"/>
                <w:bCs/>
                <w:color w:val="auto"/>
                <w:kern w:val="0"/>
                <w:sz w:val="24"/>
                <w:highlight w:val="none"/>
                <w:vertAlign w:val="baseline"/>
                <w:lang w:val="en-US" w:eastAsia="zh-CN" w:bidi="ar"/>
              </w:rPr>
              <w:t>中“</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栏及备注第9点”计算的造价咨询服务费</w:t>
            </w:r>
            <w:r>
              <w:rPr>
                <w:rFonts w:hint="eastAsia" w:ascii="仿宋" w:hAnsi="仿宋" w:eastAsia="仿宋" w:cs="仿宋"/>
                <w:bCs/>
                <w:color w:val="auto"/>
                <w:kern w:val="0"/>
                <w:sz w:val="24"/>
                <w:highlight w:val="none"/>
                <w:lang w:val="en-US" w:eastAsia="zh-CN" w:bidi="ar"/>
              </w:rPr>
              <w:t>×结算审核服务费折率。</w:t>
            </w:r>
          </w:p>
          <w:p w14:paraId="274A850A">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效益收费结算价=∑各送审项目核减额（即结算单审报告或</w:t>
            </w:r>
            <w:r>
              <w:rPr>
                <w:rFonts w:hint="eastAsia" w:ascii="仿宋" w:hAnsi="仿宋" w:eastAsia="仿宋" w:cs="仿宋"/>
                <w:b/>
                <w:bCs w:val="0"/>
                <w:color w:val="auto"/>
                <w:kern w:val="0"/>
                <w:sz w:val="24"/>
                <w:highlight w:val="none"/>
                <w:lang w:val="en-US" w:eastAsia="zh-CN" w:bidi="ar"/>
              </w:rPr>
              <w:t>双审初审</w:t>
            </w:r>
            <w:r>
              <w:rPr>
                <w:rFonts w:hint="eastAsia" w:ascii="仿宋" w:hAnsi="仿宋" w:eastAsia="仿宋" w:cs="仿宋"/>
                <w:bCs/>
                <w:color w:val="auto"/>
                <w:kern w:val="0"/>
                <w:sz w:val="24"/>
                <w:highlight w:val="none"/>
                <w:lang w:val="en-US" w:eastAsia="zh-CN" w:bidi="ar"/>
              </w:rPr>
              <w:t>报告的定案金额－送审金额）×4.50%×结算审核服务费折率。</w:t>
            </w:r>
          </w:p>
          <w:p w14:paraId="3AD74E4B">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（3）送审项目8-14</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
                <w:bCs w:val="0"/>
                <w:color w:val="auto"/>
                <w:kern w:val="0"/>
                <w:sz w:val="24"/>
                <w:highlight w:val="none"/>
                <w:lang w:val="en-US" w:eastAsia="zh-CN" w:bidi="ar"/>
              </w:rPr>
              <w:t>结算价</w:t>
            </w:r>
            <w:r>
              <w:rPr>
                <w:rFonts w:hint="eastAsia" w:ascii="仿宋" w:hAnsi="仿宋" w:eastAsia="仿宋" w:cs="仿宋"/>
                <w:bCs/>
                <w:color w:val="auto"/>
                <w:kern w:val="0"/>
                <w:sz w:val="24"/>
                <w:highlight w:val="none"/>
                <w:lang w:val="en-US" w:eastAsia="zh-CN" w:bidi="ar"/>
              </w:rPr>
              <w:t>=基本收费结算价＋效益收费结算价</w:t>
            </w:r>
          </w:p>
          <w:p w14:paraId="4F24D902">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基本收费结算价=</w:t>
            </w:r>
            <w:r>
              <w:rPr>
                <w:rFonts w:hint="eastAsia" w:ascii="仿宋" w:hAnsi="仿宋" w:eastAsia="仿宋" w:cs="仿宋"/>
                <w:b/>
                <w:bCs w:val="0"/>
                <w:color w:val="auto"/>
                <w:kern w:val="0"/>
                <w:sz w:val="24"/>
                <w:highlight w:val="none"/>
                <w:lang w:val="en-US" w:eastAsia="zh-CN" w:bidi="ar"/>
              </w:rPr>
              <w:t>∑各送审项目最终审核定案金额（即结算单审报告或双审</w:t>
            </w:r>
            <w:r>
              <w:rPr>
                <w:rFonts w:hint="eastAsia" w:ascii="仿宋" w:hAnsi="仿宋" w:eastAsia="仿宋" w:cs="仿宋"/>
                <w:b/>
                <w:bCs w:val="0"/>
                <w:color w:val="auto"/>
                <w:kern w:val="0"/>
                <w:sz w:val="24"/>
                <w:highlight w:val="none"/>
                <w:u w:val="single"/>
                <w:lang w:val="en-US" w:eastAsia="zh-CN" w:bidi="ar"/>
              </w:rPr>
              <w:t>复审</w:t>
            </w:r>
            <w:r>
              <w:rPr>
                <w:rFonts w:hint="eastAsia" w:ascii="仿宋" w:hAnsi="仿宋" w:eastAsia="仿宋" w:cs="仿宋"/>
                <w:b/>
                <w:bCs w:val="0"/>
                <w:color w:val="auto"/>
                <w:kern w:val="0"/>
                <w:sz w:val="24"/>
                <w:highlight w:val="none"/>
                <w:lang w:val="en-US" w:eastAsia="zh-CN" w:bidi="ar"/>
              </w:rPr>
              <w:t>报告的定案金额）为基数，</w:t>
            </w:r>
            <w:r>
              <w:rPr>
                <w:rFonts w:hint="eastAsia" w:ascii="仿宋" w:hAnsi="仿宋" w:eastAsia="仿宋" w:cs="仿宋"/>
                <w:bCs/>
                <w:color w:val="auto"/>
                <w:kern w:val="0"/>
                <w:sz w:val="24"/>
                <w:highlight w:val="none"/>
                <w:lang w:val="en-US" w:eastAsia="zh-CN" w:bidi="ar"/>
              </w:rPr>
              <w:t>按照《佛山市南海区财政局工程造价咨询服务收费标准表》（FS2025（NH）WZ0002）</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w:t>
            </w:r>
            <w:r>
              <w:rPr>
                <w:rFonts w:hint="eastAsia" w:ascii="仿宋" w:hAnsi="仿宋" w:eastAsia="仿宋" w:cs="仿宋"/>
                <w:bCs/>
                <w:color w:val="auto"/>
                <w:kern w:val="0"/>
                <w:sz w:val="24"/>
                <w:highlight w:val="none"/>
                <w:lang w:val="en-US" w:eastAsia="zh-CN" w:bidi="ar"/>
              </w:rPr>
              <w:t>计算的造价咨询服务费×结算审核服务费折率。</w:t>
            </w:r>
          </w:p>
          <w:p w14:paraId="0D54EA2D">
            <w:pPr>
              <w:widowControl/>
              <w:wordWrap w:val="0"/>
              <w:snapToGrid w:val="0"/>
              <w:spacing w:line="440" w:lineRule="atLeast"/>
              <w:ind w:firstLine="480"/>
              <w:jc w:val="left"/>
              <w:rPr>
                <w:rFonts w:hint="default"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效益收费结算价=∑各送审项目核减额（即结算单审报告或</w:t>
            </w:r>
            <w:r>
              <w:rPr>
                <w:rFonts w:hint="eastAsia" w:ascii="仿宋" w:hAnsi="仿宋" w:eastAsia="仿宋" w:cs="仿宋"/>
                <w:b/>
                <w:bCs w:val="0"/>
                <w:color w:val="auto"/>
                <w:kern w:val="0"/>
                <w:sz w:val="24"/>
                <w:highlight w:val="none"/>
                <w:lang w:val="en-US" w:eastAsia="zh-CN" w:bidi="ar"/>
              </w:rPr>
              <w:t>双审初审</w:t>
            </w:r>
            <w:r>
              <w:rPr>
                <w:rFonts w:hint="eastAsia" w:ascii="仿宋" w:hAnsi="仿宋" w:eastAsia="仿宋" w:cs="仿宋"/>
                <w:bCs/>
                <w:color w:val="auto"/>
                <w:kern w:val="0"/>
                <w:sz w:val="24"/>
                <w:highlight w:val="none"/>
                <w:lang w:val="en-US" w:eastAsia="zh-CN" w:bidi="ar"/>
              </w:rPr>
              <w:t>报告的定案金额－送审金额）×4.50%×结算审核服务费折率。</w:t>
            </w:r>
          </w:p>
        </w:tc>
      </w:tr>
    </w:tbl>
    <w:p w14:paraId="442A5648">
      <w:pPr>
        <w:snapToGrid w:val="0"/>
        <w:spacing w:line="360" w:lineRule="auto"/>
        <w:ind w:firstLine="482"/>
        <w:rPr>
          <w:rFonts w:hint="eastAsia" w:ascii="仿宋" w:hAnsi="仿宋" w:eastAsia="仿宋" w:cs="仿宋"/>
          <w:bCs/>
          <w:color w:val="auto"/>
          <w:kern w:val="0"/>
          <w:sz w:val="24"/>
          <w:highlight w:val="none"/>
          <w:lang w:val="en-US" w:eastAsia="zh-CN" w:bidi="ar"/>
        </w:rPr>
      </w:pPr>
    </w:p>
    <w:p w14:paraId="7DFB2B98">
      <w:pPr>
        <w:snapToGrid w:val="0"/>
        <w:spacing w:line="360" w:lineRule="auto"/>
        <w:ind w:firstLine="482"/>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lang w:val="en-US" w:eastAsia="zh-CN" w:bidi="ar"/>
        </w:rPr>
        <w:t>3.3暂定计费基数</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566"/>
        <w:gridCol w:w="1717"/>
        <w:gridCol w:w="1504"/>
      </w:tblGrid>
      <w:tr w14:paraId="5F52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3C19F7EC">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序号</w:t>
            </w:r>
          </w:p>
        </w:tc>
        <w:tc>
          <w:tcPr>
            <w:tcW w:w="5566" w:type="dxa"/>
            <w:vAlign w:val="center"/>
          </w:tcPr>
          <w:p w14:paraId="5FD6A3A9">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送审项目名称</w:t>
            </w:r>
          </w:p>
        </w:tc>
        <w:tc>
          <w:tcPr>
            <w:tcW w:w="1717" w:type="dxa"/>
            <w:vAlign w:val="center"/>
          </w:tcPr>
          <w:p w14:paraId="61089FB5">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暂定计费基数</w:t>
            </w:r>
          </w:p>
        </w:tc>
        <w:tc>
          <w:tcPr>
            <w:tcW w:w="1504" w:type="dxa"/>
            <w:vAlign w:val="center"/>
          </w:tcPr>
          <w:p w14:paraId="57B1F450">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过程支付暂定计费费率</w:t>
            </w:r>
          </w:p>
        </w:tc>
      </w:tr>
      <w:tr w14:paraId="3F4C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06" w:type="dxa"/>
            <w:vAlign w:val="center"/>
          </w:tcPr>
          <w:p w14:paraId="3AA73CCB">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w:t>
            </w:r>
          </w:p>
        </w:tc>
        <w:tc>
          <w:tcPr>
            <w:tcW w:w="5566" w:type="dxa"/>
            <w:vAlign w:val="center"/>
          </w:tcPr>
          <w:p w14:paraId="7B7F7083">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南海文化中心项目土建施工总承包</w:t>
            </w:r>
          </w:p>
        </w:tc>
        <w:tc>
          <w:tcPr>
            <w:tcW w:w="1717" w:type="dxa"/>
            <w:vMerge w:val="restart"/>
            <w:vAlign w:val="center"/>
          </w:tcPr>
          <w:p w14:paraId="2595A35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101479万元</w:t>
            </w:r>
          </w:p>
        </w:tc>
        <w:tc>
          <w:tcPr>
            <w:tcW w:w="1504" w:type="dxa"/>
            <w:vMerge w:val="restart"/>
            <w:vAlign w:val="center"/>
          </w:tcPr>
          <w:p w14:paraId="15F8F380">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0.00788%</w:t>
            </w:r>
          </w:p>
        </w:tc>
      </w:tr>
      <w:tr w14:paraId="3A33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6500084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2</w:t>
            </w:r>
          </w:p>
        </w:tc>
        <w:tc>
          <w:tcPr>
            <w:tcW w:w="5566" w:type="dxa"/>
            <w:vAlign w:val="center"/>
          </w:tcPr>
          <w:p w14:paraId="59217E41">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南海文化中心项目-图书馆专用设备采购项目</w:t>
            </w:r>
          </w:p>
        </w:tc>
        <w:tc>
          <w:tcPr>
            <w:tcW w:w="1717" w:type="dxa"/>
            <w:vMerge w:val="continue"/>
            <w:vAlign w:val="center"/>
          </w:tcPr>
          <w:p w14:paraId="52FE9AA4">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6ED5638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76F9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41C3EAC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3</w:t>
            </w:r>
          </w:p>
        </w:tc>
        <w:tc>
          <w:tcPr>
            <w:tcW w:w="5566" w:type="dxa"/>
            <w:vAlign w:val="center"/>
          </w:tcPr>
          <w:p w14:paraId="57C3F1EA">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南海文化中心项目电梯设备采购与安装工程</w:t>
            </w:r>
          </w:p>
        </w:tc>
        <w:tc>
          <w:tcPr>
            <w:tcW w:w="1717" w:type="dxa"/>
            <w:vMerge w:val="continue"/>
            <w:vAlign w:val="center"/>
          </w:tcPr>
          <w:p w14:paraId="3DE913E0">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2E885B57">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5704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19D1EE2E">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4</w:t>
            </w:r>
          </w:p>
        </w:tc>
        <w:tc>
          <w:tcPr>
            <w:tcW w:w="5566" w:type="dxa"/>
            <w:vAlign w:val="center"/>
          </w:tcPr>
          <w:p w14:paraId="3613F59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南海文化中心项目-图书馆专用家具采购项目</w:t>
            </w:r>
          </w:p>
        </w:tc>
        <w:tc>
          <w:tcPr>
            <w:tcW w:w="1717" w:type="dxa"/>
            <w:vMerge w:val="continue"/>
            <w:vAlign w:val="center"/>
          </w:tcPr>
          <w:p w14:paraId="63D1BCDE">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66ABC361">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F36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306C63B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5</w:t>
            </w:r>
          </w:p>
        </w:tc>
        <w:tc>
          <w:tcPr>
            <w:tcW w:w="5566" w:type="dxa"/>
            <w:vAlign w:val="center"/>
          </w:tcPr>
          <w:p w14:paraId="5BB5F16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南海文化中心项目(综合表演厅、黑匣子剧场、文化馆粤剧表演厅和录音室)舞台设备供应及安装</w:t>
            </w:r>
          </w:p>
        </w:tc>
        <w:tc>
          <w:tcPr>
            <w:tcW w:w="1717" w:type="dxa"/>
            <w:vMerge w:val="continue"/>
            <w:vAlign w:val="center"/>
          </w:tcPr>
          <w:p w14:paraId="371F7280">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417C130D">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6966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63BA6C82">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6</w:t>
            </w:r>
          </w:p>
        </w:tc>
        <w:tc>
          <w:tcPr>
            <w:tcW w:w="5566" w:type="dxa"/>
            <w:vAlign w:val="center"/>
          </w:tcPr>
          <w:p w14:paraId="1056D9F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南海文化中心项目办公家具、用具采购</w:t>
            </w:r>
          </w:p>
        </w:tc>
        <w:tc>
          <w:tcPr>
            <w:tcW w:w="1717" w:type="dxa"/>
            <w:vMerge w:val="continue"/>
            <w:vAlign w:val="center"/>
          </w:tcPr>
          <w:p w14:paraId="57320353">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1DA4B8E1">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040B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007BA79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7</w:t>
            </w:r>
          </w:p>
        </w:tc>
        <w:tc>
          <w:tcPr>
            <w:tcW w:w="5566" w:type="dxa"/>
            <w:vAlign w:val="center"/>
          </w:tcPr>
          <w:p w14:paraId="20ED6887">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其他采购及服务</w:t>
            </w:r>
          </w:p>
        </w:tc>
        <w:tc>
          <w:tcPr>
            <w:tcW w:w="1717" w:type="dxa"/>
            <w:vMerge w:val="continue"/>
            <w:vAlign w:val="center"/>
          </w:tcPr>
          <w:p w14:paraId="0C1A30D7">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4A805F6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CDD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3827AB9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8</w:t>
            </w:r>
          </w:p>
        </w:tc>
        <w:tc>
          <w:tcPr>
            <w:tcW w:w="5566" w:type="dxa"/>
            <w:vAlign w:val="center"/>
          </w:tcPr>
          <w:p w14:paraId="3DFE7AE5">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南海文化中心项目幕墙系统工程</w:t>
            </w:r>
          </w:p>
        </w:tc>
        <w:tc>
          <w:tcPr>
            <w:tcW w:w="1717" w:type="dxa"/>
            <w:vMerge w:val="restart"/>
            <w:vAlign w:val="center"/>
          </w:tcPr>
          <w:p w14:paraId="20F97AC4">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103503万元</w:t>
            </w:r>
          </w:p>
        </w:tc>
        <w:tc>
          <w:tcPr>
            <w:tcW w:w="1504" w:type="dxa"/>
            <w:vMerge w:val="restart"/>
            <w:vAlign w:val="center"/>
          </w:tcPr>
          <w:p w14:paraId="59947C96">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0.05072%</w:t>
            </w:r>
          </w:p>
        </w:tc>
      </w:tr>
      <w:tr w14:paraId="1E27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515990B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9</w:t>
            </w:r>
          </w:p>
        </w:tc>
        <w:tc>
          <w:tcPr>
            <w:tcW w:w="5566" w:type="dxa"/>
            <w:vAlign w:val="center"/>
          </w:tcPr>
          <w:p w14:paraId="2B5C70B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南海文化中心项目高低压变配电工程</w:t>
            </w:r>
          </w:p>
        </w:tc>
        <w:tc>
          <w:tcPr>
            <w:tcW w:w="1717" w:type="dxa"/>
            <w:vMerge w:val="continue"/>
            <w:vAlign w:val="center"/>
          </w:tcPr>
          <w:p w14:paraId="7535E5F7">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45502BE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5F70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109CC4A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10</w:t>
            </w:r>
          </w:p>
        </w:tc>
        <w:tc>
          <w:tcPr>
            <w:tcW w:w="5566" w:type="dxa"/>
            <w:vAlign w:val="center"/>
          </w:tcPr>
          <w:p w14:paraId="4F19FDE2">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南海文化中心项目装修及机电安装工程</w:t>
            </w:r>
          </w:p>
        </w:tc>
        <w:tc>
          <w:tcPr>
            <w:tcW w:w="1717" w:type="dxa"/>
            <w:vMerge w:val="continue"/>
            <w:vAlign w:val="center"/>
          </w:tcPr>
          <w:p w14:paraId="2106AB9C">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65330D99">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4CD5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431EAF3C">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11</w:t>
            </w:r>
          </w:p>
        </w:tc>
        <w:tc>
          <w:tcPr>
            <w:tcW w:w="5566" w:type="dxa"/>
            <w:vAlign w:val="center"/>
          </w:tcPr>
          <w:p w14:paraId="47DF59A2">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南海文化中心项目--三圣河(南海文化中心段)改造</w:t>
            </w:r>
          </w:p>
        </w:tc>
        <w:tc>
          <w:tcPr>
            <w:tcW w:w="1717" w:type="dxa"/>
            <w:vMerge w:val="continue"/>
            <w:vAlign w:val="center"/>
          </w:tcPr>
          <w:p w14:paraId="5702313A">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245305D9">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2387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4310B11B">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12</w:t>
            </w:r>
          </w:p>
        </w:tc>
        <w:tc>
          <w:tcPr>
            <w:tcW w:w="5566" w:type="dxa"/>
            <w:vAlign w:val="center"/>
          </w:tcPr>
          <w:p w14:paraId="67DF6AC8">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南海文化中心项目智能化工程</w:t>
            </w:r>
          </w:p>
        </w:tc>
        <w:tc>
          <w:tcPr>
            <w:tcW w:w="1717" w:type="dxa"/>
            <w:vMerge w:val="continue"/>
            <w:vAlign w:val="center"/>
          </w:tcPr>
          <w:p w14:paraId="756D7800">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0F4A20B3">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0AF5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50B4150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13</w:t>
            </w:r>
          </w:p>
        </w:tc>
        <w:tc>
          <w:tcPr>
            <w:tcW w:w="5566" w:type="dxa"/>
            <w:vAlign w:val="center"/>
          </w:tcPr>
          <w:p w14:paraId="5E302CB8">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南海文化中心项目自然科学探索馆布展工程</w:t>
            </w:r>
          </w:p>
        </w:tc>
        <w:tc>
          <w:tcPr>
            <w:tcW w:w="1717" w:type="dxa"/>
            <w:vMerge w:val="continue"/>
            <w:vAlign w:val="center"/>
          </w:tcPr>
          <w:p w14:paraId="27D8CFD5">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2096E825">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5962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22E4B497">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14</w:t>
            </w:r>
          </w:p>
        </w:tc>
        <w:tc>
          <w:tcPr>
            <w:tcW w:w="5566" w:type="dxa"/>
            <w:vAlign w:val="center"/>
          </w:tcPr>
          <w:p w14:paraId="7090FA61">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其他工程项目</w:t>
            </w:r>
          </w:p>
        </w:tc>
        <w:tc>
          <w:tcPr>
            <w:tcW w:w="1717" w:type="dxa"/>
            <w:vMerge w:val="continue"/>
            <w:vAlign w:val="center"/>
          </w:tcPr>
          <w:p w14:paraId="088BA741">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7A04006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3C1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4"/>
            <w:vAlign w:val="center"/>
          </w:tcPr>
          <w:p w14:paraId="3C9D7B46">
            <w:pPr>
              <w:snapToGrid w:val="0"/>
              <w:spacing w:line="360" w:lineRule="auto"/>
              <w:ind w:firstLine="0" w:firstLineChars="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vertAlign w:val="baseline"/>
                <w:lang w:val="en-US" w:eastAsia="zh-CN" w:bidi="ar"/>
              </w:rPr>
              <w:t>注：（1）</w:t>
            </w:r>
            <w:r>
              <w:rPr>
                <w:rFonts w:hint="eastAsia" w:ascii="仿宋" w:hAnsi="仿宋" w:eastAsia="仿宋" w:cs="仿宋"/>
                <w:bCs/>
                <w:color w:val="auto"/>
                <w:kern w:val="0"/>
                <w:sz w:val="24"/>
                <w:highlight w:val="none"/>
                <w:lang w:val="en-US" w:eastAsia="zh-CN" w:bidi="ar"/>
              </w:rPr>
              <w:t>送审项目1-7</w:t>
            </w:r>
            <w:r>
              <w:rPr>
                <w:rFonts w:hint="eastAsia" w:ascii="仿宋" w:hAnsi="仿宋" w:eastAsia="仿宋" w:cs="仿宋"/>
                <w:bCs/>
                <w:color w:val="auto"/>
                <w:kern w:val="0"/>
                <w:sz w:val="24"/>
                <w:highlight w:val="none"/>
                <w:vertAlign w:val="baseline"/>
                <w:lang w:val="en-US" w:eastAsia="zh-CN" w:bidi="ar"/>
              </w:rPr>
              <w:t>过程支付暂定计费费率</w:t>
            </w:r>
            <w:r>
              <w:rPr>
                <w:rFonts w:hint="eastAsia" w:ascii="仿宋" w:hAnsi="仿宋" w:eastAsia="仿宋" w:cs="仿宋"/>
                <w:bCs/>
                <w:color w:val="auto"/>
                <w:kern w:val="0"/>
                <w:sz w:val="24"/>
                <w:highlight w:val="none"/>
                <w:lang w:val="en-US" w:eastAsia="zh-CN" w:bidi="ar"/>
              </w:rPr>
              <w:t>：</w:t>
            </w:r>
          </w:p>
          <w:p w14:paraId="6C97FDE0">
            <w:pPr>
              <w:snapToGrid w:val="0"/>
              <w:spacing w:line="360" w:lineRule="auto"/>
              <w:ind w:firstLine="480" w:firstLineChars="200"/>
              <w:jc w:val="left"/>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过程支付暂定计费费率=暂定计费基数按照《佛山市南海区财政局工程造价咨询服务收费标准表》（FS2025（NH）WZ0002）中“</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栏及备注第9点”计算的造价咨询服务费×0.65÷暂定计费基数（101479万元）</w:t>
            </w:r>
          </w:p>
          <w:p w14:paraId="1D912C7D">
            <w:pPr>
              <w:snapToGrid w:val="0"/>
              <w:spacing w:line="360" w:lineRule="auto"/>
              <w:ind w:firstLine="480" w:firstLineChars="20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vertAlign w:val="baseline"/>
                <w:lang w:val="en-US" w:eastAsia="zh-CN" w:bidi="ar"/>
              </w:rPr>
              <w:t>（2）</w:t>
            </w:r>
            <w:r>
              <w:rPr>
                <w:rFonts w:hint="eastAsia" w:ascii="仿宋" w:hAnsi="仿宋" w:eastAsia="仿宋" w:cs="仿宋"/>
                <w:bCs/>
                <w:color w:val="auto"/>
                <w:kern w:val="0"/>
                <w:sz w:val="24"/>
                <w:highlight w:val="none"/>
                <w:lang w:val="en-US" w:eastAsia="zh-CN" w:bidi="ar"/>
              </w:rPr>
              <w:t>送审项目8-14</w:t>
            </w:r>
            <w:r>
              <w:rPr>
                <w:rFonts w:hint="eastAsia" w:ascii="仿宋" w:hAnsi="仿宋" w:eastAsia="仿宋" w:cs="仿宋"/>
                <w:bCs/>
                <w:color w:val="auto"/>
                <w:kern w:val="0"/>
                <w:sz w:val="24"/>
                <w:highlight w:val="none"/>
                <w:vertAlign w:val="baseline"/>
                <w:lang w:val="en-US" w:eastAsia="zh-CN" w:bidi="ar"/>
              </w:rPr>
              <w:t>过程支付暂定计费费率</w:t>
            </w:r>
            <w:r>
              <w:rPr>
                <w:rFonts w:hint="eastAsia" w:ascii="仿宋" w:hAnsi="仿宋" w:eastAsia="仿宋" w:cs="仿宋"/>
                <w:bCs/>
                <w:color w:val="auto"/>
                <w:kern w:val="0"/>
                <w:sz w:val="24"/>
                <w:highlight w:val="none"/>
                <w:lang w:val="en-US" w:eastAsia="zh-CN" w:bidi="ar"/>
              </w:rPr>
              <w:t>：</w:t>
            </w:r>
          </w:p>
          <w:p w14:paraId="22FE948E">
            <w:pPr>
              <w:snapToGrid w:val="0"/>
              <w:spacing w:line="360" w:lineRule="auto"/>
              <w:ind w:firstLine="480" w:firstLineChars="200"/>
              <w:jc w:val="left"/>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过程支付暂定计费费率=暂定计费基数按照《佛山市南海区财政局工程造价咨询服务收费标准表》（FS2025（NH）WZ0002）</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栏计算的造价咨询服务费×0.65÷暂定计费基数（103503万元）</w:t>
            </w:r>
          </w:p>
        </w:tc>
      </w:tr>
    </w:tbl>
    <w:p w14:paraId="4393C42B">
      <w:pPr>
        <w:pStyle w:val="17"/>
        <w:keepNext w:val="0"/>
        <w:keepLines w:val="0"/>
        <w:pageBreakBefore w:val="0"/>
        <w:widowControl w:val="0"/>
        <w:tabs>
          <w:tab w:val="left" w:pos="1185"/>
        </w:tabs>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color w:val="auto"/>
          <w:sz w:val="24"/>
          <w:highlight w:val="none"/>
        </w:rPr>
        <w:t>弃审补偿标准：在审核过程中出现因</w:t>
      </w:r>
      <w:r>
        <w:rPr>
          <w:rFonts w:hint="eastAsia" w:ascii="仿宋" w:hAnsi="仿宋" w:eastAsia="仿宋" w:cs="仿宋"/>
          <w:b/>
          <w:color w:val="auto"/>
          <w:sz w:val="24"/>
          <w:highlight w:val="none"/>
          <w:lang w:eastAsia="zh-CN"/>
        </w:rPr>
        <w:t>采购人</w:t>
      </w:r>
      <w:r>
        <w:rPr>
          <w:rFonts w:hint="eastAsia" w:ascii="仿宋" w:hAnsi="仿宋" w:eastAsia="仿宋" w:cs="仿宋"/>
          <w:b/>
          <w:color w:val="auto"/>
          <w:sz w:val="24"/>
          <w:highlight w:val="none"/>
        </w:rPr>
        <w:t>（或第三方）原因引起退件弃审的情况，</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未提交审核初稿</w:t>
      </w:r>
      <w:r>
        <w:rPr>
          <w:rFonts w:hint="eastAsia" w:ascii="仿宋" w:hAnsi="仿宋" w:eastAsia="仿宋" w:cs="仿宋"/>
          <w:b/>
          <w:color w:val="auto"/>
          <w:sz w:val="24"/>
          <w:highlight w:val="none"/>
          <w:lang w:val="en-US" w:eastAsia="zh-CN"/>
        </w:rPr>
        <w:t>或</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已提交初稿但未进行对数的</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不支付审核费；</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已提交初稿并已进行对数的，按应付审核费的70%支付；已办理定案手续的，按应付审核费的100%支付。本项委托业务经甲乙</w:t>
      </w:r>
      <w:r>
        <w:rPr>
          <w:rFonts w:hint="eastAsia" w:ascii="仿宋" w:hAnsi="仿宋" w:eastAsia="仿宋" w:cs="仿宋"/>
          <w:b/>
          <w:color w:val="auto"/>
          <w:sz w:val="24"/>
          <w:highlight w:val="none"/>
          <w:lang w:val="en-US" w:eastAsia="zh-CN"/>
        </w:rPr>
        <w:t>丙</w:t>
      </w:r>
      <w:r>
        <w:rPr>
          <w:rFonts w:hint="eastAsia" w:ascii="仿宋" w:hAnsi="仿宋" w:eastAsia="仿宋" w:cs="仿宋"/>
          <w:b/>
          <w:color w:val="auto"/>
          <w:sz w:val="24"/>
          <w:highlight w:val="none"/>
          <w:lang w:eastAsia="zh-CN"/>
        </w:rPr>
        <w:t>三方</w:t>
      </w:r>
      <w:r>
        <w:rPr>
          <w:rFonts w:hint="eastAsia" w:ascii="仿宋" w:hAnsi="仿宋" w:eastAsia="仿宋" w:cs="仿宋"/>
          <w:b/>
          <w:color w:val="auto"/>
          <w:sz w:val="24"/>
          <w:highlight w:val="none"/>
        </w:rPr>
        <w:t>确认后终止履行。若退件弃审由</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原因引起的，</w:t>
      </w:r>
      <w:r>
        <w:rPr>
          <w:rFonts w:hint="eastAsia" w:ascii="仿宋" w:hAnsi="仿宋" w:eastAsia="仿宋" w:cs="仿宋"/>
          <w:b/>
          <w:color w:val="auto"/>
          <w:sz w:val="24"/>
          <w:highlight w:val="none"/>
          <w:lang w:eastAsia="zh-CN"/>
        </w:rPr>
        <w:t>采购人</w:t>
      </w:r>
      <w:r>
        <w:rPr>
          <w:rFonts w:hint="eastAsia" w:ascii="仿宋" w:hAnsi="仿宋" w:eastAsia="仿宋" w:cs="仿宋"/>
          <w:b/>
          <w:color w:val="auto"/>
          <w:sz w:val="24"/>
          <w:highlight w:val="none"/>
        </w:rPr>
        <w:t>则无需向</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支付审核费。退件弃审表示该委托业务不再继续，审核任务不再由</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承担，如弃审后又需要</w:t>
      </w:r>
      <w:r>
        <w:rPr>
          <w:rFonts w:hint="eastAsia" w:ascii="仿宋" w:hAnsi="仿宋" w:eastAsia="仿宋" w:cs="仿宋"/>
          <w:b/>
          <w:color w:val="auto"/>
          <w:sz w:val="24"/>
          <w:highlight w:val="none"/>
          <w:lang w:eastAsia="zh-CN"/>
        </w:rPr>
        <w:t>中标人</w:t>
      </w:r>
      <w:r>
        <w:rPr>
          <w:rFonts w:hint="eastAsia" w:ascii="仿宋" w:hAnsi="仿宋" w:eastAsia="仿宋" w:cs="仿宋"/>
          <w:b/>
          <w:color w:val="auto"/>
          <w:sz w:val="24"/>
          <w:highlight w:val="none"/>
        </w:rPr>
        <w:t>审核的，则按原收费标准计算审核费，并扣除已支付部分后，支付剩余部分费用。</w:t>
      </w:r>
    </w:p>
    <w:p w14:paraId="72AF12EA">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color w:val="auto"/>
          <w:sz w:val="24"/>
          <w:szCs w:val="24"/>
          <w:highlight w:val="none"/>
        </w:rPr>
      </w:pPr>
    </w:p>
    <w:p w14:paraId="6A34957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（四）考核及违约处罚</w:t>
      </w:r>
    </w:p>
    <w:p w14:paraId="76F8AFDD">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评审偏差率考核及扣费</w:t>
      </w:r>
    </w:p>
    <w:p w14:paraId="15038DF1">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经相关审核部门最终审核后，综合偏差率按如下公式计算：</w:t>
      </w:r>
    </w:p>
    <w:p w14:paraId="755D5A6B">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i=∣（单项工程）最终审核结算定案金额-（单项工程）结算金额∣÷（单项工程）最终审核结算定案金额</w:t>
      </w:r>
    </w:p>
    <w:p w14:paraId="22849E1D">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结算综合偏差率i超过以下情况的，</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作出如下的处理（注：此处结算是指相同口径下做出的结算，即指相同的编制依据、编制方法和编制深度等。此处结算综合偏差率是指因工程量计算错误、单价取定或调整错误、措施项目的计算或调整错误、其他项目及规费的和税金的取定、计算错误等各类计算误差正负相抵后的绝对值与修正后的结算审查性总额的比率。）</w:t>
      </w:r>
    </w:p>
    <w:p w14:paraId="2B0EE39F">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①单项清单偏差超过30万元以上的项目，且其影响单项工程定案金额超过1%的，即（单项清单偏差金额/单项工程最终审核定案金额&gt;1%），每出现一次按扣减该单项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的10%处理。</w:t>
      </w:r>
    </w:p>
    <w:p w14:paraId="15A02A82">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②i在4%（含）-7%的，扣减该单项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的10%。</w:t>
      </w:r>
    </w:p>
    <w:p w14:paraId="162EB7D6">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③i在7%（含）-10%的，扣减该单项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的20%。</w:t>
      </w:r>
    </w:p>
    <w:p w14:paraId="4CC8F055">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④i在10%（含）-20%的，扣减该单项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的30%。</w:t>
      </w:r>
    </w:p>
    <w:p w14:paraId="157FAE60">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⑤i在20%（含）-30%的，扣减该单项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的50%。</w:t>
      </w:r>
    </w:p>
    <w:p w14:paraId="539F3515">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⑥i≧30%的扣减该单项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的100%，且</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有权单方面终止合同（无需给予</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补偿）。</w:t>
      </w:r>
    </w:p>
    <w:p w14:paraId="2EB16BA4">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以上第①项单项清单偏差扣费和其余②至⑥项总价偏差扣费叠加计算，扣完为止。对已支付造价咨询费但事后抽查或审计的项目，发现</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的编制结果有误需扣减相应造价咨询费的，</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有权要求退回该单项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或在其今后支付的该单项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中抵扣，今后支付的该单项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不足以抵扣的，保留追溯的权利。</w:t>
      </w:r>
    </w:p>
    <w:p w14:paraId="75A955EA">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2项目违反时限管理逾期处理</w:t>
      </w:r>
    </w:p>
    <w:p w14:paraId="620939D2">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因</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原因，未能按约定的时间提交成果文件的，以及对审核意见处理不及时的，按如下规定处理：</w:t>
      </w:r>
    </w:p>
    <w:p w14:paraId="3262AA73">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⑴逾期5天（含）以内的，进行口头或书面警告处理。</w:t>
      </w:r>
    </w:p>
    <w:p w14:paraId="4BD0A38F">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⑵逾期5天以及10天（含）以下的，扣减该工程结算审核咨询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的10%。</w:t>
      </w:r>
    </w:p>
    <w:p w14:paraId="052B33EE">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⑶逾期10天以上20天（含）以下的，扣减该工程结算审核咨询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的20%。</w:t>
      </w:r>
    </w:p>
    <w:p w14:paraId="2DD0D313">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⑷逾期20天以上30天（含）以下的，扣减该工程结算审核咨询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的30%。</w:t>
      </w:r>
    </w:p>
    <w:p w14:paraId="1264A6A6">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⑸逾期超过30天，扣减该工程结算审核咨询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的50%。</w:t>
      </w:r>
    </w:p>
    <w:p w14:paraId="1B25D98A">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⑹若逾期扣费情况出现3次及以上，</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有权单方面终止合同（无需给予</w:t>
      </w:r>
      <w:r>
        <w:rPr>
          <w:rFonts w:hint="eastAsia" w:ascii="仿宋" w:hAnsi="仿宋" w:eastAsia="仿宋" w:cs="仿宋"/>
          <w:color w:val="auto"/>
          <w:sz w:val="24"/>
          <w:highlight w:val="none"/>
          <w:lang w:eastAsia="zh-CN"/>
        </w:rPr>
        <w:t>中标人</w:t>
      </w:r>
      <w:r>
        <w:rPr>
          <w:rFonts w:hint="eastAsia" w:ascii="仿宋" w:hAnsi="仿宋" w:eastAsia="仿宋" w:cs="仿宋"/>
          <w:color w:val="auto"/>
          <w:sz w:val="24"/>
          <w:highlight w:val="none"/>
        </w:rPr>
        <w:t>补偿）。</w:t>
      </w:r>
    </w:p>
    <w:p w14:paraId="084149C6">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sz w:val="24"/>
          <w:szCs w:val="24"/>
          <w:highlight w:val="none"/>
          <w:lang w:val="en-US" w:eastAsia="zh-CN"/>
        </w:rPr>
      </w:pPr>
    </w:p>
    <w:p w14:paraId="6F2591DC">
      <w:pPr>
        <w:pStyle w:val="17"/>
        <w:keepNext w:val="0"/>
        <w:keepLines w:val="0"/>
        <w:pageBreakBefore w:val="0"/>
        <w:widowControl w:val="0"/>
        <w:tabs>
          <w:tab w:val="left" w:pos="1185"/>
        </w:tabs>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（五）履约担保</w:t>
      </w:r>
    </w:p>
    <w:p w14:paraId="6D551CB7">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1.履约担保的形式：可采用现金担保、银行业金融机构担保、保险机构担保以及专业担保机构担保，保函的内容及格式须经采购人认可。</w:t>
      </w:r>
    </w:p>
    <w:p w14:paraId="6ED563AC">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2.履约担保总金额：签约合同总价的10%。</w:t>
      </w:r>
    </w:p>
    <w:p w14:paraId="6F25A75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3.履约担保递交时间：在签订合同前递交。</w:t>
      </w:r>
    </w:p>
    <w:p w14:paraId="5DE1A4BD">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4.履约担保的退回：服务期满后且中标人完成全部服务工作内容后10日内无息退还。</w:t>
      </w:r>
    </w:p>
    <w:p w14:paraId="261D96B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注：（1）上述提供担保的保证人应为具有相应资格的银行业金融机构、保险机构、专业担保机构。①银行业金融机构是指分行、支行以上银行；②保险机构是指经银保监会批准可以从事保证保险业务的保险公司；③专业担保机构是指取得相关主管部门核发的资格证书的专业工程担保公司。</w:t>
      </w:r>
    </w:p>
    <w:p w14:paraId="48103E80">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如采用履约保函，保函有效期至本工程服务期满后（30）天，中标人提供的履约保函应经采购人确认。如果出具的履约保函有效期早于上述规定的时间，中标人应在保函到期前一个月内延长保函的有效期，否则将被视为违约。</w:t>
      </w:r>
    </w:p>
    <w:p w14:paraId="4BD8712A">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（3）使用现金作为履约担保的应符合《现金管理暂行条例》的规定。</w:t>
      </w:r>
    </w:p>
    <w:p w14:paraId="684D4DF2">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（4）执行本条各项要求所需的费用由中标人承担。</w:t>
      </w:r>
    </w:p>
    <w:p w14:paraId="710CA724">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履约保证金用于补偿采购人因中标人履约不充分、不及时而蒙受的损失。如果在中标人不能履行其合同项下任何一项义务而承担违约责任的情况下，采购人有权不经中标人同意直接从履约保证金中扣除资金补偿采购人的任何损失；中标人通过保函形式提供履约保证金的，采购人有权要求担保方支付相应款项。</w:t>
      </w:r>
    </w:p>
    <w:p w14:paraId="5A2B5657">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（6）采购人提取履约保证金后，剩余履约保证金不足合同总价10%的，中标人应及时补足履约保证金或另行提供履约保函。</w:t>
      </w:r>
    </w:p>
    <w:p w14:paraId="4ECC3F04">
      <w:pPr>
        <w:keepNext w:val="0"/>
        <w:keepLines w:val="0"/>
        <w:pageBreakBefore w:val="0"/>
        <w:widowControl/>
        <w:numPr>
          <w:ilvl w:val="-1"/>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br w:type="page"/>
      </w:r>
    </w:p>
    <w:p w14:paraId="061786A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三</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rPr>
        <w:fldChar w:fldCharType="begin"/>
      </w:r>
      <w:r>
        <w:rPr>
          <w:rFonts w:hint="eastAsia" w:ascii="仿宋" w:hAnsi="仿宋" w:eastAsia="仿宋" w:cs="仿宋"/>
          <w:b/>
          <w:color w:val="auto"/>
          <w:sz w:val="24"/>
          <w:szCs w:val="24"/>
          <w:highlight w:val="none"/>
        </w:rPr>
        <w:instrText xml:space="preserve"> DOCVARIABLE  技术要求开始  \* MERGEFORMAT </w:instrText>
      </w:r>
      <w:r>
        <w:rPr>
          <w:rFonts w:hint="eastAsia" w:ascii="仿宋" w:hAnsi="仿宋" w:eastAsia="仿宋" w:cs="仿宋"/>
          <w:b/>
          <w:color w:val="auto"/>
          <w:sz w:val="24"/>
          <w:szCs w:val="24"/>
          <w:highlight w:val="none"/>
        </w:rPr>
        <w:fldChar w:fldCharType="end"/>
      </w:r>
      <w:r>
        <w:rPr>
          <w:rFonts w:hint="eastAsia" w:ascii="仿宋" w:hAnsi="仿宋" w:eastAsia="仿宋" w:cs="仿宋"/>
          <w:b/>
          <w:color w:val="auto"/>
          <w:sz w:val="24"/>
          <w:szCs w:val="24"/>
          <w:highlight w:val="none"/>
        </w:rPr>
        <w:t>采购项目</w:t>
      </w:r>
      <w:r>
        <w:rPr>
          <w:rFonts w:hint="eastAsia" w:ascii="仿宋" w:hAnsi="仿宋" w:eastAsia="仿宋" w:cs="仿宋"/>
          <w:b/>
          <w:color w:val="auto"/>
          <w:sz w:val="24"/>
          <w:szCs w:val="24"/>
          <w:highlight w:val="none"/>
          <w:lang w:val="en-US" w:eastAsia="zh-CN"/>
        </w:rPr>
        <w:t>技术要求</w:t>
      </w:r>
    </w:p>
    <w:p w14:paraId="6029E72A">
      <w:pPr>
        <w:keepNext w:val="0"/>
        <w:keepLines w:val="0"/>
        <w:pageBreakBefore w:val="0"/>
        <w:widowControl w:val="0"/>
        <w:numPr>
          <w:ilvl w:val="-1"/>
          <w:numId w:val="0"/>
        </w:numPr>
        <w:kinsoku/>
        <w:wordWrap/>
        <w:overflowPunct/>
        <w:topLinePunct w:val="0"/>
        <w:bidi w:val="0"/>
        <w:snapToGrid w:val="0"/>
        <w:spacing w:line="440" w:lineRule="exact"/>
        <w:ind w:firstLine="48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项目建设规模</w:t>
      </w:r>
    </w:p>
    <w:p w14:paraId="4216D9E8">
      <w:pPr>
        <w:keepNext w:val="0"/>
        <w:keepLines w:val="0"/>
        <w:pageBreakBefore w:val="0"/>
        <w:widowControl w:val="0"/>
        <w:kinsoku/>
        <w:wordWrap/>
        <w:overflowPunct/>
        <w:topLinePunct w:val="0"/>
        <w:bidi w:val="0"/>
        <w:snapToGrid w:val="0"/>
        <w:spacing w:line="440" w:lineRule="exact"/>
        <w:ind w:firstLine="480"/>
        <w:textAlignment w:val="auto"/>
        <w:rPr>
          <w:rFonts w:hint="eastAsia" w:ascii="仿宋" w:hAnsi="仿宋" w:eastAsia="仿宋" w:cs="仿宋"/>
          <w:color w:val="auto"/>
          <w:sz w:val="24"/>
          <w:highlight w:val="none"/>
          <w:u w:val="none"/>
          <w:lang w:eastAsia="zh-CN"/>
        </w:rPr>
      </w:pPr>
      <w:r>
        <w:rPr>
          <w:rFonts w:hint="eastAsia" w:ascii="仿宋" w:hAnsi="仿宋" w:eastAsia="仿宋" w:cs="仿宋"/>
          <w:color w:val="auto"/>
          <w:sz w:val="24"/>
          <w:highlight w:val="none"/>
          <w:u w:val="none"/>
          <w:lang w:eastAsia="zh-CN"/>
        </w:rPr>
        <w:t>项目建设地点:佛山市南海区桂城街道海五路南侧,千灯湖公园西侧,南六路东侧,海四路北侧。</w:t>
      </w:r>
    </w:p>
    <w:p w14:paraId="6858754C">
      <w:pPr>
        <w:keepNext w:val="0"/>
        <w:keepLines w:val="0"/>
        <w:pageBreakBefore w:val="0"/>
        <w:widowControl w:val="0"/>
        <w:kinsoku/>
        <w:wordWrap/>
        <w:overflowPunct/>
        <w:topLinePunct w:val="0"/>
        <w:bidi w:val="0"/>
        <w:snapToGrid w:val="0"/>
        <w:spacing w:line="440" w:lineRule="exact"/>
        <w:ind w:firstLine="480"/>
        <w:textAlignment w:val="auto"/>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eastAsia="zh-CN"/>
        </w:rPr>
        <w:t>项目主要建设内容及规模:项目占地面积63876.63平方米，总建设面积约170000平方米,其中地下室总面积73324.95平方米。建设包括南海文化中心东侧道路、科技活动展览馆、图书馆、美术展馆、城市非遗文创馆、文化综合馆、青少年活动中心、老年人活动中心和管理服务区等设施。新建一条下穿道路全长约390米。总投资约257177.38万元，其中建安费约205996.18万元。</w:t>
      </w:r>
    </w:p>
    <w:p w14:paraId="5526B1FD">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kern w:val="2"/>
          <w:sz w:val="24"/>
          <w:szCs w:val="24"/>
          <w:highlight w:val="none"/>
          <w:lang w:val="en-US" w:eastAsia="zh-CN" w:bidi="ar-SA"/>
        </w:rPr>
        <w:t>（二）</w:t>
      </w:r>
      <w:r>
        <w:rPr>
          <w:rFonts w:hint="eastAsia" w:ascii="仿宋" w:hAnsi="仿宋" w:eastAsia="仿宋" w:cs="仿宋"/>
          <w:b/>
          <w:color w:val="auto"/>
          <w:sz w:val="24"/>
          <w:szCs w:val="24"/>
          <w:highlight w:val="none"/>
          <w:lang w:val="en-US" w:eastAsia="zh-CN"/>
        </w:rPr>
        <w:t>项目服务内容和范围</w:t>
      </w:r>
    </w:p>
    <w:p w14:paraId="50461CBD">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项目为南海文化中心项目结算单审和双审初审服务，审核范围包括但不限于土建施工总承包、幕墙系统工程、高低压变配电工程、装修及机电安装工程、三圣河（南海文化中心段）改造、智能化工程、自然科学探索馆布展工程、图书馆专用设备采购、电梯设备采购与安装工程、图书馆专用家具采购、舞台设备供应及安装、办公家具、用具采购、其他工程、采购及服务项目等。中标人需完成工作包括但不限于：工程结算审核、人工及材料设备调差审核、建立工程变更报备、报批情况台账。</w:t>
      </w:r>
    </w:p>
    <w:p w14:paraId="2FCDD7C1">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1.工程结算审核：</w:t>
      </w:r>
    </w:p>
    <w:p w14:paraId="3D00F534">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中标人按照合同和采购人的要求，根据竣工图、工程合同、相关法律、招标文件、投标文件、施工图纸、设计变更、现场签证、现场发生的各项有效证明、法规规范与省市区发布的相关造价文件等相关资料审核工程结算造价，对施工单位提供的竣工结算编制报告开展结算审核工作，并审核施工单位提交的结算资料是否完整和符合规范，以保证满足报送财政部门（或政府指定部门）的要求。</w:t>
      </w:r>
    </w:p>
    <w:p w14:paraId="727CFE34">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2.人工及材料设备调差审核：</w:t>
      </w:r>
    </w:p>
    <w:p w14:paraId="30EBE84C">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中标人按照合同和采购人的要求，根据已修编的月进度计量，结合建设工程施工合同中相关条款约定的人工、材料设备价格调整原则，对本工程的人工及材料设备调差进行审核，并将审核成果报告给采购人。</w:t>
      </w:r>
    </w:p>
    <w:p w14:paraId="4875F57B">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3.建立工程变更报备、报批情况台账：</w:t>
      </w:r>
    </w:p>
    <w:p w14:paraId="07BCF4C8">
      <w:pPr>
        <w:keepNext w:val="0"/>
        <w:keepLines w:val="0"/>
        <w:pageBreakBefore w:val="0"/>
        <w:widowControl w:val="0"/>
        <w:numPr>
          <w:ilvl w:val="0"/>
          <w:numId w:val="0"/>
        </w:numPr>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color w:val="auto"/>
          <w:sz w:val="24"/>
          <w:highlight w:val="none"/>
          <w:lang w:val="en-US" w:eastAsia="zh-CN"/>
        </w:rPr>
        <w:t>中标人应按照采购人及其上级主管部门发布对应的变更管理办法，检查本工程范围内所有变更资料是否已按相关文件要求完成报批、报备手续，并建立台账</w:t>
      </w:r>
      <w:r>
        <w:rPr>
          <w:rFonts w:hint="eastAsia" w:ascii="仿宋" w:hAnsi="仿宋" w:eastAsia="仿宋" w:cs="仿宋"/>
          <w:color w:val="auto"/>
          <w:sz w:val="24"/>
          <w:highlight w:val="none"/>
          <w:lang w:eastAsia="zh-CN"/>
        </w:rPr>
        <w:t>。</w:t>
      </w:r>
    </w:p>
    <w:p w14:paraId="2D464F56">
      <w:pPr>
        <w:pStyle w:val="17"/>
        <w:keepNext w:val="0"/>
        <w:keepLines w:val="0"/>
        <w:pageBreakBefore w:val="0"/>
        <w:widowControl w:val="0"/>
        <w:tabs>
          <w:tab w:val="left" w:pos="1185"/>
        </w:tabs>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（三）人员要求</w:t>
      </w:r>
    </w:p>
    <w:p w14:paraId="15AC3ACA">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中标人应为本项目指定一名项目负责人和若干名专业负责人，并在实施过程中根据采购人的需求进行增配，确保造价咨询工作高效、高质量完成。</w:t>
      </w:r>
    </w:p>
    <w:p w14:paraId="21D61DD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kern w:val="2"/>
          <w:sz w:val="24"/>
          <w:szCs w:val="24"/>
          <w:highlight w:val="none"/>
          <w:lang w:val="en-US" w:eastAsia="zh-CN" w:bidi="ar-SA"/>
        </w:rPr>
        <w:t>（四）质量标准</w:t>
      </w:r>
    </w:p>
    <w:p w14:paraId="2065DEC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严格按照国家、广东省、佛山市、南海区或行业相关标准规范等依据提供准确、可靠的工程结算审核咨询服务。</w:t>
      </w:r>
    </w:p>
    <w:p w14:paraId="3F97F1C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1、中标人应当保证所提交报告文件的合法性、准确性和全面性。</w:t>
      </w:r>
    </w:p>
    <w:p w14:paraId="77E43AF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2、中标人所提交的报告文件必须文字清晰整齐，内容达到采购人及本合同的要求。</w:t>
      </w:r>
    </w:p>
    <w:p w14:paraId="61036E03">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3、如中标人不按合同条款、采购人的要求执行，或报告质量等达不到采购人的要求，采购人有权勒令中标人整改，一切责任由中标人负责。</w:t>
      </w:r>
    </w:p>
    <w:p w14:paraId="154FB8CD">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各项工程结算审核服务完成，中标人自检审查合格后，按要求将报告移交采购人，并提供有关资料（包括工程量计算书、广联达图形算量及钢筋抽料单、各分部分项工程工程量汇总、成本分析报告等）。如果发现中标人的资料不能达到采购人（或政府指定部门）的要求时，中标人须对所报资料进行整改、修正，直至符合采购人（或政府指定部门）要求为止(中标人移交的计算底稿必须可复查性强、条理清楚、步骤清晰)且最后一次修正稿的提交日为中标人提交工作成果日。</w:t>
      </w:r>
    </w:p>
    <w:p w14:paraId="2114FB2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5、工程结算审核咨询成果文件应符合：国家、行业、地方现行相关标准和规范、规程，确保成果资料完整、真实准确、清晰有据。</w:t>
      </w:r>
    </w:p>
    <w:p w14:paraId="7D269C2F">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en-US" w:eastAsia="zh-CN"/>
        </w:rPr>
      </w:pPr>
    </w:p>
    <w:p w14:paraId="38254FC7">
      <w:pPr>
        <w:rPr>
          <w:rFonts w:hint="eastAsia" w:ascii="仿宋" w:hAnsi="仿宋" w:eastAsia="仿宋" w:cs="仿宋"/>
          <w:color w:val="auto"/>
          <w:highlight w:val="none"/>
          <w:lang w:val="en-US"/>
        </w:rPr>
      </w:pPr>
    </w:p>
    <w:p w14:paraId="21166795">
      <w:pPr>
        <w:rPr>
          <w:rFonts w:hint="eastAsia" w:ascii="仿宋" w:hAnsi="仿宋" w:eastAsia="仿宋" w:cs="仿宋"/>
          <w:color w:val="auto"/>
          <w:sz w:val="44"/>
          <w:highlight w:val="none"/>
          <w:lang w:val="zh-CN"/>
        </w:rPr>
      </w:pPr>
      <w:r>
        <w:rPr>
          <w:rFonts w:hint="eastAsia" w:ascii="仿宋" w:hAnsi="仿宋" w:eastAsia="仿宋" w:cs="仿宋"/>
          <w:color w:val="auto"/>
          <w:sz w:val="44"/>
          <w:highlight w:val="none"/>
          <w:lang w:val="zh-CN"/>
        </w:rPr>
        <w:br w:type="page"/>
      </w:r>
    </w:p>
    <w:p w14:paraId="7DD9DC4B">
      <w:pPr>
        <w:rPr>
          <w:rFonts w:hint="eastAsia" w:ascii="仿宋" w:hAnsi="仿宋" w:eastAsia="仿宋" w:cs="仿宋"/>
          <w:color w:val="auto"/>
          <w:highlight w:val="none"/>
          <w:lang w:val="zh-CN"/>
        </w:rPr>
      </w:pPr>
    </w:p>
    <w:p w14:paraId="607B96EF">
      <w:pPr>
        <w:pStyle w:val="3"/>
        <w:spacing w:line="360" w:lineRule="auto"/>
        <w:rPr>
          <w:rFonts w:hint="eastAsia" w:ascii="仿宋" w:hAnsi="仿宋" w:eastAsia="仿宋" w:cs="仿宋"/>
          <w:color w:val="auto"/>
          <w:sz w:val="44"/>
          <w:highlight w:val="none"/>
          <w:lang w:val="zh-CN"/>
        </w:rPr>
      </w:pPr>
    </w:p>
    <w:p w14:paraId="3F1CBC95">
      <w:pPr>
        <w:pStyle w:val="3"/>
        <w:spacing w:line="360" w:lineRule="auto"/>
        <w:rPr>
          <w:rFonts w:hint="eastAsia" w:ascii="仿宋" w:hAnsi="仿宋" w:eastAsia="仿宋" w:cs="仿宋"/>
          <w:color w:val="auto"/>
          <w:sz w:val="44"/>
          <w:highlight w:val="none"/>
          <w:lang w:val="zh-CN"/>
        </w:rPr>
      </w:pPr>
    </w:p>
    <w:p w14:paraId="0A597964">
      <w:pPr>
        <w:pStyle w:val="3"/>
        <w:spacing w:line="360" w:lineRule="auto"/>
        <w:rPr>
          <w:rFonts w:hint="eastAsia" w:ascii="仿宋" w:hAnsi="仿宋" w:eastAsia="仿宋" w:cs="仿宋"/>
          <w:color w:val="auto"/>
          <w:sz w:val="44"/>
          <w:highlight w:val="none"/>
          <w:lang w:val="zh-CN"/>
        </w:rPr>
      </w:pPr>
    </w:p>
    <w:p w14:paraId="5C66C10D">
      <w:pPr>
        <w:pStyle w:val="173"/>
        <w:bidi w:val="0"/>
        <w:rPr>
          <w:rFonts w:hint="eastAsia" w:ascii="仿宋" w:hAnsi="仿宋" w:eastAsia="仿宋" w:cs="仿宋"/>
          <w:color w:val="auto"/>
          <w:highlight w:val="none"/>
        </w:rPr>
      </w:pPr>
      <w:bookmarkStart w:id="12" w:name="第三部分"/>
      <w:bookmarkEnd w:id="12"/>
      <w:r>
        <w:rPr>
          <w:rFonts w:hint="eastAsia" w:ascii="仿宋" w:hAnsi="仿宋" w:eastAsia="仿宋" w:cs="仿宋"/>
          <w:highlight w:val="none"/>
          <w:lang w:val="zh-CN"/>
        </w:rPr>
        <w:t>第三部分　</w:t>
      </w:r>
      <w:r>
        <w:rPr>
          <w:rFonts w:hint="eastAsia" w:ascii="仿宋" w:hAnsi="仿宋" w:eastAsia="仿宋" w:cs="仿宋"/>
          <w:highlight w:val="none"/>
        </w:rPr>
        <w:t>投标人须知</w:t>
      </w:r>
      <w:bookmarkEnd w:id="11"/>
    </w:p>
    <w:p w14:paraId="62A56CFA">
      <w:pPr>
        <w:pageBreakBefore/>
        <w:spacing w:line="360" w:lineRule="auto"/>
        <w:jc w:val="center"/>
        <w:rPr>
          <w:rFonts w:hint="eastAsia" w:ascii="仿宋" w:hAnsi="仿宋" w:eastAsia="仿宋" w:cs="仿宋"/>
          <w:b/>
          <w:bCs/>
          <w:color w:val="auto"/>
          <w:sz w:val="32"/>
          <w:highlight w:val="none"/>
        </w:rPr>
      </w:pPr>
      <w:r>
        <w:rPr>
          <w:rFonts w:hint="eastAsia" w:ascii="仿宋" w:hAnsi="仿宋" w:eastAsia="仿宋" w:cs="仿宋"/>
          <w:b/>
          <w:bCs/>
          <w:color w:val="auto"/>
          <w:sz w:val="32"/>
          <w:highlight w:val="none"/>
        </w:rPr>
        <w:t>投标人须知一览表</w:t>
      </w:r>
    </w:p>
    <w:tbl>
      <w:tblPr>
        <w:tblStyle w:val="41"/>
        <w:tblW w:w="10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312"/>
        <w:gridCol w:w="6866"/>
      </w:tblGrid>
      <w:tr w14:paraId="4E1F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shd w:val="clear" w:color="auto" w:fill="F3F3F3"/>
            <w:vAlign w:val="center"/>
          </w:tcPr>
          <w:p w14:paraId="0B670F84">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312" w:type="dxa"/>
            <w:shd w:val="clear" w:color="auto" w:fill="F3F3F3"/>
            <w:vAlign w:val="center"/>
          </w:tcPr>
          <w:p w14:paraId="15084B9C">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项  目</w:t>
            </w:r>
          </w:p>
        </w:tc>
        <w:tc>
          <w:tcPr>
            <w:tcW w:w="6866" w:type="dxa"/>
            <w:shd w:val="clear" w:color="auto" w:fill="F3F3F3"/>
            <w:vAlign w:val="center"/>
          </w:tcPr>
          <w:p w14:paraId="3D644AD8">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主  要  内  容</w:t>
            </w:r>
          </w:p>
        </w:tc>
      </w:tr>
      <w:tr w14:paraId="20C0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20" w:type="dxa"/>
            <w:vAlign w:val="center"/>
          </w:tcPr>
          <w:p w14:paraId="5C338A25">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312" w:type="dxa"/>
            <w:vAlign w:val="center"/>
          </w:tcPr>
          <w:p w14:paraId="10DBD1EC">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采购预算</w:t>
            </w:r>
          </w:p>
        </w:tc>
        <w:tc>
          <w:tcPr>
            <w:tcW w:w="6866" w:type="dxa"/>
            <w:vAlign w:val="center"/>
          </w:tcPr>
          <w:p w14:paraId="4EBAC4F4">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 w:hAnsi="仿宋" w:eastAsia="仿宋" w:cs="仿宋"/>
                <w:b/>
                <w:i/>
                <w:color w:val="auto"/>
                <w:sz w:val="24"/>
                <w:highlight w:val="none"/>
                <w:lang w:val="en-US" w:eastAsia="zh-CN"/>
              </w:rPr>
            </w:pPr>
            <w:r>
              <w:rPr>
                <w:rFonts w:hint="eastAsia" w:ascii="仿宋" w:hAnsi="仿宋" w:eastAsia="仿宋" w:cs="仿宋"/>
                <w:color w:val="auto"/>
                <w:sz w:val="24"/>
                <w:highlight w:val="none"/>
              </w:rPr>
              <w:t>人民币</w:t>
            </w:r>
            <w:r>
              <w:rPr>
                <w:rFonts w:hint="eastAsia" w:ascii="仿宋" w:hAnsi="仿宋" w:eastAsia="仿宋" w:cs="仿宋"/>
                <w:color w:val="auto"/>
                <w:sz w:val="24"/>
                <w:highlight w:val="none"/>
                <w:lang w:val="en-US" w:eastAsia="zh-CN"/>
              </w:rPr>
              <w:t>3418937.62</w:t>
            </w:r>
            <w:r>
              <w:rPr>
                <w:rFonts w:hint="eastAsia" w:ascii="仿宋" w:hAnsi="仿宋" w:eastAsia="仿宋" w:cs="仿宋"/>
                <w:color w:val="auto"/>
                <w:sz w:val="24"/>
                <w:highlight w:val="none"/>
              </w:rPr>
              <w:t>元</w:t>
            </w:r>
          </w:p>
        </w:tc>
      </w:tr>
      <w:tr w14:paraId="7635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1A8A2E8A">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2312" w:type="dxa"/>
            <w:vAlign w:val="center"/>
          </w:tcPr>
          <w:p w14:paraId="14E0463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投标最高限价</w:t>
            </w:r>
          </w:p>
        </w:tc>
        <w:tc>
          <w:tcPr>
            <w:tcW w:w="6866" w:type="dxa"/>
            <w:vAlign w:val="center"/>
          </w:tcPr>
          <w:p w14:paraId="6DF39676">
            <w:pPr>
              <w:keepNext w:val="0"/>
              <w:keepLines w:val="0"/>
              <w:pageBreakBefore w:val="0"/>
              <w:widowControl w:val="0"/>
              <w:tabs>
                <w:tab w:val="left" w:pos="2520"/>
              </w:tabs>
              <w:kinsoku/>
              <w:wordWrap/>
              <w:overflowPunct/>
              <w:topLinePunct w:val="0"/>
              <w:autoSpaceDE/>
              <w:autoSpaceDN/>
              <w:bidi w:val="0"/>
              <w:adjustRightInd/>
              <w:snapToGrid/>
              <w:spacing w:line="312"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b w:val="0"/>
                <w:bCs w:val="0"/>
                <w:color w:val="auto"/>
                <w:sz w:val="24"/>
                <w:szCs w:val="24"/>
                <w:highlight w:val="none"/>
                <w:lang w:val="en-US" w:eastAsia="zh-CN"/>
              </w:rPr>
              <w:t>投标折率最高投标限价：65.00%。</w:t>
            </w:r>
          </w:p>
        </w:tc>
      </w:tr>
      <w:tr w14:paraId="0BE0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145F7EBA">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2312" w:type="dxa"/>
            <w:vAlign w:val="center"/>
          </w:tcPr>
          <w:p w14:paraId="3B8D473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投标保证金</w:t>
            </w:r>
          </w:p>
        </w:tc>
        <w:tc>
          <w:tcPr>
            <w:tcW w:w="6866" w:type="dxa"/>
            <w:vAlign w:val="center"/>
          </w:tcPr>
          <w:p w14:paraId="2B1EE267">
            <w:pPr>
              <w:keepNext w:val="0"/>
              <w:keepLines w:val="0"/>
              <w:pageBreakBefore w:val="0"/>
              <w:widowControl w:val="0"/>
              <w:numPr>
                <w:ilvl w:val="0"/>
                <w:numId w:val="0"/>
              </w:numPr>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highlight w:val="none"/>
              </w:rPr>
              <w:t>保证金金额为：</w:t>
            </w:r>
            <w:r>
              <w:rPr>
                <w:rFonts w:hint="eastAsia" w:ascii="仿宋" w:hAnsi="仿宋" w:eastAsia="仿宋" w:cs="仿宋"/>
                <w:color w:val="auto"/>
                <w:sz w:val="24"/>
                <w:highlight w:val="none"/>
                <w:lang w:val="en-US" w:eastAsia="zh-CN"/>
              </w:rPr>
              <w:t>60000.00元</w:t>
            </w:r>
            <w:r>
              <w:rPr>
                <w:rFonts w:hint="eastAsia" w:ascii="仿宋" w:hAnsi="仿宋" w:eastAsia="仿宋" w:cs="仿宋"/>
                <w:color w:val="auto"/>
                <w:sz w:val="24"/>
                <w:highlight w:val="none"/>
              </w:rPr>
              <w:t>（大写：</w:t>
            </w:r>
            <w:r>
              <w:rPr>
                <w:rFonts w:hint="eastAsia" w:ascii="仿宋" w:hAnsi="仿宋" w:eastAsia="仿宋" w:cs="仿宋"/>
                <w:color w:val="auto"/>
                <w:sz w:val="24"/>
                <w:highlight w:val="none"/>
                <w:lang w:val="en-US" w:eastAsia="zh-CN"/>
              </w:rPr>
              <w:t>陆万元整</w:t>
            </w:r>
            <w:r>
              <w:rPr>
                <w:rFonts w:hint="eastAsia" w:ascii="仿宋" w:hAnsi="仿宋" w:eastAsia="仿宋" w:cs="仿宋"/>
                <w:color w:val="auto"/>
                <w:sz w:val="24"/>
                <w:highlight w:val="none"/>
              </w:rPr>
              <w:t>），投标人须于</w:t>
            </w:r>
            <w:r>
              <w:rPr>
                <w:rFonts w:hint="eastAsia" w:ascii="仿宋" w:hAnsi="仿宋" w:eastAsia="仿宋" w:cs="仿宋"/>
                <w:color w:val="auto"/>
                <w:sz w:val="24"/>
                <w:highlight w:val="none"/>
                <w:lang w:val="en-US" w:eastAsia="zh-CN"/>
              </w:rPr>
              <w:t>规定时间内</w:t>
            </w:r>
            <w:r>
              <w:rPr>
                <w:rFonts w:hint="eastAsia" w:ascii="仿宋" w:hAnsi="仿宋" w:eastAsia="仿宋" w:cs="仿宋"/>
                <w:color w:val="auto"/>
                <w:sz w:val="24"/>
                <w:highlight w:val="none"/>
              </w:rPr>
              <w:t>将</w:t>
            </w:r>
            <w:r>
              <w:rPr>
                <w:rFonts w:hint="eastAsia" w:ascii="仿宋" w:hAnsi="仿宋" w:eastAsia="仿宋" w:cs="仿宋"/>
                <w:color w:val="auto"/>
                <w:sz w:val="24"/>
                <w:highlight w:val="none"/>
                <w:lang w:val="en-US" w:eastAsia="zh-CN"/>
              </w:rPr>
              <w:t>投标</w:t>
            </w:r>
            <w:r>
              <w:rPr>
                <w:rFonts w:hint="eastAsia" w:ascii="仿宋" w:hAnsi="仿宋" w:eastAsia="仿宋" w:cs="仿宋"/>
                <w:color w:val="auto"/>
                <w:sz w:val="24"/>
                <w:highlight w:val="none"/>
              </w:rPr>
              <w:t>保证金由投标人名下的银行账户（采用银行柜台、网上银行转账两种方式之一的方式）缴纳到指定账户，以银行到账为准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详见本项目的采购公告）</w:t>
            </w:r>
            <w:r>
              <w:rPr>
                <w:rFonts w:hint="eastAsia" w:ascii="仿宋" w:hAnsi="仿宋" w:eastAsia="仿宋" w:cs="仿宋"/>
                <w:color w:val="auto"/>
                <w:sz w:val="24"/>
                <w:highlight w:val="none"/>
              </w:rPr>
              <w:t>。否则</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有权拒绝接收其投标。</w:t>
            </w:r>
          </w:p>
          <w:p w14:paraId="4E6D83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经查询，投标人的投标保证金未到达采购文件要求账户的，</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有权拒绝其投标。</w:t>
            </w:r>
          </w:p>
          <w:p w14:paraId="483E99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开标时应携带投标保证金</w:t>
            </w:r>
            <w:r>
              <w:rPr>
                <w:rFonts w:hint="eastAsia" w:ascii="仿宋" w:hAnsi="仿宋" w:eastAsia="仿宋" w:cs="仿宋"/>
                <w:color w:val="auto"/>
                <w:sz w:val="24"/>
                <w:highlight w:val="none"/>
                <w:lang w:eastAsia="zh-CN"/>
              </w:rPr>
              <w:t>汇款</w:t>
            </w:r>
            <w:r>
              <w:rPr>
                <w:rFonts w:hint="eastAsia" w:ascii="仿宋" w:hAnsi="仿宋" w:eastAsia="仿宋" w:cs="仿宋"/>
                <w:color w:val="auto"/>
                <w:sz w:val="24"/>
                <w:highlight w:val="none"/>
                <w:lang w:val="en-US" w:eastAsia="zh-CN"/>
              </w:rPr>
              <w:t>凭证</w:t>
            </w:r>
            <w:r>
              <w:rPr>
                <w:rFonts w:hint="eastAsia" w:ascii="仿宋" w:hAnsi="仿宋" w:eastAsia="仿宋" w:cs="仿宋"/>
                <w:color w:val="auto"/>
                <w:sz w:val="24"/>
                <w:highlight w:val="none"/>
              </w:rPr>
              <w:t>原件以供</w:t>
            </w:r>
            <w:r>
              <w:rPr>
                <w:rFonts w:hint="eastAsia" w:ascii="仿宋" w:hAnsi="仿宋" w:eastAsia="仿宋" w:cs="仿宋"/>
                <w:iCs/>
                <w:color w:val="auto"/>
                <w:sz w:val="24"/>
                <w:highlight w:val="none"/>
              </w:rPr>
              <w:t>备</w:t>
            </w:r>
            <w:r>
              <w:rPr>
                <w:rFonts w:hint="eastAsia" w:ascii="仿宋" w:hAnsi="仿宋" w:eastAsia="仿宋" w:cs="仿宋"/>
                <w:color w:val="auto"/>
                <w:sz w:val="24"/>
                <w:highlight w:val="none"/>
              </w:rPr>
              <w:t>查。</w:t>
            </w:r>
          </w:p>
          <w:p w14:paraId="068A3B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r>
              <w:rPr>
                <w:rFonts w:hint="eastAsia" w:ascii="仿宋" w:hAnsi="仿宋" w:eastAsia="仿宋" w:cs="仿宋"/>
                <w:b/>
                <w:bCs/>
                <w:color w:val="auto"/>
                <w:sz w:val="24"/>
                <w:highlight w:val="none"/>
              </w:rPr>
              <w:t>投标人须在</w:t>
            </w:r>
            <w:r>
              <w:rPr>
                <w:rFonts w:hint="eastAsia" w:ascii="仿宋" w:hAnsi="仿宋" w:eastAsia="仿宋" w:cs="仿宋"/>
                <w:b/>
                <w:color w:val="auto"/>
                <w:sz w:val="24"/>
                <w:highlight w:val="none"/>
              </w:rPr>
              <w:t>提交投标文件同时</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lang w:val="en-US" w:eastAsia="zh-CN"/>
              </w:rPr>
              <w:t>单独提交</w:t>
            </w:r>
            <w:r>
              <w:rPr>
                <w:rFonts w:hint="eastAsia" w:ascii="仿宋" w:hAnsi="仿宋" w:eastAsia="仿宋" w:cs="仿宋"/>
                <w:b/>
                <w:bCs/>
                <w:color w:val="auto"/>
                <w:sz w:val="24"/>
                <w:highlight w:val="none"/>
              </w:rPr>
              <w:t>《企业采购保证金退付委托书》</w:t>
            </w:r>
            <w:r>
              <w:rPr>
                <w:rFonts w:hint="eastAsia" w:ascii="仿宋" w:hAnsi="仿宋" w:eastAsia="仿宋" w:cs="仿宋"/>
                <w:b/>
                <w:color w:val="auto"/>
                <w:sz w:val="24"/>
                <w:highlight w:val="none"/>
              </w:rPr>
              <w:t>（格式见第五部分投标文件格式）</w:t>
            </w:r>
            <w:r>
              <w:rPr>
                <w:rFonts w:hint="eastAsia" w:ascii="仿宋" w:hAnsi="仿宋" w:eastAsia="仿宋" w:cs="仿宋"/>
                <w:b/>
                <w:bCs/>
                <w:color w:val="auto"/>
                <w:sz w:val="24"/>
                <w:highlight w:val="none"/>
              </w:rPr>
              <w:t>和营业执照复印件（均须加盖单位公章），其为投标人办理投标保证金退付的必须资料，由佛山市南海公有资产流转服务有限公司按照相关文件要求规定办理退款（不计利息）。</w:t>
            </w:r>
          </w:p>
        </w:tc>
      </w:tr>
      <w:tr w14:paraId="7F05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18E917FE">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p>
        </w:tc>
        <w:tc>
          <w:tcPr>
            <w:tcW w:w="2312" w:type="dxa"/>
            <w:vAlign w:val="center"/>
          </w:tcPr>
          <w:p w14:paraId="362F2FF0">
            <w:pPr>
              <w:keepNext w:val="0"/>
              <w:keepLines w:val="0"/>
              <w:pageBreakBefore w:val="0"/>
              <w:widowControl w:val="0"/>
              <w:kinsoku/>
              <w:wordWrap/>
              <w:overflowPunct/>
              <w:topLinePunct w:val="0"/>
              <w:autoSpaceDE/>
              <w:autoSpaceDN/>
              <w:bidi w:val="0"/>
              <w:adjustRightInd/>
              <w:snapToGrid/>
              <w:spacing w:line="312" w:lineRule="auto"/>
              <w:ind w:left="-107" w:leftChars="-51" w:right="-36" w:rightChars="-17"/>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中标服务费</w:t>
            </w:r>
          </w:p>
        </w:tc>
        <w:tc>
          <w:tcPr>
            <w:tcW w:w="6866" w:type="dxa"/>
            <w:vAlign w:val="center"/>
          </w:tcPr>
          <w:p w14:paraId="7926F5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中标人中标后</w:t>
            </w:r>
            <w:r>
              <w:rPr>
                <w:rFonts w:hint="eastAsia" w:ascii="仿宋" w:hAnsi="仿宋" w:eastAsia="仿宋" w:cs="仿宋"/>
                <w:color w:val="auto"/>
                <w:kern w:val="2"/>
                <w:sz w:val="24"/>
                <w:szCs w:val="24"/>
                <w:highlight w:val="none"/>
                <w:lang w:val="en-US" w:eastAsia="zh-CN" w:bidi="ar-SA"/>
              </w:rPr>
              <w:t>应按本采购文件中的要求和规定的金额</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按照</w:t>
            </w:r>
            <w:r>
              <w:rPr>
                <w:rFonts w:hint="eastAsia" w:ascii="仿宋" w:hAnsi="仿宋" w:eastAsia="仿宋" w:cs="仿宋"/>
                <w:color w:val="auto"/>
                <w:sz w:val="24"/>
                <w:highlight w:val="none"/>
              </w:rPr>
              <w:t>采购代理机构发出的《中标服务费收费通知书》要求支付中标服务费</w:t>
            </w:r>
            <w:r>
              <w:rPr>
                <w:rFonts w:hint="eastAsia" w:ascii="仿宋" w:hAnsi="仿宋" w:eastAsia="仿宋" w:cs="仿宋"/>
                <w:color w:val="auto"/>
                <w:sz w:val="24"/>
                <w:highlight w:val="none"/>
                <w:lang w:val="en-US" w:eastAsia="zh-CN"/>
              </w:rPr>
              <w:t>和评标专家费</w:t>
            </w:r>
            <w:r>
              <w:rPr>
                <w:rFonts w:hint="eastAsia" w:ascii="仿宋" w:hAnsi="仿宋" w:eastAsia="仿宋" w:cs="仿宋"/>
                <w:color w:val="auto"/>
                <w:sz w:val="24"/>
                <w:highlight w:val="none"/>
              </w:rPr>
              <w:t>。凭缴款证明材料到采购代理机构指定地点领取《中标通知书》。</w:t>
            </w:r>
          </w:p>
          <w:p w14:paraId="3ED5648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收费标准按国家计委“计价格[2002]1980号文”的服务类收费标准</w:t>
            </w:r>
            <w:r>
              <w:rPr>
                <w:rFonts w:hint="eastAsia" w:ascii="仿宋" w:hAnsi="仿宋" w:eastAsia="仿宋" w:cs="仿宋"/>
                <w:color w:val="auto"/>
                <w:sz w:val="24"/>
                <w:highlight w:val="none"/>
                <w:lang w:val="en-US" w:eastAsia="zh-CN"/>
              </w:rPr>
              <w:t>的58%</w:t>
            </w:r>
            <w:r>
              <w:rPr>
                <w:rFonts w:hint="eastAsia" w:ascii="仿宋" w:hAnsi="仿宋" w:eastAsia="仿宋" w:cs="仿宋"/>
                <w:color w:val="auto"/>
                <w:sz w:val="24"/>
                <w:highlight w:val="none"/>
              </w:rPr>
              <w:t xml:space="preserve">向中标人计取。 </w:t>
            </w:r>
          </w:p>
          <w:p w14:paraId="7409918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（1）以中标通知书中确定的中标总金额作为收费的计算基数； </w:t>
            </w:r>
          </w:p>
          <w:p w14:paraId="0EBC5C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（2）中标服务费按差额定率累进法计算</w:t>
            </w:r>
            <w:r>
              <w:rPr>
                <w:rFonts w:hint="eastAsia" w:ascii="仿宋" w:hAnsi="仿宋" w:eastAsia="仿宋" w:cs="仿宋"/>
                <w:color w:val="auto"/>
                <w:sz w:val="24"/>
                <w:highlight w:val="none"/>
                <w:lang w:eastAsia="zh-CN"/>
              </w:rPr>
              <w:t>；</w:t>
            </w:r>
          </w:p>
          <w:p w14:paraId="0149CD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评标专家费按实际发生金额计算；</w:t>
            </w:r>
          </w:p>
          <w:p w14:paraId="2FD3D9D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）中标服务费</w:t>
            </w:r>
            <w:r>
              <w:rPr>
                <w:rFonts w:hint="eastAsia" w:ascii="仿宋" w:hAnsi="仿宋" w:eastAsia="仿宋" w:cs="仿宋"/>
                <w:color w:val="auto"/>
                <w:sz w:val="24"/>
                <w:highlight w:val="none"/>
                <w:lang w:val="en-US" w:eastAsia="zh-CN"/>
              </w:rPr>
              <w:t>及评标专家费</w:t>
            </w:r>
            <w:r>
              <w:rPr>
                <w:rFonts w:hint="eastAsia" w:ascii="仿宋" w:hAnsi="仿宋" w:eastAsia="仿宋" w:cs="仿宋"/>
                <w:color w:val="auto"/>
                <w:sz w:val="24"/>
                <w:highlight w:val="none"/>
              </w:rPr>
              <w:t>币种为人民币。</w:t>
            </w:r>
          </w:p>
        </w:tc>
      </w:tr>
      <w:tr w14:paraId="77F5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4BF1A0AD">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5</w:t>
            </w:r>
          </w:p>
        </w:tc>
        <w:tc>
          <w:tcPr>
            <w:tcW w:w="2312" w:type="dxa"/>
            <w:vAlign w:val="center"/>
          </w:tcPr>
          <w:p w14:paraId="166A64D5">
            <w:pPr>
              <w:keepNext w:val="0"/>
              <w:keepLines w:val="0"/>
              <w:pageBreakBefore w:val="0"/>
              <w:widowControl w:val="0"/>
              <w:kinsoku/>
              <w:wordWrap/>
              <w:overflowPunct/>
              <w:topLinePunct w:val="0"/>
              <w:autoSpaceDE/>
              <w:autoSpaceDN/>
              <w:bidi w:val="0"/>
              <w:adjustRightInd/>
              <w:snapToGrid/>
              <w:spacing w:line="312" w:lineRule="auto"/>
              <w:ind w:left="-107" w:leftChars="-51" w:right="-36" w:rightChars="-17"/>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中标服务费支付方式</w:t>
            </w:r>
          </w:p>
        </w:tc>
        <w:tc>
          <w:tcPr>
            <w:tcW w:w="6866" w:type="dxa"/>
            <w:vAlign w:val="center"/>
          </w:tcPr>
          <w:p w14:paraId="7256BA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leftChars="0" w:right="0" w:firstLine="0" w:firstLine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中标服务费采用转账</w:t>
            </w:r>
            <w:r>
              <w:rPr>
                <w:rFonts w:hint="eastAsia" w:ascii="仿宋" w:hAnsi="仿宋" w:eastAsia="仿宋" w:cs="仿宋"/>
                <w:color w:val="auto"/>
                <w:sz w:val="24"/>
                <w:highlight w:val="none"/>
                <w:lang w:val="en-US" w:eastAsia="zh-CN"/>
              </w:rPr>
              <w:t>等</w:t>
            </w:r>
            <w:r>
              <w:rPr>
                <w:rFonts w:hint="eastAsia" w:ascii="仿宋" w:hAnsi="仿宋" w:eastAsia="仿宋" w:cs="仿宋"/>
                <w:color w:val="auto"/>
                <w:sz w:val="24"/>
                <w:highlight w:val="none"/>
              </w:rPr>
              <w:t>形式缴交。</w:t>
            </w:r>
          </w:p>
          <w:p w14:paraId="3E7044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leftChars="0" w:right="0" w:firstLine="0" w:firstLineChars="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采购代理机构账户：</w:t>
            </w:r>
          </w:p>
          <w:p w14:paraId="181D18AF">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广东南海农村商业银行股份有限公司桂城金碧分理处</w:t>
            </w:r>
          </w:p>
          <w:p w14:paraId="00B24815">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账户</w:t>
            </w:r>
            <w:r>
              <w:rPr>
                <w:rFonts w:hint="eastAsia" w:ascii="仿宋" w:hAnsi="仿宋" w:eastAsia="仿宋" w:cs="仿宋"/>
                <w:color w:val="auto"/>
                <w:sz w:val="24"/>
                <w:szCs w:val="24"/>
                <w:highlight w:val="none"/>
              </w:rPr>
              <w:t>名称: 佛山市海纳建设工程咨询有限公司</w:t>
            </w:r>
          </w:p>
          <w:p w14:paraId="24A8C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leftChars="0" w:right="0" w:firstLine="0" w:firstLineChars="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eastAsia="zh-CN"/>
              </w:rPr>
              <w:t>账号</w:t>
            </w:r>
            <w:r>
              <w:rPr>
                <w:rFonts w:hint="eastAsia" w:ascii="仿宋" w:hAnsi="仿宋" w:eastAsia="仿宋" w:cs="仿宋"/>
                <w:color w:val="auto"/>
                <w:sz w:val="24"/>
                <w:szCs w:val="24"/>
                <w:highlight w:val="none"/>
              </w:rPr>
              <w:t>：80020000014457134</w:t>
            </w:r>
          </w:p>
        </w:tc>
      </w:tr>
      <w:tr w14:paraId="1D25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4A6C4B75">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2312" w:type="dxa"/>
            <w:vAlign w:val="center"/>
          </w:tcPr>
          <w:p w14:paraId="4DAEECA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GB"/>
              </w:rPr>
              <w:t>统一结算</w:t>
            </w:r>
            <w:r>
              <w:rPr>
                <w:rFonts w:hint="eastAsia" w:ascii="仿宋" w:hAnsi="仿宋" w:eastAsia="仿宋" w:cs="仿宋"/>
                <w:color w:val="auto"/>
                <w:sz w:val="24"/>
                <w:highlight w:val="none"/>
              </w:rPr>
              <w:t>币种</w:t>
            </w:r>
          </w:p>
        </w:tc>
        <w:tc>
          <w:tcPr>
            <w:tcW w:w="6866" w:type="dxa"/>
            <w:vAlign w:val="center"/>
          </w:tcPr>
          <w:p w14:paraId="14C684C1">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均不计息以人民币元结算</w:t>
            </w:r>
          </w:p>
        </w:tc>
      </w:tr>
      <w:tr w14:paraId="7B66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55FE1BBF">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2312" w:type="dxa"/>
            <w:vAlign w:val="center"/>
          </w:tcPr>
          <w:p w14:paraId="5A86025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投标有效期</w:t>
            </w:r>
          </w:p>
        </w:tc>
        <w:tc>
          <w:tcPr>
            <w:tcW w:w="6866" w:type="dxa"/>
            <w:vAlign w:val="center"/>
          </w:tcPr>
          <w:p w14:paraId="3CDD8C15">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递交投标文件之日起 90天。中标人的投标有效期延续到合同终止日。</w:t>
            </w:r>
          </w:p>
        </w:tc>
      </w:tr>
      <w:tr w14:paraId="65F5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328053E3">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2312" w:type="dxa"/>
            <w:vAlign w:val="center"/>
          </w:tcPr>
          <w:p w14:paraId="3C52FA2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投标文件数量</w:t>
            </w:r>
          </w:p>
        </w:tc>
        <w:tc>
          <w:tcPr>
            <w:tcW w:w="6866" w:type="dxa"/>
            <w:vAlign w:val="center"/>
          </w:tcPr>
          <w:p w14:paraId="49E2CA3C">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（1）投标文件份数：资格审查文件和投标文件一式五份（其中，正本一份和副本四份），开标一览表一份，投标文件电子版（U盘）一份（不留密码，无病毒，不压缩）。</w:t>
            </w:r>
          </w:p>
          <w:p w14:paraId="1E0A3668">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文件电子版内容：①可编辑的WORD或EXCEL格式文件（资质文件及证书等可扫描以图片格式提交）②投标文件（含资格审查文件）正本签字盖章后的PDF扫描件。如投标人中标，部分内容将用于结果公告公布。</w:t>
            </w:r>
          </w:p>
          <w:p w14:paraId="52ACD847">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（3）副本和正本不一致，以正本为准。若投标文件电子版的投标文件与纸质投标文件不符，以纸质投标文件正本为准。</w:t>
            </w:r>
          </w:p>
        </w:tc>
      </w:tr>
      <w:tr w14:paraId="7CE6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14AAFCAB">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2312" w:type="dxa"/>
            <w:vAlign w:val="center"/>
          </w:tcPr>
          <w:p w14:paraId="0D1CA9F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现场考察或者开标前答疑会</w:t>
            </w:r>
          </w:p>
        </w:tc>
        <w:tc>
          <w:tcPr>
            <w:tcW w:w="6866" w:type="dxa"/>
            <w:vAlign w:val="center"/>
          </w:tcPr>
          <w:p w14:paraId="4161FFC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本项目不召开现场考察或者开标前答疑会</w:t>
            </w:r>
            <w:r>
              <w:rPr>
                <w:rFonts w:hint="eastAsia" w:ascii="仿宋" w:hAnsi="仿宋" w:eastAsia="仿宋" w:cs="仿宋"/>
                <w:color w:val="auto"/>
                <w:sz w:val="24"/>
                <w:highlight w:val="none"/>
                <w:lang w:eastAsia="zh-CN"/>
              </w:rPr>
              <w:t>。</w:t>
            </w:r>
          </w:p>
        </w:tc>
      </w:tr>
      <w:tr w14:paraId="2F1C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7796B251">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2312" w:type="dxa"/>
            <w:vAlign w:val="center"/>
          </w:tcPr>
          <w:p w14:paraId="4986923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参加开标会议的投标人代表要求</w:t>
            </w:r>
          </w:p>
        </w:tc>
        <w:tc>
          <w:tcPr>
            <w:tcW w:w="6866" w:type="dxa"/>
            <w:vAlign w:val="center"/>
          </w:tcPr>
          <w:p w14:paraId="2F5C85E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参加投标的代表是法定代表人的，须随身携带《法定代表人/负责人资格证明书》和本人身份证原件；参加投标的代表是获授权代表的，须随身携带《法定代表人/负责人资格证明书》、《法定代表人/负责人授权委托书》和本人身份证原件。有效的临时身份证原件可作为本项目所要求的身份证原件用于验证。上述要求出示有效证明的资料须另外随身携带一份，不可密封在投标文件内。</w:t>
            </w:r>
          </w:p>
        </w:tc>
      </w:tr>
      <w:tr w14:paraId="6A10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0" w:type="dxa"/>
            <w:vAlign w:val="center"/>
          </w:tcPr>
          <w:p w14:paraId="17B71E1B">
            <w:pPr>
              <w:keepNext w:val="0"/>
              <w:keepLines w:val="0"/>
              <w:pageBreakBefore w:val="0"/>
              <w:widowControl w:val="0"/>
              <w:kinsoku/>
              <w:wordWrap/>
              <w:overflowPunct/>
              <w:topLinePunct w:val="0"/>
              <w:autoSpaceDE/>
              <w:autoSpaceDN/>
              <w:bidi w:val="0"/>
              <w:adjustRightInd/>
              <w:snapToGrid/>
              <w:spacing w:line="312" w:lineRule="auto"/>
              <w:ind w:left="180"/>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p>
        </w:tc>
        <w:tc>
          <w:tcPr>
            <w:tcW w:w="2312" w:type="dxa"/>
            <w:vAlign w:val="center"/>
          </w:tcPr>
          <w:p w14:paraId="5970588E">
            <w:pPr>
              <w:spacing w:line="50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rPr>
              <w:t>投标文件签字盖章</w:t>
            </w:r>
          </w:p>
        </w:tc>
        <w:tc>
          <w:tcPr>
            <w:tcW w:w="6866" w:type="dxa"/>
            <w:vAlign w:val="center"/>
          </w:tcPr>
          <w:p w14:paraId="134219F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采购文件提供的投标文件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含</w:t>
            </w:r>
            <w:r>
              <w:rPr>
                <w:rFonts w:hint="eastAsia" w:ascii="仿宋" w:hAnsi="仿宋" w:eastAsia="仿宋" w:cs="仿宋"/>
                <w:color w:val="auto"/>
                <w:sz w:val="24"/>
                <w:highlight w:val="none"/>
              </w:rPr>
              <w:t>资格审查文件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格式中规定要求签字、盖章的地方均须由投标人的法定代表人</w:t>
            </w:r>
            <w:r>
              <w:rPr>
                <w:rFonts w:hint="eastAsia" w:ascii="仿宋" w:hAnsi="仿宋" w:eastAsia="仿宋" w:cs="仿宋"/>
                <w:color w:val="auto"/>
                <w:sz w:val="24"/>
                <w:highlight w:val="none"/>
                <w:lang w:val="en-US" w:eastAsia="zh-CN"/>
              </w:rPr>
              <w:t>/负责人</w:t>
            </w:r>
            <w:r>
              <w:rPr>
                <w:rFonts w:hint="eastAsia" w:ascii="仿宋" w:hAnsi="仿宋" w:eastAsia="仿宋" w:cs="仿宋"/>
                <w:color w:val="auto"/>
                <w:sz w:val="24"/>
                <w:highlight w:val="none"/>
              </w:rPr>
              <w:t>或经其正式授权的代表</w:t>
            </w:r>
            <w:r>
              <w:rPr>
                <w:rFonts w:hint="eastAsia" w:ascii="仿宋" w:hAnsi="仿宋" w:eastAsia="仿宋" w:cs="仿宋"/>
                <w:color w:val="auto"/>
                <w:sz w:val="24"/>
                <w:highlight w:val="none"/>
                <w:lang w:val="en-US" w:eastAsia="zh-CN"/>
              </w:rPr>
              <w:t>亲笔</w:t>
            </w:r>
            <w:r>
              <w:rPr>
                <w:rFonts w:hint="eastAsia" w:ascii="仿宋" w:hAnsi="仿宋" w:eastAsia="仿宋" w:cs="仿宋"/>
                <w:color w:val="auto"/>
                <w:sz w:val="24"/>
                <w:highlight w:val="none"/>
              </w:rPr>
              <w:t>签字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val="en-US" w:eastAsia="zh-CN"/>
              </w:rPr>
              <w:t>/负责人可使用个人印章或签名章代替</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并加盖投标人公章（不得使用其他代章）。投标文件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含</w:t>
            </w:r>
            <w:r>
              <w:rPr>
                <w:rFonts w:hint="eastAsia" w:ascii="仿宋" w:hAnsi="仿宋" w:eastAsia="仿宋" w:cs="仿宋"/>
                <w:color w:val="auto"/>
                <w:sz w:val="24"/>
                <w:highlight w:val="none"/>
              </w:rPr>
              <w:t>资格审查文件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的【正本】及所有【副本】的封面及骑缝均须加盖投标人公章。</w:t>
            </w:r>
          </w:p>
        </w:tc>
      </w:tr>
    </w:tbl>
    <w:p w14:paraId="6B93C91C">
      <w:pPr>
        <w:pStyle w:val="17"/>
        <w:adjustRightInd w:val="0"/>
        <w:snapToGrid w:val="0"/>
        <w:spacing w:line="360" w:lineRule="auto"/>
        <w:rPr>
          <w:rFonts w:hint="eastAsia" w:ascii="仿宋" w:hAnsi="仿宋" w:eastAsia="仿宋" w:cs="仿宋"/>
          <w:b/>
          <w:color w:val="auto"/>
          <w:sz w:val="24"/>
          <w:szCs w:val="24"/>
          <w:highlight w:val="none"/>
        </w:rPr>
      </w:pPr>
      <w:bookmarkStart w:id="13" w:name="_Toc267405540"/>
    </w:p>
    <w:p w14:paraId="4DC99452">
      <w:pPr>
        <w:pStyle w:val="17"/>
        <w:adjustRightInd w:val="0"/>
        <w:snapToGrid w:val="0"/>
        <w:spacing w:line="360" w:lineRule="auto"/>
        <w:rPr>
          <w:rFonts w:hint="eastAsia" w:ascii="仿宋" w:hAnsi="仿宋" w:eastAsia="仿宋" w:cs="仿宋"/>
          <w:b/>
          <w:color w:val="auto"/>
          <w:sz w:val="24"/>
          <w:szCs w:val="24"/>
          <w:highlight w:val="none"/>
        </w:rPr>
      </w:pPr>
    </w:p>
    <w:p w14:paraId="79048D19">
      <w:pPr>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br w:type="page"/>
      </w:r>
    </w:p>
    <w:p w14:paraId="7EBEF46F">
      <w:pPr>
        <w:pStyle w:val="49"/>
        <w:rPr>
          <w:rFonts w:hint="eastAsia" w:ascii="仿宋" w:hAnsi="仿宋" w:eastAsia="仿宋" w:cs="仿宋"/>
          <w:color w:val="auto"/>
          <w:highlight w:val="none"/>
        </w:rPr>
      </w:pPr>
    </w:p>
    <w:p w14:paraId="16CAEC8E">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仿宋" w:hAnsi="仿宋" w:eastAsia="仿宋" w:cs="仿宋"/>
          <w:b/>
          <w:color w:val="auto"/>
          <w:sz w:val="24"/>
          <w:szCs w:val="24"/>
          <w:highlight w:val="none"/>
        </w:rPr>
      </w:pPr>
      <w:r>
        <w:rPr>
          <w:rStyle w:val="55"/>
          <w:rFonts w:hint="eastAsia" w:ascii="仿宋" w:hAnsi="仿宋" w:eastAsia="仿宋" w:cs="仿宋"/>
          <w:color w:val="auto"/>
          <w:highlight w:val="none"/>
        </w:rPr>
        <w:t>说  明</w:t>
      </w:r>
    </w:p>
    <w:p w14:paraId="010187AE">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适用范围</w:t>
      </w:r>
    </w:p>
    <w:p w14:paraId="61A0F938">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本采购文件适用于投标邀请函中所述项目的采购。</w:t>
      </w:r>
    </w:p>
    <w:p w14:paraId="02C3A5B4">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定义</w:t>
      </w:r>
    </w:p>
    <w:p w14:paraId="5DD6D63C">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“采购人”是指：</w:t>
      </w:r>
      <w:r>
        <w:rPr>
          <w:rFonts w:hint="eastAsia" w:ascii="仿宋" w:hAnsi="仿宋" w:eastAsia="仿宋" w:cs="仿宋"/>
          <w:color w:val="auto"/>
          <w:highlight w:val="none"/>
          <w:lang w:eastAsia="zh-CN"/>
        </w:rPr>
        <w:t>佛山市南海有为百越文化有限公司</w:t>
      </w:r>
      <w:r>
        <w:rPr>
          <w:rFonts w:hint="eastAsia" w:ascii="仿宋" w:hAnsi="仿宋" w:eastAsia="仿宋" w:cs="仿宋"/>
          <w:color w:val="auto"/>
          <w:highlight w:val="none"/>
        </w:rPr>
        <w:t>。</w:t>
      </w:r>
    </w:p>
    <w:p w14:paraId="3AE50D12">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“采购代理机构”是指：</w:t>
      </w:r>
      <w:r>
        <w:rPr>
          <w:rFonts w:hint="eastAsia" w:ascii="仿宋" w:hAnsi="仿宋" w:eastAsia="仿宋" w:cs="仿宋"/>
          <w:color w:val="auto"/>
          <w:highlight w:val="none"/>
          <w:lang w:eastAsia="zh-CN"/>
        </w:rPr>
        <w:t>佛山市海纳建设工程咨询有限公司</w:t>
      </w:r>
      <w:r>
        <w:rPr>
          <w:rFonts w:hint="eastAsia" w:ascii="仿宋" w:hAnsi="仿宋" w:eastAsia="仿宋" w:cs="仿宋"/>
          <w:color w:val="auto"/>
          <w:highlight w:val="none"/>
        </w:rPr>
        <w:t>。</w:t>
      </w:r>
    </w:p>
    <w:p w14:paraId="55BCF230">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“招标采购单位”是指：采购人。</w:t>
      </w:r>
    </w:p>
    <w:p w14:paraId="5ADAE994">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合格的投标人 </w:t>
      </w:r>
    </w:p>
    <w:p w14:paraId="01BFE0AA">
      <w:pPr>
        <w:pStyle w:val="90"/>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r>
        <w:rPr>
          <w:rFonts w:hint="eastAsia" w:ascii="仿宋" w:hAnsi="仿宋" w:eastAsia="仿宋" w:cs="仿宋"/>
          <w:color w:val="auto"/>
          <w:highlight w:val="none"/>
        </w:rPr>
        <w:t>符合采购公告规定的资格要求。</w:t>
      </w:r>
    </w:p>
    <w:p w14:paraId="3B5184E1">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“中标人”是指经法定程序确定并授予合同的投标人。</w:t>
      </w:r>
    </w:p>
    <w:p w14:paraId="0EFA5567">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合格的服务</w:t>
      </w:r>
    </w:p>
    <w:p w14:paraId="1122AC15">
      <w:pPr>
        <w:pStyle w:val="90"/>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r>
        <w:rPr>
          <w:rFonts w:hint="eastAsia" w:ascii="仿宋" w:hAnsi="仿宋" w:eastAsia="仿宋" w:cs="仿宋"/>
          <w:color w:val="auto"/>
          <w:highlight w:val="none"/>
        </w:rPr>
        <w:t>3.1 “服务”是指除货物和工程以外的其他采购对象, “合格的服务”是指投标人按采购文件的规定，依据中华人民共和国的相关法律、法规、规章以及相关国家标准、行业标准或地方（或企业）标准（如有）的规定或规范要求，向采购人提供的满足采购文件规定的需求或特定目标的服务。</w:t>
      </w:r>
    </w:p>
    <w:p w14:paraId="5844B616">
      <w:pPr>
        <w:pStyle w:val="90"/>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auto"/>
          <w:highlight w:val="none"/>
        </w:rPr>
      </w:pPr>
      <w:r>
        <w:rPr>
          <w:rFonts w:hint="eastAsia" w:ascii="仿宋" w:hAnsi="仿宋" w:eastAsia="仿宋" w:cs="仿宋"/>
          <w:color w:val="auto"/>
          <w:highlight w:val="none"/>
        </w:rPr>
        <w:t>3.2投标人须保证，采购人在中华人民共和国接受和使用投标人所提供服务的全部或任何一部分时，或者在享有合同的全部或部分权益时，免受第三方以侵犯其合法权益（例如侵犯其专利权、商标权、著作权或其它知识产权等等）而提出的任何求偿责任起诉。否则，投标人须承担采购人与此相关的一切损失（包括且不限于：诉讼费、律师费、经裁定由采购人承担的任何费用、导致采购人需重新采购所产生的一切费用及时间费用损失等）。</w:t>
      </w:r>
    </w:p>
    <w:p w14:paraId="735FF7E1">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投标费用</w:t>
      </w:r>
    </w:p>
    <w:p w14:paraId="3603B535">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投标人应承担所有与准备和参加投标有关的费用。不论投标的结果如何，采购代理机构和采购人均无义务和责任承担这些费用。</w:t>
      </w:r>
    </w:p>
    <w:p w14:paraId="5166D17C">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中标人必须按规定向采购代理机构交纳中标服务费</w:t>
      </w:r>
      <w:r>
        <w:rPr>
          <w:rFonts w:hint="eastAsia" w:ascii="仿宋" w:hAnsi="仿宋" w:eastAsia="仿宋" w:cs="仿宋"/>
          <w:color w:val="auto"/>
          <w:highlight w:val="none"/>
          <w:lang w:val="en-US" w:eastAsia="zh-CN"/>
        </w:rPr>
        <w:t>及评标专家费</w:t>
      </w:r>
      <w:r>
        <w:rPr>
          <w:rFonts w:hint="eastAsia" w:ascii="仿宋" w:hAnsi="仿宋" w:eastAsia="仿宋" w:cs="仿宋"/>
          <w:color w:val="auto"/>
          <w:highlight w:val="none"/>
        </w:rPr>
        <w:t>。中标服务费</w:t>
      </w:r>
      <w:r>
        <w:rPr>
          <w:rFonts w:hint="eastAsia" w:ascii="仿宋" w:hAnsi="仿宋" w:eastAsia="仿宋" w:cs="仿宋"/>
          <w:color w:val="auto"/>
          <w:highlight w:val="none"/>
          <w:lang w:val="en-US" w:eastAsia="zh-CN"/>
        </w:rPr>
        <w:t>及评标专家费</w:t>
      </w:r>
      <w:r>
        <w:rPr>
          <w:rFonts w:hint="eastAsia" w:ascii="仿宋" w:hAnsi="仿宋" w:eastAsia="仿宋" w:cs="仿宋"/>
          <w:color w:val="auto"/>
          <w:highlight w:val="none"/>
        </w:rPr>
        <w:t>金额缴交方式及时间详见“投标人须知一览表”内容。</w:t>
      </w:r>
    </w:p>
    <w:p w14:paraId="0C602B6A">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t>采购文件</w:t>
      </w:r>
    </w:p>
    <w:p w14:paraId="647E3BAF">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采购文件的构成</w:t>
      </w:r>
    </w:p>
    <w:p w14:paraId="00245F6C">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采购文件由下列文件以及在招标过程中发出的修正和补充文件组成：</w:t>
      </w:r>
    </w:p>
    <w:p w14:paraId="3C993688">
      <w:pPr>
        <w:pStyle w:val="17"/>
        <w:pageBreakBefore w:val="0"/>
        <w:widowControl w:val="0"/>
        <w:kinsoku/>
        <w:wordWrap/>
        <w:overflowPunct/>
        <w:topLinePunct w:val="0"/>
        <w:autoSpaceDE/>
        <w:autoSpaceDN/>
        <w:bidi w:val="0"/>
        <w:adjustRightInd w:val="0"/>
        <w:snapToGrid w:val="0"/>
        <w:spacing w:line="360" w:lineRule="auto"/>
        <w:ind w:firstLine="36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投标邀请函</w:t>
      </w:r>
    </w:p>
    <w:p w14:paraId="3645AF3E">
      <w:pPr>
        <w:pStyle w:val="17"/>
        <w:pageBreakBefore w:val="0"/>
        <w:widowControl w:val="0"/>
        <w:kinsoku/>
        <w:wordWrap/>
        <w:overflowPunct/>
        <w:topLinePunct w:val="0"/>
        <w:autoSpaceDE/>
        <w:autoSpaceDN/>
        <w:bidi w:val="0"/>
        <w:adjustRightInd w:val="0"/>
        <w:snapToGrid w:val="0"/>
        <w:spacing w:line="360" w:lineRule="auto"/>
        <w:ind w:firstLine="36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 采购项目内容</w:t>
      </w:r>
    </w:p>
    <w:p w14:paraId="0AB67FB5">
      <w:pPr>
        <w:pStyle w:val="17"/>
        <w:pageBreakBefore w:val="0"/>
        <w:widowControl w:val="0"/>
        <w:kinsoku/>
        <w:wordWrap/>
        <w:overflowPunct/>
        <w:topLinePunct w:val="0"/>
        <w:autoSpaceDE/>
        <w:autoSpaceDN/>
        <w:bidi w:val="0"/>
        <w:adjustRightInd w:val="0"/>
        <w:snapToGrid w:val="0"/>
        <w:spacing w:line="360" w:lineRule="auto"/>
        <w:ind w:firstLine="36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 投标人须知</w:t>
      </w:r>
    </w:p>
    <w:p w14:paraId="5FCD2F74">
      <w:pPr>
        <w:pStyle w:val="17"/>
        <w:pageBreakBefore w:val="0"/>
        <w:widowControl w:val="0"/>
        <w:kinsoku/>
        <w:wordWrap/>
        <w:overflowPunct/>
        <w:topLinePunct w:val="0"/>
        <w:autoSpaceDE/>
        <w:autoSpaceDN/>
        <w:bidi w:val="0"/>
        <w:adjustRightInd w:val="0"/>
        <w:snapToGrid w:val="0"/>
        <w:spacing w:line="360" w:lineRule="auto"/>
        <w:ind w:firstLine="36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 合同书格式</w:t>
      </w:r>
    </w:p>
    <w:p w14:paraId="40C07C6C">
      <w:pPr>
        <w:pStyle w:val="17"/>
        <w:pageBreakBefore w:val="0"/>
        <w:widowControl w:val="0"/>
        <w:kinsoku/>
        <w:wordWrap/>
        <w:overflowPunct/>
        <w:topLinePunct w:val="0"/>
        <w:autoSpaceDE/>
        <w:autoSpaceDN/>
        <w:bidi w:val="0"/>
        <w:adjustRightInd w:val="0"/>
        <w:snapToGrid w:val="0"/>
        <w:spacing w:line="360" w:lineRule="auto"/>
        <w:ind w:firstLine="36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(5) 投标文件格式 </w:t>
      </w:r>
    </w:p>
    <w:p w14:paraId="510F5967">
      <w:pPr>
        <w:pStyle w:val="17"/>
        <w:pageBreakBefore w:val="0"/>
        <w:widowControl w:val="0"/>
        <w:kinsoku/>
        <w:wordWrap/>
        <w:overflowPunct/>
        <w:topLinePunct w:val="0"/>
        <w:autoSpaceDE/>
        <w:autoSpaceDN/>
        <w:bidi w:val="0"/>
        <w:adjustRightInd w:val="0"/>
        <w:snapToGrid w:val="0"/>
        <w:spacing w:line="360" w:lineRule="auto"/>
        <w:ind w:firstLine="36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 评审细则</w:t>
      </w:r>
    </w:p>
    <w:p w14:paraId="6BFCA56F">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认真阅读并充分理解采购文件的全部内容（包括所有的补充、修改内容、重要事项、格式、条款和技术规范、参数及要求等）。投标人没有按照采购文件要求提交全部资料，或者投标没有对采购文件在各方面都做出实质性响应是投标人的风险，有可能导致其投标被拒绝，或被认定为无效投标或被确定为投标无效。</w:t>
      </w:r>
    </w:p>
    <w:p w14:paraId="2DCD04B4">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本采购文件是编制投标文件、评标、定标及中标后签订合同的重要依据。</w:t>
      </w:r>
    </w:p>
    <w:p w14:paraId="0A2F7653">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采购文件的现场考察、答疑</w:t>
      </w:r>
    </w:p>
    <w:p w14:paraId="133AF50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采购人或者采购代理机构可以在采购文件提供期限截止后，组织已获取采购文件的潜在投标人现场考察或者召开开标前答疑会。</w:t>
      </w:r>
    </w:p>
    <w:p w14:paraId="5F49F14F">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关于本项目是否组织现场考察或者召开开标前答疑会的情况详见《投标人须知一览表》的“现场考察或者开标前答疑会”内容。</w:t>
      </w:r>
    </w:p>
    <w:p w14:paraId="0876442E">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任何要求对采购文件进行答疑的投标人，均应以书面形式在公示期间或者自公示期满之日起七个工作日内通知</w:t>
      </w:r>
      <w:r>
        <w:rPr>
          <w:rFonts w:hint="eastAsia" w:ascii="仿宋" w:hAnsi="仿宋" w:eastAsia="仿宋" w:cs="仿宋"/>
          <w:color w:val="auto"/>
          <w:highlight w:val="none"/>
          <w:lang w:eastAsia="zh-CN"/>
        </w:rPr>
        <w:t>佛山市海纳建设工程咨询有限公司</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佛山市海纳建设工程咨询有限公司</w:t>
      </w:r>
      <w:r>
        <w:rPr>
          <w:rFonts w:hint="eastAsia" w:ascii="仿宋" w:hAnsi="仿宋" w:eastAsia="仿宋" w:cs="仿宋"/>
          <w:color w:val="auto"/>
          <w:highlight w:val="none"/>
        </w:rPr>
        <w:t>将组织采购人对投标人所要求答疑的内容均以网上公告形式予以答复。必要时，将组织相关专家召开答疑会，并将会议内容以网上公告的形式发布（答复中不包括问题的来源）。</w:t>
      </w:r>
    </w:p>
    <w:p w14:paraId="169D5023">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投标人在规定的时间内未对采购文件提出疑问的，将被视其为无异议。对采购文件中描述有歧义或前后不一致的地方，评标委员会有权进行评判，但对同一条款的评判应适用于每个投标人。</w:t>
      </w:r>
    </w:p>
    <w:p w14:paraId="36EB8432">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采购文件的澄清或者修改</w:t>
      </w:r>
    </w:p>
    <w:p w14:paraId="01EAF156">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采购人或者采购代理机构可以对已发出的采购文件进行必要的澄清或者修改，澄清或者修改内容在原公告发布媒体上发布澄清公告。澄清或者修改的内容为采购文件的组成部分。</w:t>
      </w:r>
    </w:p>
    <w:p w14:paraId="1DC1B7EE">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澄清或者修改的内容可能影响采购文件编制的，采购人或者采购代理机构在投标截止时间至少15日前，在原公告发布媒体上发布澄清公告；不足15日的，采购人或者采购代理机构顺延提交投标文件的截止时间。</w:t>
      </w:r>
    </w:p>
    <w:p w14:paraId="51BEA04A">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t>投标文件的编制和数量</w:t>
      </w:r>
    </w:p>
    <w:p w14:paraId="0F532A3A">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投标的语言</w:t>
      </w:r>
    </w:p>
    <w:p w14:paraId="334191AC">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提交的投标文件以及投标人与采购人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26AD1E9E">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投标文件编制</w:t>
      </w:r>
    </w:p>
    <w:p w14:paraId="22E871B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投标人应当按照采购文件的要求编制投标文件。投标文件应当对采购文件提出的要求和条件作出明确响应。</w:t>
      </w:r>
    </w:p>
    <w:p w14:paraId="6E2B2D5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投标人对其投标文件的编制应按要求装订和封装。对未经装订的投标文件可能发生的文件散落或缺损，由此产生的后果由投标人承担。</w:t>
      </w:r>
    </w:p>
    <w:p w14:paraId="23959C34">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投标人应完整、真实、准确的填写采购文件中规定的所有内容。</w:t>
      </w:r>
    </w:p>
    <w:p w14:paraId="319FD141">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投标人必须对投标文件所提供的全部资料的真实性承担法律责任，并无条件接受采购人对其中任何资料进行核实的要求。</w:t>
      </w:r>
    </w:p>
    <w:p w14:paraId="2872B8C3">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如果因为投标人投标文件填报的内容不详，或没有提供采购文件中所要求的全部资料及数据，由此造成的后果，其责任由投标人承担。</w:t>
      </w:r>
    </w:p>
    <w:p w14:paraId="609C9221">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报价是以投标人可独立履行项目合同义务，通过合理预测与准确核算后，可达致预期设计功能和常规使用效果，满足约定的验收标准和符合自身合法利益的前提下所作出的综合性合理报价，对在投标文件和合同书中未有明确列述、投标方案遗漏失误、市场剧变因素、应预见和不可预见的费用等均视为已完全考虑到并包括在投标总价之内。</w:t>
      </w:r>
    </w:p>
    <w:p w14:paraId="57259C16">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预见其超出常规、具有特别意义、会引起竞争非议、有可能影响产品质量或者不能诚信履约的报价会对其投标有效性造成不良影响。投标人应自觉对其作出特别说明并提供相关证明材料以证明该报价的合理性。</w:t>
      </w:r>
    </w:p>
    <w:p w14:paraId="326B305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除非采购文件另有规定或许可，投标人提供的服务均以人民币进行报价。</w:t>
      </w:r>
    </w:p>
    <w:p w14:paraId="31635AA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投标人应当遵循公平竞争的原则，不得恶意串通，不得妨碍其他投标人的竞争行为，不得损害采购人或者其他投标人的合法权益。</w:t>
      </w:r>
    </w:p>
    <w:p w14:paraId="191ADC19">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在评标过程中发现投标人有上述情形的，评标委员会认定其投标无效。</w:t>
      </w:r>
    </w:p>
    <w:p w14:paraId="69455CF9">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除合同中明确约定外，本项目不允许分包。</w:t>
      </w:r>
    </w:p>
    <w:p w14:paraId="077468B6">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报价要求</w:t>
      </w:r>
    </w:p>
    <w:p w14:paraId="625E45F9">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本项目只允许投标人有一个投标方案，每个投标人只能有一个报价。投标报价不得超过采购文件中规定的投标最高限价。</w:t>
      </w:r>
    </w:p>
    <w:p w14:paraId="5EB81378">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rPr>
        <w:t>本项目</w:t>
      </w:r>
      <w:r>
        <w:rPr>
          <w:rFonts w:hint="eastAsia" w:ascii="仿宋" w:hAnsi="仿宋" w:eastAsia="仿宋" w:cs="仿宋"/>
          <w:b w:val="0"/>
          <w:bCs w:val="0"/>
          <w:color w:val="auto"/>
          <w:highlight w:val="none"/>
          <w:lang w:val="en-US" w:eastAsia="zh-CN"/>
        </w:rPr>
        <w:t>是否</w:t>
      </w:r>
      <w:r>
        <w:rPr>
          <w:rFonts w:hint="eastAsia" w:ascii="仿宋" w:hAnsi="仿宋" w:eastAsia="仿宋" w:cs="仿宋"/>
          <w:b w:val="0"/>
          <w:bCs w:val="0"/>
          <w:color w:val="auto"/>
          <w:highlight w:val="none"/>
        </w:rPr>
        <w:t>接受联合体投标</w:t>
      </w:r>
      <w:r>
        <w:rPr>
          <w:rFonts w:hint="eastAsia" w:ascii="仿宋" w:hAnsi="仿宋" w:eastAsia="仿宋" w:cs="仿宋"/>
          <w:b w:val="0"/>
          <w:bCs w:val="0"/>
          <w:color w:val="auto"/>
          <w:highlight w:val="none"/>
          <w:lang w:val="en-US" w:eastAsia="zh-CN"/>
        </w:rPr>
        <w:t>详见投标邀请函的规定</w:t>
      </w:r>
      <w:r>
        <w:rPr>
          <w:rFonts w:hint="eastAsia" w:ascii="仿宋" w:hAnsi="仿宋" w:eastAsia="仿宋" w:cs="仿宋"/>
          <w:b w:val="0"/>
          <w:bCs w:val="0"/>
          <w:color w:val="auto"/>
          <w:highlight w:val="none"/>
        </w:rPr>
        <w:t>。</w:t>
      </w:r>
    </w:p>
    <w:p w14:paraId="47FA6DC5">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投标人资格证明文件</w:t>
      </w:r>
    </w:p>
    <w:p w14:paraId="36DD3354">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投标人应按采购文件的要求，提交证明其有资格参加投标和中标后有履行合同能力的文件，并作为其投标文件的组成部分。资格证明文件必须真实有效，复印件必须加盖单位公章。</w:t>
      </w:r>
    </w:p>
    <w:p w14:paraId="0FFDC367">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投标有效期</w:t>
      </w:r>
    </w:p>
    <w:p w14:paraId="675F7604">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有效期从提交投标文件的截止之日起算，具体单位时间详见《投标人须知一览表》的“投标有效期”内容。投标文件中承诺的投标有效期应当不少于采购文件中载明的投标有效期。投标有效期内投标人撤销投标文件的，采购人或者采购代理机构可以不退还投标保证金。</w:t>
      </w:r>
    </w:p>
    <w:p w14:paraId="676E8880">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投标保证金</w:t>
      </w:r>
    </w:p>
    <w:p w14:paraId="2274A149">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投标保证金应从投标人账户中汇出到采购文件中指定的账户，细节详见《</w:t>
      </w:r>
      <w:r>
        <w:rPr>
          <w:rFonts w:hint="eastAsia" w:ascii="仿宋" w:hAnsi="仿宋" w:eastAsia="仿宋" w:cs="仿宋"/>
          <w:b/>
          <w:color w:val="auto"/>
          <w:highlight w:val="none"/>
        </w:rPr>
        <w:t>投标人须知一览表》</w:t>
      </w:r>
      <w:r>
        <w:rPr>
          <w:rFonts w:hint="eastAsia" w:ascii="仿宋" w:hAnsi="仿宋" w:eastAsia="仿宋" w:cs="仿宋"/>
          <w:color w:val="auto"/>
          <w:highlight w:val="none"/>
        </w:rPr>
        <w:t>。投标人应按采购文件规定的金额和期限交纳投标保证金，投标保证金作为投标文件的组成部分。</w:t>
      </w:r>
      <w:r>
        <w:rPr>
          <w:rFonts w:hint="eastAsia" w:ascii="仿宋" w:hAnsi="仿宋" w:eastAsia="仿宋" w:cs="仿宋"/>
          <w:b/>
          <w:color w:val="auto"/>
          <w:sz w:val="26"/>
          <w:highlight w:val="none"/>
          <w:u w:val="single"/>
        </w:rPr>
        <w:t>开标时应携带投标保证金</w:t>
      </w:r>
      <w:r>
        <w:rPr>
          <w:rFonts w:hint="eastAsia" w:ascii="仿宋" w:hAnsi="仿宋" w:eastAsia="仿宋" w:cs="仿宋"/>
          <w:b/>
          <w:color w:val="auto"/>
          <w:sz w:val="26"/>
          <w:highlight w:val="none"/>
          <w:u w:val="single"/>
          <w:lang w:eastAsia="zh-CN"/>
        </w:rPr>
        <w:t>汇款凭证</w:t>
      </w:r>
      <w:r>
        <w:rPr>
          <w:rFonts w:hint="eastAsia" w:ascii="仿宋" w:hAnsi="仿宋" w:eastAsia="仿宋" w:cs="仿宋"/>
          <w:b/>
          <w:color w:val="auto"/>
          <w:sz w:val="26"/>
          <w:highlight w:val="none"/>
          <w:u w:val="single"/>
        </w:rPr>
        <w:t>以供备查</w:t>
      </w:r>
      <w:r>
        <w:rPr>
          <w:rFonts w:hint="eastAsia" w:ascii="仿宋" w:hAnsi="仿宋" w:eastAsia="仿宋" w:cs="仿宋"/>
          <w:b/>
          <w:color w:val="auto"/>
          <w:sz w:val="26"/>
          <w:highlight w:val="none"/>
        </w:rPr>
        <w:t>。</w:t>
      </w:r>
      <w:r>
        <w:rPr>
          <w:rFonts w:hint="eastAsia" w:ascii="仿宋" w:hAnsi="仿宋" w:eastAsia="仿宋" w:cs="仿宋"/>
          <w:color w:val="auto"/>
          <w:highlight w:val="none"/>
        </w:rPr>
        <w:t>投标保证金的币种为人民币。</w:t>
      </w:r>
    </w:p>
    <w:p w14:paraId="644B5D12">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凡未按规定交纳投标保证金的投标，为无效投标。</w:t>
      </w:r>
    </w:p>
    <w:p w14:paraId="76110457">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有下列情形之一的，没收投标保证金：</w:t>
      </w:r>
    </w:p>
    <w:p w14:paraId="62E75F8A">
      <w:pPr>
        <w:pStyle w:val="17"/>
        <w:pageBreakBefore w:val="0"/>
        <w:widowControl w:val="0"/>
        <w:kinsoku/>
        <w:wordWrap/>
        <w:overflowPunct/>
        <w:topLinePunct w:val="0"/>
        <w:autoSpaceDE/>
        <w:autoSpaceDN/>
        <w:bidi w:val="0"/>
        <w:adjustRightInd w:val="0"/>
        <w:snapToGrid w:val="0"/>
        <w:spacing w:line="360" w:lineRule="auto"/>
        <w:ind w:left="1020" w:leftChars="200" w:hanging="600" w:hangingChars="2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（1）已递交投标文件，并在截止时间之后，投标有效期内投标人撤销投标文件的； </w:t>
      </w:r>
    </w:p>
    <w:p w14:paraId="16BCFEF7">
      <w:pPr>
        <w:pStyle w:val="17"/>
        <w:pageBreakBefore w:val="0"/>
        <w:widowControl w:val="0"/>
        <w:kinsoku/>
        <w:wordWrap/>
        <w:overflowPunct/>
        <w:topLinePunct w:val="0"/>
        <w:autoSpaceDE/>
        <w:autoSpaceDN/>
        <w:bidi w:val="0"/>
        <w:adjustRightInd w:val="0"/>
        <w:snapToGrid w:val="0"/>
        <w:spacing w:line="360" w:lineRule="auto"/>
        <w:ind w:left="780" w:leftChars="200" w:hanging="360" w:hanging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（2）投标文件中提供伪造、虚假的材料或信息；</w:t>
      </w:r>
    </w:p>
    <w:p w14:paraId="1840F71A">
      <w:pPr>
        <w:pStyle w:val="17"/>
        <w:pageBreakBefore w:val="0"/>
        <w:widowControl w:val="0"/>
        <w:kinsoku/>
        <w:wordWrap/>
        <w:overflowPunct/>
        <w:topLinePunct w:val="0"/>
        <w:autoSpaceDE/>
        <w:autoSpaceDN/>
        <w:bidi w:val="0"/>
        <w:adjustRightInd w:val="0"/>
        <w:snapToGrid w:val="0"/>
        <w:spacing w:line="360" w:lineRule="auto"/>
        <w:ind w:left="780" w:leftChars="200" w:hanging="360" w:hanging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（3）在评标期间，使用不正当手段试图影响、改变评标结果；</w:t>
      </w:r>
    </w:p>
    <w:p w14:paraId="67F1CB4D">
      <w:pPr>
        <w:pStyle w:val="17"/>
        <w:pageBreakBefore w:val="0"/>
        <w:widowControl w:val="0"/>
        <w:kinsoku/>
        <w:wordWrap/>
        <w:overflowPunct/>
        <w:topLinePunct w:val="0"/>
        <w:autoSpaceDE/>
        <w:autoSpaceDN/>
        <w:bidi w:val="0"/>
        <w:adjustRightInd w:val="0"/>
        <w:snapToGrid w:val="0"/>
        <w:spacing w:line="360" w:lineRule="auto"/>
        <w:ind w:left="780" w:leftChars="200" w:hanging="360" w:hanging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（4）恶意串通或捏造事实，对其竞争对手进行诋毁、排挤、攻击；</w:t>
      </w:r>
    </w:p>
    <w:p w14:paraId="6CD059D7">
      <w:pPr>
        <w:pStyle w:val="17"/>
        <w:pageBreakBefore w:val="0"/>
        <w:widowControl w:val="0"/>
        <w:kinsoku/>
        <w:wordWrap/>
        <w:overflowPunct/>
        <w:topLinePunct w:val="0"/>
        <w:autoSpaceDE/>
        <w:autoSpaceDN/>
        <w:bidi w:val="0"/>
        <w:adjustRightInd w:val="0"/>
        <w:snapToGrid w:val="0"/>
        <w:spacing w:line="360" w:lineRule="auto"/>
        <w:ind w:left="780" w:leftChars="200" w:hanging="360" w:hanging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（5）不按期签订合同，或拒绝、拖延、没有完全履行投标承诺和合同义务；</w:t>
      </w:r>
    </w:p>
    <w:p w14:paraId="59E1E474">
      <w:pPr>
        <w:pStyle w:val="17"/>
        <w:pageBreakBefore w:val="0"/>
        <w:widowControl w:val="0"/>
        <w:kinsoku/>
        <w:wordWrap/>
        <w:overflowPunct/>
        <w:topLinePunct w:val="0"/>
        <w:autoSpaceDE/>
        <w:autoSpaceDN/>
        <w:bidi w:val="0"/>
        <w:adjustRightInd w:val="0"/>
        <w:snapToGrid w:val="0"/>
        <w:spacing w:line="360" w:lineRule="auto"/>
        <w:ind w:left="780" w:leftChars="200" w:hanging="360" w:hangingChars="1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（6）擅自将合同项目或主体关键性内容分包转让他人；</w:t>
      </w:r>
    </w:p>
    <w:p w14:paraId="0936557B">
      <w:pPr>
        <w:pStyle w:val="17"/>
        <w:pageBreakBefore w:val="0"/>
        <w:widowControl w:val="0"/>
        <w:kinsoku/>
        <w:wordWrap/>
        <w:overflowPunct/>
        <w:topLinePunct w:val="0"/>
        <w:autoSpaceDE/>
        <w:autoSpaceDN/>
        <w:bidi w:val="0"/>
        <w:adjustRightInd w:val="0"/>
        <w:snapToGrid w:val="0"/>
        <w:spacing w:line="360" w:lineRule="auto"/>
        <w:ind w:left="564" w:leftChars="199" w:hanging="146" w:hangingChars="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（7）获中标候选人资格通知或公示后，无法如期按采购人要求履行承诺并提供合法有效的重要证明材料；</w:t>
      </w:r>
    </w:p>
    <w:p w14:paraId="4D0899F3">
      <w:pPr>
        <w:pStyle w:val="17"/>
        <w:pageBreakBefore w:val="0"/>
        <w:widowControl w:val="0"/>
        <w:kinsoku/>
        <w:wordWrap/>
        <w:overflowPunct/>
        <w:topLinePunct w:val="0"/>
        <w:autoSpaceDE/>
        <w:autoSpaceDN/>
        <w:bidi w:val="0"/>
        <w:adjustRightInd w:val="0"/>
        <w:snapToGrid w:val="0"/>
        <w:spacing w:line="360" w:lineRule="auto"/>
        <w:ind w:left="566" w:leftChars="200" w:hanging="146" w:hangingChars="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（8）违反采购法规，违反了诚实信用、公平竞争和如实告知原则，扰乱了采购程序；</w:t>
      </w:r>
    </w:p>
    <w:p w14:paraId="62530B7E">
      <w:pPr>
        <w:pStyle w:val="17"/>
        <w:pageBreakBefore w:val="0"/>
        <w:widowControl w:val="0"/>
        <w:kinsoku/>
        <w:wordWrap/>
        <w:overflowPunct/>
        <w:topLinePunct w:val="0"/>
        <w:autoSpaceDE/>
        <w:autoSpaceDN/>
        <w:bidi w:val="0"/>
        <w:adjustRightInd w:val="0"/>
        <w:snapToGrid w:val="0"/>
        <w:spacing w:line="360" w:lineRule="auto"/>
        <w:ind w:left="566" w:leftChars="200" w:hanging="146" w:hangingChars="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（9）提供虚假、恶意质疑投诉材料或在一年内有三次以上查无实据的质疑投诉记录。</w:t>
      </w:r>
    </w:p>
    <w:p w14:paraId="3B319F1A">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投标文件的数量和签署</w:t>
      </w:r>
    </w:p>
    <w:p w14:paraId="03E41618">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投标人应编制</w:t>
      </w:r>
      <w:r>
        <w:rPr>
          <w:rFonts w:hint="eastAsia" w:ascii="仿宋" w:hAnsi="仿宋" w:eastAsia="仿宋" w:cs="仿宋"/>
          <w:b/>
          <w:bCs/>
          <w:color w:val="auto"/>
          <w:highlight w:val="none"/>
        </w:rPr>
        <w:t>资格审查文件</w:t>
      </w:r>
      <w:r>
        <w:rPr>
          <w:rFonts w:hint="eastAsia" w:ascii="仿宋" w:hAnsi="仿宋" w:eastAsia="仿宋" w:cs="仿宋"/>
          <w:b/>
          <w:bCs/>
          <w:color w:val="auto"/>
          <w:highlight w:val="none"/>
          <w:lang w:val="en-US" w:eastAsia="zh-CN"/>
        </w:rPr>
        <w:t>和</w:t>
      </w:r>
      <w:r>
        <w:rPr>
          <w:rFonts w:hint="eastAsia" w:ascii="仿宋" w:hAnsi="仿宋" w:eastAsia="仿宋" w:cs="仿宋"/>
          <w:b/>
          <w:bCs/>
          <w:color w:val="auto"/>
          <w:highlight w:val="none"/>
        </w:rPr>
        <w:t>投标文件一式</w:t>
      </w:r>
      <w:r>
        <w:rPr>
          <w:rFonts w:hint="eastAsia" w:ascii="仿宋" w:hAnsi="仿宋" w:eastAsia="仿宋" w:cs="仿宋"/>
          <w:b/>
          <w:bCs/>
          <w:color w:val="auto"/>
          <w:highlight w:val="none"/>
          <w:lang w:eastAsia="zh-CN"/>
        </w:rPr>
        <w:t>五</w:t>
      </w:r>
      <w:r>
        <w:rPr>
          <w:rFonts w:hint="eastAsia" w:ascii="仿宋" w:hAnsi="仿宋" w:eastAsia="仿宋" w:cs="仿宋"/>
          <w:b/>
          <w:bCs/>
          <w:color w:val="auto"/>
          <w:highlight w:val="none"/>
        </w:rPr>
        <w:t>份（其中，正本一份和副本</w:t>
      </w:r>
      <w:r>
        <w:rPr>
          <w:rFonts w:hint="eastAsia" w:ascii="仿宋" w:hAnsi="仿宋" w:eastAsia="仿宋" w:cs="仿宋"/>
          <w:b/>
          <w:bCs/>
          <w:color w:val="auto"/>
          <w:highlight w:val="none"/>
          <w:lang w:eastAsia="zh-CN"/>
        </w:rPr>
        <w:t>四</w:t>
      </w:r>
      <w:r>
        <w:rPr>
          <w:rFonts w:hint="eastAsia" w:ascii="仿宋" w:hAnsi="仿宋" w:eastAsia="仿宋" w:cs="仿宋"/>
          <w:b/>
          <w:bCs/>
          <w:color w:val="auto"/>
          <w:highlight w:val="none"/>
        </w:rPr>
        <w:t>份）</w:t>
      </w:r>
      <w:r>
        <w:rPr>
          <w:rFonts w:hint="eastAsia" w:ascii="仿宋" w:hAnsi="仿宋" w:eastAsia="仿宋" w:cs="仿宋"/>
          <w:color w:val="auto"/>
          <w:highlight w:val="none"/>
        </w:rPr>
        <w:t>，开标一览表一份，投标文件电子版（U盘）一份。</w:t>
      </w:r>
    </w:p>
    <w:p w14:paraId="210E15A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投标文件的正本需打印或用不褪色墨水书写，并由法定代表人或经其正式授权的代表签字。授权代表须出具书面授权证明，其《法定代表人/负责人授权委托书》应附在投标文件中。</w:t>
      </w:r>
    </w:p>
    <w:p w14:paraId="799C23A7">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投标文件中的任何重要的插字、涂改和增删，必须由法定代表人或经其正式授权的代表在旁边签章或签字</w:t>
      </w:r>
      <w:r>
        <w:rPr>
          <w:rFonts w:hint="eastAsia" w:ascii="仿宋" w:hAnsi="仿宋" w:eastAsia="仿宋" w:cs="仿宋"/>
          <w:color w:val="auto"/>
          <w:highlight w:val="none"/>
          <w:lang w:eastAsia="zh-CN"/>
        </w:rPr>
        <w:t>并盖公章</w:t>
      </w:r>
      <w:r>
        <w:rPr>
          <w:rFonts w:hint="eastAsia" w:ascii="仿宋" w:hAnsi="仿宋" w:eastAsia="仿宋" w:cs="仿宋"/>
          <w:color w:val="auto"/>
          <w:highlight w:val="none"/>
        </w:rPr>
        <w:t>才有效。</w:t>
      </w:r>
    </w:p>
    <w:p w14:paraId="2DD9D724">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t>投标文件的递交</w:t>
      </w:r>
    </w:p>
    <w:p w14:paraId="2AC1EEA0">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投标的截止期</w:t>
      </w:r>
    </w:p>
    <w:p w14:paraId="2259D919">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提交投标文件的截止时间详见采购公告。</w:t>
      </w:r>
    </w:p>
    <w:p w14:paraId="7882A6B5">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应当在采购文件要求提交投标文件的截止时间前，将投标文件密封送达投标地点。采购人或者采购代理机构收到投标文件后，如实记载投标文件的送达时间和密封情况，签收保存，并向投标人出具签收回执。任何单位和个人不得在开标前开启投标文件。</w:t>
      </w:r>
    </w:p>
    <w:p w14:paraId="5634634C">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投标文件的密封和标记</w:t>
      </w:r>
    </w:p>
    <w:p w14:paraId="3AD371A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为方便开标时唱标，投标人应将《开标一览表》一份单独密封提交，并在信封上清晰标明“开标一览表”字样。</w:t>
      </w:r>
    </w:p>
    <w:p w14:paraId="5540A9AD">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资格审查文件、投标文件上应清晰标明“正本”或“副本”字样。资格审查文件、投标文件的副本可采用正本的复印件。若副本与正本不一致，以正本为准。建议投标人将投标文件与资格审查文件分开密封，正本和所有的副本密封包装在同一个密封袋内。</w:t>
      </w:r>
    </w:p>
    <w:p w14:paraId="01238045">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投标文件电子版（</w:t>
      </w:r>
      <w:r>
        <w:rPr>
          <w:rFonts w:hint="eastAsia" w:ascii="仿宋" w:hAnsi="仿宋" w:eastAsia="仿宋" w:cs="仿宋"/>
          <w:color w:val="auto"/>
          <w:highlight w:val="none"/>
        </w:rPr>
        <w:t>U盘</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一份单独密封提交，并在信封上清晰标明“投标文件电子版”字样。</w:t>
      </w:r>
    </w:p>
    <w:p w14:paraId="6A2B1B35">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信封或投标文件外包装上应当注明采购项目名称、采购项目编号和“在</w:t>
      </w:r>
      <w:r>
        <w:rPr>
          <w:rFonts w:hint="eastAsia" w:ascii="仿宋" w:hAnsi="仿宋" w:eastAsia="仿宋" w:cs="仿宋"/>
          <w:color w:val="auto"/>
          <w:highlight w:val="none"/>
          <w:lang w:val="en-US" w:eastAsia="zh-CN"/>
        </w:rPr>
        <w:t>2026年</w:t>
      </w:r>
      <w:r>
        <w:rPr>
          <w:rFonts w:hint="eastAsia" w:ascii="仿宋" w:hAnsi="仿宋" w:eastAsia="仿宋" w:cs="仿宋"/>
          <w:color w:val="auto"/>
          <w:highlight w:val="none"/>
        </w:rPr>
        <w:t xml:space="preserve">  月  日  时  分之前不得启封”的字样(可参考《附件二 外包装封面参考格式》)，封口处应加盖投标人</w:t>
      </w:r>
      <w:r>
        <w:rPr>
          <w:rFonts w:hint="eastAsia" w:ascii="仿宋" w:hAnsi="仿宋" w:eastAsia="仿宋" w:cs="仿宋"/>
          <w:color w:val="auto"/>
          <w:highlight w:val="none"/>
          <w:lang w:val="en-US" w:eastAsia="zh-CN"/>
        </w:rPr>
        <w:t>公章</w:t>
      </w:r>
      <w:r>
        <w:rPr>
          <w:rFonts w:hint="eastAsia" w:ascii="仿宋" w:hAnsi="仿宋" w:eastAsia="仿宋" w:cs="仿宋"/>
          <w:color w:val="auto"/>
          <w:highlight w:val="none"/>
        </w:rPr>
        <w:t>。</w:t>
      </w:r>
    </w:p>
    <w:p w14:paraId="1A2BB065">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逾期送达或者未按照采购文件要求密封的投标文件，采购人、采购代理机构将拒收。投标人所提交的投标文件在评标结束后，无论中标与否都不退还。</w:t>
      </w:r>
    </w:p>
    <w:p w14:paraId="781A9B01">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投标文件的补充、修改或者撤回</w:t>
      </w:r>
    </w:p>
    <w:p w14:paraId="74A71B88">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投标人在投标截止时间前，可以对所递交的投标文件进行补充、修改或者撤回，并书面通知采购人或者采购代理机构。补充、修改的内容应当按照采购文件要求签署、盖章、密封后，作为投标文件的组成部分。</w:t>
      </w:r>
    </w:p>
    <w:p w14:paraId="030763C2">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投标人在投标截止时间前撤回已提交的投标文件的，自收到投标人书面撤回通知之日起５个工作日内，退还已收取的投标保证金，但因投标人自身原因导致无法及时退还的除外。</w:t>
      </w:r>
    </w:p>
    <w:p w14:paraId="0520170A">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t>开标、评标定标（详见后附《评审细则》）</w:t>
      </w:r>
    </w:p>
    <w:p w14:paraId="79809439">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t>确定评审结果</w:t>
      </w:r>
    </w:p>
    <w:p w14:paraId="72C2D388">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中标通知</w:t>
      </w:r>
    </w:p>
    <w:p w14:paraId="19C9C382">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中标结果将在指定媒体上公告，并向中标人签发《中标通知书》，不在中标名单之列者即默认为落标，对中标与落标原因不作任何解释。</w:t>
      </w:r>
    </w:p>
    <w:p w14:paraId="29E8AFC6">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在未取得合法理由而获批复前，中标人擅自放弃中标资格，则须承担相应的违约处罚责任，并赔偿采购人由此所造成的一切经济损失。</w:t>
      </w:r>
    </w:p>
    <w:p w14:paraId="30603CDE">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合同签订与跟踪</w:t>
      </w:r>
    </w:p>
    <w:p w14:paraId="10F9C1BF">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中标人应按照《中标通知书》的要求与采购人签订采购合同。采购合同须经采购代理机构鉴证，如对抗或拖延履行签订合同责任和义务时，将没收其保证金。</w:t>
      </w:r>
    </w:p>
    <w:p w14:paraId="74344ECD">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采购文件、中标人的投标文件及相关澄清材料，均作为合同订立的依据。对投标文件及澄清复件中出现歧义、不确定的内容等解释均以本项目评审专家的理解确认为准。</w:t>
      </w:r>
    </w:p>
    <w:p w14:paraId="1D42747A">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在不违背各方认可的文件内容前提下，合同当事人可对合同范本中个别非实质性条款共同协商补充修订。</w:t>
      </w:r>
    </w:p>
    <w:p w14:paraId="69214465">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合同生效后一切行为均适用于《中华人民共和国民法典》，履约期间有违约过错的一方，须承担相应的责任。</w:t>
      </w:r>
    </w:p>
    <w:p w14:paraId="6555D699">
      <w:pPr>
        <w:pStyle w:val="17"/>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0" w:firstLineChars="0"/>
        <w:textAlignment w:val="auto"/>
        <w:rPr>
          <w:rStyle w:val="55"/>
          <w:rFonts w:hint="eastAsia" w:ascii="仿宋" w:hAnsi="仿宋" w:eastAsia="仿宋" w:cs="仿宋"/>
          <w:color w:val="auto"/>
          <w:highlight w:val="none"/>
        </w:rPr>
      </w:pPr>
      <w:r>
        <w:rPr>
          <w:rStyle w:val="55"/>
          <w:rFonts w:hint="eastAsia" w:ascii="仿宋" w:hAnsi="仿宋" w:eastAsia="仿宋" w:cs="仿宋"/>
          <w:color w:val="auto"/>
          <w:highlight w:val="none"/>
        </w:rPr>
        <w:t>其他</w:t>
      </w:r>
    </w:p>
    <w:p w14:paraId="0DE30D1D">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质疑与处理</w:t>
      </w:r>
    </w:p>
    <w:p w14:paraId="3ED5921E">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在参与本次采购活动过程中确认自己的权益受到损害的，可以在知道或者应知其权益受损之日起七个工作日内，以实名书面形式当面向委托采购代理机构提交质疑申诉，质疑内容不得含有虚假、恶意成份。依照谁主张谁举证的原则，提出质疑者必须同时提交相关确凿的证据材料和注明事实的确切来源，对捏造事实、滥用维权扰乱采购秩序的恶意质疑者或举证不全查无实据被驳回次数在一年内达三次以上，将纳入不良行为记录并承担相应的法律责任。</w:t>
      </w:r>
    </w:p>
    <w:p w14:paraId="547C1D9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若对采购方案中存有倾向性、歧视性等影响公平竞争的内容提出质疑的，应在公示期间或者自期满之日起七个工作日内以书面形式直接向委托采购代理机构提出，同时知会采购人。</w:t>
      </w:r>
    </w:p>
    <w:p w14:paraId="6129A87F">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对中标候选人或投标人之间的投标行为提出质疑时，被质疑者对举证材料须给予书面澄清回复，其投标文件内容须公开接受任何形式的审查核实。</w:t>
      </w:r>
    </w:p>
    <w:p w14:paraId="1A3D2F1B">
      <w:pPr>
        <w:pStyle w:val="90"/>
        <w:pageBreakBefore w:val="0"/>
        <w:widowControl w:val="0"/>
        <w:numPr>
          <w:ilvl w:val="1"/>
          <w:numId w:val="6"/>
        </w:numPr>
        <w:tabs>
          <w:tab w:val="clear" w:pos="0"/>
        </w:tabs>
        <w:kinsoku/>
        <w:wordWrap/>
        <w:overflowPunct/>
        <w:topLinePunct w:val="0"/>
        <w:autoSpaceDE/>
        <w:autoSpaceDN/>
        <w:bidi w:val="0"/>
        <w:spacing w:before="0" w:after="0" w:line="36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对出现有违公平竞争、对中标候选人提出的质疑而未获有效解决等情况时，可由相关责任归属部门组织会审，或提请评委会内的部分主要专家成员进行复审，复审时各相关当事人须同时列席并就质疑内容进行举证和接受质询。</w:t>
      </w:r>
    </w:p>
    <w:p w14:paraId="7A6C57A5">
      <w:pPr>
        <w:pStyle w:val="105"/>
        <w:pageBreakBefore w:val="0"/>
        <w:widowControl w:val="0"/>
        <w:numPr>
          <w:ilvl w:val="0"/>
          <w:numId w:val="6"/>
        </w:numPr>
        <w:kinsoku/>
        <w:wordWrap/>
        <w:overflowPunct/>
        <w:topLinePunct w:val="0"/>
        <w:autoSpaceDE/>
        <w:autoSpaceDN/>
        <w:bidi w:val="0"/>
        <w:spacing w:before="0" w:after="0" w:line="360" w:lineRule="auto"/>
        <w:textAlignment w:val="auto"/>
        <w:rPr>
          <w:rFonts w:hint="eastAsia" w:ascii="仿宋" w:hAnsi="仿宋" w:eastAsia="仿宋" w:cs="仿宋"/>
          <w:color w:val="auto"/>
          <w:highlight w:val="none"/>
        </w:rPr>
      </w:pPr>
      <w:r>
        <w:rPr>
          <w:rFonts w:hint="eastAsia" w:ascii="仿宋" w:hAnsi="仿宋" w:eastAsia="仿宋" w:cs="仿宋"/>
          <w:color w:val="auto"/>
          <w:highlight w:val="none"/>
        </w:rPr>
        <w:t>终止招标</w:t>
      </w:r>
    </w:p>
    <w:p w14:paraId="5575EB2D">
      <w:pPr>
        <w:pStyle w:val="90"/>
        <w:pageBreakBefore w:val="0"/>
        <w:widowControl w:val="0"/>
        <w:tabs>
          <w:tab w:val="clear" w:pos="0"/>
        </w:tabs>
        <w:kinsoku/>
        <w:wordWrap/>
        <w:overflowPunct/>
        <w:topLinePunct w:val="0"/>
        <w:autoSpaceDE/>
        <w:autoSpaceDN/>
        <w:bidi w:val="0"/>
        <w:spacing w:before="0" w:after="0" w:line="360" w:lineRule="auto"/>
        <w:ind w:left="0" w:firstLine="480" w:firstLineChars="200"/>
        <w:textAlignment w:val="auto"/>
        <w:rPr>
          <w:rFonts w:hint="eastAsia" w:ascii="仿宋" w:hAnsi="仿宋" w:eastAsia="仿宋" w:cs="仿宋"/>
          <w:color w:val="auto"/>
          <w:sz w:val="44"/>
          <w:highlight w:val="none"/>
        </w:rPr>
      </w:pPr>
      <w:r>
        <w:rPr>
          <w:rFonts w:hint="eastAsia" w:ascii="仿宋" w:hAnsi="仿宋" w:eastAsia="仿宋" w:cs="仿宋"/>
          <w:color w:val="auto"/>
          <w:highlight w:val="none"/>
        </w:rPr>
        <w:t>如发生终止招标的情况，采购人或者采购代理机构将及时在原公告发布媒体上发布终止公告，以书面形式通知已经获取采购文件的潜在投标人。已经收取采购文件费用或者投标保证金的，将在终止采购活动后5个工作日内，退还所收取的采购文件费用和所收取的投标保证金。</w:t>
      </w:r>
      <w:r>
        <w:rPr>
          <w:rFonts w:hint="eastAsia" w:ascii="仿宋" w:hAnsi="仿宋" w:eastAsia="仿宋" w:cs="仿宋"/>
          <w:color w:val="auto"/>
          <w:sz w:val="44"/>
          <w:highlight w:val="none"/>
        </w:rPr>
        <w:br w:type="page"/>
      </w:r>
    </w:p>
    <w:p w14:paraId="07C54DDD">
      <w:pPr>
        <w:pStyle w:val="115"/>
        <w:spacing w:line="360" w:lineRule="auto"/>
        <w:rPr>
          <w:rFonts w:hint="eastAsia" w:ascii="仿宋" w:hAnsi="仿宋" w:eastAsia="仿宋" w:cs="仿宋"/>
          <w:color w:val="auto"/>
          <w:sz w:val="44"/>
          <w:highlight w:val="none"/>
        </w:rPr>
      </w:pPr>
    </w:p>
    <w:p w14:paraId="4929DAD8">
      <w:pPr>
        <w:pStyle w:val="115"/>
        <w:spacing w:line="360" w:lineRule="auto"/>
        <w:rPr>
          <w:rFonts w:hint="eastAsia" w:ascii="仿宋" w:hAnsi="仿宋" w:eastAsia="仿宋" w:cs="仿宋"/>
          <w:color w:val="auto"/>
          <w:sz w:val="44"/>
          <w:highlight w:val="none"/>
        </w:rPr>
      </w:pPr>
    </w:p>
    <w:p w14:paraId="2BAE2FE6">
      <w:pPr>
        <w:pStyle w:val="115"/>
        <w:spacing w:line="360" w:lineRule="auto"/>
        <w:rPr>
          <w:rFonts w:hint="eastAsia" w:ascii="仿宋" w:hAnsi="仿宋" w:eastAsia="仿宋" w:cs="仿宋"/>
          <w:color w:val="auto"/>
          <w:sz w:val="44"/>
          <w:highlight w:val="none"/>
        </w:rPr>
      </w:pPr>
    </w:p>
    <w:p w14:paraId="7076BF8C">
      <w:pPr>
        <w:pStyle w:val="173"/>
        <w:bidi w:val="0"/>
        <w:rPr>
          <w:rFonts w:hint="eastAsia" w:ascii="仿宋" w:hAnsi="仿宋" w:eastAsia="仿宋" w:cs="仿宋"/>
          <w:highlight w:val="none"/>
        </w:rPr>
      </w:pPr>
      <w:bookmarkStart w:id="14" w:name="_Toc30807"/>
      <w:r>
        <w:rPr>
          <w:rFonts w:hint="eastAsia" w:ascii="仿宋" w:hAnsi="仿宋" w:eastAsia="仿宋" w:cs="仿宋"/>
          <w:highlight w:val="none"/>
        </w:rPr>
        <w:t>第四部分　合同书格式</w:t>
      </w:r>
      <w:bookmarkEnd w:id="13"/>
      <w:bookmarkEnd w:id="14"/>
    </w:p>
    <w:p w14:paraId="229917EA">
      <w:pPr>
        <w:bidi w:val="0"/>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D125249">
      <w:pPr>
        <w:spacing w:line="360" w:lineRule="auto"/>
        <w:rPr>
          <w:rFonts w:hint="eastAsia" w:ascii="仿宋" w:hAnsi="仿宋" w:eastAsia="仿宋" w:cs="仿宋"/>
          <w:bCs/>
          <w:color w:val="auto"/>
          <w:sz w:val="30"/>
          <w:szCs w:val="30"/>
          <w:highlight w:val="none"/>
        </w:rPr>
      </w:pPr>
    </w:p>
    <w:p w14:paraId="6B7A8A67">
      <w:pPr>
        <w:rPr>
          <w:rFonts w:hint="eastAsia" w:ascii="仿宋" w:hAnsi="仿宋" w:eastAsia="仿宋" w:cs="仿宋"/>
          <w:b/>
          <w:color w:val="auto"/>
          <w:sz w:val="52"/>
          <w:szCs w:val="52"/>
          <w:highlight w:val="none"/>
        </w:rPr>
      </w:pPr>
      <w:r>
        <w:rPr>
          <w:rFonts w:hint="eastAsia" w:ascii="仿宋" w:hAnsi="仿宋" w:eastAsia="仿宋" w:cs="仿宋"/>
          <w:bCs/>
          <w:color w:val="auto"/>
          <w:sz w:val="30"/>
          <w:szCs w:val="30"/>
          <w:highlight w:val="none"/>
        </w:rPr>
        <w:t>GF—2015—0212</w:t>
      </w:r>
    </w:p>
    <w:p w14:paraId="09DE962E">
      <w:pPr>
        <w:wordWrap w:val="0"/>
        <w:jc w:val="right"/>
        <w:rPr>
          <w:rFonts w:hint="eastAsia" w:ascii="仿宋" w:hAnsi="仿宋" w:eastAsia="仿宋" w:cs="仿宋"/>
          <w:b/>
          <w:bCs/>
          <w:color w:val="auto"/>
          <w:sz w:val="30"/>
          <w:szCs w:val="30"/>
          <w:highlight w:val="none"/>
        </w:rPr>
      </w:pPr>
      <w:r>
        <w:rPr>
          <w:rFonts w:hint="eastAsia" w:ascii="仿宋" w:hAnsi="仿宋" w:eastAsia="仿宋" w:cs="仿宋"/>
          <w:b/>
          <w:color w:val="auto"/>
          <w:sz w:val="30"/>
          <w:szCs w:val="30"/>
          <w:highlight w:val="none"/>
        </w:rPr>
        <w:t>合同编号：</w:t>
      </w:r>
      <w:r>
        <w:rPr>
          <w:rFonts w:hint="eastAsia" w:ascii="仿宋" w:hAnsi="仿宋" w:eastAsia="仿宋" w:cs="仿宋"/>
          <w:b/>
          <w:color w:val="auto"/>
          <w:sz w:val="30"/>
          <w:szCs w:val="30"/>
          <w:highlight w:val="none"/>
          <w:u w:val="single"/>
        </w:rPr>
        <w:t xml:space="preserve">               </w:t>
      </w:r>
    </w:p>
    <w:p w14:paraId="4F12565F">
      <w:pPr>
        <w:rPr>
          <w:rFonts w:hint="eastAsia" w:ascii="仿宋" w:hAnsi="仿宋" w:eastAsia="仿宋" w:cs="仿宋"/>
          <w:color w:val="auto"/>
          <w:highlight w:val="none"/>
        </w:rPr>
      </w:pPr>
    </w:p>
    <w:p w14:paraId="10A20E62">
      <w:pPr>
        <w:rPr>
          <w:rFonts w:hint="eastAsia" w:ascii="仿宋" w:hAnsi="仿宋" w:eastAsia="仿宋" w:cs="仿宋"/>
          <w:color w:val="auto"/>
          <w:highlight w:val="none"/>
        </w:rPr>
      </w:pPr>
    </w:p>
    <w:p w14:paraId="42653CC6">
      <w:pPr>
        <w:rPr>
          <w:rFonts w:hint="eastAsia" w:ascii="仿宋" w:hAnsi="仿宋" w:eastAsia="仿宋" w:cs="仿宋"/>
          <w:color w:val="auto"/>
          <w:highlight w:val="none"/>
        </w:rPr>
      </w:pPr>
    </w:p>
    <w:p w14:paraId="7627E120">
      <w:pPr>
        <w:rPr>
          <w:rFonts w:hint="eastAsia" w:ascii="仿宋" w:hAnsi="仿宋" w:eastAsia="仿宋" w:cs="仿宋"/>
          <w:color w:val="auto"/>
          <w:highlight w:val="none"/>
        </w:rPr>
      </w:pPr>
    </w:p>
    <w:p w14:paraId="13AD8E22">
      <w:pPr>
        <w:spacing w:line="360" w:lineRule="auto"/>
        <w:jc w:val="center"/>
        <w:rPr>
          <w:rFonts w:hint="eastAsia" w:ascii="仿宋" w:hAnsi="仿宋" w:eastAsia="仿宋" w:cs="仿宋"/>
          <w:color w:val="auto"/>
          <w:highlight w:val="none"/>
        </w:rPr>
      </w:pPr>
      <w:r>
        <w:rPr>
          <w:rFonts w:hint="eastAsia" w:ascii="仿宋" w:hAnsi="仿宋" w:eastAsia="仿宋" w:cs="仿宋"/>
          <w:b/>
          <w:color w:val="auto"/>
          <w:sz w:val="72"/>
          <w:szCs w:val="72"/>
          <w:highlight w:val="none"/>
        </w:rPr>
        <w:t>建设工程造价咨询合同</w:t>
      </w:r>
      <w:r>
        <w:rPr>
          <w:rFonts w:hint="eastAsia" w:ascii="仿宋" w:hAnsi="仿宋" w:eastAsia="仿宋" w:cs="仿宋"/>
          <w:color w:val="auto"/>
          <w:highlight w:val="none"/>
        </w:rPr>
        <w:br w:type="textWrapping"/>
      </w:r>
    </w:p>
    <w:p w14:paraId="4FC3E21F">
      <w:pPr>
        <w:rPr>
          <w:rFonts w:hint="eastAsia" w:ascii="仿宋" w:hAnsi="仿宋" w:eastAsia="仿宋" w:cs="仿宋"/>
          <w:color w:val="auto"/>
          <w:highlight w:val="none"/>
        </w:rPr>
      </w:pPr>
    </w:p>
    <w:p w14:paraId="6BE08C1E">
      <w:pPr>
        <w:spacing w:line="600" w:lineRule="exact"/>
        <w:rPr>
          <w:rFonts w:hint="eastAsia" w:ascii="仿宋" w:hAnsi="仿宋" w:eastAsia="仿宋" w:cs="仿宋"/>
          <w:bCs/>
          <w:color w:val="auto"/>
          <w:sz w:val="24"/>
          <w:highlight w:val="none"/>
          <w:u w:val="single"/>
        </w:rPr>
      </w:pPr>
      <w:r>
        <w:rPr>
          <w:rFonts w:hint="eastAsia" w:ascii="仿宋" w:hAnsi="仿宋" w:eastAsia="仿宋" w:cs="仿宋"/>
          <w:b/>
          <w:color w:val="auto"/>
          <w:sz w:val="30"/>
          <w:szCs w:val="30"/>
          <w:highlight w:val="none"/>
        </w:rPr>
        <w:t>项目名称：</w:t>
      </w:r>
      <w:r>
        <w:rPr>
          <w:rFonts w:hint="eastAsia" w:ascii="仿宋" w:hAnsi="仿宋" w:eastAsia="仿宋" w:cs="仿宋"/>
          <w:bCs/>
          <w:color w:val="auto"/>
          <w:sz w:val="28"/>
          <w:szCs w:val="28"/>
          <w:highlight w:val="none"/>
          <w:u w:val="single"/>
          <w:lang w:val="en-US" w:eastAsia="zh-CN"/>
        </w:rPr>
        <w:t>南海文化中心项目结算单审和双审初审服务</w:t>
      </w:r>
    </w:p>
    <w:p w14:paraId="4E5C1D36">
      <w:pPr>
        <w:spacing w:line="600" w:lineRule="exact"/>
        <w:rPr>
          <w:rFonts w:hint="eastAsia" w:ascii="仿宋" w:hAnsi="仿宋" w:eastAsia="仿宋" w:cs="仿宋"/>
          <w:color w:val="auto"/>
          <w:sz w:val="28"/>
          <w:szCs w:val="28"/>
          <w:highlight w:val="none"/>
          <w:u w:val="single"/>
        </w:rPr>
      </w:pPr>
    </w:p>
    <w:p w14:paraId="14C2DAD4">
      <w:pPr>
        <w:spacing w:line="600" w:lineRule="exact"/>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委 托 人：</w:t>
      </w:r>
      <w:r>
        <w:rPr>
          <w:rFonts w:hint="eastAsia" w:ascii="仿宋" w:hAnsi="仿宋" w:eastAsia="仿宋" w:cs="仿宋"/>
          <w:bCs/>
          <w:color w:val="auto"/>
          <w:sz w:val="28"/>
          <w:szCs w:val="28"/>
          <w:highlight w:val="none"/>
          <w:u w:val="single"/>
          <w:lang w:val="en-US" w:eastAsia="zh-CN"/>
        </w:rPr>
        <w:t>佛山市南海有为百越文化有限公司</w:t>
      </w:r>
    </w:p>
    <w:p w14:paraId="3A6AD676">
      <w:pPr>
        <w:spacing w:line="600" w:lineRule="exact"/>
        <w:rPr>
          <w:rFonts w:hint="eastAsia" w:ascii="仿宋" w:hAnsi="仿宋" w:eastAsia="仿宋" w:cs="仿宋"/>
          <w:b/>
          <w:color w:val="auto"/>
          <w:sz w:val="28"/>
          <w:szCs w:val="28"/>
          <w:highlight w:val="none"/>
        </w:rPr>
      </w:pPr>
    </w:p>
    <w:p w14:paraId="7A122A49">
      <w:pPr>
        <w:spacing w:line="600" w:lineRule="exact"/>
        <w:rPr>
          <w:rFonts w:hint="eastAsia" w:ascii="仿宋" w:hAnsi="仿宋" w:eastAsia="仿宋" w:cs="仿宋"/>
          <w:bCs/>
          <w:color w:val="auto"/>
          <w:sz w:val="28"/>
          <w:szCs w:val="28"/>
          <w:highlight w:val="none"/>
          <w:u w:val="single"/>
          <w:lang w:val="en-US"/>
        </w:rPr>
      </w:pPr>
      <w:r>
        <w:rPr>
          <w:rFonts w:hint="eastAsia" w:ascii="仿宋" w:hAnsi="仿宋" w:eastAsia="仿宋" w:cs="仿宋"/>
          <w:b/>
          <w:color w:val="auto"/>
          <w:sz w:val="28"/>
          <w:szCs w:val="28"/>
          <w:highlight w:val="none"/>
        </w:rPr>
        <w:t>咨 询 人：</w:t>
      </w:r>
      <w:r>
        <w:rPr>
          <w:rFonts w:hint="eastAsia" w:ascii="仿宋" w:hAnsi="仿宋" w:eastAsia="仿宋" w:cs="仿宋"/>
          <w:bCs/>
          <w:color w:val="auto"/>
          <w:sz w:val="28"/>
          <w:szCs w:val="28"/>
          <w:highlight w:val="none"/>
          <w:u w:val="single"/>
          <w:lang w:val="en-US" w:eastAsia="zh-CN"/>
        </w:rPr>
        <w:t>***</w:t>
      </w:r>
    </w:p>
    <w:p w14:paraId="05D14E9D">
      <w:pPr>
        <w:rPr>
          <w:rFonts w:hint="eastAsia" w:ascii="仿宋" w:hAnsi="仿宋" w:eastAsia="仿宋" w:cs="仿宋"/>
          <w:b/>
          <w:color w:val="auto"/>
          <w:sz w:val="28"/>
          <w:szCs w:val="28"/>
          <w:highlight w:val="none"/>
          <w:lang w:val="en-US" w:eastAsia="zh-CN"/>
        </w:rPr>
      </w:pPr>
    </w:p>
    <w:p w14:paraId="3F9FC69B">
      <w:pP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代建单位：</w:t>
      </w:r>
      <w:r>
        <w:rPr>
          <w:rFonts w:hint="eastAsia" w:ascii="仿宋" w:hAnsi="仿宋" w:eastAsia="仿宋" w:cs="仿宋"/>
          <w:b w:val="0"/>
          <w:bCs/>
          <w:color w:val="auto"/>
          <w:sz w:val="28"/>
          <w:szCs w:val="28"/>
          <w:highlight w:val="none"/>
          <w:u w:val="single"/>
          <w:lang w:val="en-US" w:eastAsia="zh-CN"/>
        </w:rPr>
        <w:t>佛山市南海区丽雅苑房地产发展有限公司</w:t>
      </w:r>
    </w:p>
    <w:p w14:paraId="66B7B991">
      <w:pPr>
        <w:rPr>
          <w:rFonts w:hint="eastAsia" w:ascii="仿宋" w:hAnsi="仿宋" w:eastAsia="仿宋" w:cs="仿宋"/>
          <w:b/>
          <w:color w:val="auto"/>
          <w:sz w:val="28"/>
          <w:szCs w:val="28"/>
          <w:highlight w:val="none"/>
        </w:rPr>
      </w:pPr>
    </w:p>
    <w:p w14:paraId="3D4C449A">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签订日期：</w:t>
      </w:r>
      <w:r>
        <w:rPr>
          <w:rFonts w:hint="eastAsia" w:ascii="仿宋" w:hAnsi="仿宋" w:eastAsia="仿宋" w:cs="仿宋"/>
          <w:bCs/>
          <w:color w:val="auto"/>
          <w:sz w:val="28"/>
          <w:szCs w:val="28"/>
          <w:highlight w:val="none"/>
          <w:u w:val="single"/>
          <w:lang w:val="en-US" w:eastAsia="zh-CN"/>
        </w:rPr>
        <w:t>2026</w:t>
      </w:r>
      <w:r>
        <w:rPr>
          <w:rFonts w:hint="eastAsia" w:ascii="仿宋" w:hAnsi="仿宋" w:eastAsia="仿宋" w:cs="仿宋"/>
          <w:bCs/>
          <w:color w:val="auto"/>
          <w:sz w:val="28"/>
          <w:szCs w:val="28"/>
          <w:highlight w:val="none"/>
          <w:u w:val="single"/>
        </w:rPr>
        <w:t>年   月   日</w:t>
      </w:r>
    </w:p>
    <w:p w14:paraId="5396809B">
      <w:pPr>
        <w:widowControl/>
        <w:spacing w:before="100" w:beforeAutospacing="1" w:after="100" w:afterAutospacing="1"/>
        <w:jc w:val="center"/>
        <w:rPr>
          <w:rFonts w:hint="eastAsia" w:ascii="仿宋" w:hAnsi="仿宋" w:eastAsia="仿宋" w:cs="仿宋"/>
          <w:b/>
          <w:bCs/>
          <w:smallCaps/>
          <w:color w:val="auto"/>
          <w:kern w:val="0"/>
          <w:sz w:val="20"/>
          <w:szCs w:val="20"/>
          <w:highlight w:val="none"/>
          <w:lang w:val="en-US" w:eastAsia="zh-CN" w:bidi="ar-SA"/>
        </w:rPr>
      </w:pPr>
    </w:p>
    <w:p w14:paraId="5DD588BD">
      <w:pPr>
        <w:widowControl/>
        <w:spacing w:before="0" w:beforeAutospacing="1" w:after="100" w:afterAutospacing="1"/>
        <w:jc w:val="left"/>
        <w:rPr>
          <w:rFonts w:hint="eastAsia" w:ascii="仿宋" w:hAnsi="仿宋" w:eastAsia="仿宋" w:cs="仿宋"/>
          <w:b/>
          <w:bCs/>
          <w:smallCaps/>
          <w:color w:val="auto"/>
          <w:kern w:val="0"/>
          <w:sz w:val="32"/>
          <w:szCs w:val="32"/>
          <w:highlight w:val="none"/>
          <w:lang w:val="en-US" w:eastAsia="zh-CN" w:bidi="ar-SA"/>
        </w:rPr>
      </w:pPr>
      <w:r>
        <w:rPr>
          <w:rFonts w:hint="eastAsia" w:ascii="仿宋" w:hAnsi="仿宋" w:eastAsia="仿宋" w:cs="仿宋"/>
          <w:b/>
          <w:bCs/>
          <w:smallCaps/>
          <w:color w:val="auto"/>
          <w:kern w:val="0"/>
          <w:sz w:val="20"/>
          <w:szCs w:val="20"/>
          <w:highlight w:val="none"/>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3665855</wp:posOffset>
                </wp:positionH>
                <wp:positionV relativeFrom="paragraph">
                  <wp:posOffset>226060</wp:posOffset>
                </wp:positionV>
                <wp:extent cx="2239010" cy="472440"/>
                <wp:effectExtent l="5080" t="4445" r="22860" b="18415"/>
                <wp:wrapNone/>
                <wp:docPr id="1" name="文本框 1"/>
                <wp:cNvGraphicFramePr/>
                <a:graphic xmlns:a="http://schemas.openxmlformats.org/drawingml/2006/main">
                  <a:graphicData uri="http://schemas.microsoft.com/office/word/2010/wordprocessingShape">
                    <wps:wsp>
                      <wps:cNvSpPr txBox="1"/>
                      <wps:spPr>
                        <a:xfrm>
                          <a:off x="0" y="0"/>
                          <a:ext cx="2239010" cy="472440"/>
                        </a:xfrm>
                        <a:prstGeom prst="rect">
                          <a:avLst/>
                        </a:prstGeom>
                        <a:solidFill>
                          <a:srgbClr val="FFFFFF"/>
                        </a:solidFill>
                        <a:ln w="0" cap="flat" cmpd="sng">
                          <a:solidFill>
                            <a:srgbClr val="FFFFFF"/>
                          </a:solidFill>
                          <a:prstDash val="solid"/>
                          <a:miter/>
                          <a:headEnd type="none" w="med" len="med"/>
                          <a:tailEnd type="none" w="med" len="med"/>
                        </a:ln>
                      </wps:spPr>
                      <wps:txbx>
                        <w:txbxContent>
                          <w:p w14:paraId="76835333">
                            <w:pPr>
                              <w:rPr>
                                <w:rFonts w:ascii="Calibri" w:hAnsi="Calibri" w:cs="Times New Roman"/>
                                <w:b/>
                                <w:sz w:val="32"/>
                                <w:szCs w:val="32"/>
                              </w:rPr>
                            </w:pPr>
                            <w:r>
                              <w:rPr>
                                <w:rFonts w:hint="eastAsia" w:ascii="Calibri" w:hAnsi="Calibri" w:cs="Times New Roman"/>
                                <w:b/>
                                <w:sz w:val="32"/>
                                <w:szCs w:val="32"/>
                              </w:rPr>
                              <w:t>制定</w:t>
                            </w:r>
                          </w:p>
                        </w:txbxContent>
                      </wps:txbx>
                      <wps:bodyPr upright="1">
                        <a:spAutoFit/>
                      </wps:bodyPr>
                    </wps:wsp>
                  </a:graphicData>
                </a:graphic>
              </wp:anchor>
            </w:drawing>
          </mc:Choice>
          <mc:Fallback>
            <w:pict>
              <v:shape id="_x0000_s1026" o:spid="_x0000_s1026" o:spt="202" type="#_x0000_t202" style="position:absolute;left:0pt;margin-left:288.65pt;margin-top:17.8pt;height:37.2pt;width:176.3pt;z-index:251659264;mso-width-relative:page;mso-height-relative:page;" fillcolor="#FFFFFF" filled="t" stroked="t" coordsize="21600,21600" o:gfxdata="UEsDBAoAAAAAAIdO4kAAAAAAAAAAAAAAAAAEAAAAZHJzL1BLAwQUAAAACACHTuJAFYctUdgAAAAK&#10;AQAADwAAAGRycy9kb3ducmV2LnhtbE2P0U6DQBBF3038h82Y+GZ3gUCFsjTGRJMmRmPrBwwwBZTd&#10;JeyW1r93fNLHyT2590y5vZhRLDT7wVkN0UqBINu4drCdho/D0909CB/Qtjg6Sxq+ycO2ur4qsWjd&#10;2b7Tsg+d4BLrC9TQhzAVUvqmJ4N+5SaynB3dbDDwOXeynfHM5WaUsVKZNDhYXuhxoseemq/9yfDI&#10;7uUTn7NsWB4oTpPXgwz17k3r25tIbUAEuoQ/GH71WR0qdqrdybZejBrS9TphVEOSZiAYyOM8B1Ez&#10;GSkFsirl/xeqH1BLAwQUAAAACACHTuJAHBid9w0CAABNBAAADgAAAGRycy9lMm9Eb2MueG1srVTL&#10;rtMwEN0j8Q+W9zRtqHhETa+AUjYIkC58gGs7iSW/5HGb9AfgD1ixYc939TsYO6G9j00XdJGO7ZMz&#10;c86Ms7oZjCYHGUA5W9PFbE6JtNwJZduafvu6ffaKEojMCqadlTU9SqA366dPVr2vZOk6p4UMBEks&#10;VL2vaRejr4oCeCcNg5nz0uJh44JhEZehLURgPbIbXZTz+Yuid0H44LgEwN3NeEgnxnANoWsaxeXG&#10;8b2RNo6sQWoWURJ0ygNd52qbRvL4uWlARqJrikpjfmISjHfpWaxXrGoD853iUwnsmhIeaDJMWUx6&#10;ptqwyMg+qEdURvHgwDVxxp0pRiHZEVSxmD/w5rZjXmYtaDX4s+nw/2j5p8OXQJTASaDEMoMNP/38&#10;cfr15/T7O1kke3oPFaJuPeLi8NYNCTrtA24m1UMTTPpHPQTP0dzj2Vw5RMJxsyyfv0aJlHA8W74s&#10;l8vsfnF52weIH6QzJAU1Ddi87Ck7fISIGRH6D5KSgdNKbJXWeRHa3TsdyIFho7f5l4rEV+7BtCV9&#10;ro8zHN0GRwbrMR7lg21zsntwuI41VbVh0I3ZM8M4WEZFGbAMVnWSifdWkHj0aLHFm0VTJUYKSrTE&#10;i5iijIxM6WuQKE1bVJj6M/YhRXHYDUiTwp0TR+zZ3gfVdujnYtTn3+yj26ps6AU2EeGUZdOmG5HG&#10;+O46oy5fgf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YctUdgAAAAKAQAADwAAAAAAAAABACAA&#10;AAAiAAAAZHJzL2Rvd25yZXYueG1sUEsBAhQAFAAAAAgAh07iQBwYnfcNAgAATQQAAA4AAAAAAAAA&#10;AQAgAAAAJwEAAGRycy9lMm9Eb2MueG1sUEsFBgAAAAAGAAYAWQEAAKYFAAAAAA==&#10;">
                <v:fill on="t" focussize="0,0"/>
                <v:stroke weight="0pt" color="#FFFFFF" joinstyle="miter"/>
                <v:imagedata o:title=""/>
                <o:lock v:ext="edit" aspectratio="f"/>
                <v:textbox style="mso-fit-shape-to-text:t;">
                  <w:txbxContent>
                    <w:p w14:paraId="76835333">
                      <w:pPr>
                        <w:rPr>
                          <w:rFonts w:ascii="Calibri" w:hAnsi="Calibri" w:cs="Times New Roman"/>
                          <w:b/>
                          <w:sz w:val="32"/>
                          <w:szCs w:val="32"/>
                        </w:rPr>
                      </w:pPr>
                      <w:r>
                        <w:rPr>
                          <w:rFonts w:hint="eastAsia" w:ascii="Calibri" w:hAnsi="Calibri" w:cs="Times New Roman"/>
                          <w:b/>
                          <w:sz w:val="32"/>
                          <w:szCs w:val="32"/>
                        </w:rPr>
                        <w:t>制定</w:t>
                      </w:r>
                    </w:p>
                  </w:txbxContent>
                </v:textbox>
              </v:shape>
            </w:pict>
          </mc:Fallback>
        </mc:AlternateContent>
      </w:r>
      <w:r>
        <w:rPr>
          <w:rFonts w:hint="eastAsia" w:ascii="仿宋" w:hAnsi="仿宋" w:eastAsia="仿宋" w:cs="仿宋"/>
          <w:b/>
          <w:bCs/>
          <w:smallCaps/>
          <w:color w:val="auto"/>
          <w:kern w:val="0"/>
          <w:sz w:val="32"/>
          <w:szCs w:val="32"/>
          <w:highlight w:val="none"/>
          <w:lang w:val="en-US" w:eastAsia="zh-CN" w:bidi="ar-SA"/>
        </w:rPr>
        <w:t xml:space="preserve">                 住 房 城 乡 建 设 部</w:t>
      </w:r>
    </w:p>
    <w:p w14:paraId="3A5BF1F1">
      <w:pPr>
        <w:widowControl/>
        <w:spacing w:before="100" w:beforeAutospacing="1" w:after="100" w:afterAutospacing="1" w:line="360" w:lineRule="auto"/>
        <w:ind w:firstLine="2072" w:firstLineChars="645"/>
        <w:jc w:val="both"/>
        <w:rPr>
          <w:rFonts w:hint="eastAsia" w:ascii="仿宋" w:hAnsi="仿宋" w:eastAsia="仿宋" w:cs="仿宋"/>
          <w:b/>
          <w:bCs/>
          <w:smallCaps/>
          <w:color w:val="auto"/>
          <w:kern w:val="0"/>
          <w:sz w:val="32"/>
          <w:szCs w:val="32"/>
          <w:highlight w:val="none"/>
          <w:lang w:val="en-US" w:eastAsia="zh-CN" w:bidi="ar-SA"/>
        </w:rPr>
      </w:pPr>
      <w:r>
        <w:rPr>
          <w:rFonts w:hint="eastAsia" w:ascii="仿宋" w:hAnsi="仿宋" w:eastAsia="仿宋" w:cs="仿宋"/>
          <w:b/>
          <w:bCs/>
          <w:smallCaps/>
          <w:color w:val="auto"/>
          <w:kern w:val="0"/>
          <w:sz w:val="32"/>
          <w:szCs w:val="32"/>
          <w:highlight w:val="none"/>
          <w:lang w:val="en-US" w:eastAsia="zh-CN" w:bidi="ar-SA"/>
        </w:rPr>
        <w:t>国家工商行政管理总局</w:t>
      </w:r>
    </w:p>
    <w:p w14:paraId="7399AD36">
      <w:pPr>
        <w:keepNext/>
        <w:keepLines/>
        <w:widowControl w:val="0"/>
        <w:spacing w:before="120" w:after="120" w:line="360" w:lineRule="auto"/>
        <w:jc w:val="center"/>
        <w:outlineLvl w:val="0"/>
        <w:rPr>
          <w:rFonts w:hint="eastAsia" w:ascii="仿宋" w:hAnsi="仿宋" w:eastAsia="仿宋" w:cs="仿宋"/>
          <w:b/>
          <w:bCs/>
          <w:color w:val="auto"/>
          <w:kern w:val="44"/>
          <w:sz w:val="30"/>
          <w:szCs w:val="30"/>
          <w:highlight w:val="none"/>
          <w:lang w:val="en-US" w:eastAsia="zh-CN" w:bidi="ar-SA"/>
        </w:rPr>
      </w:pPr>
      <w:bookmarkStart w:id="15" w:name="_Toc20016"/>
      <w:bookmarkStart w:id="16" w:name="_Toc13491"/>
      <w:bookmarkStart w:id="17" w:name="_Toc28291"/>
      <w:r>
        <w:rPr>
          <w:rFonts w:hint="eastAsia" w:ascii="仿宋" w:hAnsi="仿宋" w:eastAsia="仿宋" w:cs="仿宋"/>
          <w:b/>
          <w:bCs/>
          <w:color w:val="auto"/>
          <w:kern w:val="44"/>
          <w:sz w:val="30"/>
          <w:szCs w:val="30"/>
          <w:highlight w:val="none"/>
          <w:lang w:val="en-US" w:eastAsia="zh-CN" w:bidi="ar-SA"/>
        </w:rPr>
        <w:t>第一部分　协议书</w:t>
      </w:r>
      <w:bookmarkEnd w:id="15"/>
      <w:bookmarkEnd w:id="16"/>
      <w:bookmarkEnd w:id="17"/>
    </w:p>
    <w:p w14:paraId="003D7752">
      <w:pPr>
        <w:spacing w:line="360" w:lineRule="auto"/>
        <w:rPr>
          <w:rFonts w:hint="eastAsia" w:ascii="仿宋" w:hAnsi="仿宋" w:eastAsia="仿宋" w:cs="仿宋"/>
          <w:b/>
          <w:color w:val="auto"/>
          <w:sz w:val="24"/>
          <w:highlight w:val="none"/>
          <w:u w:val="single"/>
          <w:lang w:val="en-US"/>
        </w:rPr>
      </w:pPr>
      <w:r>
        <w:rPr>
          <w:rFonts w:hint="eastAsia" w:ascii="仿宋" w:hAnsi="仿宋" w:eastAsia="仿宋" w:cs="仿宋"/>
          <w:color w:val="auto"/>
          <w:spacing w:val="17"/>
          <w:kern w:val="0"/>
          <w:sz w:val="24"/>
          <w:highlight w:val="none"/>
          <w:fitText w:val="2160" w:id="1137847941"/>
        </w:rPr>
        <w:t>委托人（</w:t>
      </w:r>
      <w:r>
        <w:rPr>
          <w:rFonts w:hint="eastAsia" w:ascii="仿宋" w:hAnsi="仿宋" w:eastAsia="仿宋" w:cs="仿宋"/>
          <w:color w:val="auto"/>
          <w:spacing w:val="17"/>
          <w:kern w:val="0"/>
          <w:sz w:val="24"/>
          <w:highlight w:val="none"/>
          <w:fitText w:val="2160" w:id="1137847941"/>
          <w:lang w:val="en-US" w:eastAsia="zh-CN"/>
        </w:rPr>
        <w:t>甲方</w:t>
      </w:r>
      <w:r>
        <w:rPr>
          <w:rFonts w:hint="eastAsia" w:ascii="仿宋" w:hAnsi="仿宋" w:eastAsia="仿宋" w:cs="仿宋"/>
          <w:color w:val="auto"/>
          <w:spacing w:val="17"/>
          <w:kern w:val="0"/>
          <w:sz w:val="24"/>
          <w:highlight w:val="none"/>
          <w:fitText w:val="2160" w:id="1137847941"/>
        </w:rPr>
        <w:t>）</w:t>
      </w:r>
      <w:r>
        <w:rPr>
          <w:rFonts w:hint="eastAsia" w:ascii="仿宋" w:hAnsi="仿宋" w:eastAsia="仿宋" w:cs="仿宋"/>
          <w:color w:val="auto"/>
          <w:spacing w:val="1"/>
          <w:kern w:val="0"/>
          <w:sz w:val="24"/>
          <w:highlight w:val="none"/>
          <w:fitText w:val="2160" w:id="1137847941"/>
        </w:rPr>
        <w:t>：</w:t>
      </w:r>
      <w:r>
        <w:rPr>
          <w:rFonts w:hint="eastAsia" w:ascii="仿宋" w:hAnsi="仿宋" w:eastAsia="仿宋" w:cs="仿宋"/>
          <w:bCs/>
          <w:color w:val="auto"/>
          <w:sz w:val="24"/>
          <w:highlight w:val="none"/>
          <w:u w:val="single"/>
          <w:lang w:val="en-US" w:eastAsia="zh-CN"/>
        </w:rPr>
        <w:t>佛山市南海有为百越文化有限公司</w:t>
      </w:r>
    </w:p>
    <w:p w14:paraId="5D8EEA7B">
      <w:pPr>
        <w:widowControl/>
        <w:snapToGrid w:val="0"/>
        <w:spacing w:line="360" w:lineRule="auto"/>
        <w:jc w:val="left"/>
        <w:rPr>
          <w:rFonts w:hint="eastAsia" w:ascii="仿宋" w:hAnsi="仿宋" w:eastAsia="仿宋" w:cs="仿宋"/>
          <w:bCs/>
          <w:color w:val="auto"/>
          <w:kern w:val="0"/>
          <w:sz w:val="24"/>
          <w:szCs w:val="24"/>
          <w:highlight w:val="none"/>
          <w:u w:val="single"/>
          <w:lang w:val="en-US" w:eastAsia="zh-CN" w:bidi="ar-SA"/>
        </w:rPr>
      </w:pPr>
      <w:r>
        <w:rPr>
          <w:rFonts w:hint="eastAsia" w:ascii="仿宋" w:hAnsi="仿宋" w:eastAsia="仿宋" w:cs="仿宋"/>
          <w:color w:val="auto"/>
          <w:spacing w:val="17"/>
          <w:kern w:val="0"/>
          <w:sz w:val="24"/>
          <w:szCs w:val="24"/>
          <w:highlight w:val="none"/>
          <w:fitText w:val="2160" w:id="2068122019"/>
          <w:lang w:val="en-US" w:eastAsia="zh-CN" w:bidi="ar-SA"/>
        </w:rPr>
        <w:t>咨询人（乙方）</w:t>
      </w:r>
      <w:r>
        <w:rPr>
          <w:rFonts w:hint="eastAsia" w:ascii="仿宋" w:hAnsi="仿宋" w:eastAsia="仿宋" w:cs="仿宋"/>
          <w:color w:val="auto"/>
          <w:spacing w:val="1"/>
          <w:kern w:val="0"/>
          <w:sz w:val="24"/>
          <w:szCs w:val="24"/>
          <w:highlight w:val="none"/>
          <w:fitText w:val="2160" w:id="2068122019"/>
          <w:lang w:val="en-US" w:eastAsia="zh-CN" w:bidi="ar-SA"/>
        </w:rPr>
        <w:t>：</w:t>
      </w:r>
      <w:r>
        <w:rPr>
          <w:rFonts w:hint="eastAsia" w:ascii="仿宋" w:hAnsi="仿宋" w:eastAsia="仿宋" w:cs="仿宋"/>
          <w:bCs/>
          <w:color w:val="auto"/>
          <w:kern w:val="0"/>
          <w:sz w:val="24"/>
          <w:szCs w:val="24"/>
          <w:highlight w:val="none"/>
          <w:u w:val="single"/>
          <w:lang w:val="en-US" w:eastAsia="zh-CN" w:bidi="ar-SA"/>
        </w:rPr>
        <w:t>***</w:t>
      </w:r>
    </w:p>
    <w:p w14:paraId="0D85D24C">
      <w:pPr>
        <w:widowControl/>
        <w:snapToGrid w:val="0"/>
        <w:spacing w:line="360" w:lineRule="auto"/>
        <w:jc w:val="left"/>
        <w:rPr>
          <w:rFonts w:hint="eastAsia" w:ascii="仿宋" w:hAnsi="仿宋" w:eastAsia="仿宋" w:cs="仿宋"/>
          <w:color w:val="auto"/>
          <w:kern w:val="2"/>
          <w:sz w:val="24"/>
          <w:szCs w:val="24"/>
          <w:highlight w:val="none"/>
          <w:u w:val="none"/>
          <w:lang w:val="en-US" w:eastAsia="zh-CN" w:bidi="ar-SA"/>
        </w:rPr>
      </w:pPr>
      <w:r>
        <w:rPr>
          <w:rFonts w:hint="eastAsia" w:ascii="仿宋" w:hAnsi="仿宋" w:eastAsia="仿宋" w:cs="仿宋"/>
          <w:bCs w:val="0"/>
          <w:color w:val="auto"/>
          <w:kern w:val="2"/>
          <w:sz w:val="24"/>
          <w:szCs w:val="24"/>
          <w:highlight w:val="none"/>
          <w:u w:val="none"/>
          <w:lang w:val="en-US" w:eastAsia="zh-CN" w:bidi="ar-SA"/>
        </w:rPr>
        <w:t>代建单位</w:t>
      </w:r>
      <w:r>
        <w:rPr>
          <w:rFonts w:hint="eastAsia" w:ascii="仿宋" w:hAnsi="仿宋" w:eastAsia="仿宋" w:cs="仿宋"/>
          <w:color w:val="auto"/>
          <w:kern w:val="2"/>
          <w:sz w:val="24"/>
          <w:szCs w:val="24"/>
          <w:highlight w:val="none"/>
          <w:lang w:val="en-US" w:eastAsia="zh-CN" w:bidi="ar-SA"/>
        </w:rPr>
        <w:t>（丙方）</w:t>
      </w:r>
      <w:r>
        <w:rPr>
          <w:rFonts w:hint="eastAsia" w:ascii="仿宋" w:hAnsi="仿宋" w:eastAsia="仿宋" w:cs="仿宋"/>
          <w:bCs w:val="0"/>
          <w:color w:val="auto"/>
          <w:kern w:val="2"/>
          <w:sz w:val="24"/>
          <w:szCs w:val="24"/>
          <w:highlight w:val="none"/>
          <w:u w:val="none"/>
          <w:lang w:val="en-US" w:eastAsia="zh-CN" w:bidi="ar-SA"/>
        </w:rPr>
        <w:t>：</w:t>
      </w:r>
      <w:r>
        <w:rPr>
          <w:rFonts w:hint="eastAsia" w:ascii="仿宋" w:hAnsi="仿宋" w:eastAsia="仿宋" w:cs="仿宋"/>
          <w:bCs w:val="0"/>
          <w:color w:val="auto"/>
          <w:kern w:val="2"/>
          <w:sz w:val="24"/>
          <w:szCs w:val="24"/>
          <w:highlight w:val="none"/>
          <w:u w:val="single"/>
          <w:lang w:val="en-US" w:eastAsia="zh-CN" w:bidi="ar-SA"/>
        </w:rPr>
        <w:t>佛山市南海区丽雅苑房地产发展有限公司</w:t>
      </w:r>
    </w:p>
    <w:p w14:paraId="4545AF1F">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 HYPERLINK "javascript:SLC(21651,0)" </w:instrText>
      </w:r>
      <w:r>
        <w:rPr>
          <w:rFonts w:hint="eastAsia" w:ascii="仿宋" w:hAnsi="仿宋" w:eastAsia="仿宋" w:cs="仿宋"/>
          <w:color w:val="auto"/>
          <w:sz w:val="24"/>
          <w:highlight w:val="none"/>
        </w:rPr>
        <w:fldChar w:fldCharType="separate"/>
      </w:r>
      <w:r>
        <w:rPr>
          <w:rFonts w:hint="eastAsia" w:ascii="仿宋" w:hAnsi="仿宋" w:eastAsia="仿宋" w:cs="仿宋"/>
          <w:color w:val="auto"/>
          <w:sz w:val="24"/>
          <w:highlight w:val="none"/>
          <w:u w:val="single"/>
        </w:rPr>
        <w:t>中华人民共和国民法典</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》及其他有关法律、法规，遵循平等、自愿、公平和诚实信用的原则，</w:t>
      </w:r>
      <w:r>
        <w:rPr>
          <w:rFonts w:hint="eastAsia" w:ascii="仿宋" w:hAnsi="仿宋" w:eastAsia="仿宋" w:cs="仿宋"/>
          <w:color w:val="auto"/>
          <w:sz w:val="24"/>
          <w:highlight w:val="none"/>
          <w:lang w:val="en-US" w:eastAsia="zh-CN"/>
        </w:rPr>
        <w:t>三方</w:t>
      </w:r>
      <w:r>
        <w:rPr>
          <w:rFonts w:hint="eastAsia" w:ascii="仿宋" w:hAnsi="仿宋" w:eastAsia="仿宋" w:cs="仿宋"/>
          <w:color w:val="auto"/>
          <w:sz w:val="24"/>
          <w:highlight w:val="none"/>
        </w:rPr>
        <w:t>就</w:t>
      </w:r>
      <w:r>
        <w:rPr>
          <w:rFonts w:hint="eastAsia" w:ascii="仿宋" w:hAnsi="仿宋" w:eastAsia="仿宋" w:cs="仿宋"/>
          <w:b/>
          <w:bCs/>
          <w:color w:val="auto"/>
          <w:sz w:val="24"/>
          <w:highlight w:val="none"/>
          <w:u w:val="single"/>
          <w:lang w:val="en-US" w:eastAsia="zh-CN"/>
        </w:rPr>
        <w:t>南海文化中心项目结算单审和双审初审服务</w:t>
      </w:r>
      <w:r>
        <w:rPr>
          <w:rFonts w:hint="eastAsia" w:ascii="仿宋" w:hAnsi="仿宋" w:eastAsia="仿宋" w:cs="仿宋"/>
          <w:color w:val="auto"/>
          <w:sz w:val="24"/>
          <w:highlight w:val="none"/>
        </w:rPr>
        <w:t>协商一致，订立本合同。</w:t>
      </w:r>
    </w:p>
    <w:p w14:paraId="15B57E8D">
      <w:pPr>
        <w:adjustRightInd w:val="0"/>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甲方全权委托丙方负责本项目的建设管理工作，代表甲方行使甲方委托的权利，在甲方的委托范围内履行甲方的义务，但不可转移的权利义务除外，如本项目的款项支付、不可转移的债权债务等，丙方依据本合同并在甲方的授权范围内履行其职责。</w:t>
      </w:r>
    </w:p>
    <w:p w14:paraId="485B46F7">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注：佛山市南海区丽雅苑房地产发展有限公司在本项目中担任代建管理工作，仅负责项目代建工作管理事宜，但不承担款项支付等委托人（建设单位）应履行的义务。佛山市南海有为百越文化有限公司在整个项目建设阶段承担项目的发包人工作和履行建设单位的相关义务（包括但不限于审批支付工程款等义务）。上述相关单位按照代建合同及本合同中相关规定并在授权范围内履行其职责和义务。</w:t>
      </w:r>
    </w:p>
    <w:p w14:paraId="5CFCD8DE">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18" w:name="_Toc29942"/>
      <w:bookmarkStart w:id="19" w:name="_Toc25067"/>
      <w:bookmarkStart w:id="20" w:name="_Toc14861"/>
      <w:bookmarkStart w:id="21" w:name="_Toc27631"/>
      <w:bookmarkStart w:id="22" w:name="_Toc489278511"/>
      <w:bookmarkStart w:id="23" w:name="_Toc422322471"/>
      <w:bookmarkStart w:id="24" w:name="_Toc490753345"/>
      <w:bookmarkStart w:id="25" w:name="_Toc14212"/>
      <w:bookmarkStart w:id="26" w:name="_Toc419045056"/>
    </w:p>
    <w:p w14:paraId="58E795A6">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一、工程概况</w:t>
      </w:r>
      <w:bookmarkEnd w:id="18"/>
      <w:bookmarkEnd w:id="19"/>
      <w:bookmarkEnd w:id="20"/>
      <w:bookmarkEnd w:id="21"/>
      <w:bookmarkEnd w:id="22"/>
      <w:bookmarkEnd w:id="23"/>
      <w:bookmarkEnd w:id="24"/>
      <w:bookmarkEnd w:id="25"/>
    </w:p>
    <w:p w14:paraId="153EFDCA">
      <w:pPr>
        <w:snapToGrid w:val="0"/>
        <w:spacing w:line="360" w:lineRule="auto"/>
        <w:ind w:firstLine="564" w:firstLineChars="235"/>
        <w:rPr>
          <w:rFonts w:hint="eastAsia" w:ascii="仿宋" w:hAnsi="仿宋" w:eastAsia="仿宋" w:cs="仿宋"/>
          <w:color w:val="auto"/>
          <w:sz w:val="24"/>
          <w:highlight w:val="none"/>
        </w:rPr>
      </w:pPr>
      <w:r>
        <w:rPr>
          <w:rFonts w:hint="eastAsia" w:ascii="仿宋" w:hAnsi="仿宋" w:eastAsia="仿宋" w:cs="仿宋"/>
          <w:color w:val="auto"/>
          <w:sz w:val="24"/>
          <w:highlight w:val="none"/>
        </w:rPr>
        <w:t>1.工程名称：</w:t>
      </w:r>
      <w:r>
        <w:rPr>
          <w:rFonts w:hint="eastAsia" w:ascii="仿宋" w:hAnsi="仿宋" w:eastAsia="仿宋" w:cs="仿宋"/>
          <w:color w:val="auto"/>
          <w:sz w:val="24"/>
          <w:highlight w:val="none"/>
          <w:lang w:eastAsia="zh-CN"/>
        </w:rPr>
        <w:t>南海文化中心项目</w:t>
      </w:r>
      <w:r>
        <w:rPr>
          <w:rFonts w:hint="eastAsia" w:ascii="仿宋" w:hAnsi="仿宋" w:eastAsia="仿宋" w:cs="仿宋"/>
          <w:color w:val="auto"/>
          <w:sz w:val="24"/>
          <w:szCs w:val="24"/>
          <w:highlight w:val="none"/>
        </w:rPr>
        <w:t>。</w:t>
      </w:r>
    </w:p>
    <w:p w14:paraId="6E6B4F0F">
      <w:pPr>
        <w:snapToGrid w:val="0"/>
        <w:spacing w:line="360" w:lineRule="auto"/>
        <w:ind w:firstLine="564" w:firstLineChars="235"/>
        <w:rPr>
          <w:rFonts w:hint="eastAsia" w:ascii="仿宋" w:hAnsi="仿宋" w:eastAsia="仿宋" w:cs="仿宋"/>
          <w:color w:val="auto"/>
          <w:sz w:val="24"/>
          <w:highlight w:val="none"/>
        </w:rPr>
      </w:pPr>
      <w:r>
        <w:rPr>
          <w:rFonts w:hint="eastAsia" w:ascii="仿宋" w:hAnsi="仿宋" w:eastAsia="仿宋" w:cs="仿宋"/>
          <w:color w:val="auto"/>
          <w:sz w:val="24"/>
          <w:highlight w:val="none"/>
        </w:rPr>
        <w:t>2.工程地点：</w:t>
      </w:r>
      <w:bookmarkEnd w:id="26"/>
      <w:r>
        <w:rPr>
          <w:rFonts w:hint="eastAsia" w:ascii="仿宋" w:hAnsi="仿宋" w:eastAsia="仿宋" w:cs="仿宋"/>
          <w:color w:val="auto"/>
          <w:sz w:val="24"/>
          <w:highlight w:val="none"/>
          <w:lang w:eastAsia="zh-CN"/>
        </w:rPr>
        <w:t>佛山市南海区桂城街道海五路南侧,千灯湖公园西侧,南六路东侧,海四路北侧</w:t>
      </w:r>
      <w:r>
        <w:rPr>
          <w:rFonts w:hint="eastAsia" w:ascii="仿宋" w:hAnsi="仿宋" w:eastAsia="仿宋" w:cs="仿宋"/>
          <w:color w:val="auto"/>
          <w:sz w:val="24"/>
          <w:highlight w:val="none"/>
        </w:rPr>
        <w:t>。</w:t>
      </w:r>
    </w:p>
    <w:p w14:paraId="38AA199F">
      <w:pPr>
        <w:snapToGrid w:val="0"/>
        <w:spacing w:line="360" w:lineRule="auto"/>
        <w:ind w:firstLine="564" w:firstLineChars="235"/>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3.工程立项</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南发改资投审〔2021〕3号</w:t>
      </w:r>
    </w:p>
    <w:p w14:paraId="5C4F1B7A">
      <w:pPr>
        <w:snapToGrid w:val="0"/>
        <w:spacing w:line="360" w:lineRule="auto"/>
        <w:ind w:firstLine="564" w:firstLineChars="23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4.资金来源：</w:t>
      </w:r>
      <w:r>
        <w:rPr>
          <w:rFonts w:hint="eastAsia" w:ascii="仿宋" w:hAnsi="仿宋" w:eastAsia="仿宋" w:cs="仿宋"/>
          <w:color w:val="auto"/>
          <w:sz w:val="24"/>
          <w:highlight w:val="none"/>
          <w:lang w:val="en-US" w:eastAsia="zh-CN"/>
        </w:rPr>
        <w:t>财政资金</w:t>
      </w:r>
    </w:p>
    <w:p w14:paraId="15166B61">
      <w:pPr>
        <w:snapToGrid w:val="0"/>
        <w:spacing w:line="360" w:lineRule="auto"/>
        <w:ind w:firstLine="564" w:firstLineChars="235"/>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5.工程规模：</w:t>
      </w:r>
      <w:r>
        <w:rPr>
          <w:rFonts w:hint="eastAsia" w:ascii="仿宋" w:hAnsi="仿宋" w:eastAsia="仿宋" w:cs="仿宋"/>
          <w:color w:val="auto"/>
          <w:sz w:val="24"/>
          <w:highlight w:val="none"/>
          <w:lang w:eastAsia="zh-CN"/>
        </w:rPr>
        <w:t>项目占地面积63876.63平方米，总建设面积约170000平方米,其中地下室总面积73324.95平方米。建设包括南海文化中心东侧道路、科技活动展览馆、图书馆、美术展馆、城市非遗文创馆、文化综合馆、青少年活动中心、老年人活动中心和管理服务区等设施。新建一条下穿道路全长约390米。</w:t>
      </w:r>
    </w:p>
    <w:p w14:paraId="48D4F9FE">
      <w:pPr>
        <w:snapToGrid w:val="0"/>
        <w:spacing w:line="360" w:lineRule="auto"/>
        <w:ind w:firstLine="564" w:firstLineChars="235"/>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6.</w:t>
      </w:r>
      <w:bookmarkStart w:id="27" w:name="7"/>
      <w:bookmarkEnd w:id="27"/>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：总投资约257177.38万元，其中建安费约205996.18万元。</w:t>
      </w:r>
    </w:p>
    <w:p w14:paraId="17CF0931">
      <w:pPr>
        <w:snapToGrid w:val="0"/>
        <w:spacing w:line="360" w:lineRule="auto"/>
        <w:ind w:firstLine="564" w:firstLineChars="235"/>
        <w:rPr>
          <w:rFonts w:hint="eastAsia" w:ascii="仿宋" w:hAnsi="仿宋" w:eastAsia="仿宋" w:cs="仿宋"/>
          <w:color w:val="auto"/>
          <w:sz w:val="24"/>
          <w:highlight w:val="none"/>
          <w:lang w:eastAsia="zh-CN"/>
        </w:rPr>
      </w:pPr>
    </w:p>
    <w:p w14:paraId="62330225">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28" w:name="_Toc489278512"/>
      <w:bookmarkStart w:id="29" w:name="_Toc490753346"/>
      <w:bookmarkStart w:id="30" w:name="_Toc419045059"/>
      <w:bookmarkStart w:id="31" w:name="_Toc422322472"/>
      <w:bookmarkStart w:id="32" w:name="_Toc1567"/>
      <w:bookmarkStart w:id="33" w:name="_Toc14663"/>
      <w:bookmarkStart w:id="34" w:name="_Toc30375"/>
      <w:bookmarkStart w:id="35" w:name="_Toc23826"/>
      <w:bookmarkStart w:id="36" w:name="_Toc6626"/>
      <w:r>
        <w:rPr>
          <w:rFonts w:hint="eastAsia" w:ascii="仿宋" w:hAnsi="仿宋" w:eastAsia="仿宋" w:cs="仿宋"/>
          <w:b/>
          <w:color w:val="auto"/>
          <w:kern w:val="2"/>
          <w:sz w:val="24"/>
          <w:szCs w:val="24"/>
          <w:highlight w:val="none"/>
          <w:lang w:val="en-US" w:eastAsia="zh-CN" w:bidi="ar-SA"/>
        </w:rPr>
        <w:t>二、</w:t>
      </w:r>
      <w:bookmarkEnd w:id="28"/>
      <w:bookmarkEnd w:id="29"/>
      <w:bookmarkEnd w:id="30"/>
      <w:bookmarkEnd w:id="31"/>
      <w:r>
        <w:rPr>
          <w:rFonts w:hint="eastAsia" w:ascii="仿宋" w:hAnsi="仿宋" w:eastAsia="仿宋" w:cs="仿宋"/>
          <w:b/>
          <w:color w:val="auto"/>
          <w:kern w:val="2"/>
          <w:sz w:val="24"/>
          <w:szCs w:val="24"/>
          <w:highlight w:val="none"/>
          <w:lang w:val="en-US" w:eastAsia="zh-CN" w:bidi="ar-SA"/>
        </w:rPr>
        <w:t>工作内容</w:t>
      </w:r>
      <w:bookmarkEnd w:id="32"/>
      <w:bookmarkEnd w:id="33"/>
      <w:bookmarkEnd w:id="34"/>
      <w:bookmarkEnd w:id="35"/>
      <w:bookmarkEnd w:id="36"/>
      <w:bookmarkStart w:id="37" w:name="_Toc419045060"/>
      <w:bookmarkStart w:id="38" w:name="_Toc422322473"/>
    </w:p>
    <w:p w14:paraId="68D5607A">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bookmarkStart w:id="39" w:name="_Toc10326"/>
      <w:r>
        <w:rPr>
          <w:rFonts w:hint="eastAsia" w:ascii="仿宋" w:hAnsi="仿宋" w:eastAsia="仿宋" w:cs="仿宋"/>
          <w:color w:val="auto"/>
          <w:kern w:val="0"/>
          <w:sz w:val="24"/>
          <w:szCs w:val="21"/>
          <w:highlight w:val="none"/>
          <w:lang w:val="en-US" w:eastAsia="zh-CN" w:bidi="ar-SA"/>
        </w:rPr>
        <w:t>本项目为南海文化中心项目结算单审和双审初审服务</w:t>
      </w:r>
      <w:r>
        <w:rPr>
          <w:rFonts w:hint="eastAsia" w:ascii="仿宋" w:hAnsi="仿宋" w:eastAsia="仿宋" w:cs="仿宋"/>
          <w:color w:val="auto"/>
          <w:kern w:val="2"/>
          <w:sz w:val="24"/>
          <w:szCs w:val="24"/>
          <w:highlight w:val="none"/>
          <w:lang w:val="en-US" w:eastAsia="zh-CN" w:bidi="ar-SA"/>
        </w:rPr>
        <w:t>，审核范围包括但不限于土建施工总承包、幕墙系统工程、高低压变配电工程、装修及机电安装工程、三圣河（南海文化中心段）改造、智能化工程、自然科学探索馆布展工程、图书馆专用设备采购、电梯设备采购与安装工程、图书馆专用家具采购、舞台设备供应及安装、办公家具、用具采购、其他工程、采购及服务项目等。咨询人需完成工作包括但不限于：工程结算审核、人工及材料设备调差审核、建立工程变更报备、报批情况台账。</w:t>
      </w:r>
    </w:p>
    <w:p w14:paraId="54354F9A">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1.工程结算审核：</w:t>
      </w:r>
    </w:p>
    <w:p w14:paraId="71EB4AB7">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1"/>
          <w:highlight w:val="none"/>
          <w:lang w:val="en-US" w:eastAsia="zh-CN" w:bidi="ar-SA"/>
        </w:rPr>
        <w:t>咨询人按照合同和委托人的要求，根据竣工图、工程合同、相关法律、招标文件、投标文件、施工图纸、设计变更、现场签证、现场发生的各项有效证明、法规规范与省市区发布的相关造价文件等相关资料审核工程结算造价，对施工单位提供的竣工结算编制报告开展结算审核工作，并审核施工单位提交的结算资料是否完整和符合规范，以保证满足报送财政部门（或政府指定部门）的要求。</w:t>
      </w:r>
    </w:p>
    <w:p w14:paraId="771299D0">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2.人工及材料设备调差审核：</w:t>
      </w:r>
    </w:p>
    <w:p w14:paraId="49ED2458">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咨询人按照合同和委托人的要求，根据已修编的月进度计量，结合建设工程施工合同中相关条款约定的人工、材料设备价格调整原则，对本工程的人工及材料设备调差进行审核，并将审核成果报告给委托人。</w:t>
      </w:r>
    </w:p>
    <w:p w14:paraId="704F87EC">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3.建立工程变更报备、报批情况台账：</w:t>
      </w:r>
    </w:p>
    <w:p w14:paraId="294EB9A2">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咨询人应按照委托人及其上级主管部门发布对应的变更管理办法，检查本工程范围内所有变更资料是否已按相关文件要求完成报批、报备手续，并建立台账。</w:t>
      </w:r>
    </w:p>
    <w:p w14:paraId="737A6DF3">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40" w:name="_Toc6077"/>
    </w:p>
    <w:p w14:paraId="41D79BF6">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三、服务期限</w:t>
      </w:r>
      <w:bookmarkEnd w:id="37"/>
      <w:bookmarkEnd w:id="38"/>
      <w:bookmarkEnd w:id="39"/>
      <w:bookmarkEnd w:id="40"/>
    </w:p>
    <w:p w14:paraId="465A7D1D">
      <w:pPr>
        <w:widowControl/>
        <w:snapToGrid w:val="0"/>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bookmarkStart w:id="41" w:name="9"/>
      <w:bookmarkEnd w:id="41"/>
      <w:bookmarkStart w:id="42" w:name="_Toc5661"/>
      <w:bookmarkStart w:id="43" w:name="_Toc489278513"/>
      <w:bookmarkStart w:id="44" w:name="_Toc490753347"/>
      <w:bookmarkStart w:id="45" w:name="_Toc20114"/>
      <w:bookmarkStart w:id="46" w:name="_Toc26635"/>
      <w:bookmarkStart w:id="47" w:name="_Toc422322474"/>
      <w:bookmarkStart w:id="48" w:name="_Toc419045061"/>
      <w:r>
        <w:rPr>
          <w:rFonts w:hint="eastAsia" w:ascii="仿宋" w:hAnsi="仿宋" w:eastAsia="仿宋" w:cs="仿宋"/>
          <w:color w:val="auto"/>
          <w:kern w:val="0"/>
          <w:sz w:val="24"/>
          <w:szCs w:val="24"/>
          <w:highlight w:val="none"/>
          <w:lang w:val="en-US" w:eastAsia="zh-CN" w:bidi="ar-SA"/>
        </w:rPr>
        <w:t>自本合同签订之日起至完成合同所有结算审核咨询服务内容为止。</w:t>
      </w:r>
      <w:bookmarkStart w:id="49" w:name="_Toc27268"/>
      <w:bookmarkStart w:id="50" w:name="_Toc14671"/>
    </w:p>
    <w:p w14:paraId="42F17F34">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四、质量标准</w:t>
      </w:r>
      <w:bookmarkEnd w:id="42"/>
      <w:bookmarkEnd w:id="43"/>
      <w:bookmarkEnd w:id="44"/>
      <w:bookmarkEnd w:id="45"/>
      <w:bookmarkEnd w:id="46"/>
      <w:bookmarkEnd w:id="47"/>
      <w:bookmarkEnd w:id="48"/>
      <w:bookmarkEnd w:id="49"/>
      <w:bookmarkEnd w:id="50"/>
    </w:p>
    <w:p w14:paraId="2CD6AD5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严格按照国家、广东省、佛山市、南海区或行业相关标准规范等依据提供准确、可靠的工程结算审核咨询服务。</w:t>
      </w:r>
    </w:p>
    <w:p w14:paraId="0F47980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1、咨询人应当保证所提交报告文件的合法性、准确性和全面性。</w:t>
      </w:r>
    </w:p>
    <w:p w14:paraId="44DD872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2、咨询人所提交的报告文件必须文字清晰整齐，内容达到委托人及本合同的要求。</w:t>
      </w:r>
    </w:p>
    <w:p w14:paraId="2143284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3、如咨询人不按合同条款、委托人的要求执行，或报告质量等达不到委托人的要求，委托人有权勒令咨询人整改，一切责任由咨询人负责。</w:t>
      </w:r>
    </w:p>
    <w:p w14:paraId="5FD406D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4、各项工程结算审核</w:t>
      </w:r>
      <w:r>
        <w:rPr>
          <w:rFonts w:hint="eastAsia" w:ascii="仿宋" w:hAnsi="仿宋" w:eastAsia="仿宋" w:cs="仿宋"/>
          <w:color w:val="auto"/>
          <w:sz w:val="24"/>
          <w:highlight w:val="none"/>
          <w:lang w:val="en-US" w:eastAsia="zh-CN"/>
        </w:rPr>
        <w:t>服务</w:t>
      </w:r>
      <w:r>
        <w:rPr>
          <w:rFonts w:hint="eastAsia" w:ascii="仿宋" w:hAnsi="仿宋" w:eastAsia="仿宋" w:cs="仿宋"/>
          <w:color w:val="auto"/>
          <w:sz w:val="24"/>
          <w:highlight w:val="none"/>
        </w:rPr>
        <w:t>完成，咨询人自检审查合格后，按要求将报告移交委托人，并提供有关资料（包括工程量计算书、广联达图形算量及钢筋抽料单、各</w:t>
      </w:r>
      <w:r>
        <w:rPr>
          <w:rFonts w:hint="eastAsia" w:ascii="仿宋" w:hAnsi="仿宋" w:eastAsia="仿宋" w:cs="仿宋"/>
          <w:color w:val="auto"/>
          <w:sz w:val="24"/>
          <w:highlight w:val="none"/>
          <w:lang w:eastAsia="zh-CN"/>
        </w:rPr>
        <w:t>分部</w:t>
      </w:r>
      <w:r>
        <w:rPr>
          <w:rFonts w:hint="eastAsia" w:ascii="仿宋" w:hAnsi="仿宋" w:eastAsia="仿宋" w:cs="仿宋"/>
          <w:color w:val="auto"/>
          <w:sz w:val="24"/>
          <w:highlight w:val="none"/>
        </w:rPr>
        <w:t>分项工程工程量汇总、成本分析报告等）。如果发现咨询人的资料不能达到委托人（或</w:t>
      </w:r>
      <w:r>
        <w:rPr>
          <w:rFonts w:hint="eastAsia" w:ascii="仿宋" w:hAnsi="仿宋" w:eastAsia="仿宋" w:cs="仿宋"/>
          <w:color w:val="auto"/>
          <w:sz w:val="24"/>
          <w:highlight w:val="none"/>
          <w:lang w:val="en-US" w:eastAsia="zh-CN"/>
        </w:rPr>
        <w:t>委托人上级部门</w:t>
      </w:r>
      <w:r>
        <w:rPr>
          <w:rFonts w:hint="eastAsia" w:ascii="仿宋" w:hAnsi="仿宋" w:eastAsia="仿宋" w:cs="仿宋"/>
          <w:color w:val="auto"/>
          <w:sz w:val="24"/>
          <w:highlight w:val="none"/>
        </w:rPr>
        <w:t>）的要求时，咨询人须对所报资料进行整改、修正，直至符合委托人（或</w:t>
      </w:r>
      <w:r>
        <w:rPr>
          <w:rFonts w:hint="eastAsia" w:ascii="仿宋" w:hAnsi="仿宋" w:eastAsia="仿宋" w:cs="仿宋"/>
          <w:color w:val="auto"/>
          <w:sz w:val="24"/>
          <w:highlight w:val="none"/>
          <w:lang w:eastAsia="zh-CN"/>
        </w:rPr>
        <w:t>委托人上级部门</w:t>
      </w:r>
      <w:r>
        <w:rPr>
          <w:rFonts w:hint="eastAsia" w:ascii="仿宋" w:hAnsi="仿宋" w:eastAsia="仿宋" w:cs="仿宋"/>
          <w:color w:val="auto"/>
          <w:sz w:val="24"/>
          <w:highlight w:val="none"/>
        </w:rPr>
        <w:t>）要求为止(咨询人移交的计算底稿必须可复查性强、条理清楚、步骤清晰)且最后一次修正稿的提交日为咨询人提交工作成果日。</w:t>
      </w:r>
    </w:p>
    <w:p w14:paraId="5F3FFC0B">
      <w:pPr>
        <w:snapToGrid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5、工程结算审核咨询成果文件应符合：国家、行业、地方现行相关标准和规范、规程，确保成果资料完整、真实准确、清晰有据。</w:t>
      </w:r>
      <w:bookmarkStart w:id="51" w:name="_Toc14669"/>
      <w:bookmarkStart w:id="52" w:name="_Toc7689"/>
      <w:bookmarkStart w:id="53" w:name="_Toc27597"/>
      <w:bookmarkStart w:id="54" w:name="_Toc14825"/>
      <w:bookmarkStart w:id="55" w:name="_Toc28680"/>
    </w:p>
    <w:p w14:paraId="656B2B7E">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五、合同价格形式与签约合同价</w:t>
      </w:r>
      <w:bookmarkEnd w:id="51"/>
      <w:bookmarkEnd w:id="52"/>
      <w:bookmarkEnd w:id="53"/>
      <w:bookmarkEnd w:id="54"/>
      <w:bookmarkEnd w:id="55"/>
    </w:p>
    <w:p w14:paraId="260E3EFA">
      <w:p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1、本项目结算审核服务费签约合同价为人民币（大写）</w:t>
      </w:r>
      <w:r>
        <w:rPr>
          <w:rFonts w:hint="eastAsia" w:ascii="仿宋" w:hAnsi="仿宋" w:eastAsia="仿宋" w:cs="仿宋"/>
          <w:b/>
          <w:color w:val="auto"/>
          <w:sz w:val="24"/>
          <w:highlight w:val="none"/>
          <w:u w:val="single"/>
        </w:rPr>
        <w:t xml:space="preserve">  </w:t>
      </w:r>
      <w:r>
        <w:rPr>
          <w:rFonts w:hint="eastAsia" w:ascii="仿宋" w:hAnsi="仿宋" w:eastAsia="仿宋" w:cs="仿宋"/>
          <w:b/>
          <w:color w:val="auto"/>
          <w:sz w:val="24"/>
          <w:highlight w:val="none"/>
          <w:u w:val="single"/>
          <w:lang w:val="en-US" w:eastAsia="zh-CN"/>
        </w:rPr>
        <w:t xml:space="preserve"> </w:t>
      </w:r>
      <w:r>
        <w:rPr>
          <w:rFonts w:hint="eastAsia" w:ascii="仿宋" w:hAnsi="仿宋" w:eastAsia="仿宋" w:cs="仿宋"/>
          <w:b/>
          <w:color w:val="auto"/>
          <w:sz w:val="24"/>
          <w:highlight w:val="none"/>
        </w:rPr>
        <w:t>元，（小写）￥</w:t>
      </w:r>
      <w:r>
        <w:rPr>
          <w:rFonts w:hint="eastAsia" w:ascii="仿宋" w:hAnsi="仿宋" w:eastAsia="仿宋" w:cs="仿宋"/>
          <w:b/>
          <w:color w:val="auto"/>
          <w:sz w:val="24"/>
          <w:highlight w:val="none"/>
          <w:u w:val="single"/>
          <w:lang w:val="en-US" w:eastAsia="zh-CN"/>
        </w:rPr>
        <w:t xml:space="preserve"> </w:t>
      </w:r>
      <w:r>
        <w:rPr>
          <w:rFonts w:hint="eastAsia" w:ascii="仿宋" w:hAnsi="仿宋" w:eastAsia="仿宋" w:cs="仿宋"/>
          <w:b/>
          <w:color w:val="auto"/>
          <w:sz w:val="24"/>
          <w:highlight w:val="none"/>
          <w:u w:val="single"/>
        </w:rPr>
        <w:t xml:space="preserve"> </w:t>
      </w:r>
      <w:r>
        <w:rPr>
          <w:rFonts w:hint="eastAsia" w:ascii="仿宋" w:hAnsi="仿宋" w:eastAsia="仿宋" w:cs="仿宋"/>
          <w:b/>
          <w:color w:val="auto"/>
          <w:sz w:val="24"/>
          <w:highlight w:val="none"/>
        </w:rPr>
        <w:t>元；</w:t>
      </w:r>
      <w:r>
        <w:rPr>
          <w:rFonts w:hint="eastAsia" w:ascii="仿宋" w:hAnsi="仿宋" w:eastAsia="仿宋" w:cs="仿宋"/>
          <w:b/>
          <w:color w:val="auto"/>
          <w:sz w:val="24"/>
          <w:highlight w:val="none"/>
          <w:lang w:val="en-US" w:eastAsia="zh-CN"/>
        </w:rPr>
        <w:t>结算审核</w:t>
      </w:r>
      <w:r>
        <w:rPr>
          <w:rFonts w:hint="eastAsia" w:ascii="仿宋" w:hAnsi="仿宋" w:eastAsia="仿宋" w:cs="仿宋"/>
          <w:b/>
          <w:color w:val="auto"/>
          <w:sz w:val="24"/>
          <w:highlight w:val="none"/>
        </w:rPr>
        <w:t>服务费</w:t>
      </w:r>
      <w:r>
        <w:rPr>
          <w:rFonts w:hint="eastAsia" w:ascii="仿宋" w:hAnsi="仿宋" w:eastAsia="仿宋" w:cs="仿宋"/>
          <w:b/>
          <w:color w:val="auto"/>
          <w:sz w:val="24"/>
          <w:highlight w:val="none"/>
          <w:lang w:eastAsia="zh-CN"/>
        </w:rPr>
        <w:t>折率</w:t>
      </w:r>
      <w:r>
        <w:rPr>
          <w:rFonts w:hint="eastAsia" w:ascii="仿宋" w:hAnsi="仿宋" w:eastAsia="仿宋" w:cs="仿宋"/>
          <w:b/>
          <w:color w:val="auto"/>
          <w:sz w:val="24"/>
          <w:highlight w:val="none"/>
        </w:rPr>
        <w:t>为</w:t>
      </w:r>
      <w:r>
        <w:rPr>
          <w:rFonts w:hint="eastAsia" w:ascii="仿宋" w:hAnsi="仿宋" w:eastAsia="仿宋" w:cs="仿宋"/>
          <w:b/>
          <w:color w:val="auto"/>
          <w:sz w:val="24"/>
          <w:highlight w:val="none"/>
          <w:u w:val="single"/>
        </w:rPr>
        <w:t xml:space="preserve"> </w:t>
      </w:r>
      <w:r>
        <w:rPr>
          <w:rFonts w:hint="eastAsia" w:ascii="仿宋" w:hAnsi="仿宋" w:eastAsia="仿宋" w:cs="仿宋"/>
          <w:b/>
          <w:color w:val="auto"/>
          <w:sz w:val="24"/>
          <w:highlight w:val="none"/>
          <w:u w:val="single"/>
          <w:lang w:val="en-US" w:eastAsia="zh-CN"/>
        </w:rPr>
        <w:t xml:space="preserve">  </w:t>
      </w:r>
      <w:r>
        <w:rPr>
          <w:rFonts w:hint="eastAsia" w:ascii="仿宋" w:hAnsi="仿宋" w:eastAsia="仿宋" w:cs="仿宋"/>
          <w:b/>
          <w:color w:val="auto"/>
          <w:sz w:val="24"/>
          <w:highlight w:val="none"/>
        </w:rPr>
        <w:t>%。</w:t>
      </w:r>
    </w:p>
    <w:p w14:paraId="30CA631F">
      <w:pPr>
        <w:widowControl w:val="0"/>
        <w:spacing w:line="360" w:lineRule="auto"/>
        <w:ind w:firstLine="480" w:firstLineChars="200"/>
        <w:jc w:val="both"/>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注：</w:t>
      </w:r>
      <w:r>
        <w:rPr>
          <w:rFonts w:hint="eastAsia" w:ascii="仿宋" w:hAnsi="仿宋" w:eastAsia="仿宋" w:cs="仿宋"/>
          <w:b w:val="0"/>
          <w:bCs/>
          <w:color w:val="auto"/>
          <w:kern w:val="2"/>
          <w:sz w:val="21"/>
          <w:szCs w:val="20"/>
          <w:highlight w:val="none"/>
          <w:lang w:val="en-US" w:eastAsia="zh-CN" w:bidi="ar-SA"/>
        </w:rPr>
        <w:t>结算审核服务费签约合同价</w:t>
      </w:r>
      <w:r>
        <w:rPr>
          <w:rFonts w:hint="eastAsia" w:ascii="仿宋" w:hAnsi="仿宋" w:eastAsia="仿宋" w:cs="仿宋"/>
          <w:b w:val="0"/>
          <w:bCs/>
          <w:color w:val="auto"/>
          <w:kern w:val="2"/>
          <w:sz w:val="24"/>
          <w:szCs w:val="20"/>
          <w:highlight w:val="none"/>
          <w:lang w:val="en-US" w:eastAsia="zh-CN" w:bidi="ar-SA"/>
        </w:rPr>
        <w:t>=本结算初审项目预算金额（3418937.62元）÷最高投标折率（65.00%）×结算审核服务费折率，计算结果精确至小数点后二位，第三位小数四舍五入。</w:t>
      </w:r>
    </w:p>
    <w:p w14:paraId="67B1EF8F">
      <w:pPr>
        <w:widowControl w:val="0"/>
        <w:numPr>
          <w:ilvl w:val="0"/>
          <w:numId w:val="7"/>
        </w:numPr>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4"/>
          <w:highlight w:val="none"/>
          <w:lang w:val="en-US" w:eastAsia="zh-CN" w:bidi="ar-SA"/>
        </w:rPr>
        <w:t>本项目</w:t>
      </w:r>
      <w:r>
        <w:rPr>
          <w:rFonts w:hint="eastAsia" w:ascii="仿宋" w:hAnsi="仿宋" w:eastAsia="仿宋" w:cs="仿宋"/>
          <w:color w:val="auto"/>
          <w:kern w:val="2"/>
          <w:sz w:val="24"/>
          <w:szCs w:val="20"/>
          <w:highlight w:val="none"/>
          <w:lang w:val="en-US" w:eastAsia="zh-CN" w:bidi="ar-SA"/>
        </w:rPr>
        <w:t>工程结算审核咨询</w:t>
      </w:r>
      <w:r>
        <w:rPr>
          <w:rFonts w:hint="eastAsia" w:ascii="仿宋" w:hAnsi="仿宋" w:eastAsia="仿宋" w:cs="仿宋"/>
          <w:color w:val="auto"/>
          <w:kern w:val="2"/>
          <w:sz w:val="24"/>
          <w:szCs w:val="24"/>
          <w:highlight w:val="none"/>
          <w:lang w:val="en-US" w:eastAsia="zh-CN" w:bidi="ar-SA"/>
        </w:rPr>
        <w:t>服务费采用固定中标折率包干方式。</w:t>
      </w:r>
      <w:r>
        <w:rPr>
          <w:rFonts w:hint="eastAsia" w:ascii="仿宋" w:hAnsi="仿宋" w:eastAsia="仿宋" w:cs="仿宋"/>
          <w:color w:val="auto"/>
          <w:kern w:val="2"/>
          <w:sz w:val="24"/>
          <w:szCs w:val="20"/>
          <w:highlight w:val="none"/>
          <w:lang w:val="en-US" w:eastAsia="zh-CN" w:bidi="ar-SA"/>
        </w:rPr>
        <w:t>折率不因工程的工期延长等因素而调整。</w:t>
      </w:r>
    </w:p>
    <w:p w14:paraId="40809368">
      <w:pPr>
        <w:widowControl w:val="0"/>
        <w:numPr>
          <w:ilvl w:val="0"/>
          <w:numId w:val="0"/>
        </w:numPr>
        <w:spacing w:line="360" w:lineRule="auto"/>
        <w:ind w:firstLine="480" w:firstLineChars="200"/>
        <w:jc w:val="both"/>
        <w:rPr>
          <w:rFonts w:hint="eastAsia" w:ascii="仿宋" w:hAnsi="仿宋" w:eastAsia="仿宋" w:cs="仿宋"/>
          <w:color w:val="auto"/>
          <w:kern w:val="2"/>
          <w:sz w:val="24"/>
          <w:szCs w:val="20"/>
          <w:highlight w:val="none"/>
          <w:lang w:val="en-US" w:eastAsia="zh-CN" w:bidi="ar-SA"/>
        </w:rPr>
      </w:pPr>
      <w:r>
        <w:rPr>
          <w:rFonts w:hint="eastAsia" w:ascii="仿宋" w:hAnsi="仿宋" w:eastAsia="仿宋" w:cs="仿宋"/>
          <w:color w:val="auto"/>
          <w:kern w:val="2"/>
          <w:sz w:val="24"/>
          <w:szCs w:val="20"/>
          <w:highlight w:val="none"/>
          <w:lang w:val="en-US" w:eastAsia="zh-CN" w:bidi="ar-SA"/>
        </w:rPr>
        <w:t>3、风险控制价：2906096.98元（按照采购项目预算金额下浮15%计算）。当签约合同价低于风险控制价时，咨询人应当在合同签订前提供低价风险担保（低价风险担保的形式、递交时间、保证期限、退回时间、使用方式等相关要求均与履约担保的要求相同）；咨询人未按照要求提交低价风险担保的，视为放弃中标。低价风险担保金额＝风险控制价-签约合同价。</w:t>
      </w:r>
    </w:p>
    <w:p w14:paraId="230D758E">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56" w:name="_Toc19386"/>
      <w:bookmarkStart w:id="57" w:name="_Toc7973"/>
    </w:p>
    <w:p w14:paraId="221893E1">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六、委托人代表与咨询人项目负责人</w:t>
      </w:r>
      <w:bookmarkEnd w:id="56"/>
      <w:bookmarkEnd w:id="57"/>
    </w:p>
    <w:p w14:paraId="037145D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委托人代表：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ABF01C1">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咨询人项目负责人：</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。证书号：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rPr>
        <w:t>。</w:t>
      </w:r>
      <w:bookmarkStart w:id="58" w:name="_Toc419045058"/>
      <w:bookmarkStart w:id="59" w:name="_Toc422322476"/>
    </w:p>
    <w:p w14:paraId="4FD3BC2B">
      <w:pPr>
        <w:spacing w:line="360" w:lineRule="auto"/>
        <w:rPr>
          <w:rStyle w:val="176"/>
          <w:rFonts w:hint="eastAsia" w:ascii="仿宋" w:hAnsi="仿宋" w:eastAsia="仿宋" w:cs="仿宋"/>
          <w:color w:val="auto"/>
          <w:sz w:val="24"/>
          <w:highlight w:val="none"/>
        </w:rPr>
      </w:pPr>
      <w:bookmarkStart w:id="60" w:name="_Toc29553"/>
      <w:bookmarkStart w:id="61" w:name="_Toc18040"/>
    </w:p>
    <w:p w14:paraId="11CC5AD4">
      <w:pPr>
        <w:spacing w:line="360" w:lineRule="auto"/>
        <w:ind w:left="472" w:hanging="472" w:hangingChars="196"/>
        <w:rPr>
          <w:rFonts w:hint="eastAsia" w:ascii="仿宋" w:hAnsi="仿宋" w:eastAsia="仿宋" w:cs="仿宋"/>
          <w:color w:val="auto"/>
          <w:sz w:val="24"/>
          <w:highlight w:val="none"/>
        </w:rPr>
      </w:pPr>
      <w:r>
        <w:rPr>
          <w:rStyle w:val="176"/>
          <w:rFonts w:hint="eastAsia" w:ascii="仿宋" w:hAnsi="仿宋" w:eastAsia="仿宋" w:cs="仿宋"/>
          <w:color w:val="auto"/>
          <w:sz w:val="24"/>
          <w:szCs w:val="24"/>
          <w:highlight w:val="none"/>
        </w:rPr>
        <w:t>七、合同文件的构成</w:t>
      </w:r>
      <w:bookmarkEnd w:id="58"/>
      <w:bookmarkEnd w:id="59"/>
      <w:bookmarkEnd w:id="60"/>
      <w:bookmarkEnd w:id="61"/>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本协议书与下列文件一起构成合同文件:</w:t>
      </w:r>
    </w:p>
    <w:p w14:paraId="53968A3A">
      <w:pPr>
        <w:widowControl/>
        <w:snapToGrid w:val="0"/>
        <w:spacing w:line="360" w:lineRule="auto"/>
        <w:ind w:left="481"/>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1.协议书</w:t>
      </w:r>
    </w:p>
    <w:p w14:paraId="0DE8CAB8">
      <w:pPr>
        <w:widowControl/>
        <w:snapToGrid w:val="0"/>
        <w:spacing w:line="360" w:lineRule="auto"/>
        <w:ind w:left="481"/>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2.中标通知书；</w:t>
      </w:r>
    </w:p>
    <w:p w14:paraId="3F01519E">
      <w:pPr>
        <w:widowControl/>
        <w:snapToGrid w:val="0"/>
        <w:spacing w:line="360" w:lineRule="auto"/>
        <w:ind w:left="481"/>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3.投标函及投标函附录；</w:t>
      </w:r>
    </w:p>
    <w:p w14:paraId="42341691">
      <w:pPr>
        <w:widowControl/>
        <w:snapToGrid w:val="0"/>
        <w:spacing w:line="360" w:lineRule="auto"/>
        <w:ind w:left="481"/>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4.专用条件及附件；</w:t>
      </w:r>
    </w:p>
    <w:p w14:paraId="19F1361D">
      <w:pPr>
        <w:widowControl/>
        <w:snapToGrid w:val="0"/>
        <w:spacing w:line="360" w:lineRule="auto"/>
        <w:ind w:left="481"/>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5.通用条件；</w:t>
      </w:r>
    </w:p>
    <w:p w14:paraId="4C7546EA">
      <w:pPr>
        <w:widowControl/>
        <w:snapToGrid w:val="0"/>
        <w:spacing w:line="360" w:lineRule="auto"/>
        <w:ind w:left="481"/>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6.其他合同文件（含招标文件及其附件及答疑补遗文件）。</w:t>
      </w:r>
    </w:p>
    <w:p w14:paraId="7BC21523">
      <w:pPr>
        <w:widowControl/>
        <w:snapToGrid w:val="0"/>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上述各项合同文件包括合同当事人就该项合同文件所作出的补充和修改，属于同一类内容的文件，应以最新签署的为准。</w:t>
      </w:r>
    </w:p>
    <w:p w14:paraId="7F884299">
      <w:pPr>
        <w:widowControl/>
        <w:snapToGrid w:val="0"/>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在合同订立及履行过程中形成的与合同有关的文件（包括补充协议）均构</w:t>
      </w:r>
      <w:r>
        <w:rPr>
          <w:rFonts w:hint="eastAsia" w:ascii="仿宋" w:hAnsi="仿宋" w:eastAsia="仿宋" w:cs="仿宋"/>
          <w:color w:val="auto"/>
          <w:kern w:val="0"/>
          <w:sz w:val="24"/>
          <w:szCs w:val="21"/>
          <w:highlight w:val="none"/>
          <w:lang w:val="en-US" w:eastAsia="zh-CN" w:bidi="ar-SA"/>
        </w:rPr>
        <w:t>成合同文件的组成部分。</w:t>
      </w:r>
    </w:p>
    <w:p w14:paraId="6326FF60">
      <w:pPr>
        <w:snapToGrid w:val="0"/>
        <w:spacing w:line="360" w:lineRule="auto"/>
        <w:rPr>
          <w:rFonts w:hint="eastAsia" w:ascii="仿宋" w:hAnsi="仿宋" w:eastAsia="仿宋" w:cs="仿宋"/>
          <w:bCs/>
          <w:smallCaps/>
          <w:color w:val="auto"/>
          <w:sz w:val="24"/>
          <w:highlight w:val="none"/>
        </w:rPr>
      </w:pPr>
    </w:p>
    <w:p w14:paraId="1217F1C7">
      <w:pPr>
        <w:widowControl w:val="0"/>
        <w:adjustRightInd w:val="0"/>
        <w:snapToGrid w:val="0"/>
        <w:spacing w:line="360" w:lineRule="auto"/>
        <w:jc w:val="left"/>
        <w:outlineLvl w:val="1"/>
        <w:rPr>
          <w:rStyle w:val="177"/>
          <w:rFonts w:hint="eastAsia" w:ascii="仿宋" w:hAnsi="仿宋" w:eastAsia="仿宋" w:cs="仿宋"/>
          <w:b/>
          <w:color w:val="auto"/>
          <w:kern w:val="2"/>
          <w:sz w:val="24"/>
          <w:szCs w:val="20"/>
          <w:highlight w:val="none"/>
          <w:lang w:val="en-US" w:eastAsia="zh-CN" w:bidi="ar-SA"/>
        </w:rPr>
      </w:pPr>
      <w:bookmarkStart w:id="62" w:name="_Toc419045057"/>
      <w:bookmarkStart w:id="63" w:name="_Toc490753349"/>
      <w:bookmarkStart w:id="64" w:name="_Toc12229"/>
      <w:bookmarkStart w:id="65" w:name="_Toc422322477"/>
      <w:bookmarkStart w:id="66" w:name="_Toc17448"/>
      <w:bookmarkStart w:id="67" w:name="_Toc489278515"/>
      <w:bookmarkStart w:id="68" w:name="_Toc15754"/>
      <w:bookmarkStart w:id="69" w:name="_Toc7097"/>
      <w:bookmarkStart w:id="70" w:name="_Toc17527"/>
      <w:r>
        <w:rPr>
          <w:rStyle w:val="177"/>
          <w:rFonts w:hint="eastAsia" w:ascii="仿宋" w:hAnsi="仿宋" w:eastAsia="仿宋" w:cs="仿宋"/>
          <w:b/>
          <w:bCs/>
          <w:color w:val="auto"/>
          <w:sz w:val="24"/>
          <w:highlight w:val="none"/>
          <w:lang w:val="en-US" w:eastAsia="zh-CN" w:bidi="ar-SA"/>
        </w:rPr>
        <w:t>八、词语</w:t>
      </w:r>
      <w:bookmarkEnd w:id="62"/>
      <w:r>
        <w:rPr>
          <w:rStyle w:val="177"/>
          <w:rFonts w:hint="eastAsia" w:ascii="仿宋" w:hAnsi="仿宋" w:eastAsia="仿宋" w:cs="仿宋"/>
          <w:b/>
          <w:bCs/>
          <w:color w:val="auto"/>
          <w:sz w:val="24"/>
          <w:highlight w:val="none"/>
          <w:lang w:val="en-US" w:eastAsia="zh-CN" w:bidi="ar-SA"/>
        </w:rPr>
        <w:t>定义</w:t>
      </w:r>
      <w:bookmarkEnd w:id="63"/>
      <w:bookmarkEnd w:id="64"/>
      <w:bookmarkEnd w:id="65"/>
      <w:bookmarkEnd w:id="66"/>
      <w:bookmarkEnd w:id="67"/>
      <w:bookmarkEnd w:id="68"/>
      <w:bookmarkEnd w:id="69"/>
      <w:bookmarkEnd w:id="70"/>
    </w:p>
    <w:p w14:paraId="4B963B57">
      <w:pPr>
        <w:snapToGrid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协议书中相关词语的含义与通用条件中的定义与解释相同。</w:t>
      </w:r>
      <w:bookmarkStart w:id="71" w:name="8"/>
      <w:bookmarkEnd w:id="71"/>
    </w:p>
    <w:p w14:paraId="0C04F9B5">
      <w:pPr>
        <w:snapToGrid w:val="0"/>
        <w:spacing w:line="360" w:lineRule="auto"/>
        <w:ind w:firstLine="480" w:firstLineChars="200"/>
        <w:rPr>
          <w:rFonts w:hint="eastAsia" w:ascii="仿宋" w:hAnsi="仿宋" w:eastAsia="仿宋" w:cs="仿宋"/>
          <w:color w:val="auto"/>
          <w:sz w:val="24"/>
          <w:highlight w:val="none"/>
        </w:rPr>
      </w:pPr>
    </w:p>
    <w:p w14:paraId="65A315AA">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72" w:name="_Toc19403"/>
      <w:bookmarkStart w:id="73" w:name="_Toc21143"/>
      <w:bookmarkStart w:id="74" w:name="_Toc422322478"/>
      <w:bookmarkStart w:id="75" w:name="_Toc21187"/>
      <w:bookmarkStart w:id="76" w:name="_Toc490753350"/>
      <w:bookmarkStart w:id="77" w:name="_Toc15525"/>
      <w:bookmarkStart w:id="78" w:name="_Toc419045063"/>
      <w:bookmarkStart w:id="79" w:name="_Toc489278516"/>
      <w:bookmarkStart w:id="80" w:name="_Toc661"/>
      <w:r>
        <w:rPr>
          <w:rFonts w:hint="eastAsia" w:ascii="仿宋" w:hAnsi="仿宋" w:eastAsia="仿宋" w:cs="仿宋"/>
          <w:b/>
          <w:color w:val="auto"/>
          <w:kern w:val="2"/>
          <w:sz w:val="24"/>
          <w:szCs w:val="24"/>
          <w:highlight w:val="none"/>
          <w:lang w:val="en-US" w:eastAsia="zh-CN" w:bidi="ar-SA"/>
        </w:rPr>
        <w:t>九、合同订立</w:t>
      </w:r>
      <w:bookmarkEnd w:id="72"/>
      <w:bookmarkEnd w:id="73"/>
      <w:bookmarkEnd w:id="74"/>
      <w:bookmarkEnd w:id="75"/>
      <w:bookmarkEnd w:id="76"/>
      <w:bookmarkEnd w:id="77"/>
      <w:bookmarkEnd w:id="78"/>
      <w:bookmarkEnd w:id="79"/>
      <w:bookmarkEnd w:id="80"/>
    </w:p>
    <w:p w14:paraId="11EACD8F">
      <w:pPr>
        <w:widowControl/>
        <w:snapToGrid w:val="0"/>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1.订立时间：</w:t>
      </w:r>
      <w:r>
        <w:rPr>
          <w:rFonts w:hint="eastAsia" w:ascii="仿宋" w:hAnsi="仿宋" w:eastAsia="仿宋" w:cs="仿宋"/>
          <w:color w:val="auto"/>
          <w:kern w:val="0"/>
          <w:sz w:val="24"/>
          <w:szCs w:val="24"/>
          <w:highlight w:val="none"/>
          <w:u w:val="single"/>
          <w:lang w:val="en-US" w:eastAsia="zh-CN" w:bidi="ar-SA"/>
        </w:rPr>
        <w:t>2026</w:t>
      </w:r>
      <w:r>
        <w:rPr>
          <w:rFonts w:hint="eastAsia" w:ascii="仿宋" w:hAnsi="仿宋" w:eastAsia="仿宋" w:cs="仿宋"/>
          <w:color w:val="auto"/>
          <w:kern w:val="0"/>
          <w:sz w:val="24"/>
          <w:szCs w:val="24"/>
          <w:highlight w:val="none"/>
          <w:lang w:val="en-US" w:eastAsia="zh-CN" w:bidi="ar-SA"/>
        </w:rPr>
        <w:t>年</w:t>
      </w:r>
      <w:r>
        <w:rPr>
          <w:rFonts w:hint="eastAsia" w:ascii="仿宋" w:hAnsi="仿宋" w:eastAsia="仿宋" w:cs="仿宋"/>
          <w:color w:val="auto"/>
          <w:kern w:val="0"/>
          <w:sz w:val="24"/>
          <w:szCs w:val="24"/>
          <w:highlight w:val="none"/>
          <w:u w:val="single"/>
          <w:lang w:val="en-US" w:eastAsia="zh-CN" w:bidi="ar-SA"/>
        </w:rPr>
        <w:t xml:space="preserve">    </w:t>
      </w:r>
      <w:r>
        <w:rPr>
          <w:rFonts w:hint="eastAsia" w:ascii="仿宋" w:hAnsi="仿宋" w:eastAsia="仿宋" w:cs="仿宋"/>
          <w:color w:val="auto"/>
          <w:kern w:val="0"/>
          <w:sz w:val="24"/>
          <w:szCs w:val="24"/>
          <w:highlight w:val="none"/>
          <w:lang w:val="en-US" w:eastAsia="zh-CN" w:bidi="ar-SA"/>
        </w:rPr>
        <w:t>月</w:t>
      </w:r>
      <w:r>
        <w:rPr>
          <w:rFonts w:hint="eastAsia" w:ascii="仿宋" w:hAnsi="仿宋" w:eastAsia="仿宋" w:cs="仿宋"/>
          <w:color w:val="auto"/>
          <w:kern w:val="0"/>
          <w:sz w:val="24"/>
          <w:szCs w:val="24"/>
          <w:highlight w:val="none"/>
          <w:u w:val="single"/>
          <w:lang w:val="en-US" w:eastAsia="zh-CN" w:bidi="ar-SA"/>
        </w:rPr>
        <w:t xml:space="preserve">   </w:t>
      </w:r>
      <w:r>
        <w:rPr>
          <w:rFonts w:hint="eastAsia" w:ascii="仿宋" w:hAnsi="仿宋" w:eastAsia="仿宋" w:cs="仿宋"/>
          <w:color w:val="auto"/>
          <w:kern w:val="0"/>
          <w:sz w:val="24"/>
          <w:szCs w:val="24"/>
          <w:highlight w:val="none"/>
          <w:lang w:val="en-US" w:eastAsia="zh-CN" w:bidi="ar-SA"/>
        </w:rPr>
        <w:t>日。</w:t>
      </w:r>
    </w:p>
    <w:p w14:paraId="3FAA4DA4">
      <w:pPr>
        <w:widowControl/>
        <w:snapToGrid w:val="0"/>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2.订立地点：</w:t>
      </w:r>
      <w:r>
        <w:rPr>
          <w:rFonts w:hint="eastAsia" w:ascii="仿宋" w:hAnsi="仿宋" w:eastAsia="仿宋" w:cs="仿宋"/>
          <w:color w:val="auto"/>
          <w:kern w:val="0"/>
          <w:sz w:val="24"/>
          <w:szCs w:val="24"/>
          <w:highlight w:val="none"/>
          <w:u w:val="single"/>
          <w:lang w:val="en-US" w:eastAsia="zh-CN" w:bidi="ar-SA"/>
        </w:rPr>
        <w:t>佛山市南海区</w:t>
      </w:r>
      <w:r>
        <w:rPr>
          <w:rFonts w:hint="eastAsia" w:ascii="仿宋" w:hAnsi="仿宋" w:eastAsia="仿宋" w:cs="仿宋"/>
          <w:color w:val="auto"/>
          <w:kern w:val="0"/>
          <w:sz w:val="24"/>
          <w:szCs w:val="24"/>
          <w:highlight w:val="none"/>
          <w:lang w:val="en-US" w:eastAsia="zh-CN" w:bidi="ar-SA"/>
        </w:rPr>
        <w:t>。</w:t>
      </w:r>
    </w:p>
    <w:p w14:paraId="5DFCF453">
      <w:pPr>
        <w:widowControl/>
        <w:snapToGrid w:val="0"/>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p>
    <w:p w14:paraId="7DCDA4CB">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81" w:name="_Toc419045064"/>
      <w:bookmarkStart w:id="82" w:name="_Toc6251"/>
      <w:bookmarkStart w:id="83" w:name="_Toc22069"/>
      <w:bookmarkStart w:id="84" w:name="_Toc2353"/>
      <w:bookmarkStart w:id="85" w:name="_Toc409"/>
      <w:bookmarkStart w:id="86" w:name="_Toc490753351"/>
      <w:bookmarkStart w:id="87" w:name="_Toc489278517"/>
      <w:bookmarkStart w:id="88" w:name="_Toc25356"/>
      <w:bookmarkStart w:id="89" w:name="_Toc422322479"/>
      <w:r>
        <w:rPr>
          <w:rFonts w:hint="eastAsia" w:ascii="仿宋" w:hAnsi="仿宋" w:eastAsia="仿宋" w:cs="仿宋"/>
          <w:b/>
          <w:color w:val="auto"/>
          <w:kern w:val="2"/>
          <w:sz w:val="24"/>
          <w:szCs w:val="24"/>
          <w:highlight w:val="none"/>
          <w:lang w:val="en-US" w:eastAsia="zh-CN" w:bidi="ar-SA"/>
        </w:rPr>
        <w:t>十、合同生效</w:t>
      </w:r>
      <w:bookmarkEnd w:id="81"/>
      <w:bookmarkEnd w:id="82"/>
      <w:bookmarkEnd w:id="83"/>
      <w:bookmarkEnd w:id="84"/>
      <w:bookmarkEnd w:id="85"/>
      <w:bookmarkEnd w:id="86"/>
      <w:bookmarkEnd w:id="87"/>
      <w:bookmarkEnd w:id="88"/>
      <w:bookmarkEnd w:id="89"/>
    </w:p>
    <w:p w14:paraId="07DE1A33">
      <w:pPr>
        <w:widowControl/>
        <w:snapToGrid w:val="0"/>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本合同自</w:t>
      </w:r>
      <w:r>
        <w:rPr>
          <w:rFonts w:hint="eastAsia" w:ascii="仿宋" w:hAnsi="仿宋" w:eastAsia="仿宋" w:cs="仿宋"/>
          <w:bCs/>
          <w:color w:val="auto"/>
          <w:kern w:val="0"/>
          <w:sz w:val="24"/>
          <w:szCs w:val="24"/>
          <w:highlight w:val="none"/>
          <w:lang w:val="en-US" w:eastAsia="zh-CN" w:bidi="ar-SA"/>
        </w:rPr>
        <w:t>自三方法定代表人或其委托代理人签署并加盖单位章后生效。</w:t>
      </w:r>
    </w:p>
    <w:p w14:paraId="0DCEA8E7">
      <w:pPr>
        <w:widowControl/>
        <w:snapToGrid w:val="0"/>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p>
    <w:p w14:paraId="6E5B165F">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90" w:name="_Toc490753352"/>
      <w:bookmarkStart w:id="91" w:name="_Toc15857"/>
      <w:bookmarkStart w:id="92" w:name="_Toc31494"/>
      <w:bookmarkStart w:id="93" w:name="_Toc11080"/>
      <w:bookmarkStart w:id="94" w:name="_Toc419045065"/>
      <w:bookmarkStart w:id="95" w:name="_Toc422322480"/>
      <w:bookmarkStart w:id="96" w:name="_Toc28402"/>
      <w:bookmarkStart w:id="97" w:name="_Toc489278518"/>
      <w:bookmarkStart w:id="98" w:name="_Toc13683"/>
      <w:r>
        <w:rPr>
          <w:rFonts w:hint="eastAsia" w:ascii="仿宋" w:hAnsi="仿宋" w:eastAsia="仿宋" w:cs="仿宋"/>
          <w:b/>
          <w:color w:val="auto"/>
          <w:kern w:val="2"/>
          <w:sz w:val="24"/>
          <w:szCs w:val="24"/>
          <w:highlight w:val="none"/>
          <w:lang w:val="en-US" w:eastAsia="zh-CN" w:bidi="ar-SA"/>
        </w:rPr>
        <w:t>十一、合同份数</w:t>
      </w:r>
      <w:bookmarkEnd w:id="90"/>
      <w:bookmarkEnd w:id="91"/>
      <w:bookmarkEnd w:id="92"/>
      <w:bookmarkEnd w:id="93"/>
      <w:bookmarkEnd w:id="94"/>
      <w:bookmarkEnd w:id="95"/>
      <w:bookmarkEnd w:id="96"/>
      <w:bookmarkEnd w:id="97"/>
      <w:bookmarkEnd w:id="98"/>
    </w:p>
    <w:p w14:paraId="19A900AF">
      <w:pPr>
        <w:spacing w:line="360" w:lineRule="auto"/>
        <w:ind w:firstLine="480" w:firstLineChars="200"/>
        <w:rPr>
          <w:rFonts w:hint="eastAsia" w:ascii="仿宋" w:hAnsi="仿宋" w:eastAsia="仿宋" w:cs="仿宋"/>
          <w:b/>
          <w:bCs/>
          <w:color w:val="auto"/>
          <w:sz w:val="24"/>
          <w:highlight w:val="none"/>
        </w:rPr>
      </w:pPr>
      <w:bookmarkStart w:id="99" w:name="12"/>
      <w:bookmarkEnd w:id="99"/>
      <w:bookmarkStart w:id="100" w:name="_Toc419045066"/>
      <w:bookmarkStart w:id="101" w:name="_Toc422322481"/>
      <w:r>
        <w:rPr>
          <w:rFonts w:hint="eastAsia" w:ascii="仿宋" w:hAnsi="仿宋" w:eastAsia="仿宋" w:cs="仿宋"/>
          <w:bCs/>
          <w:color w:val="auto"/>
          <w:sz w:val="24"/>
          <w:highlight w:val="none"/>
        </w:rPr>
        <w:t>本合同正本一式</w:t>
      </w:r>
      <w:r>
        <w:rPr>
          <w:rFonts w:hint="eastAsia" w:ascii="仿宋" w:hAnsi="仿宋" w:eastAsia="仿宋" w:cs="仿宋"/>
          <w:bCs/>
          <w:color w:val="auto"/>
          <w:sz w:val="24"/>
          <w:highlight w:val="none"/>
          <w:u w:val="single"/>
        </w:rPr>
        <w:t xml:space="preserve"> 四 </w:t>
      </w:r>
      <w:r>
        <w:rPr>
          <w:rFonts w:hint="eastAsia" w:ascii="仿宋" w:hAnsi="仿宋" w:eastAsia="仿宋" w:cs="仿宋"/>
          <w:bCs/>
          <w:color w:val="auto"/>
          <w:sz w:val="24"/>
          <w:highlight w:val="none"/>
        </w:rPr>
        <w:t>份、副本一式</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u w:val="single"/>
          <w:lang w:val="en-US" w:eastAsia="zh-CN"/>
        </w:rPr>
        <w:t>六</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份，均具有同等法律效力，委托人执正本</w:t>
      </w:r>
      <w:r>
        <w:rPr>
          <w:rFonts w:hint="eastAsia" w:ascii="仿宋" w:hAnsi="仿宋" w:eastAsia="仿宋" w:cs="仿宋"/>
          <w:bCs/>
          <w:color w:val="auto"/>
          <w:sz w:val="24"/>
          <w:highlight w:val="none"/>
          <w:u w:val="single"/>
        </w:rPr>
        <w:t xml:space="preserve"> 二 </w:t>
      </w:r>
      <w:r>
        <w:rPr>
          <w:rFonts w:hint="eastAsia" w:ascii="仿宋" w:hAnsi="仿宋" w:eastAsia="仿宋" w:cs="仿宋"/>
          <w:bCs/>
          <w:color w:val="auto"/>
          <w:sz w:val="24"/>
          <w:highlight w:val="none"/>
        </w:rPr>
        <w:t>份、副本</w:t>
      </w:r>
      <w:r>
        <w:rPr>
          <w:rFonts w:hint="eastAsia" w:ascii="仿宋" w:hAnsi="仿宋" w:eastAsia="仿宋" w:cs="仿宋"/>
          <w:bCs/>
          <w:color w:val="auto"/>
          <w:sz w:val="24"/>
          <w:highlight w:val="none"/>
          <w:u w:val="single"/>
        </w:rPr>
        <w:t xml:space="preserve"> 三 </w:t>
      </w:r>
      <w:r>
        <w:rPr>
          <w:rFonts w:hint="eastAsia" w:ascii="仿宋" w:hAnsi="仿宋" w:eastAsia="仿宋" w:cs="仿宋"/>
          <w:bCs/>
          <w:color w:val="auto"/>
          <w:sz w:val="24"/>
          <w:highlight w:val="none"/>
        </w:rPr>
        <w:t>份，咨询人执正本</w:t>
      </w:r>
      <w:r>
        <w:rPr>
          <w:rFonts w:hint="eastAsia" w:ascii="仿宋" w:hAnsi="仿宋" w:eastAsia="仿宋" w:cs="仿宋"/>
          <w:bCs/>
          <w:color w:val="auto"/>
          <w:sz w:val="24"/>
          <w:highlight w:val="none"/>
          <w:u w:val="single"/>
        </w:rPr>
        <w:t xml:space="preserve"> 一 </w:t>
      </w:r>
      <w:r>
        <w:rPr>
          <w:rFonts w:hint="eastAsia" w:ascii="仿宋" w:hAnsi="仿宋" w:eastAsia="仿宋" w:cs="仿宋"/>
          <w:bCs/>
          <w:color w:val="auto"/>
          <w:sz w:val="24"/>
          <w:highlight w:val="none"/>
        </w:rPr>
        <w:t>份、副本</w:t>
      </w:r>
      <w:r>
        <w:rPr>
          <w:rFonts w:hint="eastAsia" w:ascii="仿宋" w:hAnsi="仿宋" w:eastAsia="仿宋" w:cs="仿宋"/>
          <w:bCs/>
          <w:color w:val="auto"/>
          <w:sz w:val="24"/>
          <w:highlight w:val="none"/>
          <w:u w:val="single"/>
        </w:rPr>
        <w:t xml:space="preserve"> 一 </w:t>
      </w:r>
      <w:r>
        <w:rPr>
          <w:rFonts w:hint="eastAsia" w:ascii="仿宋" w:hAnsi="仿宋" w:eastAsia="仿宋" w:cs="仿宋"/>
          <w:bCs/>
          <w:color w:val="auto"/>
          <w:sz w:val="24"/>
          <w:highlight w:val="none"/>
        </w:rPr>
        <w:t>份</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lang w:val="en-US" w:eastAsia="zh-CN"/>
        </w:rPr>
        <w:t>代建单位</w:t>
      </w:r>
      <w:r>
        <w:rPr>
          <w:rFonts w:hint="eastAsia" w:ascii="仿宋" w:hAnsi="仿宋" w:eastAsia="仿宋" w:cs="仿宋"/>
          <w:bCs/>
          <w:color w:val="auto"/>
          <w:sz w:val="24"/>
          <w:highlight w:val="none"/>
        </w:rPr>
        <w:t>执正本</w:t>
      </w:r>
      <w:r>
        <w:rPr>
          <w:rFonts w:hint="eastAsia" w:ascii="仿宋" w:hAnsi="仿宋" w:eastAsia="仿宋" w:cs="仿宋"/>
          <w:bCs/>
          <w:color w:val="auto"/>
          <w:sz w:val="24"/>
          <w:highlight w:val="none"/>
          <w:u w:val="single"/>
        </w:rPr>
        <w:t xml:space="preserve"> 一 </w:t>
      </w:r>
      <w:r>
        <w:rPr>
          <w:rFonts w:hint="eastAsia" w:ascii="仿宋" w:hAnsi="仿宋" w:eastAsia="仿宋" w:cs="仿宋"/>
          <w:bCs/>
          <w:color w:val="auto"/>
          <w:sz w:val="24"/>
          <w:highlight w:val="none"/>
        </w:rPr>
        <w:t>份、副本</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u w:val="single"/>
          <w:lang w:val="en-US" w:eastAsia="zh-CN"/>
        </w:rPr>
        <w:t>二</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份。</w:t>
      </w:r>
    </w:p>
    <w:p w14:paraId="59EC3C8E">
      <w:pPr>
        <w:spacing w:line="360" w:lineRule="auto"/>
        <w:rPr>
          <w:rFonts w:hint="eastAsia" w:ascii="仿宋" w:hAnsi="仿宋" w:eastAsia="仿宋" w:cs="仿宋"/>
          <w:b/>
          <w:bCs/>
          <w:color w:val="auto"/>
          <w:sz w:val="24"/>
          <w:highlight w:val="none"/>
        </w:rPr>
      </w:pPr>
    </w:p>
    <w:p w14:paraId="4AF91AF8">
      <w:pP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br w:type="page"/>
      </w:r>
    </w:p>
    <w:p w14:paraId="7F8E993C">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（本页无正文，为合同签署页）</w:t>
      </w:r>
    </w:p>
    <w:p w14:paraId="3F47DAE2">
      <w:pPr>
        <w:spacing w:line="360" w:lineRule="auto"/>
        <w:rPr>
          <w:rFonts w:hint="eastAsia" w:ascii="仿宋" w:hAnsi="仿宋" w:eastAsia="仿宋" w:cs="仿宋"/>
          <w:b/>
          <w:bCs/>
          <w:color w:val="auto"/>
          <w:sz w:val="24"/>
          <w:highlight w:val="none"/>
        </w:rPr>
      </w:pPr>
    </w:p>
    <w:p w14:paraId="3D943E57">
      <w:pPr>
        <w:spacing w:line="360" w:lineRule="auto"/>
        <w:rPr>
          <w:rFonts w:hint="eastAsia" w:ascii="仿宋" w:hAnsi="仿宋" w:eastAsia="仿宋" w:cs="仿宋"/>
          <w:b/>
          <w:bCs/>
          <w:color w:val="auto"/>
          <w:sz w:val="24"/>
          <w:highlight w:val="none"/>
        </w:rPr>
      </w:pPr>
    </w:p>
    <w:p w14:paraId="21846983">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委托人：</w:t>
      </w:r>
      <w:r>
        <w:rPr>
          <w:rFonts w:hint="eastAsia" w:ascii="仿宋" w:hAnsi="仿宋" w:eastAsia="仿宋" w:cs="仿宋"/>
          <w:b/>
          <w:bCs/>
          <w:color w:val="auto"/>
          <w:sz w:val="24"/>
          <w:highlight w:val="none"/>
          <w:lang w:val="en-US" w:eastAsia="zh-CN"/>
        </w:rPr>
        <w:t>佛山市南海有为百越文化有限公司</w:t>
      </w:r>
      <w:r>
        <w:rPr>
          <w:rFonts w:hint="eastAsia" w:ascii="仿宋" w:hAnsi="仿宋" w:eastAsia="仿宋" w:cs="仿宋"/>
          <w:b/>
          <w:bCs/>
          <w:color w:val="auto"/>
          <w:sz w:val="24"/>
          <w:highlight w:val="none"/>
        </w:rPr>
        <w:t>（盖章）</w:t>
      </w:r>
      <w:r>
        <w:rPr>
          <w:rFonts w:hint="eastAsia" w:ascii="仿宋" w:hAnsi="仿宋" w:eastAsia="仿宋" w:cs="仿宋"/>
          <w:color w:val="auto"/>
          <w:sz w:val="24"/>
          <w:highlight w:val="none"/>
        </w:rPr>
        <w:t xml:space="preserve"> </w:t>
      </w:r>
    </w:p>
    <w:p w14:paraId="23C2E21C">
      <w:pPr>
        <w:spacing w:line="360" w:lineRule="auto"/>
        <w:rPr>
          <w:rFonts w:hint="eastAsia" w:ascii="仿宋" w:hAnsi="仿宋" w:eastAsia="仿宋" w:cs="仿宋"/>
          <w:color w:val="auto"/>
          <w:sz w:val="24"/>
          <w:highlight w:val="none"/>
          <w:u w:val="single"/>
        </w:rPr>
      </w:pPr>
    </w:p>
    <w:p w14:paraId="0309B3B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70BA005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或其委托代理人：</w:t>
      </w:r>
    </w:p>
    <w:p w14:paraId="5A2B50C8">
      <w:pPr>
        <w:spacing w:line="360" w:lineRule="auto"/>
        <w:rPr>
          <w:rFonts w:hint="eastAsia" w:ascii="仿宋" w:hAnsi="仿宋" w:eastAsia="仿宋" w:cs="仿宋"/>
          <w:color w:val="auto"/>
          <w:sz w:val="24"/>
          <w:highlight w:val="none"/>
        </w:rPr>
      </w:pPr>
    </w:p>
    <w:p w14:paraId="288B076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经办人：</w:t>
      </w:r>
    </w:p>
    <w:p w14:paraId="06938547">
      <w:pPr>
        <w:spacing w:line="360" w:lineRule="auto"/>
        <w:rPr>
          <w:rFonts w:hint="eastAsia" w:ascii="仿宋" w:hAnsi="仿宋" w:eastAsia="仿宋" w:cs="仿宋"/>
          <w:color w:val="auto"/>
          <w:sz w:val="24"/>
          <w:highlight w:val="none"/>
        </w:rPr>
      </w:pPr>
    </w:p>
    <w:p w14:paraId="60CBBA67">
      <w:pPr>
        <w:spacing w:line="360" w:lineRule="auto"/>
        <w:rPr>
          <w:rFonts w:hint="eastAsia" w:ascii="仿宋" w:hAnsi="仿宋" w:eastAsia="仿宋" w:cs="仿宋"/>
          <w:b/>
          <w:bCs/>
          <w:color w:val="auto"/>
          <w:sz w:val="24"/>
          <w:highlight w:val="none"/>
        </w:rPr>
      </w:pPr>
    </w:p>
    <w:p w14:paraId="1E5548AD">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咨询人： （盖章）</w:t>
      </w:r>
    </w:p>
    <w:p w14:paraId="064ED6D5">
      <w:pPr>
        <w:spacing w:line="360" w:lineRule="auto"/>
        <w:rPr>
          <w:rFonts w:hint="eastAsia" w:ascii="仿宋" w:hAnsi="仿宋" w:eastAsia="仿宋" w:cs="仿宋"/>
          <w:color w:val="auto"/>
          <w:sz w:val="24"/>
          <w:highlight w:val="none"/>
        </w:rPr>
      </w:pPr>
    </w:p>
    <w:p w14:paraId="520395D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55FB293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或其委托代理人：</w:t>
      </w:r>
    </w:p>
    <w:p w14:paraId="18E8AD4D">
      <w:pPr>
        <w:keepNext/>
        <w:keepLines/>
        <w:widowControl w:val="0"/>
        <w:spacing w:line="415" w:lineRule="auto"/>
        <w:jc w:val="both"/>
        <w:outlineLvl w:val="2"/>
        <w:rPr>
          <w:rFonts w:hint="eastAsia" w:ascii="仿宋" w:hAnsi="仿宋" w:eastAsia="仿宋" w:cs="仿宋"/>
          <w:b/>
          <w:bCs/>
          <w:color w:val="auto"/>
          <w:kern w:val="2"/>
          <w:sz w:val="32"/>
          <w:szCs w:val="32"/>
          <w:highlight w:val="none"/>
          <w:lang w:val="en-US" w:eastAsia="zh-CN" w:bidi="ar-SA"/>
        </w:rPr>
      </w:pPr>
    </w:p>
    <w:p w14:paraId="3C2655AF">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lang w:val="en-US" w:eastAsia="zh-CN"/>
        </w:rPr>
        <w:t>代建单位</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佛山市南海区丽雅苑房地产发展有限公司</w:t>
      </w:r>
      <w:r>
        <w:rPr>
          <w:rFonts w:hint="eastAsia" w:ascii="仿宋" w:hAnsi="仿宋" w:eastAsia="仿宋" w:cs="仿宋"/>
          <w:b/>
          <w:bCs/>
          <w:color w:val="auto"/>
          <w:sz w:val="24"/>
          <w:highlight w:val="none"/>
        </w:rPr>
        <w:t>（盖章）</w:t>
      </w:r>
    </w:p>
    <w:p w14:paraId="7E80CCE1">
      <w:pPr>
        <w:spacing w:line="360" w:lineRule="auto"/>
        <w:rPr>
          <w:rFonts w:hint="eastAsia" w:ascii="仿宋" w:hAnsi="仿宋" w:eastAsia="仿宋" w:cs="仿宋"/>
          <w:color w:val="auto"/>
          <w:sz w:val="24"/>
          <w:highlight w:val="none"/>
        </w:rPr>
      </w:pPr>
    </w:p>
    <w:p w14:paraId="3E99EFB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5F75C42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或其委托代理人：</w:t>
      </w:r>
    </w:p>
    <w:p w14:paraId="208B995C">
      <w:pPr>
        <w:spacing w:line="360" w:lineRule="auto"/>
        <w:rPr>
          <w:rFonts w:hint="eastAsia" w:ascii="仿宋" w:hAnsi="仿宋" w:eastAsia="仿宋" w:cs="仿宋"/>
          <w:color w:val="auto"/>
          <w:sz w:val="24"/>
          <w:highlight w:val="none"/>
        </w:rPr>
      </w:pPr>
    </w:p>
    <w:p w14:paraId="365A7294">
      <w:pPr>
        <w:jc w:val="right"/>
        <w:rPr>
          <w:rFonts w:hint="eastAsia" w:ascii="仿宋" w:hAnsi="仿宋" w:eastAsia="仿宋" w:cs="仿宋"/>
          <w:b/>
          <w:bCs/>
          <w:color w:val="auto"/>
          <w:sz w:val="24"/>
          <w:highlight w:val="none"/>
        </w:rPr>
      </w:pPr>
      <w:bookmarkStart w:id="102" w:name="_Toc23351"/>
      <w:bookmarkStart w:id="103" w:name="_Toc25656"/>
      <w:bookmarkStart w:id="104" w:name="_Toc20274"/>
    </w:p>
    <w:p w14:paraId="1D3FD603">
      <w:pPr>
        <w:jc w:val="righ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时  间：202</w:t>
      </w:r>
      <w:r>
        <w:rPr>
          <w:rFonts w:hint="eastAsia" w:ascii="仿宋" w:hAnsi="仿宋" w:eastAsia="仿宋" w:cs="仿宋"/>
          <w:b/>
          <w:bCs/>
          <w:color w:val="auto"/>
          <w:sz w:val="24"/>
          <w:highlight w:val="none"/>
          <w:lang w:val="en-US" w:eastAsia="zh-CN"/>
        </w:rPr>
        <w:t>6</w:t>
      </w:r>
      <w:r>
        <w:rPr>
          <w:rFonts w:hint="eastAsia" w:ascii="仿宋" w:hAnsi="仿宋" w:eastAsia="仿宋" w:cs="仿宋"/>
          <w:b/>
          <w:bCs/>
          <w:color w:val="auto"/>
          <w:sz w:val="24"/>
          <w:highlight w:val="none"/>
        </w:rPr>
        <w:t>年   月   日</w:t>
      </w:r>
      <w:bookmarkStart w:id="105" w:name="_Toc490753353"/>
      <w:bookmarkStart w:id="106" w:name="_Toc489278519"/>
    </w:p>
    <w:p w14:paraId="537EF2E7">
      <w:pPr>
        <w:widowControl w:val="0"/>
        <w:ind w:firstLine="420" w:firstLineChars="200"/>
        <w:jc w:val="both"/>
        <w:rPr>
          <w:rFonts w:hint="eastAsia" w:ascii="仿宋" w:hAnsi="仿宋" w:eastAsia="仿宋" w:cs="仿宋"/>
          <w:color w:val="auto"/>
          <w:kern w:val="2"/>
          <w:sz w:val="21"/>
          <w:szCs w:val="24"/>
          <w:highlight w:val="none"/>
          <w:lang w:val="en-US" w:eastAsia="zh-CN" w:bidi="ar-SA"/>
        </w:rPr>
      </w:pPr>
    </w:p>
    <w:p w14:paraId="5FD6E8E5">
      <w:pPr>
        <w:widowControl/>
        <w:jc w:val="center"/>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bookmarkStart w:id="107" w:name="_Toc14867"/>
      <w:bookmarkStart w:id="108" w:name="_Toc3720"/>
      <w:r>
        <w:rPr>
          <w:rFonts w:hint="eastAsia" w:ascii="仿宋" w:hAnsi="仿宋" w:eastAsia="仿宋" w:cs="仿宋"/>
          <w:b/>
          <w:color w:val="auto"/>
          <w:sz w:val="30"/>
          <w:szCs w:val="30"/>
          <w:highlight w:val="none"/>
        </w:rPr>
        <w:t>第二部分　通用条件</w:t>
      </w:r>
      <w:bookmarkEnd w:id="100"/>
      <w:bookmarkEnd w:id="101"/>
      <w:bookmarkEnd w:id="102"/>
      <w:bookmarkEnd w:id="103"/>
      <w:bookmarkEnd w:id="104"/>
      <w:bookmarkEnd w:id="105"/>
      <w:bookmarkEnd w:id="106"/>
      <w:bookmarkEnd w:id="107"/>
      <w:bookmarkEnd w:id="108"/>
    </w:p>
    <w:p w14:paraId="6599CFCB">
      <w:pPr>
        <w:widowControl w:val="0"/>
        <w:adjustRightInd w:val="0"/>
        <w:spacing w:line="360" w:lineRule="auto"/>
        <w:jc w:val="left"/>
        <w:outlineLvl w:val="0"/>
        <w:rPr>
          <w:rFonts w:hint="eastAsia" w:ascii="仿宋" w:hAnsi="仿宋" w:eastAsia="仿宋" w:cs="仿宋"/>
          <w:b/>
          <w:color w:val="auto"/>
          <w:kern w:val="2"/>
          <w:sz w:val="24"/>
          <w:szCs w:val="24"/>
          <w:highlight w:val="none"/>
          <w:lang w:val="en-US" w:eastAsia="zh-CN" w:bidi="ar-SA"/>
        </w:rPr>
      </w:pPr>
      <w:bookmarkStart w:id="109" w:name="_Toc489278520"/>
      <w:bookmarkStart w:id="110" w:name="_Toc28863"/>
      <w:bookmarkStart w:id="111" w:name="_Toc490753354"/>
      <w:bookmarkStart w:id="112" w:name="_Toc419045067"/>
      <w:bookmarkStart w:id="113" w:name="_Toc30663"/>
      <w:bookmarkStart w:id="114" w:name="_Toc422322482"/>
      <w:bookmarkStart w:id="115" w:name="_Toc3774"/>
      <w:bookmarkStart w:id="116" w:name="_Toc4636"/>
      <w:bookmarkStart w:id="117" w:name="_Toc31572"/>
      <w:r>
        <w:rPr>
          <w:rFonts w:hint="eastAsia" w:ascii="仿宋" w:hAnsi="仿宋" w:eastAsia="仿宋" w:cs="仿宋"/>
          <w:b/>
          <w:color w:val="auto"/>
          <w:kern w:val="2"/>
          <w:sz w:val="24"/>
          <w:szCs w:val="24"/>
          <w:highlight w:val="none"/>
          <w:lang w:val="en-US" w:eastAsia="zh-CN" w:bidi="ar-SA"/>
        </w:rPr>
        <w:t>1.词语定义、语言、解释顺序与适用法律</w:t>
      </w:r>
      <w:bookmarkEnd w:id="109"/>
      <w:bookmarkEnd w:id="110"/>
      <w:bookmarkEnd w:id="111"/>
      <w:bookmarkEnd w:id="112"/>
      <w:bookmarkEnd w:id="113"/>
      <w:bookmarkEnd w:id="114"/>
      <w:bookmarkEnd w:id="115"/>
      <w:bookmarkEnd w:id="116"/>
      <w:bookmarkEnd w:id="117"/>
    </w:p>
    <w:p w14:paraId="3136DDC1">
      <w:pPr>
        <w:widowControl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18" w:name="_Toc489278521"/>
      <w:bookmarkStart w:id="119" w:name="_Toc419045068"/>
      <w:bookmarkStart w:id="120" w:name="_Toc490753355"/>
      <w:bookmarkStart w:id="121" w:name="_Toc422322483"/>
      <w:bookmarkStart w:id="122" w:name="_Toc20041"/>
      <w:bookmarkStart w:id="123" w:name="_Toc18420"/>
      <w:r>
        <w:rPr>
          <w:rFonts w:hint="eastAsia" w:ascii="仿宋" w:hAnsi="仿宋" w:eastAsia="仿宋" w:cs="仿宋"/>
          <w:b w:val="0"/>
          <w:color w:val="auto"/>
          <w:kern w:val="28"/>
          <w:sz w:val="24"/>
          <w:szCs w:val="24"/>
          <w:highlight w:val="none"/>
          <w:lang w:val="en-US" w:eastAsia="zh-CN" w:bidi="ar-SA"/>
        </w:rPr>
        <w:t>1.1词语定义</w:t>
      </w:r>
      <w:bookmarkEnd w:id="118"/>
      <w:bookmarkEnd w:id="119"/>
      <w:bookmarkEnd w:id="120"/>
      <w:bookmarkEnd w:id="121"/>
      <w:bookmarkEnd w:id="122"/>
      <w:bookmarkEnd w:id="123"/>
    </w:p>
    <w:p w14:paraId="7C3C80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组成本合同的全部文件中的下列名词和用语应具有本款所赋予的含义：</w:t>
      </w:r>
    </w:p>
    <w:p w14:paraId="101DF346">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 xml:space="preserve">1.1.1“工程”是指按照本合同约定实施造价咨询与其他服务的建设工程。    </w:t>
      </w:r>
    </w:p>
    <w:p w14:paraId="4C2EEEC3">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1.1.2“工程造价”是指工程项目建设过程中预计或实际支出的全部费用。</w:t>
      </w:r>
    </w:p>
    <w:p w14:paraId="4ED048D8">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1.1.3“委托人”是指本合同中委托造价咨询与其他服务的一方，及其合法的继承人或受让人。</w:t>
      </w:r>
    </w:p>
    <w:p w14:paraId="041C2913">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1.1.4“咨询人”是指本合同中提供造价咨询与其他服务的一方</w:t>
      </w:r>
      <w:r>
        <w:rPr>
          <w:rFonts w:hint="eastAsia" w:ascii="仿宋" w:hAnsi="仿宋" w:eastAsia="仿宋" w:cs="仿宋"/>
          <w:b/>
          <w:bCs/>
          <w:color w:val="auto"/>
          <w:kern w:val="0"/>
          <w:sz w:val="24"/>
          <w:szCs w:val="24"/>
          <w:highlight w:val="none"/>
          <w:lang w:val="en-US" w:eastAsia="zh-CN" w:bidi="ar-SA"/>
        </w:rPr>
        <w:t>，</w:t>
      </w:r>
      <w:r>
        <w:rPr>
          <w:rFonts w:hint="eastAsia" w:ascii="仿宋" w:hAnsi="仿宋" w:eastAsia="仿宋" w:cs="仿宋"/>
          <w:color w:val="auto"/>
          <w:kern w:val="0"/>
          <w:sz w:val="24"/>
          <w:szCs w:val="24"/>
          <w:highlight w:val="none"/>
          <w:lang w:val="en-US" w:eastAsia="zh-CN" w:bidi="ar-SA"/>
        </w:rPr>
        <w:t>及其合法的继承人。</w:t>
      </w:r>
      <w:r>
        <w:rPr>
          <w:rFonts w:hint="eastAsia" w:ascii="仿宋" w:hAnsi="仿宋" w:eastAsia="仿宋" w:cs="仿宋"/>
          <w:color w:val="auto"/>
          <w:kern w:val="0"/>
          <w:sz w:val="24"/>
          <w:szCs w:val="24"/>
          <w:highlight w:val="none"/>
          <w:lang w:val="en-US" w:eastAsia="zh-CN" w:bidi="ar-SA"/>
        </w:rPr>
        <w:br w:type="textWrapping"/>
      </w:r>
      <w:r>
        <w:rPr>
          <w:rFonts w:hint="eastAsia" w:ascii="仿宋" w:hAnsi="仿宋" w:eastAsia="仿宋" w:cs="仿宋"/>
          <w:color w:val="auto"/>
          <w:kern w:val="0"/>
          <w:sz w:val="24"/>
          <w:szCs w:val="24"/>
          <w:highlight w:val="none"/>
          <w:lang w:val="en-US" w:eastAsia="zh-CN" w:bidi="ar-SA"/>
        </w:rPr>
        <w:t xml:space="preserve">    1.1.5“第三人”是指除委托人、咨询人以外与本咨询业务有关的当事人。</w:t>
      </w:r>
    </w:p>
    <w:p w14:paraId="494684BC">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1.1.6“正常工作”是指本合同订立时通用条件和专用条件中约定的咨询人的工作。</w:t>
      </w:r>
    </w:p>
    <w:p w14:paraId="693989CA">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1.1.7“附加工作”是指咨询人根据合同条件完成的正常工作以外的工作。</w:t>
      </w:r>
    </w:p>
    <w:p w14:paraId="6B302E14">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1.1.8“项目咨询团队”是指咨询人指派负责履行本合同的团队，其团队成员为本合同的项目咨询人员。</w:t>
      </w:r>
    </w:p>
    <w:p w14:paraId="48F738C4">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1.1.9“项目负责人”是指由咨询人的法定代表人书面授权，在授权范围内负责履行本合同、主持项目咨询团队工作的负责人。</w:t>
      </w:r>
    </w:p>
    <w:p w14:paraId="100ADC4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1.1.10“委托人代表”是指由委托人的法定代表人书面授权，在授权范围内行使委托人权利的人。</w:t>
      </w:r>
    </w:p>
    <w:p w14:paraId="3874A5A6">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1.1.11“酬金”是指咨询人履行本合同义务，按照本合同约定给付咨询人的金额。</w:t>
      </w:r>
    </w:p>
    <w:p w14:paraId="749450A5">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1.1.12“正常工作酬金”是指在协议书中载明的，咨询人完成正常工作，应给付咨询人的酬金。</w:t>
      </w:r>
      <w:r>
        <w:rPr>
          <w:rFonts w:hint="eastAsia" w:ascii="仿宋" w:hAnsi="仿宋" w:eastAsia="仿宋" w:cs="仿宋"/>
          <w:color w:val="auto"/>
          <w:kern w:val="0"/>
          <w:sz w:val="24"/>
          <w:szCs w:val="24"/>
          <w:highlight w:val="none"/>
          <w:lang w:val="en-US" w:eastAsia="zh-CN" w:bidi="ar-SA"/>
        </w:rPr>
        <w:br w:type="textWrapping"/>
      </w:r>
      <w:r>
        <w:rPr>
          <w:rFonts w:hint="eastAsia" w:ascii="仿宋" w:hAnsi="仿宋" w:eastAsia="仿宋" w:cs="仿宋"/>
          <w:color w:val="auto"/>
          <w:kern w:val="0"/>
          <w:sz w:val="24"/>
          <w:szCs w:val="24"/>
          <w:highlight w:val="none"/>
          <w:lang w:val="en-US" w:eastAsia="zh-CN" w:bidi="ar-SA"/>
        </w:rPr>
        <w:t xml:space="preserve">    1.1.13“附加工作酬金”是指咨询人完成附加工作，应给付咨询人的酬金。</w:t>
      </w:r>
    </w:p>
    <w:p w14:paraId="43D8DC4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1.1.14 “书面形式”是指合同书、信件和数据电文（包括电报、电传、传真、电子数据交换和电子邮件）等可以有形地表现所载内容的形式。</w:t>
      </w:r>
    </w:p>
    <w:p w14:paraId="74F98FA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1.1.15 “不可抗力”是指委托人和咨询人在订立本合同时不可预见，在合同履行过程中不可避免并不能克服的自然灾害和社会性突发事件，如地震、海啸、瘟疫、水灾、骚乱、暴动、战争等情形。</w:t>
      </w:r>
    </w:p>
    <w:p w14:paraId="4968A3CD">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24" w:name="_Toc422322484"/>
      <w:bookmarkStart w:id="125" w:name="_Toc28832"/>
      <w:bookmarkStart w:id="126" w:name="_Toc490753356"/>
      <w:bookmarkStart w:id="127" w:name="_Toc489278522"/>
      <w:bookmarkStart w:id="128" w:name="_Toc10983"/>
      <w:bookmarkStart w:id="129" w:name="_Toc419045069"/>
      <w:r>
        <w:rPr>
          <w:rFonts w:hint="eastAsia" w:ascii="仿宋" w:hAnsi="仿宋" w:eastAsia="仿宋" w:cs="仿宋"/>
          <w:b w:val="0"/>
          <w:color w:val="auto"/>
          <w:kern w:val="28"/>
          <w:sz w:val="24"/>
          <w:szCs w:val="24"/>
          <w:highlight w:val="none"/>
          <w:lang w:val="en-US" w:eastAsia="zh-CN" w:bidi="ar-SA"/>
        </w:rPr>
        <w:t>1.2语言</w:t>
      </w:r>
      <w:bookmarkEnd w:id="124"/>
      <w:bookmarkEnd w:id="125"/>
      <w:bookmarkEnd w:id="126"/>
      <w:bookmarkEnd w:id="127"/>
      <w:bookmarkEnd w:id="128"/>
      <w:bookmarkEnd w:id="129"/>
    </w:p>
    <w:p w14:paraId="5C29FF40">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本合同使用中文书写、解释和说明。如专用条件约定使用两种及以上语言文字时，应以中文为准。</w:t>
      </w:r>
    </w:p>
    <w:p w14:paraId="0BBF3CA5">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30" w:name="_Toc419045070"/>
      <w:bookmarkStart w:id="131" w:name="_Toc489278523"/>
      <w:bookmarkStart w:id="132" w:name="_Toc490753357"/>
      <w:bookmarkStart w:id="133" w:name="_Toc31118"/>
      <w:bookmarkStart w:id="134" w:name="_Toc19424"/>
      <w:bookmarkStart w:id="135" w:name="_Toc422322485"/>
      <w:r>
        <w:rPr>
          <w:rFonts w:hint="eastAsia" w:ascii="仿宋" w:hAnsi="仿宋" w:eastAsia="仿宋" w:cs="仿宋"/>
          <w:b w:val="0"/>
          <w:color w:val="auto"/>
          <w:kern w:val="28"/>
          <w:sz w:val="24"/>
          <w:szCs w:val="24"/>
          <w:highlight w:val="none"/>
          <w:lang w:val="en-US" w:eastAsia="zh-CN" w:bidi="ar-SA"/>
        </w:rPr>
        <w:t>1.3合同文件的优先顺序</w:t>
      </w:r>
      <w:bookmarkEnd w:id="130"/>
      <w:bookmarkEnd w:id="131"/>
      <w:bookmarkEnd w:id="132"/>
      <w:bookmarkEnd w:id="133"/>
      <w:bookmarkEnd w:id="134"/>
      <w:bookmarkEnd w:id="135"/>
    </w:p>
    <w:p w14:paraId="3B0E6FEE">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组成本合同的下列文件彼此应能相互解释、互为说明。除专用条件另有约定外，本合同文件的解释顺序如下：</w:t>
      </w:r>
    </w:p>
    <w:p w14:paraId="323967A1">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1.协议书</w:t>
      </w:r>
    </w:p>
    <w:p w14:paraId="6310EC88">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2.中标通知书或委托书（如果有）；</w:t>
      </w:r>
    </w:p>
    <w:p w14:paraId="4D6A9F72">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3.专用条件及附件；</w:t>
      </w:r>
    </w:p>
    <w:p w14:paraId="2BC74C2C">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4.通用条件；</w:t>
      </w:r>
    </w:p>
    <w:p w14:paraId="1E2E5B3D">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5.投标函及投标函附录或造价咨询服务建议书（如果有）；</w:t>
      </w:r>
    </w:p>
    <w:p w14:paraId="0E7C15FE">
      <w:pPr>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    6.其他合同文件。</w:t>
      </w:r>
    </w:p>
    <w:p w14:paraId="1AF45A25">
      <w:pPr>
        <w:widowControl/>
        <w:spacing w:line="360" w:lineRule="auto"/>
        <w:ind w:firstLine="480" w:firstLineChars="200"/>
        <w:jc w:val="left"/>
        <w:rPr>
          <w:rFonts w:hint="eastAsia" w:ascii="仿宋" w:hAnsi="仿宋" w:eastAsia="仿宋" w:cs="仿宋"/>
          <w:bCs/>
          <w:color w:val="auto"/>
          <w:kern w:val="0"/>
          <w:sz w:val="24"/>
          <w:szCs w:val="24"/>
          <w:highlight w:val="none"/>
          <w:lang w:val="en-US" w:eastAsia="zh-CN" w:bidi="ar-SA"/>
        </w:rPr>
      </w:pPr>
      <w:r>
        <w:rPr>
          <w:rFonts w:hint="eastAsia" w:ascii="仿宋" w:hAnsi="仿宋" w:eastAsia="仿宋" w:cs="仿宋"/>
          <w:bCs/>
          <w:color w:val="auto"/>
          <w:kern w:val="0"/>
          <w:sz w:val="24"/>
          <w:szCs w:val="24"/>
          <w:highlight w:val="none"/>
          <w:lang w:val="en-US" w:eastAsia="zh-CN" w:bidi="ar-SA"/>
        </w:rPr>
        <w:t>上述各项合同文件包括合同当事人就该项合同文件所作出的补充和修改，属于同一类内容的文件，应以最新签署的为准。</w:t>
      </w:r>
    </w:p>
    <w:p w14:paraId="55056CC2">
      <w:pPr>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在合同订立及履行过程中形成的与合同有关的文件均构成合同文件的组成部分。</w:t>
      </w:r>
    </w:p>
    <w:p w14:paraId="33D8899E">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36" w:name="_Toc419045071"/>
      <w:bookmarkStart w:id="137" w:name="_Toc22599"/>
      <w:bookmarkStart w:id="138" w:name="_Toc422322486"/>
      <w:bookmarkStart w:id="139" w:name="_Toc965"/>
      <w:bookmarkStart w:id="140" w:name="_Toc490753358"/>
      <w:bookmarkStart w:id="141" w:name="_Toc489278524"/>
      <w:r>
        <w:rPr>
          <w:rFonts w:hint="eastAsia" w:ascii="仿宋" w:hAnsi="仿宋" w:eastAsia="仿宋" w:cs="仿宋"/>
          <w:b w:val="0"/>
          <w:color w:val="auto"/>
          <w:kern w:val="28"/>
          <w:sz w:val="24"/>
          <w:szCs w:val="24"/>
          <w:highlight w:val="none"/>
          <w:lang w:val="en-US" w:eastAsia="zh-CN" w:bidi="ar-SA"/>
        </w:rPr>
        <w:t>1.4适用法律</w:t>
      </w:r>
      <w:bookmarkEnd w:id="136"/>
      <w:bookmarkEnd w:id="137"/>
      <w:bookmarkEnd w:id="138"/>
      <w:bookmarkEnd w:id="139"/>
      <w:bookmarkEnd w:id="140"/>
      <w:bookmarkEnd w:id="141"/>
    </w:p>
    <w:p w14:paraId="0E7822B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本合同适用中华人民共和国法律、行政法规、部门规章以及工程所在地的地方性法规、自治条例、单行条例和地方政府规章等。</w:t>
      </w:r>
    </w:p>
    <w:p w14:paraId="0F411597">
      <w:pPr>
        <w:spacing w:line="360" w:lineRule="auto"/>
        <w:ind w:firstLine="480" w:firstLineChars="200"/>
        <w:rPr>
          <w:rStyle w:val="177"/>
          <w:rFonts w:hint="eastAsia" w:ascii="仿宋" w:hAnsi="仿宋" w:eastAsia="仿宋" w:cs="仿宋"/>
          <w:color w:val="auto"/>
          <w:sz w:val="24"/>
          <w:highlight w:val="none"/>
        </w:rPr>
      </w:pPr>
      <w:r>
        <w:rPr>
          <w:rFonts w:hint="eastAsia" w:ascii="仿宋" w:hAnsi="仿宋" w:eastAsia="仿宋" w:cs="仿宋"/>
          <w:color w:val="auto"/>
          <w:sz w:val="24"/>
          <w:highlight w:val="none"/>
        </w:rPr>
        <w:t>合同当事人可以在专用条件中约定本合同适用的其他规范、规程、定额、技术标准等规范性文件。</w:t>
      </w:r>
    </w:p>
    <w:p w14:paraId="36AACAAD">
      <w:pPr>
        <w:widowControl w:val="0"/>
        <w:adjustRightInd w:val="0"/>
        <w:spacing w:line="360" w:lineRule="auto"/>
        <w:jc w:val="left"/>
        <w:outlineLvl w:val="0"/>
        <w:rPr>
          <w:rFonts w:hint="eastAsia" w:ascii="仿宋" w:hAnsi="仿宋" w:eastAsia="仿宋" w:cs="仿宋"/>
          <w:b/>
          <w:color w:val="auto"/>
          <w:kern w:val="2"/>
          <w:sz w:val="32"/>
          <w:szCs w:val="20"/>
          <w:highlight w:val="none"/>
          <w:lang w:val="en-US" w:eastAsia="zh-CN" w:bidi="ar-SA"/>
        </w:rPr>
      </w:pPr>
      <w:bookmarkStart w:id="142" w:name="_Toc489278525"/>
      <w:bookmarkStart w:id="143" w:name="_Toc18505"/>
      <w:bookmarkStart w:id="144" w:name="_Toc30587"/>
      <w:bookmarkStart w:id="145" w:name="_Toc25209"/>
      <w:bookmarkStart w:id="146" w:name="_Toc490753359"/>
      <w:bookmarkStart w:id="147" w:name="_Toc25302"/>
      <w:bookmarkStart w:id="148" w:name="_Toc13182"/>
      <w:bookmarkStart w:id="149" w:name="_Toc422322487"/>
      <w:r>
        <w:rPr>
          <w:rFonts w:hint="eastAsia" w:ascii="仿宋" w:hAnsi="仿宋" w:eastAsia="仿宋" w:cs="仿宋"/>
          <w:b/>
          <w:color w:val="auto"/>
          <w:kern w:val="2"/>
          <w:sz w:val="24"/>
          <w:szCs w:val="24"/>
          <w:highlight w:val="none"/>
          <w:lang w:val="en-US" w:eastAsia="zh-CN" w:bidi="ar-SA"/>
        </w:rPr>
        <w:t>2.委托人的义务</w:t>
      </w:r>
      <w:bookmarkEnd w:id="142"/>
      <w:bookmarkEnd w:id="143"/>
      <w:bookmarkEnd w:id="144"/>
      <w:bookmarkEnd w:id="145"/>
      <w:bookmarkEnd w:id="146"/>
      <w:bookmarkEnd w:id="147"/>
      <w:bookmarkEnd w:id="148"/>
      <w:bookmarkEnd w:id="149"/>
    </w:p>
    <w:p w14:paraId="11AB922D">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50" w:name="_Toc18003"/>
      <w:bookmarkStart w:id="151" w:name="_Toc490753360"/>
      <w:bookmarkStart w:id="152" w:name="_Toc422322488"/>
      <w:bookmarkStart w:id="153" w:name="_Toc30049"/>
      <w:bookmarkStart w:id="154" w:name="_Toc489278526"/>
      <w:bookmarkStart w:id="155" w:name="_Toc419045072"/>
      <w:r>
        <w:rPr>
          <w:rFonts w:hint="eastAsia" w:ascii="仿宋" w:hAnsi="仿宋" w:eastAsia="仿宋" w:cs="仿宋"/>
          <w:b w:val="0"/>
          <w:color w:val="auto"/>
          <w:kern w:val="28"/>
          <w:sz w:val="24"/>
          <w:szCs w:val="24"/>
          <w:highlight w:val="none"/>
          <w:lang w:val="en-US" w:eastAsia="zh-CN" w:bidi="ar-SA"/>
        </w:rPr>
        <w:t>2.1提供资料</w:t>
      </w:r>
      <w:bookmarkEnd w:id="150"/>
      <w:bookmarkEnd w:id="151"/>
      <w:bookmarkEnd w:id="152"/>
      <w:bookmarkEnd w:id="153"/>
      <w:bookmarkEnd w:id="154"/>
      <w:bookmarkEnd w:id="155"/>
    </w:p>
    <w:p w14:paraId="7D2B10A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应当在专用条件约定的时间内，按照附录C的约定无偿向咨询人提供与本合同咨询业务有关的资料。在本合同履行过程中，委托人应及时向咨询人提供最新的与本合同咨询业务有关的资料。委托人应对所提供资料的真实性、准确性、合法性与完整性负责。</w:t>
      </w:r>
    </w:p>
    <w:p w14:paraId="0724CA82">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56" w:name="_Toc419045073"/>
      <w:bookmarkStart w:id="157" w:name="_Toc18448"/>
      <w:bookmarkStart w:id="158" w:name="_Toc6911"/>
      <w:bookmarkStart w:id="159" w:name="_Toc489278527"/>
      <w:bookmarkStart w:id="160" w:name="_Toc490753361"/>
      <w:bookmarkStart w:id="161" w:name="_Toc422322489"/>
      <w:r>
        <w:rPr>
          <w:rFonts w:hint="eastAsia" w:ascii="仿宋" w:hAnsi="仿宋" w:eastAsia="仿宋" w:cs="仿宋"/>
          <w:b w:val="0"/>
          <w:color w:val="auto"/>
          <w:kern w:val="28"/>
          <w:sz w:val="24"/>
          <w:szCs w:val="24"/>
          <w:highlight w:val="none"/>
          <w:lang w:val="en-US" w:eastAsia="zh-CN" w:bidi="ar-SA"/>
        </w:rPr>
        <w:t>2.2提供工作条件</w:t>
      </w:r>
      <w:bookmarkEnd w:id="156"/>
      <w:bookmarkEnd w:id="157"/>
      <w:bookmarkEnd w:id="158"/>
      <w:bookmarkEnd w:id="159"/>
      <w:bookmarkEnd w:id="160"/>
      <w:bookmarkEnd w:id="161"/>
    </w:p>
    <w:p w14:paraId="051ECBC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委托人应为咨询人完成造价咨询提供必要的条件。</w:t>
      </w:r>
    </w:p>
    <w:p w14:paraId="2173FC3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2.2.1委托人需要咨询人派驻项目现场咨询人员的，除专用条件另有约定外，项目咨询人员有权无偿使用附录D中由委托人提供的房屋及设备。</w:t>
      </w:r>
    </w:p>
    <w:p w14:paraId="3468DDD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2.2.2委托人应负责与本工程造价咨询业务有关的所有外部关系的协调，为咨询人履行本合同提供必要的外部条件。</w:t>
      </w:r>
    </w:p>
    <w:p w14:paraId="10988B73">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62" w:name="_Toc490753362"/>
      <w:bookmarkStart w:id="163" w:name="_Toc23550"/>
      <w:bookmarkStart w:id="164" w:name="_Toc489278528"/>
      <w:bookmarkStart w:id="165" w:name="_Toc422322490"/>
      <w:bookmarkStart w:id="166" w:name="_Toc3629"/>
      <w:bookmarkStart w:id="167" w:name="_Toc419045074"/>
      <w:r>
        <w:rPr>
          <w:rFonts w:hint="eastAsia" w:ascii="仿宋" w:hAnsi="仿宋" w:eastAsia="仿宋" w:cs="仿宋"/>
          <w:b w:val="0"/>
          <w:color w:val="auto"/>
          <w:kern w:val="28"/>
          <w:sz w:val="24"/>
          <w:szCs w:val="24"/>
          <w:highlight w:val="none"/>
          <w:lang w:val="en-US" w:eastAsia="zh-CN" w:bidi="ar-SA"/>
        </w:rPr>
        <w:t>2.3合理工作时限</w:t>
      </w:r>
      <w:bookmarkEnd w:id="162"/>
      <w:bookmarkEnd w:id="163"/>
      <w:bookmarkEnd w:id="164"/>
      <w:bookmarkEnd w:id="165"/>
      <w:bookmarkEnd w:id="166"/>
      <w:bookmarkEnd w:id="167"/>
    </w:p>
    <w:p w14:paraId="25BFEA6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委托人应当为咨询人完成其咨询工作，设定合理的工作时限。</w:t>
      </w:r>
    </w:p>
    <w:p w14:paraId="698FD3E5">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68" w:name="_Toc422322491"/>
      <w:bookmarkStart w:id="169" w:name="_Toc419045075"/>
      <w:bookmarkStart w:id="170" w:name="_Toc11214"/>
      <w:bookmarkStart w:id="171" w:name="_Toc26282"/>
      <w:bookmarkStart w:id="172" w:name="_Toc490753363"/>
      <w:bookmarkStart w:id="173" w:name="_Toc489278529"/>
      <w:r>
        <w:rPr>
          <w:rFonts w:hint="eastAsia" w:ascii="仿宋" w:hAnsi="仿宋" w:eastAsia="仿宋" w:cs="仿宋"/>
          <w:b w:val="0"/>
          <w:color w:val="auto"/>
          <w:kern w:val="28"/>
          <w:sz w:val="24"/>
          <w:szCs w:val="24"/>
          <w:highlight w:val="none"/>
          <w:lang w:val="en-US" w:eastAsia="zh-CN" w:bidi="ar-SA"/>
        </w:rPr>
        <w:t>2.4委托人代表</w:t>
      </w:r>
      <w:bookmarkEnd w:id="168"/>
      <w:bookmarkEnd w:id="169"/>
      <w:bookmarkEnd w:id="170"/>
      <w:bookmarkEnd w:id="171"/>
      <w:bookmarkEnd w:id="172"/>
      <w:bookmarkEnd w:id="173"/>
    </w:p>
    <w:p w14:paraId="4EC7183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委托人应授权一名代表负责本合同的履行。委托人应在</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签订本合同7日内，将委托人代表的姓名和权限范围书面告知咨询人。委托人更换委托人代表时，应提前7日书面通知咨询人。</w:t>
      </w:r>
    </w:p>
    <w:p w14:paraId="19F95C13">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74" w:name="_Toc17328"/>
      <w:bookmarkStart w:id="175" w:name="_Toc32160"/>
      <w:bookmarkStart w:id="176" w:name="_Toc422322492"/>
      <w:bookmarkStart w:id="177" w:name="_Toc419045076"/>
      <w:bookmarkStart w:id="178" w:name="_Toc489278530"/>
      <w:bookmarkStart w:id="179" w:name="_Toc490753364"/>
      <w:r>
        <w:rPr>
          <w:rFonts w:hint="eastAsia" w:ascii="仿宋" w:hAnsi="仿宋" w:eastAsia="仿宋" w:cs="仿宋"/>
          <w:b w:val="0"/>
          <w:color w:val="auto"/>
          <w:kern w:val="28"/>
          <w:sz w:val="24"/>
          <w:szCs w:val="24"/>
          <w:highlight w:val="none"/>
          <w:lang w:val="en-US" w:eastAsia="zh-CN" w:bidi="ar-SA"/>
        </w:rPr>
        <w:t>2.5答复</w:t>
      </w:r>
      <w:bookmarkEnd w:id="174"/>
      <w:bookmarkEnd w:id="175"/>
      <w:bookmarkEnd w:id="176"/>
      <w:bookmarkEnd w:id="177"/>
      <w:bookmarkEnd w:id="178"/>
      <w:bookmarkEnd w:id="179"/>
    </w:p>
    <w:p w14:paraId="246C9D2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委托人应当在专用条件约定的时间内就咨询人以书面形式提交并要求做出答复的事宜给予书面答复。逾期未答复的，由此造成的工作延误和损失由委托人承担。</w:t>
      </w:r>
    </w:p>
    <w:p w14:paraId="5102C7CB">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80" w:name="_Toc10151"/>
      <w:bookmarkStart w:id="181" w:name="_Toc419045077"/>
      <w:bookmarkStart w:id="182" w:name="_Toc422322493"/>
      <w:bookmarkStart w:id="183" w:name="_Toc489278531"/>
      <w:bookmarkStart w:id="184" w:name="_Toc29694"/>
      <w:bookmarkStart w:id="185" w:name="_Toc490753365"/>
      <w:r>
        <w:rPr>
          <w:rFonts w:hint="eastAsia" w:ascii="仿宋" w:hAnsi="仿宋" w:eastAsia="仿宋" w:cs="仿宋"/>
          <w:b w:val="0"/>
          <w:color w:val="auto"/>
          <w:kern w:val="28"/>
          <w:sz w:val="24"/>
          <w:szCs w:val="24"/>
          <w:highlight w:val="none"/>
          <w:lang w:val="en-US" w:eastAsia="zh-CN" w:bidi="ar-SA"/>
        </w:rPr>
        <w:t>2.6支付</w:t>
      </w:r>
      <w:bookmarkEnd w:id="180"/>
      <w:bookmarkEnd w:id="181"/>
      <w:bookmarkEnd w:id="182"/>
      <w:bookmarkEnd w:id="183"/>
      <w:bookmarkEnd w:id="184"/>
      <w:bookmarkEnd w:id="185"/>
    </w:p>
    <w:p w14:paraId="4B53013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应当按照合同专用条款的约定，向咨询人支付酬金。</w:t>
      </w:r>
    </w:p>
    <w:p w14:paraId="44E06FAF">
      <w:pPr>
        <w:widowControl w:val="0"/>
        <w:adjustRightInd w:val="0"/>
        <w:spacing w:line="360" w:lineRule="auto"/>
        <w:jc w:val="left"/>
        <w:outlineLvl w:val="0"/>
        <w:rPr>
          <w:rFonts w:hint="eastAsia" w:ascii="仿宋" w:hAnsi="仿宋" w:eastAsia="仿宋" w:cs="仿宋"/>
          <w:b/>
          <w:color w:val="auto"/>
          <w:kern w:val="2"/>
          <w:sz w:val="24"/>
          <w:szCs w:val="24"/>
          <w:highlight w:val="none"/>
          <w:lang w:val="en-US" w:eastAsia="zh-CN" w:bidi="ar-SA"/>
        </w:rPr>
      </w:pPr>
      <w:bookmarkStart w:id="186" w:name="_Toc490753366"/>
      <w:bookmarkStart w:id="187" w:name="_Toc422322494"/>
      <w:bookmarkStart w:id="188" w:name="_Toc26833"/>
      <w:bookmarkStart w:id="189" w:name="_Toc16159"/>
      <w:bookmarkStart w:id="190" w:name="_Toc489278532"/>
      <w:bookmarkStart w:id="191" w:name="_Toc29635"/>
      <w:bookmarkStart w:id="192" w:name="_Toc419045078"/>
      <w:bookmarkStart w:id="193" w:name="_Toc32400"/>
      <w:bookmarkStart w:id="194" w:name="_Toc6330"/>
      <w:r>
        <w:rPr>
          <w:rFonts w:hint="eastAsia" w:ascii="仿宋" w:hAnsi="仿宋" w:eastAsia="仿宋" w:cs="仿宋"/>
          <w:b/>
          <w:color w:val="auto"/>
          <w:kern w:val="2"/>
          <w:sz w:val="24"/>
          <w:szCs w:val="24"/>
          <w:highlight w:val="none"/>
          <w:lang w:val="en-US" w:eastAsia="zh-CN" w:bidi="ar-SA"/>
        </w:rPr>
        <w:t>3.咨询人的义务</w:t>
      </w:r>
      <w:bookmarkEnd w:id="186"/>
      <w:bookmarkEnd w:id="187"/>
      <w:bookmarkEnd w:id="188"/>
      <w:bookmarkEnd w:id="189"/>
      <w:bookmarkEnd w:id="190"/>
      <w:bookmarkEnd w:id="191"/>
      <w:bookmarkEnd w:id="192"/>
      <w:bookmarkEnd w:id="193"/>
      <w:bookmarkEnd w:id="194"/>
    </w:p>
    <w:p w14:paraId="7B78D6D9">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195" w:name="_Toc489278533"/>
      <w:bookmarkStart w:id="196" w:name="_Toc30597"/>
      <w:bookmarkStart w:id="197" w:name="_Toc490753367"/>
      <w:bookmarkStart w:id="198" w:name="_Toc419045080"/>
      <w:bookmarkStart w:id="199" w:name="_Toc7183"/>
      <w:bookmarkStart w:id="200" w:name="_Toc422322495"/>
      <w:r>
        <w:rPr>
          <w:rFonts w:hint="eastAsia" w:ascii="仿宋" w:hAnsi="仿宋" w:eastAsia="仿宋" w:cs="仿宋"/>
          <w:b w:val="0"/>
          <w:color w:val="auto"/>
          <w:kern w:val="28"/>
          <w:sz w:val="24"/>
          <w:szCs w:val="24"/>
          <w:highlight w:val="none"/>
          <w:lang w:val="en-US" w:eastAsia="zh-CN" w:bidi="ar-SA"/>
        </w:rPr>
        <w:t>3.1 项目咨询团队及人员</w:t>
      </w:r>
      <w:bookmarkEnd w:id="195"/>
      <w:bookmarkEnd w:id="196"/>
      <w:bookmarkEnd w:id="197"/>
      <w:bookmarkEnd w:id="198"/>
      <w:bookmarkEnd w:id="199"/>
      <w:bookmarkEnd w:id="200"/>
    </w:p>
    <w:p w14:paraId="3DAC79A7">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3.1.1项目咨询团队的主要人员应具有专用条件约定的资格条件，团队人员的数量应符合专用条件的约定。</w:t>
      </w:r>
    </w:p>
    <w:p w14:paraId="6079FCA3">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3.1.2项目负责人</w:t>
      </w:r>
    </w:p>
    <w:p w14:paraId="6DD34FA0">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咨询人应以书面形式授权一名项目负责人负责履行本合同、主持项目咨询团队工作。采用招标程序签署本合同的，项目负责人应当与投标文件载明的一致。</w:t>
      </w:r>
    </w:p>
    <w:p w14:paraId="5E07E749">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3.1.3在本合同履行过程中，咨询人员应保持相对稳定，以保证咨询工作正常进行。</w:t>
      </w:r>
    </w:p>
    <w:p w14:paraId="41DE0085">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咨询人可根据工程进展和工作需要等情形调整项目咨询团队人员。咨询人更换项目负责人时，应提前7日向委托人书面报告，经委托人同意后方可更换。除专用条件另有约定外，咨询人更换项目咨询团队其他咨询人员，应提前3日向委托人书面报告，经委托人同意后以相当资格与能力的人员替换。</w:t>
      </w:r>
    </w:p>
    <w:p w14:paraId="3CFC033E">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3.1.4咨询人员有下列情形之一，委托人要求咨询人更换的，咨询人应当更换：</w:t>
      </w:r>
    </w:p>
    <w:p w14:paraId="0559067B">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（1）存在严重过失行为的；</w:t>
      </w:r>
    </w:p>
    <w:p w14:paraId="3CD52C88">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（2）存在违法行为不能履行职责的；</w:t>
      </w:r>
    </w:p>
    <w:p w14:paraId="54B1EFD7">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（3）涉嫌犯罪的；</w:t>
      </w:r>
    </w:p>
    <w:p w14:paraId="70BD683C">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（4）不能胜任岗位职责的；</w:t>
      </w:r>
    </w:p>
    <w:p w14:paraId="075D525A">
      <w:pPr>
        <w:widowControl/>
        <w:spacing w:line="360" w:lineRule="auto"/>
        <w:ind w:firstLine="480" w:firstLineChars="200"/>
        <w:jc w:val="both"/>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（5）严重违反职业道德的；</w:t>
      </w:r>
    </w:p>
    <w:p w14:paraId="2533BCA0">
      <w:pPr>
        <w:widowControl/>
        <w:spacing w:line="360" w:lineRule="auto"/>
        <w:ind w:firstLine="480" w:firstLineChars="200"/>
        <w:jc w:val="both"/>
        <w:rPr>
          <w:rStyle w:val="178"/>
          <w:rFonts w:hint="eastAsia" w:ascii="仿宋" w:hAnsi="仿宋" w:eastAsia="仿宋" w:cs="仿宋"/>
          <w:color w:val="auto"/>
          <w:kern w:val="0"/>
          <w:sz w:val="24"/>
          <w:szCs w:val="21"/>
          <w:highlight w:val="none"/>
          <w:shd w:val="clear" w:color="auto" w:fill="auto"/>
          <w:lang w:val="en-US" w:eastAsia="zh-CN" w:bidi="ar-SA"/>
        </w:rPr>
      </w:pPr>
      <w:r>
        <w:rPr>
          <w:rFonts w:hint="eastAsia" w:ascii="仿宋" w:hAnsi="仿宋" w:eastAsia="仿宋" w:cs="仿宋"/>
          <w:color w:val="auto"/>
          <w:kern w:val="0"/>
          <w:sz w:val="24"/>
          <w:szCs w:val="24"/>
          <w:highlight w:val="none"/>
          <w:lang w:val="en-US" w:eastAsia="zh-CN" w:bidi="ar-SA"/>
        </w:rPr>
        <w:t>（6）专用条件约定的其他情形。</w:t>
      </w:r>
    </w:p>
    <w:p w14:paraId="37E8B2D4">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201" w:name="_Toc23961"/>
      <w:bookmarkStart w:id="202" w:name="_Toc4834"/>
      <w:bookmarkStart w:id="203" w:name="_Toc490753368"/>
      <w:bookmarkStart w:id="204" w:name="_Toc489278534"/>
      <w:bookmarkStart w:id="205" w:name="_Toc422322496"/>
      <w:r>
        <w:rPr>
          <w:rFonts w:hint="eastAsia" w:ascii="仿宋" w:hAnsi="仿宋" w:eastAsia="仿宋" w:cs="仿宋"/>
          <w:b w:val="0"/>
          <w:color w:val="auto"/>
          <w:kern w:val="28"/>
          <w:sz w:val="24"/>
          <w:szCs w:val="24"/>
          <w:highlight w:val="none"/>
          <w:lang w:val="en-US" w:eastAsia="zh-CN" w:bidi="ar-SA"/>
        </w:rPr>
        <w:t>3.2 咨询人的工作要求</w:t>
      </w:r>
      <w:bookmarkEnd w:id="201"/>
      <w:bookmarkEnd w:id="202"/>
      <w:bookmarkEnd w:id="203"/>
      <w:bookmarkEnd w:id="204"/>
      <w:bookmarkEnd w:id="205"/>
    </w:p>
    <w:p w14:paraId="5D29CF87">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3.2.1咨询人应当按照专用条件约定的时间等要求向委托人提供与工程造价咨询业务有关的资料，包括工程造价咨询企业的资质证书及承担本合同业务的团队人员名单及执业（从业）资格证书、咨询工作大纲等，并按合同约定的服务范围和工作内容实施咨询业务。</w:t>
      </w:r>
    </w:p>
    <w:p w14:paraId="65DD956D">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3.2.2咨询人应当在专用条件约定的时间内，按照专用条件约定的份数、组成向委托人提交咨询成果文件。</w:t>
      </w:r>
    </w:p>
    <w:p w14:paraId="4275FD02">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咨询人提供造价咨询服务以及出具工程造价咨询成果文件应符合现行国家或行业有关规定、标准、规范的要求。委托人要求的工程造价咨询成果文件质量标准高于现行国家或行业标准的，应在专用条件中约定具体的质量标准，并相应增加服务酬金。</w:t>
      </w:r>
    </w:p>
    <w:p w14:paraId="0F1BE060">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3.2.3咨询人提交的工程造价咨询成果文件，除加盖咨询人单位公章、工程造价咨询企业执业印章外，还必须按要求加盖参加咨询工作人员的执业（从业）资格印章。</w:t>
      </w:r>
    </w:p>
    <w:p w14:paraId="485F9B45">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3.2.4咨询人应在专用条件约定的时间内，对委托人以书面形式提出的建议或者异议给予书面答复。</w:t>
      </w:r>
    </w:p>
    <w:p w14:paraId="53722AA6">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3.2.5咨询人从事工程造价咨询活动，应当遵循独立、客观、公正、诚实信用的原则，不得损害社会公共利益和他人的合法权益。</w:t>
      </w:r>
    </w:p>
    <w:p w14:paraId="7DA3388A">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3.2.6咨询人承诺按照法律规定及合同约定，完成合同范围内的建设工程造价咨询服务，不转包承接的造价咨询服务业务。</w:t>
      </w:r>
    </w:p>
    <w:p w14:paraId="2DB0582B">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206" w:name="_Toc489278535"/>
      <w:bookmarkStart w:id="207" w:name="_Toc24181"/>
      <w:bookmarkStart w:id="208" w:name="_Toc10166"/>
      <w:bookmarkStart w:id="209" w:name="_Toc422322497"/>
      <w:bookmarkStart w:id="210" w:name="_Toc419045081"/>
      <w:bookmarkStart w:id="211" w:name="_Toc490753369"/>
      <w:r>
        <w:rPr>
          <w:rFonts w:hint="eastAsia" w:ascii="仿宋" w:hAnsi="仿宋" w:eastAsia="仿宋" w:cs="仿宋"/>
          <w:b w:val="0"/>
          <w:color w:val="auto"/>
          <w:kern w:val="28"/>
          <w:sz w:val="24"/>
          <w:szCs w:val="24"/>
          <w:highlight w:val="none"/>
          <w:lang w:val="en-US" w:eastAsia="zh-CN" w:bidi="ar-SA"/>
        </w:rPr>
        <w:t>3.3咨询人的工作依据</w:t>
      </w:r>
      <w:bookmarkEnd w:id="206"/>
      <w:bookmarkEnd w:id="207"/>
      <w:bookmarkEnd w:id="208"/>
      <w:bookmarkEnd w:id="209"/>
      <w:bookmarkEnd w:id="210"/>
      <w:bookmarkEnd w:id="211"/>
    </w:p>
    <w:p w14:paraId="5DE46508">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咨询人应在专用条件内与委托人协商明确履行本合同约定的咨询服务需要适用的技术标准、规范、定额等工作依据，但不得违反国家及工程所在地的强制性标准、规范。</w:t>
      </w:r>
    </w:p>
    <w:p w14:paraId="1575D991">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咨询人应自行配备本条所述的技术标准、规范、定额等相关资料。必须由委托人提供的资料，应在附录C中载明。需要委托人协助才能获得的资料，委托人应予以协助。</w:t>
      </w:r>
    </w:p>
    <w:p w14:paraId="29842C34">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212" w:name="_Toc419045082"/>
      <w:bookmarkStart w:id="213" w:name="_Toc490753370"/>
      <w:bookmarkStart w:id="214" w:name="_Toc489278536"/>
      <w:bookmarkStart w:id="215" w:name="_Toc8391"/>
      <w:bookmarkStart w:id="216" w:name="_Toc18113"/>
      <w:bookmarkStart w:id="217" w:name="_Toc422322498"/>
      <w:r>
        <w:rPr>
          <w:rFonts w:hint="eastAsia" w:ascii="仿宋" w:hAnsi="仿宋" w:eastAsia="仿宋" w:cs="仿宋"/>
          <w:b w:val="0"/>
          <w:color w:val="auto"/>
          <w:kern w:val="28"/>
          <w:sz w:val="24"/>
          <w:szCs w:val="24"/>
          <w:highlight w:val="none"/>
          <w:lang w:val="en-US" w:eastAsia="zh-CN" w:bidi="ar-SA"/>
        </w:rPr>
        <w:t>3.4使用委托人房屋及设备的返还</w:t>
      </w:r>
      <w:bookmarkEnd w:id="212"/>
      <w:bookmarkEnd w:id="213"/>
      <w:bookmarkEnd w:id="214"/>
      <w:bookmarkEnd w:id="215"/>
      <w:bookmarkEnd w:id="216"/>
      <w:bookmarkEnd w:id="217"/>
    </w:p>
    <w:p w14:paraId="4E0D69C7">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项目咨询人员使用委托人提供的房屋及设备的，咨询人应妥善使用和保管，在本合同终止时将上述房屋及设备按专用条件约定的时间和方式返还委托人。</w:t>
      </w:r>
    </w:p>
    <w:p w14:paraId="4C4BCA30">
      <w:pPr>
        <w:spacing w:line="360" w:lineRule="auto"/>
        <w:outlineLvl w:val="0"/>
        <w:rPr>
          <w:rStyle w:val="177"/>
          <w:rFonts w:hint="eastAsia" w:ascii="仿宋" w:hAnsi="仿宋" w:eastAsia="仿宋" w:cs="仿宋"/>
          <w:color w:val="auto"/>
          <w:sz w:val="24"/>
          <w:highlight w:val="none"/>
        </w:rPr>
      </w:pPr>
      <w:bookmarkStart w:id="218" w:name="16"/>
      <w:bookmarkEnd w:id="218"/>
      <w:bookmarkStart w:id="219" w:name="_Toc4020"/>
      <w:bookmarkStart w:id="220" w:name="_Toc422322499"/>
      <w:bookmarkStart w:id="221" w:name="_Toc1008"/>
      <w:bookmarkStart w:id="222" w:name="_Toc419045083"/>
      <w:bookmarkStart w:id="223" w:name="_Toc6944"/>
      <w:bookmarkStart w:id="224" w:name="_Toc23082"/>
      <w:r>
        <w:rPr>
          <w:rStyle w:val="177"/>
          <w:rFonts w:hint="eastAsia" w:ascii="仿宋" w:hAnsi="仿宋" w:eastAsia="仿宋" w:cs="仿宋"/>
          <w:color w:val="auto"/>
          <w:sz w:val="24"/>
          <w:highlight w:val="none"/>
        </w:rPr>
        <w:t>4.违约责任</w:t>
      </w:r>
      <w:bookmarkEnd w:id="219"/>
      <w:bookmarkEnd w:id="220"/>
      <w:bookmarkEnd w:id="221"/>
      <w:bookmarkEnd w:id="222"/>
      <w:bookmarkEnd w:id="223"/>
      <w:bookmarkEnd w:id="224"/>
    </w:p>
    <w:p w14:paraId="392C27FF">
      <w:pPr>
        <w:widowControl w:val="0"/>
        <w:spacing w:before="60" w:line="360" w:lineRule="auto"/>
        <w:ind w:firstLine="480" w:firstLineChars="200"/>
        <w:jc w:val="left"/>
        <w:outlineLvl w:val="1"/>
        <w:rPr>
          <w:rFonts w:hint="eastAsia" w:ascii="仿宋" w:hAnsi="仿宋" w:eastAsia="仿宋" w:cs="仿宋"/>
          <w:b w:val="0"/>
          <w:color w:val="auto"/>
          <w:kern w:val="28"/>
          <w:sz w:val="32"/>
          <w:szCs w:val="20"/>
          <w:highlight w:val="none"/>
          <w:lang w:val="en-US" w:eastAsia="zh-CN" w:bidi="ar-SA"/>
        </w:rPr>
      </w:pPr>
      <w:bookmarkStart w:id="225" w:name="_Toc489278537"/>
      <w:bookmarkStart w:id="226" w:name="_Toc2841"/>
      <w:bookmarkStart w:id="227" w:name="_Toc422322500"/>
      <w:bookmarkStart w:id="228" w:name="_Toc21573"/>
      <w:bookmarkStart w:id="229" w:name="_Toc490753371"/>
      <w:r>
        <w:rPr>
          <w:rFonts w:hint="eastAsia" w:ascii="仿宋" w:hAnsi="仿宋" w:eastAsia="仿宋" w:cs="仿宋"/>
          <w:b w:val="0"/>
          <w:color w:val="auto"/>
          <w:kern w:val="28"/>
          <w:sz w:val="24"/>
          <w:szCs w:val="24"/>
          <w:highlight w:val="none"/>
          <w:lang w:val="en-US" w:eastAsia="zh-CN" w:bidi="ar-SA"/>
        </w:rPr>
        <w:t>4.1委托人的违约责任</w:t>
      </w:r>
      <w:bookmarkEnd w:id="225"/>
      <w:bookmarkEnd w:id="226"/>
      <w:bookmarkEnd w:id="227"/>
      <w:bookmarkEnd w:id="228"/>
      <w:bookmarkEnd w:id="229"/>
    </w:p>
    <w:p w14:paraId="0D7A49FC">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4.1.1委托人（代建单位）不履行本合同义务或者履行义务不符合本合同约定的，应承担违约责任。三方可在专用条件中约定违约金的计算及支付方法。</w:t>
      </w:r>
    </w:p>
    <w:p w14:paraId="5025D522">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4.1.2委托人（代建单位）违反本合同约定造成咨询人损失的，委托人（代建单位）应予以赔偿。三方可在专用条件中约定赔偿金额的确定及支付方法。</w:t>
      </w:r>
    </w:p>
    <w:p w14:paraId="31745548">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230" w:name="_Toc489278538"/>
      <w:bookmarkStart w:id="231" w:name="_Toc419045084"/>
      <w:bookmarkStart w:id="232" w:name="_Toc490753372"/>
      <w:bookmarkStart w:id="233" w:name="_Toc5884"/>
      <w:bookmarkStart w:id="234" w:name="_Toc30496"/>
      <w:bookmarkStart w:id="235" w:name="_Toc422322501"/>
      <w:r>
        <w:rPr>
          <w:rFonts w:hint="eastAsia" w:ascii="仿宋" w:hAnsi="仿宋" w:eastAsia="仿宋" w:cs="仿宋"/>
          <w:b w:val="0"/>
          <w:color w:val="auto"/>
          <w:kern w:val="28"/>
          <w:sz w:val="24"/>
          <w:szCs w:val="24"/>
          <w:highlight w:val="none"/>
          <w:lang w:val="en-US" w:eastAsia="zh-CN" w:bidi="ar-SA"/>
        </w:rPr>
        <w:t>4.2咨询人的违约责任</w:t>
      </w:r>
      <w:bookmarkEnd w:id="230"/>
      <w:bookmarkEnd w:id="231"/>
      <w:bookmarkEnd w:id="232"/>
      <w:bookmarkEnd w:id="233"/>
      <w:bookmarkEnd w:id="234"/>
      <w:bookmarkEnd w:id="235"/>
    </w:p>
    <w:p w14:paraId="18EFC7DE">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4.2.1咨询人不履行本合同义务或者履行义务不符合本合同约定的，应承担违约责任。三方可在专用条件中约定违约金的计算及支付方法。</w:t>
      </w:r>
    </w:p>
    <w:p w14:paraId="76D90762">
      <w:pPr>
        <w:widowControl/>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4.2.2因咨询人违反本合同约定给委托人造成损失的，咨询人应当赔偿委托人损失。三方可在专用条件中约定赔偿金额的确定及支付方法。</w:t>
      </w:r>
    </w:p>
    <w:p w14:paraId="3475C09A">
      <w:pPr>
        <w:spacing w:line="360" w:lineRule="auto"/>
        <w:outlineLvl w:val="0"/>
        <w:rPr>
          <w:rStyle w:val="177"/>
          <w:rFonts w:hint="eastAsia" w:ascii="仿宋" w:hAnsi="仿宋" w:eastAsia="仿宋" w:cs="仿宋"/>
          <w:bCs/>
          <w:color w:val="auto"/>
          <w:sz w:val="24"/>
          <w:highlight w:val="none"/>
        </w:rPr>
      </w:pPr>
      <w:bookmarkStart w:id="236" w:name="_Toc2606"/>
      <w:bookmarkStart w:id="237" w:name="_Toc18335"/>
      <w:bookmarkStart w:id="238" w:name="_Toc4212"/>
      <w:bookmarkStart w:id="239" w:name="_Toc16548"/>
      <w:bookmarkStart w:id="240" w:name="_Toc419045086"/>
      <w:bookmarkStart w:id="241" w:name="_Toc422322502"/>
      <w:r>
        <w:rPr>
          <w:rStyle w:val="177"/>
          <w:rFonts w:hint="eastAsia" w:ascii="仿宋" w:hAnsi="仿宋" w:eastAsia="仿宋" w:cs="仿宋"/>
          <w:bCs/>
          <w:color w:val="auto"/>
          <w:sz w:val="24"/>
          <w:highlight w:val="none"/>
        </w:rPr>
        <w:t>5.支付</w:t>
      </w:r>
      <w:bookmarkEnd w:id="236"/>
      <w:bookmarkEnd w:id="237"/>
      <w:bookmarkEnd w:id="238"/>
      <w:bookmarkEnd w:id="239"/>
      <w:bookmarkEnd w:id="240"/>
      <w:bookmarkEnd w:id="241"/>
    </w:p>
    <w:p w14:paraId="7E1C26A6">
      <w:pPr>
        <w:spacing w:line="360" w:lineRule="auto"/>
        <w:ind w:firstLine="540" w:firstLineChars="225"/>
        <w:outlineLvl w:val="1"/>
        <w:rPr>
          <w:rFonts w:hint="eastAsia" w:ascii="仿宋" w:hAnsi="仿宋" w:eastAsia="仿宋" w:cs="仿宋"/>
          <w:color w:val="auto"/>
          <w:highlight w:val="none"/>
        </w:rPr>
      </w:pPr>
      <w:bookmarkStart w:id="242" w:name="_Toc419045087"/>
      <w:bookmarkStart w:id="243" w:name="_Toc422322503"/>
      <w:bookmarkStart w:id="244" w:name="_Toc24189"/>
      <w:r>
        <w:rPr>
          <w:rFonts w:hint="eastAsia" w:ascii="仿宋" w:hAnsi="仿宋" w:eastAsia="仿宋" w:cs="仿宋"/>
          <w:color w:val="auto"/>
          <w:sz w:val="24"/>
          <w:highlight w:val="none"/>
        </w:rPr>
        <w:t>5.1支付货币</w:t>
      </w:r>
      <w:bookmarkEnd w:id="242"/>
      <w:bookmarkEnd w:id="243"/>
      <w:bookmarkEnd w:id="244"/>
    </w:p>
    <w:p w14:paraId="74B50805">
      <w:pPr>
        <w:spacing w:line="360" w:lineRule="auto"/>
        <w:rPr>
          <w:rStyle w:val="178"/>
          <w:rFonts w:hint="eastAsia" w:ascii="仿宋" w:hAnsi="仿宋" w:eastAsia="仿宋" w:cs="仿宋"/>
          <w:b/>
          <w:color w:val="auto"/>
          <w:sz w:val="24"/>
          <w:highlight w:val="none"/>
        </w:rPr>
      </w:pPr>
      <w:r>
        <w:rPr>
          <w:rFonts w:hint="eastAsia" w:ascii="仿宋" w:hAnsi="仿宋" w:eastAsia="仿宋" w:cs="仿宋"/>
          <w:color w:val="auto"/>
          <w:sz w:val="24"/>
          <w:highlight w:val="none"/>
        </w:rPr>
        <w:t>　　除专用条件另有约定外，酬金均以人民币支付。涉及外币支付的，所采用的货币种类和汇率等在专用条件中约定。</w:t>
      </w:r>
    </w:p>
    <w:p w14:paraId="162FDF07">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245" w:name="_Toc14012"/>
      <w:bookmarkStart w:id="246" w:name="_Toc422322504"/>
      <w:bookmarkStart w:id="247" w:name="_Toc489278539"/>
      <w:bookmarkStart w:id="248" w:name="_Toc1862"/>
      <w:bookmarkStart w:id="249" w:name="_Toc490753373"/>
      <w:r>
        <w:rPr>
          <w:rFonts w:hint="eastAsia" w:ascii="仿宋" w:hAnsi="仿宋" w:eastAsia="仿宋" w:cs="仿宋"/>
          <w:b w:val="0"/>
          <w:color w:val="auto"/>
          <w:kern w:val="28"/>
          <w:sz w:val="24"/>
          <w:szCs w:val="24"/>
          <w:highlight w:val="none"/>
          <w:lang w:val="en-US" w:eastAsia="zh-CN" w:bidi="ar-SA"/>
        </w:rPr>
        <w:t>5.2支付申请</w:t>
      </w:r>
      <w:bookmarkEnd w:id="245"/>
      <w:bookmarkEnd w:id="246"/>
      <w:bookmarkEnd w:id="247"/>
      <w:bookmarkEnd w:id="248"/>
      <w:bookmarkEnd w:id="249"/>
    </w:p>
    <w:p w14:paraId="3AF6A1C2">
      <w:pPr>
        <w:spacing w:line="360" w:lineRule="auto"/>
        <w:rPr>
          <w:rStyle w:val="178"/>
          <w:rFonts w:hint="eastAsia" w:ascii="仿宋" w:hAnsi="仿宋" w:eastAsia="仿宋" w:cs="仿宋"/>
          <w:color w:val="auto"/>
          <w:sz w:val="24"/>
          <w:highlight w:val="none"/>
        </w:rPr>
      </w:pPr>
      <w:r>
        <w:rPr>
          <w:rFonts w:hint="eastAsia" w:ascii="仿宋" w:hAnsi="仿宋" w:eastAsia="仿宋" w:cs="仿宋"/>
          <w:color w:val="auto"/>
          <w:sz w:val="24"/>
          <w:highlight w:val="none"/>
        </w:rPr>
        <w:t>　　咨询人应在本合同约定的每次应付款日期前，向委托人提交支付申请书，支付申请书的提交日期由</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在专用条件中约定。支付申请书应当说明当期应付款总额，并列出当期应支付的款项及其金额。</w:t>
      </w:r>
    </w:p>
    <w:p w14:paraId="14992E0C">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250" w:name="_Toc24949"/>
      <w:bookmarkStart w:id="251" w:name="_Toc29035"/>
      <w:bookmarkStart w:id="252" w:name="_Toc490753374"/>
      <w:bookmarkStart w:id="253" w:name="_Toc422322505"/>
      <w:bookmarkStart w:id="254" w:name="_Toc489278540"/>
      <w:r>
        <w:rPr>
          <w:rFonts w:hint="eastAsia" w:ascii="仿宋" w:hAnsi="仿宋" w:eastAsia="仿宋" w:cs="仿宋"/>
          <w:b w:val="0"/>
          <w:color w:val="auto"/>
          <w:kern w:val="28"/>
          <w:sz w:val="24"/>
          <w:szCs w:val="24"/>
          <w:highlight w:val="none"/>
          <w:lang w:val="en-US" w:eastAsia="zh-CN" w:bidi="ar-SA"/>
        </w:rPr>
        <w:t>5.3 支付酬金</w:t>
      </w:r>
      <w:bookmarkEnd w:id="250"/>
      <w:bookmarkEnd w:id="251"/>
      <w:bookmarkEnd w:id="252"/>
      <w:bookmarkEnd w:id="253"/>
      <w:bookmarkEnd w:id="254"/>
    </w:p>
    <w:p w14:paraId="57B4CE16">
      <w:pPr>
        <w:spacing w:line="360" w:lineRule="auto"/>
        <w:rPr>
          <w:rStyle w:val="178"/>
          <w:rFonts w:hint="eastAsia" w:ascii="仿宋" w:hAnsi="仿宋" w:eastAsia="仿宋" w:cs="仿宋"/>
          <w:color w:val="auto"/>
          <w:sz w:val="24"/>
          <w:highlight w:val="none"/>
        </w:rPr>
      </w:pPr>
      <w:r>
        <w:rPr>
          <w:rFonts w:hint="eastAsia" w:ascii="仿宋" w:hAnsi="仿宋" w:eastAsia="仿宋" w:cs="仿宋"/>
          <w:color w:val="auto"/>
          <w:sz w:val="24"/>
          <w:highlight w:val="none"/>
        </w:rPr>
        <w:t>　　支付酬金包括正常工作酬金、附加工作酬金、合理化建议奖励金额及费用。</w:t>
      </w:r>
    </w:p>
    <w:p w14:paraId="51F83DAF">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255" w:name="_Toc28143"/>
      <w:bookmarkStart w:id="256" w:name="_Toc489278541"/>
      <w:bookmarkStart w:id="257" w:name="_Toc422322506"/>
      <w:bookmarkStart w:id="258" w:name="_Toc490753375"/>
      <w:bookmarkStart w:id="259" w:name="_Toc1741"/>
      <w:r>
        <w:rPr>
          <w:rFonts w:hint="eastAsia" w:ascii="仿宋" w:hAnsi="仿宋" w:eastAsia="仿宋" w:cs="仿宋"/>
          <w:b w:val="0"/>
          <w:color w:val="auto"/>
          <w:kern w:val="28"/>
          <w:sz w:val="24"/>
          <w:szCs w:val="24"/>
          <w:highlight w:val="none"/>
          <w:lang w:val="en-US" w:eastAsia="zh-CN" w:bidi="ar-SA"/>
        </w:rPr>
        <w:t>5.4有异议部分的支付</w:t>
      </w:r>
      <w:bookmarkEnd w:id="255"/>
      <w:bookmarkEnd w:id="256"/>
      <w:bookmarkEnd w:id="257"/>
      <w:bookmarkEnd w:id="258"/>
      <w:bookmarkEnd w:id="259"/>
    </w:p>
    <w:p w14:paraId="6262FC4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委托人对咨询人提交的支付申请书有异议时，应当在收到咨询人提交的支付申请书后7日内，以书面形式向咨询人发出异议通知。无异议部分的款项应按期支付，有异议部分的款项按第7条约定办理。</w:t>
      </w:r>
    </w:p>
    <w:p w14:paraId="0B9F61A1">
      <w:pPr>
        <w:spacing w:line="360" w:lineRule="auto"/>
        <w:outlineLvl w:val="0"/>
        <w:rPr>
          <w:rStyle w:val="177"/>
          <w:rFonts w:hint="eastAsia" w:ascii="仿宋" w:hAnsi="仿宋" w:eastAsia="仿宋" w:cs="仿宋"/>
          <w:color w:val="auto"/>
          <w:sz w:val="24"/>
          <w:highlight w:val="none"/>
        </w:rPr>
      </w:pPr>
      <w:bookmarkStart w:id="260" w:name="_Toc8258"/>
      <w:bookmarkStart w:id="261" w:name="_Toc422322507"/>
      <w:bookmarkStart w:id="262" w:name="_Toc20027"/>
      <w:bookmarkStart w:id="263" w:name="_Toc765"/>
      <w:bookmarkStart w:id="264" w:name="_Toc23499"/>
      <w:bookmarkStart w:id="265" w:name="_Toc419045088"/>
      <w:r>
        <w:rPr>
          <w:rStyle w:val="177"/>
          <w:rFonts w:hint="eastAsia" w:ascii="仿宋" w:hAnsi="仿宋" w:eastAsia="仿宋" w:cs="仿宋"/>
          <w:color w:val="auto"/>
          <w:sz w:val="24"/>
          <w:highlight w:val="none"/>
        </w:rPr>
        <w:t>6.合同变更、解除与终止</w:t>
      </w:r>
      <w:bookmarkEnd w:id="260"/>
      <w:bookmarkEnd w:id="261"/>
      <w:bookmarkEnd w:id="262"/>
      <w:bookmarkEnd w:id="263"/>
      <w:bookmarkEnd w:id="264"/>
      <w:bookmarkEnd w:id="265"/>
    </w:p>
    <w:p w14:paraId="222F2AAC">
      <w:pPr>
        <w:spacing w:line="360" w:lineRule="auto"/>
        <w:ind w:firstLine="480" w:firstLineChars="200"/>
        <w:rPr>
          <w:rFonts w:hint="eastAsia" w:ascii="仿宋" w:hAnsi="仿宋" w:eastAsia="仿宋" w:cs="仿宋"/>
          <w:color w:val="auto"/>
          <w:highlight w:val="none"/>
        </w:rPr>
      </w:pPr>
      <w:bookmarkStart w:id="266" w:name="_Toc422322508"/>
      <w:bookmarkStart w:id="267" w:name="_Toc419045089"/>
      <w:r>
        <w:rPr>
          <w:rFonts w:hint="eastAsia" w:ascii="仿宋" w:hAnsi="仿宋" w:eastAsia="仿宋" w:cs="仿宋"/>
          <w:color w:val="auto"/>
          <w:sz w:val="24"/>
          <w:highlight w:val="none"/>
        </w:rPr>
        <w:t>6.1合同变更</w:t>
      </w:r>
      <w:bookmarkEnd w:id="266"/>
      <w:bookmarkEnd w:id="267"/>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6.1.1 任何一方以书面形式提出变更请求时，</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经协商一致后可进行变更。</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6.1.2除不可抗力外，因非咨询人原因导致咨询人履行合同期限延长、内容增加时，咨询人应当将此情况与可能产生的影响及时通知委托人。增加的工作时间或工作内容应视为附加工作。附加工作酬金的确定方法由</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根据委托的服务范围及工作内容在专用条件中约定。</w:t>
      </w:r>
    </w:p>
    <w:p w14:paraId="1F86C21F">
      <w:pPr>
        <w:spacing w:line="360" w:lineRule="auto"/>
        <w:ind w:firstLine="480" w:firstLineChars="200"/>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6.1.3合同履行过程中，遇有与工程相关的法律法规、强制性标准颁布或修订的，</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应遵照执行。非强制性标准、规范、定额等发生变化的，</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协商确定执行依据。由此引起造价咨询的服务范围及内容、服务期限、酬金变化的，</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应通过协商确定。</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6.1.4 因工程规模、服务范围及工作内容的变化等导致咨询人的工作量增减时，服务酬金应作相应调整，调整方法由</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在专用条件中约定。</w:t>
      </w:r>
    </w:p>
    <w:p w14:paraId="763492C9">
      <w:pPr>
        <w:spacing w:line="360" w:lineRule="auto"/>
        <w:ind w:firstLine="480" w:firstLineChars="200"/>
        <w:rPr>
          <w:rStyle w:val="178"/>
          <w:rFonts w:hint="eastAsia" w:ascii="仿宋" w:hAnsi="仿宋" w:eastAsia="仿宋" w:cs="仿宋"/>
          <w:color w:val="auto"/>
          <w:sz w:val="24"/>
          <w:highlight w:val="none"/>
        </w:rPr>
      </w:pPr>
      <w:bookmarkStart w:id="268" w:name="_Toc422322509"/>
      <w:bookmarkStart w:id="269" w:name="_Toc419045090"/>
      <w:r>
        <w:rPr>
          <w:rFonts w:hint="eastAsia" w:ascii="仿宋" w:hAnsi="仿宋" w:eastAsia="仿宋" w:cs="仿宋"/>
          <w:color w:val="auto"/>
          <w:sz w:val="24"/>
          <w:highlight w:val="none"/>
        </w:rPr>
        <w:t>6.2合同解除</w:t>
      </w:r>
      <w:bookmarkEnd w:id="268"/>
      <w:bookmarkEnd w:id="269"/>
    </w:p>
    <w:p w14:paraId="23E0D8F4">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6.2.1 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与咨询人协商一致，可以解除合同。</w:t>
      </w:r>
    </w:p>
    <w:p w14:paraId="0FEC736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6.2.2 有下列情形之一的，合同当事人一方或</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可以解除合同：</w:t>
      </w:r>
    </w:p>
    <w:p w14:paraId="48AD88E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（1）咨询人将本合同约定的工程造价咨询服务工作全部或部分转包给他人，委托人可以解除合同；</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（2）咨询人提供的造价咨询服务不符合合同约定的要求，经委托人催告仍不能达到合同约定要求的，委托人可以解除合同；</w:t>
      </w:r>
    </w:p>
    <w:p w14:paraId="7DEE06B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（3）未按合同约定支付服务酬金，经咨询人催告后，在28天内仍未支付的，咨询人可以解除合同；</w:t>
      </w:r>
    </w:p>
    <w:p w14:paraId="2E40890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（4）因不可抗力致使合同无法履行；</w:t>
      </w:r>
    </w:p>
    <w:p w14:paraId="462C239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（5）因一方违约致使合同无法实际履行或实际履行已无必要。</w:t>
      </w:r>
    </w:p>
    <w:p w14:paraId="1E7110E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除上述情形外，</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可以根据委托的服务范围及工作内容，在专用条件中约定解除合同的其他条件。</w:t>
      </w:r>
    </w:p>
    <w:p w14:paraId="0748C38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6.2.3 任何一方提出解除合同的，应提前30天书面通知对方。</w:t>
      </w:r>
    </w:p>
    <w:p w14:paraId="59F6761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6.2.4合同解除后，应按照合同约定向咨询人支付已完成部分的咨询服务酬金。</w:t>
      </w:r>
    </w:p>
    <w:p w14:paraId="1772EB1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因不可抗力导致的合同解除，其损失的分担按照合理分担的原则由合同当事人在专用条件中自行约定。除不可抗力外因非咨询人原因导致的合同解除，其损失由委托人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承担。因咨询人自身原因导致的合同解除，按照违约责任处理。</w:t>
      </w:r>
    </w:p>
    <w:p w14:paraId="2DD1CF81">
      <w:pPr>
        <w:spacing w:line="360" w:lineRule="auto"/>
        <w:ind w:firstLine="480" w:firstLineChars="200"/>
        <w:rPr>
          <w:rFonts w:hint="eastAsia" w:ascii="仿宋" w:hAnsi="仿宋" w:eastAsia="仿宋" w:cs="仿宋"/>
          <w:smallCaps/>
          <w:color w:val="auto"/>
          <w:sz w:val="24"/>
          <w:highlight w:val="none"/>
        </w:rPr>
      </w:pPr>
      <w:r>
        <w:rPr>
          <w:rFonts w:hint="eastAsia" w:ascii="仿宋" w:hAnsi="仿宋" w:eastAsia="仿宋" w:cs="仿宋"/>
          <w:color w:val="auto"/>
          <w:sz w:val="24"/>
          <w:highlight w:val="none"/>
        </w:rPr>
        <w:t>6.2.5本合同解除后，本合同约定的有关结算、争议解决方式的条款仍然有效。</w:t>
      </w:r>
    </w:p>
    <w:p w14:paraId="1E97A60F">
      <w:pPr>
        <w:spacing w:line="360" w:lineRule="auto"/>
        <w:ind w:firstLine="480" w:firstLineChars="200"/>
        <w:rPr>
          <w:rFonts w:hint="eastAsia" w:ascii="仿宋" w:hAnsi="仿宋" w:eastAsia="仿宋" w:cs="仿宋"/>
          <w:color w:val="auto"/>
          <w:sz w:val="24"/>
          <w:highlight w:val="none"/>
        </w:rPr>
      </w:pPr>
      <w:bookmarkStart w:id="270" w:name="_Toc422322510"/>
      <w:r>
        <w:rPr>
          <w:rFonts w:hint="eastAsia" w:ascii="仿宋" w:hAnsi="仿宋" w:eastAsia="仿宋" w:cs="仿宋"/>
          <w:color w:val="auto"/>
          <w:sz w:val="24"/>
          <w:highlight w:val="none"/>
        </w:rPr>
        <w:t>6.3 合同终止</w:t>
      </w:r>
      <w:bookmarkEnd w:id="270"/>
      <w:r>
        <w:rPr>
          <w:rFonts w:hint="eastAsia" w:ascii="仿宋" w:hAnsi="仿宋" w:eastAsia="仿宋" w:cs="仿宋"/>
          <w:b/>
          <w:bCs/>
          <w:smallCaps/>
          <w:color w:val="auto"/>
          <w:sz w:val="24"/>
          <w:highlight w:val="none"/>
        </w:rPr>
        <w:br w:type="textWrapping"/>
      </w:r>
      <w:r>
        <w:rPr>
          <w:rFonts w:hint="eastAsia" w:ascii="仿宋" w:hAnsi="仿宋" w:eastAsia="仿宋" w:cs="仿宋"/>
          <w:b/>
          <w:bCs/>
          <w:smallCaps/>
          <w:color w:val="auto"/>
          <w:sz w:val="24"/>
          <w:highlight w:val="none"/>
        </w:rPr>
        <w:t>　　</w:t>
      </w:r>
      <w:r>
        <w:rPr>
          <w:rFonts w:hint="eastAsia" w:ascii="仿宋" w:hAnsi="仿宋" w:eastAsia="仿宋" w:cs="仿宋"/>
          <w:bCs/>
          <w:smallCaps/>
          <w:color w:val="auto"/>
          <w:sz w:val="24"/>
          <w:highlight w:val="none"/>
        </w:rPr>
        <w:t>除合同解除外，以下条</w:t>
      </w:r>
      <w:r>
        <w:rPr>
          <w:rFonts w:hint="eastAsia" w:ascii="仿宋" w:hAnsi="仿宋" w:eastAsia="仿宋" w:cs="仿宋"/>
          <w:color w:val="auto"/>
          <w:sz w:val="24"/>
          <w:highlight w:val="none"/>
        </w:rPr>
        <w:t>件全部满足时，本合同终止：</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（1）咨询人完成本合同约定的全部工作；</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（2）委托人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与咨询人结清并支付酬金；</w:t>
      </w:r>
    </w:p>
    <w:p w14:paraId="5CB2DB0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（3）咨询人将委托人提供的资料交还。</w:t>
      </w:r>
    </w:p>
    <w:p w14:paraId="71BA2B85">
      <w:pPr>
        <w:spacing w:line="360" w:lineRule="auto"/>
        <w:outlineLvl w:val="0"/>
        <w:rPr>
          <w:rStyle w:val="177"/>
          <w:rFonts w:hint="eastAsia" w:ascii="仿宋" w:hAnsi="仿宋" w:eastAsia="仿宋" w:cs="仿宋"/>
          <w:bCs/>
          <w:color w:val="auto"/>
          <w:sz w:val="24"/>
          <w:highlight w:val="none"/>
        </w:rPr>
      </w:pPr>
      <w:bookmarkStart w:id="271" w:name="_Toc29707"/>
      <w:bookmarkStart w:id="272" w:name="_Toc5309"/>
      <w:bookmarkStart w:id="273" w:name="_Toc22457"/>
      <w:bookmarkStart w:id="274" w:name="_Toc422322511"/>
      <w:bookmarkStart w:id="275" w:name="_Toc419045091"/>
      <w:bookmarkStart w:id="276" w:name="_Toc21028"/>
      <w:r>
        <w:rPr>
          <w:rStyle w:val="177"/>
          <w:rFonts w:hint="eastAsia" w:ascii="仿宋" w:hAnsi="仿宋" w:eastAsia="仿宋" w:cs="仿宋"/>
          <w:bCs/>
          <w:color w:val="auto"/>
          <w:sz w:val="24"/>
          <w:highlight w:val="none"/>
        </w:rPr>
        <w:t>7.争议解决</w:t>
      </w:r>
      <w:bookmarkEnd w:id="271"/>
      <w:bookmarkEnd w:id="272"/>
      <w:bookmarkEnd w:id="273"/>
      <w:bookmarkEnd w:id="274"/>
      <w:bookmarkEnd w:id="275"/>
      <w:bookmarkEnd w:id="276"/>
      <w:bookmarkStart w:id="277" w:name="19"/>
      <w:bookmarkEnd w:id="277"/>
    </w:p>
    <w:p w14:paraId="259397C9">
      <w:pPr>
        <w:widowControl/>
        <w:spacing w:line="360" w:lineRule="auto"/>
        <w:ind w:firstLine="480" w:firstLineChars="200"/>
        <w:jc w:val="left"/>
        <w:rPr>
          <w:rFonts w:hint="eastAsia" w:ascii="仿宋" w:hAnsi="仿宋" w:eastAsia="仿宋" w:cs="仿宋"/>
          <w:color w:val="auto"/>
          <w:kern w:val="0"/>
          <w:sz w:val="21"/>
          <w:szCs w:val="21"/>
          <w:highlight w:val="none"/>
          <w:lang w:val="en-US" w:eastAsia="zh-CN" w:bidi="ar-SA"/>
        </w:rPr>
      </w:pPr>
      <w:bookmarkStart w:id="278" w:name="_Toc422322512"/>
      <w:bookmarkStart w:id="279" w:name="_Toc419045092"/>
      <w:r>
        <w:rPr>
          <w:rFonts w:hint="eastAsia" w:ascii="仿宋" w:hAnsi="仿宋" w:eastAsia="仿宋" w:cs="仿宋"/>
          <w:color w:val="auto"/>
          <w:kern w:val="0"/>
          <w:sz w:val="24"/>
          <w:szCs w:val="24"/>
          <w:highlight w:val="none"/>
          <w:lang w:val="en-US" w:eastAsia="zh-CN" w:bidi="ar-SA"/>
        </w:rPr>
        <w:t>7.1协商</w:t>
      </w:r>
      <w:bookmarkEnd w:id="278"/>
      <w:bookmarkEnd w:id="279"/>
      <w:r>
        <w:rPr>
          <w:rFonts w:hint="eastAsia" w:ascii="仿宋" w:hAnsi="仿宋" w:eastAsia="仿宋" w:cs="仿宋"/>
          <w:color w:val="auto"/>
          <w:kern w:val="0"/>
          <w:sz w:val="24"/>
          <w:szCs w:val="24"/>
          <w:highlight w:val="none"/>
          <w:lang w:val="en-US" w:eastAsia="zh-CN" w:bidi="ar-SA"/>
        </w:rPr>
        <w:br w:type="textWrapping"/>
      </w:r>
      <w:r>
        <w:rPr>
          <w:rFonts w:hint="eastAsia" w:ascii="仿宋" w:hAnsi="仿宋" w:eastAsia="仿宋" w:cs="仿宋"/>
          <w:color w:val="auto"/>
          <w:kern w:val="0"/>
          <w:sz w:val="24"/>
          <w:szCs w:val="24"/>
          <w:highlight w:val="none"/>
          <w:lang w:val="en-US" w:eastAsia="zh-CN" w:bidi="ar-SA"/>
        </w:rPr>
        <w:t>　　三方应本着诚实信用的原则协商解决本合同履行过程中发生的争议。</w:t>
      </w:r>
    </w:p>
    <w:p w14:paraId="63C9E29E">
      <w:pPr>
        <w:widowControl/>
        <w:spacing w:line="360" w:lineRule="auto"/>
        <w:ind w:firstLine="480" w:firstLineChars="200"/>
        <w:jc w:val="left"/>
        <w:rPr>
          <w:rFonts w:hint="eastAsia" w:ascii="仿宋" w:hAnsi="仿宋" w:eastAsia="仿宋" w:cs="仿宋"/>
          <w:b/>
          <w:bCs/>
          <w:color w:val="auto"/>
          <w:kern w:val="0"/>
          <w:sz w:val="24"/>
          <w:szCs w:val="24"/>
          <w:highlight w:val="none"/>
          <w:lang w:val="en-US" w:eastAsia="zh-CN" w:bidi="ar-SA"/>
        </w:rPr>
      </w:pPr>
      <w:bookmarkStart w:id="280" w:name="_Toc422322513"/>
      <w:bookmarkStart w:id="281" w:name="_Toc419045093"/>
      <w:r>
        <w:rPr>
          <w:rFonts w:hint="eastAsia" w:ascii="仿宋" w:hAnsi="仿宋" w:eastAsia="仿宋" w:cs="仿宋"/>
          <w:color w:val="auto"/>
          <w:kern w:val="0"/>
          <w:sz w:val="24"/>
          <w:szCs w:val="24"/>
          <w:highlight w:val="none"/>
          <w:lang w:val="en-US" w:eastAsia="zh-CN" w:bidi="ar-SA"/>
        </w:rPr>
        <w:t>7.2</w:t>
      </w:r>
      <w:bookmarkStart w:id="282" w:name="37"/>
      <w:bookmarkEnd w:id="282"/>
      <w:r>
        <w:rPr>
          <w:rFonts w:hint="eastAsia" w:ascii="仿宋" w:hAnsi="仿宋" w:eastAsia="仿宋" w:cs="仿宋"/>
          <w:color w:val="auto"/>
          <w:kern w:val="0"/>
          <w:sz w:val="24"/>
          <w:szCs w:val="24"/>
          <w:highlight w:val="none"/>
          <w:lang w:val="en-US" w:eastAsia="zh-CN" w:bidi="ar-SA"/>
        </w:rPr>
        <w:t>调解</w:t>
      </w:r>
      <w:bookmarkEnd w:id="280"/>
      <w:bookmarkEnd w:id="281"/>
      <w:r>
        <w:rPr>
          <w:rFonts w:hint="eastAsia" w:ascii="仿宋" w:hAnsi="仿宋" w:eastAsia="仿宋" w:cs="仿宋"/>
          <w:color w:val="auto"/>
          <w:kern w:val="0"/>
          <w:sz w:val="24"/>
          <w:szCs w:val="24"/>
          <w:highlight w:val="none"/>
          <w:lang w:val="en-US" w:eastAsia="zh-CN" w:bidi="ar-SA"/>
        </w:rPr>
        <w:br w:type="textWrapping"/>
      </w:r>
      <w:r>
        <w:rPr>
          <w:rFonts w:hint="eastAsia" w:ascii="仿宋" w:hAnsi="仿宋" w:eastAsia="仿宋" w:cs="仿宋"/>
          <w:color w:val="auto"/>
          <w:kern w:val="0"/>
          <w:sz w:val="24"/>
          <w:szCs w:val="24"/>
          <w:highlight w:val="none"/>
          <w:lang w:val="en-US" w:eastAsia="zh-CN" w:bidi="ar-SA"/>
        </w:rPr>
        <w:t>　　如果三方不能在14日内或三方商定的其他时间内解决本合同争议，可以将其提交给专用条件约定的或事后达成协议的调解人进行调解。</w:t>
      </w:r>
    </w:p>
    <w:p w14:paraId="520385AE">
      <w:pPr>
        <w:spacing w:line="360" w:lineRule="auto"/>
        <w:ind w:firstLine="480" w:firstLineChars="200"/>
        <w:rPr>
          <w:rFonts w:hint="eastAsia" w:ascii="仿宋" w:hAnsi="仿宋" w:eastAsia="仿宋" w:cs="仿宋"/>
          <w:color w:val="auto"/>
          <w:sz w:val="24"/>
          <w:highlight w:val="none"/>
        </w:rPr>
      </w:pPr>
      <w:bookmarkStart w:id="283" w:name="38"/>
      <w:bookmarkStart w:id="284" w:name="_Toc419045094"/>
      <w:bookmarkStart w:id="285" w:name="_Toc422322514"/>
      <w:r>
        <w:rPr>
          <w:rFonts w:hint="eastAsia" w:ascii="仿宋" w:hAnsi="仿宋" w:eastAsia="仿宋" w:cs="仿宋"/>
          <w:color w:val="auto"/>
          <w:sz w:val="24"/>
          <w:highlight w:val="none"/>
        </w:rPr>
        <w:t>7.</w:t>
      </w:r>
      <w:bookmarkEnd w:id="283"/>
      <w:r>
        <w:rPr>
          <w:rFonts w:hint="eastAsia" w:ascii="仿宋" w:hAnsi="仿宋" w:eastAsia="仿宋" w:cs="仿宋"/>
          <w:color w:val="auto"/>
          <w:sz w:val="24"/>
          <w:highlight w:val="none"/>
        </w:rPr>
        <w:t>3仲裁或诉讼</w:t>
      </w:r>
      <w:bookmarkEnd w:id="284"/>
      <w:bookmarkEnd w:id="285"/>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均有权不经调解直接向专用条件约定的仲裁机构申请仲裁或向有管辖权的人民法院提起诉讼。</w:t>
      </w:r>
    </w:p>
    <w:p w14:paraId="399415D2">
      <w:pPr>
        <w:spacing w:line="360" w:lineRule="auto"/>
        <w:outlineLvl w:val="0"/>
        <w:rPr>
          <w:rStyle w:val="177"/>
          <w:rFonts w:hint="eastAsia" w:ascii="仿宋" w:hAnsi="仿宋" w:eastAsia="仿宋" w:cs="仿宋"/>
          <w:color w:val="auto"/>
          <w:sz w:val="24"/>
          <w:highlight w:val="none"/>
        </w:rPr>
      </w:pPr>
      <w:bookmarkStart w:id="286" w:name="_Toc5556"/>
      <w:bookmarkStart w:id="287" w:name="_Toc422322515"/>
      <w:bookmarkStart w:id="288" w:name="_Toc30795"/>
      <w:bookmarkStart w:id="289" w:name="_Toc8456"/>
      <w:bookmarkStart w:id="290" w:name="_Toc12758"/>
      <w:bookmarkStart w:id="291" w:name="_Toc419045095"/>
      <w:r>
        <w:rPr>
          <w:rStyle w:val="177"/>
          <w:rFonts w:hint="eastAsia" w:ascii="仿宋" w:hAnsi="仿宋" w:eastAsia="仿宋" w:cs="仿宋"/>
          <w:color w:val="auto"/>
          <w:sz w:val="24"/>
          <w:highlight w:val="none"/>
        </w:rPr>
        <w:t>8.其他</w:t>
      </w:r>
      <w:bookmarkEnd w:id="286"/>
      <w:bookmarkEnd w:id="287"/>
      <w:bookmarkEnd w:id="288"/>
      <w:bookmarkEnd w:id="289"/>
      <w:bookmarkEnd w:id="290"/>
      <w:bookmarkEnd w:id="291"/>
    </w:p>
    <w:p w14:paraId="353B4894">
      <w:pPr>
        <w:widowControl w:val="0"/>
        <w:spacing w:before="60" w:line="360" w:lineRule="auto"/>
        <w:ind w:firstLine="480" w:firstLineChars="200"/>
        <w:jc w:val="left"/>
        <w:outlineLvl w:val="1"/>
        <w:rPr>
          <w:rFonts w:hint="eastAsia" w:ascii="仿宋" w:hAnsi="仿宋" w:eastAsia="仿宋" w:cs="仿宋"/>
          <w:b w:val="0"/>
          <w:color w:val="auto"/>
          <w:kern w:val="28"/>
          <w:sz w:val="32"/>
          <w:szCs w:val="20"/>
          <w:highlight w:val="none"/>
          <w:lang w:val="en-US" w:eastAsia="zh-CN" w:bidi="ar-SA"/>
        </w:rPr>
      </w:pPr>
      <w:bookmarkStart w:id="292" w:name="_Toc422322516"/>
      <w:bookmarkStart w:id="293" w:name="_Toc27362"/>
      <w:bookmarkStart w:id="294" w:name="_Toc489278542"/>
      <w:bookmarkStart w:id="295" w:name="_Toc490753376"/>
      <w:bookmarkStart w:id="296" w:name="_Toc419045096"/>
      <w:bookmarkStart w:id="297" w:name="_Toc7150"/>
      <w:r>
        <w:rPr>
          <w:rFonts w:hint="eastAsia" w:ascii="仿宋" w:hAnsi="仿宋" w:eastAsia="仿宋" w:cs="仿宋"/>
          <w:b w:val="0"/>
          <w:smallCaps/>
          <w:color w:val="auto"/>
          <w:kern w:val="28"/>
          <w:sz w:val="24"/>
          <w:szCs w:val="24"/>
          <w:highlight w:val="none"/>
          <w:lang w:val="en-US" w:eastAsia="zh-CN" w:bidi="ar-SA"/>
        </w:rPr>
        <w:t>8.1</w:t>
      </w:r>
      <w:bookmarkStart w:id="298" w:name="39"/>
      <w:bookmarkEnd w:id="298"/>
      <w:r>
        <w:rPr>
          <w:rFonts w:hint="eastAsia" w:ascii="仿宋" w:hAnsi="仿宋" w:eastAsia="仿宋" w:cs="仿宋"/>
          <w:b w:val="0"/>
          <w:color w:val="auto"/>
          <w:kern w:val="28"/>
          <w:sz w:val="24"/>
          <w:szCs w:val="24"/>
          <w:highlight w:val="none"/>
          <w:lang w:val="en-US" w:eastAsia="zh-CN" w:bidi="ar-SA"/>
        </w:rPr>
        <w:t>考察及相关费用</w:t>
      </w:r>
      <w:bookmarkEnd w:id="292"/>
      <w:bookmarkEnd w:id="293"/>
      <w:bookmarkEnd w:id="294"/>
      <w:bookmarkEnd w:id="295"/>
      <w:bookmarkEnd w:id="296"/>
      <w:bookmarkEnd w:id="297"/>
    </w:p>
    <w:p w14:paraId="010338F5">
      <w:pPr>
        <w:spacing w:line="360" w:lineRule="auto"/>
        <w:ind w:firstLine="480" w:firstLineChars="200"/>
        <w:rPr>
          <w:rStyle w:val="178"/>
          <w:rFonts w:hint="eastAsia" w:ascii="仿宋" w:hAnsi="仿宋" w:eastAsia="仿宋" w:cs="仿宋"/>
          <w:color w:val="auto"/>
          <w:sz w:val="24"/>
          <w:highlight w:val="none"/>
        </w:rPr>
      </w:pPr>
      <w:r>
        <w:rPr>
          <w:rFonts w:hint="eastAsia" w:ascii="仿宋" w:hAnsi="仿宋" w:eastAsia="仿宋" w:cs="仿宋"/>
          <w:color w:val="auto"/>
          <w:sz w:val="24"/>
          <w:highlight w:val="none"/>
        </w:rPr>
        <w:t>除专用条件另有约定外，咨询人经委托人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同意进行考察发生的费用由委托人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审核后另行支付。差旅费及相关费用的承担由</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在专用条件中约定。</w:t>
      </w:r>
    </w:p>
    <w:p w14:paraId="259EB90B">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299" w:name="_Toc490753377"/>
      <w:bookmarkStart w:id="300" w:name="_Toc13289"/>
      <w:bookmarkStart w:id="301" w:name="_Toc489278543"/>
      <w:bookmarkStart w:id="302" w:name="_Toc11260"/>
      <w:bookmarkStart w:id="303" w:name="_Toc422322517"/>
      <w:r>
        <w:rPr>
          <w:rFonts w:hint="eastAsia" w:ascii="仿宋" w:hAnsi="仿宋" w:eastAsia="仿宋" w:cs="仿宋"/>
          <w:b w:val="0"/>
          <w:color w:val="auto"/>
          <w:kern w:val="28"/>
          <w:sz w:val="24"/>
          <w:szCs w:val="24"/>
          <w:highlight w:val="none"/>
          <w:lang w:val="en-US" w:eastAsia="zh-CN" w:bidi="ar-SA"/>
        </w:rPr>
        <w:t>8.2奖励</w:t>
      </w:r>
      <w:bookmarkEnd w:id="299"/>
      <w:bookmarkEnd w:id="300"/>
      <w:bookmarkEnd w:id="301"/>
      <w:bookmarkEnd w:id="302"/>
      <w:bookmarkEnd w:id="303"/>
    </w:p>
    <w:p w14:paraId="2F647101">
      <w:pPr>
        <w:spacing w:line="360" w:lineRule="auto"/>
        <w:ind w:firstLine="480" w:firstLineChars="200"/>
        <w:rPr>
          <w:rStyle w:val="178"/>
          <w:rFonts w:hint="eastAsia" w:ascii="仿宋" w:hAnsi="仿宋" w:eastAsia="仿宋" w:cs="仿宋"/>
          <w:color w:val="auto"/>
          <w:sz w:val="24"/>
          <w:highlight w:val="none"/>
        </w:rPr>
      </w:pPr>
      <w:r>
        <w:rPr>
          <w:rFonts w:hint="eastAsia" w:ascii="仿宋" w:hAnsi="仿宋" w:eastAsia="仿宋" w:cs="仿宋"/>
          <w:color w:val="auto"/>
          <w:sz w:val="24"/>
          <w:highlight w:val="none"/>
        </w:rPr>
        <w:t>对于咨询人在服务过程中提出合理化建议，使委托人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获得效益的，</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在专用条件中约定奖励金额的确定方法。奖励金额在合理化建议被采纳后，与最近一期的正常工作酬金同期支付。</w:t>
      </w:r>
    </w:p>
    <w:p w14:paraId="6C319A8C">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304" w:name="_Toc23902"/>
      <w:bookmarkStart w:id="305" w:name="_Toc12467"/>
      <w:bookmarkStart w:id="306" w:name="_Toc490753378"/>
      <w:bookmarkStart w:id="307" w:name="_Toc422322518"/>
      <w:bookmarkStart w:id="308" w:name="_Toc489278544"/>
      <w:r>
        <w:rPr>
          <w:rFonts w:hint="eastAsia" w:ascii="仿宋" w:hAnsi="仿宋" w:eastAsia="仿宋" w:cs="仿宋"/>
          <w:b w:val="0"/>
          <w:color w:val="auto"/>
          <w:kern w:val="28"/>
          <w:sz w:val="24"/>
          <w:szCs w:val="24"/>
          <w:highlight w:val="none"/>
          <w:lang w:val="en-US" w:eastAsia="zh-CN" w:bidi="ar-SA"/>
        </w:rPr>
        <w:t>8.3保密</w:t>
      </w:r>
      <w:bookmarkEnd w:id="304"/>
      <w:bookmarkEnd w:id="305"/>
      <w:bookmarkEnd w:id="306"/>
      <w:bookmarkEnd w:id="307"/>
      <w:bookmarkEnd w:id="308"/>
    </w:p>
    <w:p w14:paraId="40F971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在本合同履行期间或专用条件约定的期限内，</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不得泄露对方申明的保密资料，亦不得泄露与实施工程有关的第三人所提供的保密资料。保密事项在专用条件中约定。</w:t>
      </w:r>
    </w:p>
    <w:p w14:paraId="5EC0555B">
      <w:pPr>
        <w:widowControl w:val="0"/>
        <w:spacing w:before="60"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309" w:name="_Toc419045097"/>
      <w:bookmarkStart w:id="310" w:name="_Toc490753379"/>
      <w:bookmarkStart w:id="311" w:name="_Toc24211"/>
      <w:bookmarkStart w:id="312" w:name="_Toc422322519"/>
      <w:bookmarkStart w:id="313" w:name="_Toc23127"/>
      <w:bookmarkStart w:id="314" w:name="_Toc489278545"/>
      <w:r>
        <w:rPr>
          <w:rFonts w:hint="eastAsia" w:ascii="仿宋" w:hAnsi="仿宋" w:eastAsia="仿宋" w:cs="仿宋"/>
          <w:b w:val="0"/>
          <w:color w:val="auto"/>
          <w:kern w:val="28"/>
          <w:sz w:val="24"/>
          <w:szCs w:val="24"/>
          <w:highlight w:val="none"/>
          <w:lang w:val="en-US" w:eastAsia="zh-CN" w:bidi="ar-SA"/>
        </w:rPr>
        <w:t>8.4</w:t>
      </w:r>
      <w:bookmarkEnd w:id="309"/>
      <w:r>
        <w:rPr>
          <w:rFonts w:hint="eastAsia" w:ascii="仿宋" w:hAnsi="仿宋" w:eastAsia="仿宋" w:cs="仿宋"/>
          <w:b w:val="0"/>
          <w:color w:val="auto"/>
          <w:kern w:val="28"/>
          <w:sz w:val="24"/>
          <w:szCs w:val="24"/>
          <w:highlight w:val="none"/>
          <w:lang w:val="en-US" w:eastAsia="zh-CN" w:bidi="ar-SA"/>
        </w:rPr>
        <w:t>联络</w:t>
      </w:r>
      <w:bookmarkEnd w:id="310"/>
      <w:bookmarkEnd w:id="311"/>
      <w:bookmarkEnd w:id="312"/>
      <w:bookmarkEnd w:id="313"/>
      <w:bookmarkEnd w:id="314"/>
    </w:p>
    <w:p w14:paraId="37BCC93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8.4.1与合同有关的通知、指示、要求、决定等，均应采用书面形式，并应在专用条件约定的期限内送达接收人和送达地点。</w:t>
      </w:r>
    </w:p>
    <w:p w14:paraId="79CC99B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8.4.2委托人和咨询人应在专用条件中约定各自的送达接收人、送达地点、电子邮箱。任何一方指定的接收人或送达地点或电子邮箱发生变动的，应提前3天以书面形式通知对方，否则视为未发生变动。</w:t>
      </w:r>
    </w:p>
    <w:p w14:paraId="01B53AF2">
      <w:pPr>
        <w:tabs>
          <w:tab w:val="left" w:pos="5085"/>
        </w:tabs>
        <w:spacing w:line="360" w:lineRule="auto"/>
        <w:ind w:firstLine="480" w:firstLineChars="200"/>
        <w:rPr>
          <w:rStyle w:val="178"/>
          <w:rFonts w:hint="eastAsia" w:ascii="仿宋" w:hAnsi="仿宋" w:eastAsia="仿宋" w:cs="仿宋"/>
          <w:b/>
          <w:bCs/>
          <w:color w:val="auto"/>
          <w:kern w:val="0"/>
          <w:sz w:val="24"/>
          <w:highlight w:val="none"/>
        </w:rPr>
      </w:pPr>
      <w:r>
        <w:rPr>
          <w:rFonts w:hint="eastAsia" w:ascii="仿宋" w:hAnsi="仿宋" w:eastAsia="仿宋" w:cs="仿宋"/>
          <w:color w:val="auto"/>
          <w:sz w:val="24"/>
          <w:highlight w:val="none"/>
        </w:rPr>
        <w:t>8.4.3委托人和咨询人应当及时签收另一方送达至送达地点和指定接收人的往来函件，如确有充分证据证明一方无正当理由拒不签收的，视为认可往来函件的内容。</w:t>
      </w:r>
    </w:p>
    <w:p w14:paraId="2ED82605">
      <w:pPr>
        <w:widowControl w:val="0"/>
        <w:spacing w:before="60"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315" w:name="_Toc489278546"/>
      <w:bookmarkStart w:id="316" w:name="_Toc29381"/>
      <w:bookmarkStart w:id="317" w:name="_Toc490753380"/>
      <w:bookmarkStart w:id="318" w:name="_Toc422322520"/>
      <w:bookmarkStart w:id="319" w:name="_Toc165"/>
      <w:r>
        <w:rPr>
          <w:rFonts w:hint="eastAsia" w:ascii="仿宋" w:hAnsi="仿宋" w:eastAsia="仿宋" w:cs="仿宋"/>
          <w:b w:val="0"/>
          <w:color w:val="auto"/>
          <w:kern w:val="28"/>
          <w:sz w:val="24"/>
          <w:szCs w:val="24"/>
          <w:highlight w:val="none"/>
          <w:lang w:val="en-US" w:eastAsia="zh-CN" w:bidi="ar-SA"/>
        </w:rPr>
        <w:t>8.5知识产权</w:t>
      </w:r>
      <w:bookmarkEnd w:id="315"/>
      <w:bookmarkEnd w:id="316"/>
      <w:bookmarkEnd w:id="317"/>
      <w:bookmarkEnd w:id="318"/>
      <w:bookmarkEnd w:id="319"/>
    </w:p>
    <w:p w14:paraId="1131F12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除专用条件另有约定外，委托人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提供给咨询人的图纸、委托人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为实施工程自行编制或委托编制的技术规范以及反映委托人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要求的或其他类似性质文件的著作权属于委托人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，咨询人可以为实现本合同目的而复制或者以其他方式使用此类文件，但不能用于与本合同无关的其他事项。未经委托人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书面同意，咨询人不得为了本合同以外的目的而复制或者以其他方式使用上述文件或将之提供给任何第三方。</w:t>
      </w:r>
    </w:p>
    <w:p w14:paraId="46C1940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除专用条件另有约定外，咨询人为履行本合同约定而编制的成果文件，其著作权属于咨询人。委托人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可以为实现合同目的而复制、使用此类文件，但不能擅自修改或用于与本合同无关的其他事项。未经咨询人书面同意，委托人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不得为了本合同以外的目的而复制或者以其他方式使用上述文件或将之提供给任何第三方。</w:t>
      </w:r>
    </w:p>
    <w:p w14:paraId="359CFF4E">
      <w:pPr>
        <w:autoSpaceDE w:val="0"/>
        <w:autoSpaceDN w:val="0"/>
        <w:adjustRightIn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保证在履行本合同过程中不侵犯对方及第三方的知识产权。因咨询人侵犯他人知识产权所引起的责任，由咨询人承担；因委托人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提供的基础资料导致侵权的，由委托人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承担责任。</w:t>
      </w:r>
    </w:p>
    <w:p w14:paraId="22E51FF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除专用条件另有约定外，</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均有权在履行本合同保密义务并且不损害对方利益的情况下，将履行本合同形成的有关成果文件用于企业宣传、申报奖项以及接受上级主管部门的检查。</w:t>
      </w:r>
    </w:p>
    <w:p w14:paraId="0E8C1B83">
      <w:pPr>
        <w:spacing w:line="360" w:lineRule="auto"/>
        <w:rPr>
          <w:rFonts w:hint="eastAsia" w:ascii="仿宋" w:hAnsi="仿宋" w:eastAsia="仿宋" w:cs="仿宋"/>
          <w:color w:val="auto"/>
          <w:highlight w:val="none"/>
        </w:rPr>
      </w:pPr>
    </w:p>
    <w:p w14:paraId="37ABAA0D">
      <w:pPr>
        <w:keepNext/>
        <w:keepLines/>
        <w:widowControl w:val="0"/>
        <w:snapToGrid w:val="0"/>
        <w:spacing w:line="360" w:lineRule="auto"/>
        <w:jc w:val="center"/>
        <w:outlineLvl w:val="0"/>
        <w:rPr>
          <w:rFonts w:hint="eastAsia" w:ascii="仿宋" w:hAnsi="仿宋" w:eastAsia="仿宋" w:cs="仿宋"/>
          <w:b/>
          <w:bCs/>
          <w:color w:val="auto"/>
          <w:kern w:val="44"/>
          <w:sz w:val="30"/>
          <w:szCs w:val="30"/>
          <w:highlight w:val="none"/>
          <w:lang w:val="en-US" w:eastAsia="zh-CN" w:bidi="ar-SA"/>
        </w:rPr>
      </w:pPr>
      <w:r>
        <w:rPr>
          <w:rFonts w:hint="eastAsia" w:ascii="仿宋" w:hAnsi="仿宋" w:eastAsia="仿宋" w:cs="仿宋"/>
          <w:b w:val="0"/>
          <w:bCs w:val="0"/>
          <w:color w:val="auto"/>
          <w:kern w:val="44"/>
          <w:sz w:val="30"/>
          <w:szCs w:val="30"/>
          <w:highlight w:val="none"/>
          <w:lang w:val="en-US" w:eastAsia="zh-CN" w:bidi="ar-SA"/>
        </w:rPr>
        <w:br w:type="page"/>
      </w:r>
      <w:bookmarkStart w:id="320" w:name="_Toc30573"/>
      <w:bookmarkStart w:id="321" w:name="_Toc422322521"/>
      <w:bookmarkStart w:id="322" w:name="_Toc490753381"/>
      <w:bookmarkStart w:id="323" w:name="_Toc489278547"/>
      <w:bookmarkStart w:id="324" w:name="_Toc419045098"/>
      <w:bookmarkStart w:id="325" w:name="_Toc3594"/>
      <w:bookmarkStart w:id="326" w:name="_Toc20192"/>
      <w:bookmarkStart w:id="327" w:name="_Toc17030"/>
      <w:bookmarkStart w:id="328" w:name="_Toc29532"/>
      <w:r>
        <w:rPr>
          <w:rFonts w:hint="eastAsia" w:ascii="仿宋" w:hAnsi="仿宋" w:eastAsia="仿宋" w:cs="仿宋"/>
          <w:b/>
          <w:bCs/>
          <w:color w:val="auto"/>
          <w:kern w:val="44"/>
          <w:sz w:val="30"/>
          <w:szCs w:val="30"/>
          <w:highlight w:val="none"/>
          <w:lang w:val="en-US" w:eastAsia="zh-CN" w:bidi="ar-SA"/>
        </w:rPr>
        <w:t>第三部分　专用条件</w:t>
      </w:r>
      <w:bookmarkEnd w:id="320"/>
      <w:bookmarkEnd w:id="321"/>
      <w:bookmarkEnd w:id="322"/>
      <w:bookmarkEnd w:id="323"/>
      <w:bookmarkEnd w:id="324"/>
      <w:bookmarkEnd w:id="325"/>
      <w:bookmarkEnd w:id="326"/>
      <w:bookmarkEnd w:id="327"/>
      <w:bookmarkEnd w:id="328"/>
    </w:p>
    <w:p w14:paraId="706B8354">
      <w:pPr>
        <w:widowControl w:val="0"/>
        <w:adjustRightInd w:val="0"/>
        <w:snapToGrid w:val="0"/>
        <w:spacing w:line="360" w:lineRule="auto"/>
        <w:jc w:val="left"/>
        <w:outlineLvl w:val="9"/>
        <w:rPr>
          <w:rFonts w:hint="eastAsia" w:ascii="仿宋" w:hAnsi="仿宋" w:eastAsia="仿宋" w:cs="仿宋"/>
          <w:b/>
          <w:color w:val="auto"/>
          <w:kern w:val="2"/>
          <w:sz w:val="24"/>
          <w:szCs w:val="24"/>
          <w:highlight w:val="none"/>
          <w:lang w:val="en-US" w:eastAsia="zh-CN" w:bidi="ar-SA"/>
        </w:rPr>
      </w:pPr>
      <w:bookmarkStart w:id="329" w:name="45"/>
      <w:bookmarkEnd w:id="329"/>
      <w:bookmarkStart w:id="330" w:name="_Toc422322522"/>
      <w:bookmarkStart w:id="331" w:name="_Toc489278548"/>
      <w:bookmarkStart w:id="332" w:name="_Toc490753382"/>
      <w:bookmarkStart w:id="333" w:name="_Toc419045099"/>
    </w:p>
    <w:p w14:paraId="253C3EFA">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334" w:name="_Toc10749"/>
      <w:bookmarkStart w:id="335" w:name="_Toc13855"/>
      <w:bookmarkStart w:id="336" w:name="_Toc11346"/>
      <w:bookmarkStart w:id="337" w:name="_Toc7417"/>
      <w:bookmarkStart w:id="338" w:name="_Toc12012"/>
      <w:r>
        <w:rPr>
          <w:rFonts w:hint="eastAsia" w:ascii="仿宋" w:hAnsi="仿宋" w:eastAsia="仿宋" w:cs="仿宋"/>
          <w:b/>
          <w:color w:val="auto"/>
          <w:kern w:val="2"/>
          <w:sz w:val="24"/>
          <w:szCs w:val="24"/>
          <w:highlight w:val="none"/>
          <w:lang w:val="en-US" w:eastAsia="zh-CN" w:bidi="ar-SA"/>
        </w:rPr>
        <w:t>1.词语定义、语言、解释顺序与适用法律</w:t>
      </w:r>
      <w:bookmarkEnd w:id="330"/>
      <w:bookmarkEnd w:id="331"/>
      <w:bookmarkEnd w:id="332"/>
      <w:bookmarkEnd w:id="333"/>
      <w:bookmarkEnd w:id="334"/>
      <w:bookmarkEnd w:id="335"/>
      <w:bookmarkEnd w:id="336"/>
      <w:bookmarkEnd w:id="337"/>
      <w:bookmarkEnd w:id="338"/>
    </w:p>
    <w:p w14:paraId="52CAE8EE">
      <w:pPr>
        <w:snapToGrid w:val="0"/>
        <w:spacing w:line="360" w:lineRule="auto"/>
        <w:ind w:firstLine="468"/>
        <w:rPr>
          <w:rStyle w:val="178"/>
          <w:rFonts w:hint="eastAsia" w:ascii="仿宋" w:hAnsi="仿宋" w:eastAsia="仿宋" w:cs="仿宋"/>
          <w:b/>
          <w:color w:val="auto"/>
          <w:sz w:val="24"/>
          <w:highlight w:val="none"/>
        </w:rPr>
      </w:pPr>
      <w:bookmarkStart w:id="339" w:name="_Toc422322524"/>
      <w:bookmarkStart w:id="340" w:name="_Toc419045101"/>
      <w:r>
        <w:rPr>
          <w:rFonts w:hint="eastAsia" w:ascii="仿宋" w:hAnsi="仿宋" w:eastAsia="仿宋" w:cs="仿宋"/>
          <w:color w:val="auto"/>
          <w:sz w:val="24"/>
          <w:highlight w:val="none"/>
        </w:rPr>
        <w:t>1.2 语言</w:t>
      </w:r>
      <w:bookmarkEnd w:id="339"/>
      <w:bookmarkEnd w:id="340"/>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本合同文件除使用中文外，还可用</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0FDC9E82">
      <w:pPr>
        <w:widowControl w:val="0"/>
        <w:snapToGrid w:val="0"/>
        <w:spacing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341" w:name="_Toc489278549"/>
      <w:bookmarkStart w:id="342" w:name="_Toc490753383"/>
      <w:bookmarkStart w:id="343" w:name="_Toc31151"/>
      <w:bookmarkStart w:id="344" w:name="_Toc21766"/>
      <w:bookmarkStart w:id="345" w:name="_Toc422322525"/>
      <w:r>
        <w:rPr>
          <w:rFonts w:hint="eastAsia" w:ascii="仿宋" w:hAnsi="仿宋" w:eastAsia="仿宋" w:cs="仿宋"/>
          <w:b w:val="0"/>
          <w:color w:val="auto"/>
          <w:kern w:val="28"/>
          <w:sz w:val="24"/>
          <w:szCs w:val="24"/>
          <w:highlight w:val="none"/>
          <w:lang w:val="en-US" w:eastAsia="zh-CN" w:bidi="ar-SA"/>
        </w:rPr>
        <w:t>1.3合同文件的优先顺序</w:t>
      </w:r>
      <w:bookmarkEnd w:id="341"/>
      <w:bookmarkEnd w:id="342"/>
      <w:bookmarkEnd w:id="343"/>
      <w:bookmarkEnd w:id="344"/>
      <w:bookmarkEnd w:id="345"/>
    </w:p>
    <w:p w14:paraId="21B59572">
      <w:pPr>
        <w:snapToGrid w:val="0"/>
        <w:spacing w:line="360" w:lineRule="auto"/>
        <w:ind w:firstLine="468"/>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本合同文件的解释顺序为：</w:t>
      </w:r>
      <w:r>
        <w:rPr>
          <w:rFonts w:hint="eastAsia" w:ascii="仿宋" w:hAnsi="仿宋" w:eastAsia="仿宋" w:cs="仿宋"/>
          <w:color w:val="auto"/>
          <w:sz w:val="24"/>
          <w:highlight w:val="none"/>
          <w:u w:val="single"/>
        </w:rPr>
        <w:t xml:space="preserve"> 按通用条件 </w:t>
      </w:r>
      <w:r>
        <w:rPr>
          <w:rFonts w:hint="eastAsia" w:ascii="仿宋" w:hAnsi="仿宋" w:eastAsia="仿宋" w:cs="仿宋"/>
          <w:color w:val="auto"/>
          <w:sz w:val="24"/>
          <w:highlight w:val="none"/>
        </w:rPr>
        <w:t>。</w:t>
      </w:r>
    </w:p>
    <w:p w14:paraId="369923FC">
      <w:pPr>
        <w:snapToGrid w:val="0"/>
        <w:spacing w:line="360" w:lineRule="auto"/>
        <w:ind w:firstLine="468"/>
        <w:rPr>
          <w:rFonts w:hint="eastAsia" w:ascii="仿宋" w:hAnsi="仿宋" w:eastAsia="仿宋" w:cs="仿宋"/>
          <w:color w:val="auto"/>
          <w:sz w:val="24"/>
          <w:highlight w:val="none"/>
        </w:rPr>
      </w:pPr>
      <w:bookmarkStart w:id="346" w:name="_Toc422322526"/>
      <w:bookmarkStart w:id="347" w:name="_Toc419045102"/>
      <w:r>
        <w:rPr>
          <w:rFonts w:hint="eastAsia" w:ascii="仿宋" w:hAnsi="仿宋" w:eastAsia="仿宋" w:cs="仿宋"/>
          <w:color w:val="auto"/>
          <w:sz w:val="24"/>
          <w:highlight w:val="none"/>
        </w:rPr>
        <w:t>1.4适用法律</w:t>
      </w:r>
      <w:bookmarkEnd w:id="346"/>
      <w:bookmarkEnd w:id="347"/>
    </w:p>
    <w:p w14:paraId="070F5E72">
      <w:pPr>
        <w:snapToGrid w:val="0"/>
        <w:spacing w:line="360" w:lineRule="auto"/>
        <w:ind w:left="210" w:leftChars="100" w:firstLine="120" w:firstLineChars="5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本合同适用的其他规范性文件包括:</w:t>
      </w:r>
      <w:r>
        <w:rPr>
          <w:rFonts w:hint="eastAsia" w:ascii="仿宋" w:hAnsi="仿宋" w:eastAsia="仿宋" w:cs="仿宋"/>
          <w:color w:val="auto"/>
          <w:sz w:val="24"/>
          <w:highlight w:val="none"/>
          <w:u w:val="single"/>
        </w:rPr>
        <w:t xml:space="preserve"> 按通用条件 </w:t>
      </w:r>
      <w:r>
        <w:rPr>
          <w:rFonts w:hint="eastAsia" w:ascii="仿宋" w:hAnsi="仿宋" w:eastAsia="仿宋" w:cs="仿宋"/>
          <w:color w:val="auto"/>
          <w:sz w:val="24"/>
          <w:highlight w:val="none"/>
        </w:rPr>
        <w:t>。</w:t>
      </w:r>
    </w:p>
    <w:p w14:paraId="5E6C8332">
      <w:pPr>
        <w:widowControl w:val="0"/>
        <w:spacing w:line="360" w:lineRule="auto"/>
        <w:ind w:firstLine="0" w:firstLineChars="0"/>
        <w:jc w:val="both"/>
        <w:rPr>
          <w:rFonts w:hint="eastAsia" w:ascii="仿宋" w:hAnsi="仿宋" w:eastAsia="仿宋" w:cs="仿宋"/>
          <w:color w:val="auto"/>
          <w:kern w:val="2"/>
          <w:sz w:val="21"/>
          <w:szCs w:val="24"/>
          <w:highlight w:val="none"/>
          <w:lang w:val="en-US" w:eastAsia="zh-CN" w:bidi="ar-SA"/>
        </w:rPr>
      </w:pPr>
    </w:p>
    <w:p w14:paraId="5B226410">
      <w:pPr>
        <w:spacing w:line="360" w:lineRule="auto"/>
        <w:outlineLvl w:val="1"/>
        <w:rPr>
          <w:rFonts w:hint="eastAsia" w:ascii="仿宋" w:hAnsi="仿宋" w:eastAsia="仿宋" w:cs="仿宋"/>
          <w:b/>
          <w:color w:val="auto"/>
          <w:sz w:val="24"/>
          <w:highlight w:val="none"/>
        </w:rPr>
      </w:pPr>
      <w:bookmarkStart w:id="348" w:name="_Toc419045103"/>
      <w:bookmarkStart w:id="349" w:name="_Toc422322527"/>
      <w:bookmarkStart w:id="350" w:name="_Toc8130"/>
      <w:r>
        <w:rPr>
          <w:rFonts w:hint="eastAsia" w:ascii="仿宋" w:hAnsi="仿宋" w:eastAsia="仿宋" w:cs="仿宋"/>
          <w:b/>
          <w:color w:val="auto"/>
          <w:sz w:val="24"/>
          <w:highlight w:val="none"/>
        </w:rPr>
        <w:t>2.委托人的义务</w:t>
      </w:r>
      <w:bookmarkEnd w:id="348"/>
      <w:bookmarkEnd w:id="349"/>
      <w:bookmarkEnd w:id="350"/>
    </w:p>
    <w:p w14:paraId="672F93D5">
      <w:pPr>
        <w:snapToGrid w:val="0"/>
        <w:spacing w:line="360" w:lineRule="auto"/>
        <w:ind w:firstLine="468"/>
        <w:rPr>
          <w:rFonts w:hint="eastAsia" w:ascii="仿宋" w:hAnsi="仿宋" w:eastAsia="仿宋" w:cs="仿宋"/>
          <w:color w:val="auto"/>
          <w:sz w:val="24"/>
          <w:highlight w:val="none"/>
        </w:rPr>
      </w:pPr>
      <w:bookmarkStart w:id="351" w:name="_Toc422322528"/>
      <w:bookmarkStart w:id="352" w:name="_Toc419045104"/>
      <w:r>
        <w:rPr>
          <w:rFonts w:hint="eastAsia" w:ascii="仿宋" w:hAnsi="仿宋" w:eastAsia="仿宋" w:cs="仿宋"/>
          <w:color w:val="auto"/>
          <w:sz w:val="24"/>
          <w:highlight w:val="none"/>
        </w:rPr>
        <w:t>2.1提供资料</w:t>
      </w:r>
      <w:bookmarkEnd w:id="351"/>
      <w:bookmarkEnd w:id="352"/>
    </w:p>
    <w:p w14:paraId="7577A2E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委托人提供工程项目所需设计方案、图纸、竣工结算资料、相关资料以及由委托人提供设备清单。具体资料参照我司结算管理办法。</w:t>
      </w:r>
    </w:p>
    <w:p w14:paraId="0100EDF1">
      <w:pPr>
        <w:snapToGrid w:val="0"/>
        <w:spacing w:line="360" w:lineRule="auto"/>
        <w:ind w:firstLine="480" w:firstLineChars="200"/>
        <w:rPr>
          <w:rFonts w:hint="eastAsia" w:ascii="仿宋" w:hAnsi="仿宋" w:eastAsia="仿宋" w:cs="仿宋"/>
          <w:color w:val="auto"/>
          <w:sz w:val="24"/>
          <w:highlight w:val="none"/>
        </w:rPr>
      </w:pPr>
      <w:bookmarkStart w:id="353" w:name="_Toc419045105"/>
      <w:bookmarkStart w:id="354" w:name="_Toc422322529"/>
      <w:r>
        <w:rPr>
          <w:rFonts w:hint="eastAsia" w:ascii="仿宋" w:hAnsi="仿宋" w:eastAsia="仿宋" w:cs="仿宋"/>
          <w:color w:val="auto"/>
          <w:sz w:val="24"/>
          <w:highlight w:val="none"/>
        </w:rPr>
        <w:t>2.2提供工作条件</w:t>
      </w:r>
      <w:bookmarkEnd w:id="353"/>
      <w:bookmarkEnd w:id="354"/>
      <w:r>
        <w:rPr>
          <w:rFonts w:hint="eastAsia" w:ascii="仿宋" w:hAnsi="仿宋" w:eastAsia="仿宋" w:cs="仿宋"/>
          <w:color w:val="auto"/>
          <w:sz w:val="24"/>
          <w:highlight w:val="none"/>
        </w:rPr>
        <w:t>（专员驻场）</w:t>
      </w:r>
    </w:p>
    <w:p w14:paraId="56AC923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2.2.1现场不提供住宿，也不提供场地搭建，由咨询人自行解决。</w:t>
      </w:r>
    </w:p>
    <w:p w14:paraId="39EDBEA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2.2.2提供驻场人员办公场所。</w:t>
      </w:r>
    </w:p>
    <w:p w14:paraId="1A2C2836">
      <w:pPr>
        <w:snapToGrid w:val="0"/>
        <w:spacing w:line="360" w:lineRule="auto"/>
        <w:ind w:firstLine="480" w:firstLineChars="200"/>
        <w:rPr>
          <w:rFonts w:hint="eastAsia" w:ascii="仿宋" w:hAnsi="仿宋" w:eastAsia="仿宋" w:cs="仿宋"/>
          <w:color w:val="auto"/>
          <w:sz w:val="24"/>
          <w:highlight w:val="none"/>
        </w:rPr>
      </w:pPr>
      <w:bookmarkStart w:id="355" w:name="_Toc419045106"/>
      <w:bookmarkStart w:id="356" w:name="_Toc422322530"/>
      <w:r>
        <w:rPr>
          <w:rFonts w:hint="eastAsia" w:ascii="仿宋" w:hAnsi="仿宋" w:eastAsia="仿宋" w:cs="仿宋"/>
          <w:color w:val="auto"/>
          <w:sz w:val="24"/>
          <w:highlight w:val="none"/>
        </w:rPr>
        <w:t>2.4委托人代表</w:t>
      </w:r>
      <w:bookmarkEnd w:id="355"/>
      <w:bookmarkEnd w:id="356"/>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委托人代表为：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A4B28E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委托人对委托人代表的授权范围如下：</w:t>
      </w:r>
      <w:r>
        <w:rPr>
          <w:rFonts w:hint="eastAsia" w:ascii="仿宋" w:hAnsi="仿宋" w:eastAsia="仿宋" w:cs="仿宋"/>
          <w:color w:val="auto"/>
          <w:sz w:val="24"/>
          <w:highlight w:val="none"/>
          <w:u w:val="single"/>
        </w:rPr>
        <w:t>本服务项目中涉及变更、调整合同价格、变更服务周期、索赔处理、影响进度款支付与结算等问题须经委托人书面确认，委托人代表无权单独作出任何签证、确认或者承诺</w:t>
      </w:r>
      <w:r>
        <w:rPr>
          <w:rFonts w:hint="eastAsia" w:ascii="仿宋" w:hAnsi="仿宋" w:eastAsia="仿宋" w:cs="仿宋"/>
          <w:color w:val="auto"/>
          <w:sz w:val="24"/>
          <w:highlight w:val="none"/>
        </w:rPr>
        <w:t>。</w:t>
      </w:r>
    </w:p>
    <w:p w14:paraId="19AC128D">
      <w:pPr>
        <w:widowControl w:val="0"/>
        <w:snapToGrid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357" w:name="_Toc489278550"/>
      <w:bookmarkStart w:id="358" w:name="_Toc490753384"/>
      <w:bookmarkStart w:id="359" w:name="_Toc16163"/>
      <w:bookmarkStart w:id="360" w:name="_Toc422322531"/>
      <w:bookmarkStart w:id="361" w:name="_Toc17045"/>
      <w:r>
        <w:rPr>
          <w:rFonts w:hint="eastAsia" w:ascii="仿宋" w:hAnsi="仿宋" w:eastAsia="仿宋" w:cs="仿宋"/>
          <w:b w:val="0"/>
          <w:color w:val="auto"/>
          <w:kern w:val="28"/>
          <w:sz w:val="24"/>
          <w:szCs w:val="24"/>
          <w:highlight w:val="none"/>
          <w:lang w:val="en-US" w:eastAsia="zh-CN" w:bidi="ar-SA"/>
        </w:rPr>
        <w:t>2.5答复</w:t>
      </w:r>
      <w:bookmarkEnd w:id="357"/>
      <w:bookmarkEnd w:id="358"/>
      <w:bookmarkEnd w:id="359"/>
      <w:bookmarkEnd w:id="360"/>
      <w:bookmarkEnd w:id="361"/>
    </w:p>
    <w:p w14:paraId="1E7C7DF1">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委托人对咨询人书面提交并要求做出决定的事宜给予书面答复。</w:t>
      </w:r>
    </w:p>
    <w:p w14:paraId="097A61E1">
      <w:pPr>
        <w:spacing w:line="360" w:lineRule="auto"/>
        <w:ind w:firstLine="480" w:firstLineChars="200"/>
        <w:rPr>
          <w:rFonts w:hint="eastAsia" w:ascii="仿宋" w:hAnsi="仿宋" w:eastAsia="仿宋" w:cs="仿宋"/>
          <w:color w:val="auto"/>
          <w:sz w:val="24"/>
          <w:highlight w:val="none"/>
        </w:rPr>
      </w:pPr>
    </w:p>
    <w:p w14:paraId="7193C550">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362" w:name="_Toc422322532"/>
      <w:bookmarkStart w:id="363" w:name="_Toc13544"/>
      <w:bookmarkStart w:id="364" w:name="_Toc27835"/>
      <w:bookmarkStart w:id="365" w:name="_Toc27769"/>
      <w:bookmarkStart w:id="366" w:name="_Toc490753385"/>
      <w:bookmarkStart w:id="367" w:name="_Toc25419"/>
      <w:bookmarkStart w:id="368" w:name="_Toc6506"/>
      <w:bookmarkStart w:id="369" w:name="_Toc489278551"/>
      <w:bookmarkStart w:id="370" w:name="_Toc419045107"/>
      <w:r>
        <w:rPr>
          <w:rFonts w:hint="eastAsia" w:ascii="仿宋" w:hAnsi="仿宋" w:eastAsia="仿宋" w:cs="仿宋"/>
          <w:b/>
          <w:color w:val="auto"/>
          <w:kern w:val="2"/>
          <w:sz w:val="24"/>
          <w:szCs w:val="24"/>
          <w:highlight w:val="none"/>
          <w:lang w:val="en-US" w:eastAsia="zh-CN" w:bidi="ar-SA"/>
        </w:rPr>
        <w:t>3.咨询人的义务</w:t>
      </w:r>
      <w:bookmarkEnd w:id="362"/>
      <w:bookmarkEnd w:id="363"/>
      <w:bookmarkEnd w:id="364"/>
      <w:bookmarkEnd w:id="365"/>
      <w:bookmarkEnd w:id="366"/>
      <w:bookmarkEnd w:id="367"/>
      <w:bookmarkEnd w:id="368"/>
      <w:bookmarkEnd w:id="369"/>
      <w:bookmarkEnd w:id="370"/>
    </w:p>
    <w:p w14:paraId="156741DD">
      <w:pPr>
        <w:widowControl w:val="0"/>
        <w:snapToGrid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371" w:name="_Toc490753386"/>
      <w:bookmarkStart w:id="372" w:name="_Toc419045109"/>
      <w:bookmarkStart w:id="373" w:name="_Toc489278552"/>
      <w:bookmarkStart w:id="374" w:name="_Toc27258"/>
      <w:bookmarkStart w:id="375" w:name="_Toc29363"/>
      <w:bookmarkStart w:id="376" w:name="_Toc422322533"/>
      <w:r>
        <w:rPr>
          <w:rFonts w:hint="eastAsia" w:ascii="仿宋" w:hAnsi="仿宋" w:eastAsia="仿宋" w:cs="仿宋"/>
          <w:b w:val="0"/>
          <w:color w:val="auto"/>
          <w:kern w:val="28"/>
          <w:sz w:val="24"/>
          <w:szCs w:val="24"/>
          <w:highlight w:val="none"/>
          <w:lang w:val="en-US" w:eastAsia="zh-CN" w:bidi="ar-SA"/>
        </w:rPr>
        <w:t>3.1项目咨询团队及人员</w:t>
      </w:r>
      <w:bookmarkEnd w:id="371"/>
      <w:bookmarkEnd w:id="372"/>
      <w:bookmarkEnd w:id="373"/>
      <w:bookmarkEnd w:id="374"/>
      <w:bookmarkEnd w:id="375"/>
      <w:bookmarkEnd w:id="376"/>
    </w:p>
    <w:p w14:paraId="635CA98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3.1.1项目负责人为：</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，项目负责人为履行本合同的权限为：代表咨询人行使合同约定的权力，履行合同约定的职责。咨询人的要求、通知，均以书面形式由咨询人项目负责人签字后递交委托人。</w:t>
      </w:r>
    </w:p>
    <w:p w14:paraId="3FC208B7">
      <w:pPr>
        <w:widowControl/>
        <w:snapToGrid w:val="0"/>
        <w:spacing w:line="360" w:lineRule="auto"/>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3.1.2咨询人更换项目咨询团队其他咨询人员的约定：经三方确定的建设工程造价咨询服务人员，未经委托人同意不得调整，否则委托人有权终止合同。若咨询人需更换服务人员必须得到委托人的书面同意，如委托人不同意则不能更换，如未经委托人同意更换服务人员则咨询人必须按以下金额支付违约金：更换项目负责人，委托人有权扣除咨询人3万元/人/次作为违约金；更换其他咨询服务人员，委托人有权扣除咨询人1万元/人/次作为违约金 。</w:t>
      </w:r>
    </w:p>
    <w:p w14:paraId="06AA865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3.1.3委托人要求更换咨询人员的情形还包括：委托人若发现咨询人服务人员存在职业道德、工作态度和能力等问题不能胜任本项目造价咨询服务工作要求的，委托人有权要求咨询人更换能胜任相关工作的服务人员，咨询人需无条件按要求做好相关的人员安排以保证相关工作的顺利推进，如因此未能完成本合同要求的相关工作或完成质量不理想而影响本工程进度、质量或成本的控制，则委托人有权扣除咨询人0.5％合同总价的款项作为违约金。</w:t>
      </w:r>
    </w:p>
    <w:p w14:paraId="0DAC5B01">
      <w:pPr>
        <w:widowControl w:val="0"/>
        <w:snapToGrid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377" w:name="_Toc490753387"/>
      <w:bookmarkStart w:id="378" w:name="_Toc26278"/>
      <w:bookmarkStart w:id="379" w:name="_Toc489278553"/>
      <w:bookmarkStart w:id="380" w:name="_Toc419045110"/>
      <w:bookmarkStart w:id="381" w:name="_Toc18022"/>
      <w:bookmarkStart w:id="382" w:name="_Toc422322534"/>
      <w:r>
        <w:rPr>
          <w:rFonts w:hint="eastAsia" w:ascii="仿宋" w:hAnsi="仿宋" w:eastAsia="仿宋" w:cs="仿宋"/>
          <w:b w:val="0"/>
          <w:color w:val="auto"/>
          <w:kern w:val="28"/>
          <w:sz w:val="24"/>
          <w:szCs w:val="24"/>
          <w:highlight w:val="none"/>
          <w:lang w:val="en-US" w:eastAsia="zh-CN" w:bidi="ar-SA"/>
        </w:rPr>
        <w:t>3.2咨询人的工作要求</w:t>
      </w:r>
      <w:bookmarkEnd w:id="377"/>
      <w:bookmarkEnd w:id="378"/>
      <w:bookmarkEnd w:id="379"/>
      <w:bookmarkEnd w:id="380"/>
      <w:bookmarkEnd w:id="381"/>
      <w:bookmarkEnd w:id="382"/>
    </w:p>
    <w:p w14:paraId="270B2D6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（1）服务要求：</w:t>
      </w:r>
    </w:p>
    <w:p w14:paraId="508405B2">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咨询人须提供</w:t>
      </w:r>
      <w:r>
        <w:rPr>
          <w:rFonts w:hint="eastAsia" w:ascii="仿宋" w:hAnsi="仿宋" w:eastAsia="仿宋" w:cs="仿宋"/>
          <w:color w:val="auto"/>
          <w:kern w:val="0"/>
          <w:sz w:val="24"/>
          <w:szCs w:val="21"/>
          <w:highlight w:val="none"/>
        </w:rPr>
        <w:t>工程结算审核咨询</w:t>
      </w:r>
      <w:r>
        <w:rPr>
          <w:rFonts w:hint="eastAsia" w:ascii="仿宋" w:hAnsi="仿宋" w:eastAsia="仿宋" w:cs="仿宋"/>
          <w:color w:val="auto"/>
          <w:sz w:val="24"/>
          <w:highlight w:val="none"/>
        </w:rPr>
        <w:t>技术服务方案，开展各类项目的各项计量、比价、定价、控制、送审备案和其它相关工作。</w:t>
      </w:r>
    </w:p>
    <w:p w14:paraId="551E759B">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咨询人对形成的成果文件征询有关各方的意见后，经委托人审核确定后由咨询人按规定盖章的成果文件有效。</w:t>
      </w:r>
    </w:p>
    <w:p w14:paraId="03D27C02">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咨询成果交付与资料交接、整理归档，咨询服务回访与总结等实行信息化处理。</w:t>
      </w:r>
    </w:p>
    <w:p w14:paraId="58E47E45">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咨询人应对咨询服务专业人员的岗位职责、业务质量、投资造价控制的程序、方法、手段等进行有效管理。</w:t>
      </w:r>
    </w:p>
    <w:p w14:paraId="0059088D">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应严格按照国家和省、市、区有关财政、财务、基建管理、工程造价的法规、政策文件的有关规定、以及委托人有关建设工程管理的规定对服务成果文件的要求，本着合理、合规、节约投资的原则，客观、公正地开展造价咨询工作，按时按质按量提供咨询服务，对工作成果的真实性、准确性、完整性、合法性、合理性负责，并负有保密责任。</w:t>
      </w:r>
    </w:p>
    <w:p w14:paraId="731D2BF1">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咨询人派出的参与造价咨询服务人员，应完整、准确、真实地反映并记录项目实施过程中的工作情况，做好各类资料、工作底稿整理、归集工作，并按规定格式和质量要求提供成果文件。</w:t>
      </w:r>
    </w:p>
    <w:p w14:paraId="68D09E9D">
      <w:pPr>
        <w:numPr>
          <w:ilvl w:val="0"/>
          <w:numId w:val="8"/>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咨询人在项目实施过程中，配合完成委托人提出的与本项目</w:t>
      </w:r>
      <w:r>
        <w:rPr>
          <w:rFonts w:hint="eastAsia" w:ascii="仿宋" w:hAnsi="仿宋" w:eastAsia="仿宋" w:cs="仿宋"/>
          <w:color w:val="auto"/>
          <w:kern w:val="0"/>
          <w:sz w:val="24"/>
          <w:szCs w:val="21"/>
          <w:highlight w:val="none"/>
        </w:rPr>
        <w:t>工程结算审核咨询</w:t>
      </w:r>
      <w:r>
        <w:rPr>
          <w:rFonts w:hint="eastAsia" w:ascii="仿宋" w:hAnsi="仿宋" w:eastAsia="仿宋" w:cs="仿宋"/>
          <w:color w:val="auto"/>
          <w:sz w:val="24"/>
          <w:highlight w:val="none"/>
        </w:rPr>
        <w:t>相关的其他工作。</w:t>
      </w:r>
    </w:p>
    <w:p w14:paraId="268932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（2）响应性要求：</w:t>
      </w:r>
    </w:p>
    <w:p w14:paraId="68CB705E">
      <w:pPr>
        <w:numPr>
          <w:ilvl w:val="0"/>
          <w:numId w:val="4"/>
        </w:numPr>
        <w:snapToGrid w:val="0"/>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咨询人应按</w:t>
      </w:r>
      <w:r>
        <w:rPr>
          <w:rFonts w:hint="eastAsia" w:ascii="仿宋" w:hAnsi="仿宋" w:eastAsia="仿宋" w:cs="仿宋"/>
          <w:color w:val="auto"/>
          <w:sz w:val="24"/>
          <w:highlight w:val="none"/>
          <w:lang w:val="en-US" w:eastAsia="zh-CN"/>
        </w:rPr>
        <w:t>下</w:t>
      </w:r>
      <w:r>
        <w:rPr>
          <w:rFonts w:hint="eastAsia" w:ascii="仿宋" w:hAnsi="仿宋" w:eastAsia="仿宋" w:cs="仿宋"/>
          <w:color w:val="auto"/>
          <w:sz w:val="24"/>
          <w:highlight w:val="none"/>
        </w:rPr>
        <w:t>述规定时限完成咨询服务，遇特殊情况可按委托人要求调整。</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693"/>
        <w:gridCol w:w="2660"/>
        <w:gridCol w:w="3752"/>
      </w:tblGrid>
      <w:tr w14:paraId="69EE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5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7EC3AD3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693"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A5C63C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咨询业务类别</w:t>
            </w:r>
          </w:p>
        </w:tc>
        <w:tc>
          <w:tcPr>
            <w:tcW w:w="26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F30E7B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咨询业务规模</w:t>
            </w:r>
          </w:p>
        </w:tc>
        <w:tc>
          <w:tcPr>
            <w:tcW w:w="375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0BCCC3C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完成时限</w:t>
            </w:r>
          </w:p>
        </w:tc>
      </w:tr>
      <w:tr w14:paraId="3F9A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573F1D3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693" w:type="dxa"/>
            <w:vMerge w:val="restart"/>
            <w:tcBorders>
              <w:top w:val="single" w:color="auto" w:sz="4" w:space="0"/>
              <w:left w:val="single" w:color="auto" w:sz="4" w:space="0"/>
              <w:bottom w:val="single" w:color="auto" w:sz="4" w:space="0"/>
              <w:right w:val="single" w:color="auto" w:sz="4" w:space="0"/>
            </w:tcBorders>
            <w:noWrap w:val="0"/>
            <w:vAlign w:val="center"/>
          </w:tcPr>
          <w:p w14:paraId="62786F5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结算审核</w:t>
            </w:r>
          </w:p>
        </w:tc>
        <w:tc>
          <w:tcPr>
            <w:tcW w:w="2660" w:type="dxa"/>
            <w:tcBorders>
              <w:top w:val="single" w:color="auto" w:sz="4" w:space="0"/>
              <w:left w:val="single" w:color="auto" w:sz="4" w:space="0"/>
              <w:bottom w:val="single" w:color="auto" w:sz="4" w:space="0"/>
              <w:right w:val="single" w:color="auto" w:sz="4" w:space="0"/>
            </w:tcBorders>
            <w:noWrap w:val="0"/>
            <w:vAlign w:val="center"/>
          </w:tcPr>
          <w:p w14:paraId="406430C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500万元内的</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4092B432">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w:t>第一阶段完成时限为12个工作日，第二阶段完成时限为2个工作日</w:t>
            </w:r>
          </w:p>
        </w:tc>
      </w:tr>
      <w:tr w14:paraId="4E99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4C4B6890">
            <w:pPr>
              <w:widowControl/>
              <w:jc w:val="left"/>
              <w:rPr>
                <w:rFonts w:hint="eastAsia" w:ascii="仿宋" w:hAnsi="仿宋" w:eastAsia="仿宋" w:cs="仿宋"/>
                <w:color w:val="auto"/>
                <w:sz w:val="24"/>
                <w:highlight w:val="none"/>
              </w:rPr>
            </w:pPr>
          </w:p>
        </w:tc>
        <w:tc>
          <w:tcPr>
            <w:tcW w:w="1693" w:type="dxa"/>
            <w:vMerge w:val="continue"/>
            <w:tcBorders>
              <w:top w:val="single" w:color="auto" w:sz="4" w:space="0"/>
              <w:left w:val="single" w:color="auto" w:sz="4" w:space="0"/>
              <w:bottom w:val="single" w:color="auto" w:sz="4" w:space="0"/>
              <w:right w:val="single" w:color="auto" w:sz="4" w:space="0"/>
            </w:tcBorders>
            <w:noWrap w:val="0"/>
            <w:vAlign w:val="center"/>
          </w:tcPr>
          <w:p w14:paraId="4CB30BFA">
            <w:pPr>
              <w:widowControl/>
              <w:jc w:val="left"/>
              <w:rPr>
                <w:rFonts w:hint="eastAsia" w:ascii="仿宋" w:hAnsi="仿宋" w:eastAsia="仿宋" w:cs="仿宋"/>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noWrap w:val="0"/>
            <w:vAlign w:val="center"/>
          </w:tcPr>
          <w:p w14:paraId="03AA29E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500~5000万元的</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79A75082">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w:t>第一阶段完成时限为15个工作日，第二阶段完成时限为3个工作日</w:t>
            </w:r>
          </w:p>
        </w:tc>
      </w:tr>
      <w:tr w14:paraId="5CEC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50DC739C">
            <w:pPr>
              <w:widowControl/>
              <w:jc w:val="left"/>
              <w:rPr>
                <w:rFonts w:hint="eastAsia" w:ascii="仿宋" w:hAnsi="仿宋" w:eastAsia="仿宋" w:cs="仿宋"/>
                <w:color w:val="auto"/>
                <w:sz w:val="24"/>
                <w:highlight w:val="none"/>
              </w:rPr>
            </w:pPr>
          </w:p>
        </w:tc>
        <w:tc>
          <w:tcPr>
            <w:tcW w:w="1693" w:type="dxa"/>
            <w:vMerge w:val="continue"/>
            <w:tcBorders>
              <w:top w:val="single" w:color="auto" w:sz="4" w:space="0"/>
              <w:left w:val="single" w:color="auto" w:sz="4" w:space="0"/>
              <w:bottom w:val="single" w:color="auto" w:sz="4" w:space="0"/>
              <w:right w:val="single" w:color="auto" w:sz="4" w:space="0"/>
            </w:tcBorders>
            <w:noWrap w:val="0"/>
            <w:vAlign w:val="center"/>
          </w:tcPr>
          <w:p w14:paraId="6AA67CC6">
            <w:pPr>
              <w:widowControl/>
              <w:jc w:val="left"/>
              <w:rPr>
                <w:rFonts w:hint="eastAsia" w:ascii="仿宋" w:hAnsi="仿宋" w:eastAsia="仿宋" w:cs="仿宋"/>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noWrap w:val="0"/>
            <w:vAlign w:val="center"/>
          </w:tcPr>
          <w:p w14:paraId="4BD5752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5000~10000万元的</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2E4E3BDD">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w:t>第一阶段完成时限为20个工作日，第二阶段完成时限为3个工作日</w:t>
            </w:r>
          </w:p>
        </w:tc>
      </w:tr>
      <w:tr w14:paraId="6BA4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13CA2FFD">
            <w:pPr>
              <w:widowControl/>
              <w:jc w:val="left"/>
              <w:rPr>
                <w:rFonts w:hint="eastAsia" w:ascii="仿宋" w:hAnsi="仿宋" w:eastAsia="仿宋" w:cs="仿宋"/>
                <w:color w:val="auto"/>
                <w:sz w:val="24"/>
                <w:highlight w:val="none"/>
              </w:rPr>
            </w:pPr>
          </w:p>
        </w:tc>
        <w:tc>
          <w:tcPr>
            <w:tcW w:w="1693" w:type="dxa"/>
            <w:vMerge w:val="continue"/>
            <w:tcBorders>
              <w:top w:val="single" w:color="auto" w:sz="4" w:space="0"/>
              <w:left w:val="single" w:color="auto" w:sz="4" w:space="0"/>
              <w:bottom w:val="single" w:color="auto" w:sz="4" w:space="0"/>
              <w:right w:val="single" w:color="auto" w:sz="4" w:space="0"/>
            </w:tcBorders>
            <w:noWrap w:val="0"/>
            <w:vAlign w:val="center"/>
          </w:tcPr>
          <w:p w14:paraId="4C5F3D88">
            <w:pPr>
              <w:widowControl/>
              <w:jc w:val="left"/>
              <w:rPr>
                <w:rFonts w:hint="eastAsia" w:ascii="仿宋" w:hAnsi="仿宋" w:eastAsia="仿宋" w:cs="仿宋"/>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noWrap w:val="0"/>
            <w:vAlign w:val="center"/>
          </w:tcPr>
          <w:p w14:paraId="4C52F02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1亿~3亿元的</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40BA0F07">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w:t>第一阶段完成时限为25个工作日，第二阶段完成时限为4个工作日</w:t>
            </w:r>
          </w:p>
        </w:tc>
      </w:tr>
      <w:tr w14:paraId="220F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504AE98C">
            <w:pPr>
              <w:spacing w:line="360" w:lineRule="auto"/>
              <w:jc w:val="center"/>
              <w:rPr>
                <w:rFonts w:hint="eastAsia" w:ascii="仿宋" w:hAnsi="仿宋" w:eastAsia="仿宋" w:cs="仿宋"/>
                <w:color w:val="auto"/>
                <w:sz w:val="24"/>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3BF888F">
            <w:pPr>
              <w:spacing w:line="360" w:lineRule="auto"/>
              <w:rPr>
                <w:rFonts w:hint="eastAsia" w:ascii="仿宋" w:hAnsi="仿宋" w:eastAsia="仿宋" w:cs="仿宋"/>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noWrap w:val="0"/>
            <w:vAlign w:val="center"/>
          </w:tcPr>
          <w:p w14:paraId="6CF0ECC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3亿元以上的</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4AE202EA">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w:t>第一阶段完成时限为28个工作日，第二阶段完成时限为5个工作日</w:t>
            </w:r>
          </w:p>
        </w:tc>
      </w:tr>
      <w:tr w14:paraId="6AF9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0" w:type="dxa"/>
            <w:tcBorders>
              <w:top w:val="single" w:color="auto" w:sz="4" w:space="0"/>
              <w:left w:val="single" w:color="auto" w:sz="4" w:space="0"/>
              <w:bottom w:val="single" w:color="auto" w:sz="4" w:space="0"/>
              <w:right w:val="single" w:color="auto" w:sz="4" w:space="0"/>
            </w:tcBorders>
            <w:noWrap w:val="0"/>
            <w:vAlign w:val="center"/>
          </w:tcPr>
          <w:p w14:paraId="7AC73027">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5902C82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其它零星工作</w:t>
            </w:r>
          </w:p>
        </w:tc>
        <w:tc>
          <w:tcPr>
            <w:tcW w:w="2660" w:type="dxa"/>
            <w:tcBorders>
              <w:top w:val="single" w:color="auto" w:sz="4" w:space="0"/>
              <w:left w:val="single" w:color="auto" w:sz="4" w:space="0"/>
              <w:bottom w:val="single" w:color="auto" w:sz="4" w:space="0"/>
              <w:right w:val="single" w:color="auto" w:sz="4" w:space="0"/>
            </w:tcBorders>
            <w:noWrap w:val="0"/>
            <w:vAlign w:val="center"/>
          </w:tcPr>
          <w:p w14:paraId="606A951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根据工程委托单的约定</w:t>
            </w:r>
          </w:p>
        </w:tc>
        <w:tc>
          <w:tcPr>
            <w:tcW w:w="3752" w:type="dxa"/>
            <w:tcBorders>
              <w:top w:val="single" w:color="auto" w:sz="4" w:space="0"/>
              <w:left w:val="single" w:color="auto" w:sz="4" w:space="0"/>
              <w:bottom w:val="single" w:color="auto" w:sz="4" w:space="0"/>
              <w:right w:val="single" w:color="auto" w:sz="4" w:space="0"/>
            </w:tcBorders>
            <w:noWrap w:val="0"/>
            <w:vAlign w:val="center"/>
          </w:tcPr>
          <w:p w14:paraId="13585BCB">
            <w:pPr>
              <w:spacing w:line="360" w:lineRule="auto"/>
              <w:rPr>
                <w:rFonts w:hint="eastAsia" w:ascii="仿宋" w:hAnsi="仿宋" w:eastAsia="仿宋" w:cs="仿宋"/>
                <w:color w:val="auto"/>
                <w:sz w:val="24"/>
                <w:highlight w:val="none"/>
              </w:rPr>
            </w:pPr>
          </w:p>
        </w:tc>
      </w:tr>
      <w:tr w14:paraId="2C68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55" w:type="dxa"/>
            <w:gridSpan w:val="4"/>
            <w:tcBorders>
              <w:top w:val="single" w:color="auto" w:sz="4" w:space="0"/>
              <w:left w:val="single" w:color="auto" w:sz="4" w:space="0"/>
              <w:bottom w:val="single" w:color="auto" w:sz="4" w:space="0"/>
              <w:right w:val="single" w:color="auto" w:sz="4" w:space="0"/>
            </w:tcBorders>
            <w:noWrap w:val="0"/>
            <w:vAlign w:val="center"/>
          </w:tcPr>
          <w:p w14:paraId="7B70DB0F">
            <w:pPr>
              <w:spacing w:line="360" w:lineRule="auto"/>
              <w:rPr>
                <w:rFonts w:hint="eastAsia" w:ascii="仿宋" w:hAnsi="仿宋" w:eastAsia="仿宋" w:cs="仿宋"/>
                <w:color w:val="auto"/>
                <w:sz w:val="24"/>
                <w:highlight w:val="none"/>
              </w:rPr>
            </w:pPr>
          </w:p>
        </w:tc>
      </w:tr>
      <w:tr w14:paraId="1F12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55" w:type="dxa"/>
            <w:gridSpan w:val="4"/>
            <w:tcBorders>
              <w:top w:val="single" w:color="auto" w:sz="4" w:space="0"/>
              <w:left w:val="single" w:color="auto" w:sz="4" w:space="0"/>
              <w:bottom w:val="single" w:color="auto" w:sz="4" w:space="0"/>
              <w:right w:val="single" w:color="auto" w:sz="4" w:space="0"/>
            </w:tcBorders>
            <w:noWrap w:val="0"/>
            <w:vAlign w:val="center"/>
          </w:tcPr>
          <w:p w14:paraId="5B75A373">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注：1、上述每宗咨询业务经</w:t>
            </w:r>
            <w:r>
              <w:rPr>
                <w:rFonts w:hint="eastAsia" w:ascii="仿宋" w:hAnsi="仿宋" w:eastAsia="仿宋" w:cs="仿宋"/>
                <w:color w:val="auto"/>
                <w:highlight w:val="none"/>
                <w:lang w:val="en-US" w:eastAsia="zh-CN"/>
              </w:rPr>
              <w:t>委托人</w:t>
            </w:r>
            <w:r>
              <w:rPr>
                <w:rFonts w:hint="eastAsia" w:ascii="仿宋" w:hAnsi="仿宋" w:eastAsia="仿宋" w:cs="仿宋"/>
                <w:color w:val="auto"/>
                <w:highlight w:val="none"/>
              </w:rPr>
              <w:t>审核后要求进行修正的，修正时间不得超过1-3个日历天，具体时间要求根据</w:t>
            </w:r>
            <w:r>
              <w:rPr>
                <w:rFonts w:hint="eastAsia" w:ascii="仿宋" w:hAnsi="仿宋" w:eastAsia="仿宋" w:cs="仿宋"/>
                <w:color w:val="auto"/>
                <w:highlight w:val="none"/>
                <w:lang w:val="en-US" w:eastAsia="zh-CN"/>
              </w:rPr>
              <w:t>委托人</w:t>
            </w:r>
            <w:r>
              <w:rPr>
                <w:rFonts w:hint="eastAsia" w:ascii="仿宋" w:hAnsi="仿宋" w:eastAsia="仿宋" w:cs="仿宋"/>
                <w:color w:val="auto"/>
                <w:highlight w:val="none"/>
              </w:rPr>
              <w:t>通知为准。</w:t>
            </w:r>
          </w:p>
          <w:p w14:paraId="02608D88">
            <w:pPr>
              <w:widowControl w:val="0"/>
              <w:ind w:firstLine="420" w:firstLineChars="200"/>
              <w:jc w:val="both"/>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kern w:val="2"/>
                <w:sz w:val="21"/>
                <w:szCs w:val="24"/>
                <w:highlight w:val="none"/>
                <w:lang w:val="en-US" w:eastAsia="zh-CN" w:bidi="ar-SA"/>
              </w:rPr>
              <w:t>2、第一阶段为咨询人收到完整送审资料开始，第二阶段从收到“会审确认书”通知开始。所有计算时间从咨询人收到完整资料开始计。</w:t>
            </w:r>
          </w:p>
        </w:tc>
      </w:tr>
    </w:tbl>
    <w:p w14:paraId="74D3C3EA">
      <w:pPr>
        <w:numPr>
          <w:ilvl w:val="0"/>
          <w:numId w:val="4"/>
        </w:numPr>
        <w:tabs>
          <w:tab w:val="left" w:pos="0"/>
        </w:tabs>
        <w:snapToGrid w:val="0"/>
        <w:spacing w:line="360" w:lineRule="auto"/>
        <w:ind w:left="0" w:firstLine="424" w:firstLineChars="177"/>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须提供常设全天候24小时热线服务和长期的免费技术支持。对委托人的服务通知（包括接件及领资料），咨询人须在接报后1小时内响应；按咨询人的工作时间计算2小时内到达现场（每天工作时间为：上午8：30—12：00，下午14：00—17：30，具体工作时间根据委托人的实际情况调整）。</w:t>
      </w:r>
    </w:p>
    <w:p w14:paraId="6CBDA451">
      <w:pPr>
        <w:numPr>
          <w:ilvl w:val="0"/>
          <w:numId w:val="4"/>
        </w:numPr>
        <w:tabs>
          <w:tab w:val="left" w:pos="0"/>
        </w:tabs>
        <w:snapToGrid w:val="0"/>
        <w:spacing w:line="360" w:lineRule="auto"/>
        <w:ind w:left="0" w:firstLine="424" w:firstLineChars="177"/>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委托人通知对数或要求提供其他现场咨询服务，咨询人须在1个工作日内安排完成；咨询人在每次参加委托人组织的会审对数或现场咨询时，须于约定时间10分钟前到达指定地点并向委托人进行审核情况交底。</w:t>
      </w:r>
    </w:p>
    <w:p w14:paraId="41FCFB12">
      <w:pPr>
        <w:numPr>
          <w:ilvl w:val="0"/>
          <w:numId w:val="4"/>
        </w:numPr>
        <w:tabs>
          <w:tab w:val="left" w:pos="0"/>
        </w:tabs>
        <w:snapToGrid w:val="0"/>
        <w:spacing w:line="360" w:lineRule="auto"/>
        <w:ind w:left="0" w:firstLine="424" w:firstLineChars="177"/>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对委托人的急件一旦接受委托，整个造价咨询过程的时间控制须严格按照委托人的要求进行。</w:t>
      </w:r>
    </w:p>
    <w:p w14:paraId="7A130D92">
      <w:pPr>
        <w:numPr>
          <w:ilvl w:val="0"/>
          <w:numId w:val="4"/>
        </w:numPr>
        <w:tabs>
          <w:tab w:val="left" w:pos="0"/>
        </w:tabs>
        <w:snapToGrid w:val="0"/>
        <w:spacing w:line="360" w:lineRule="auto"/>
        <w:ind w:left="0" w:firstLine="424" w:firstLineChars="177"/>
        <w:rPr>
          <w:rFonts w:hint="eastAsia" w:ascii="仿宋" w:hAnsi="仿宋" w:eastAsia="仿宋" w:cs="仿宋"/>
          <w:color w:val="auto"/>
          <w:sz w:val="24"/>
          <w:highlight w:val="none"/>
        </w:rPr>
      </w:pPr>
      <w:r>
        <w:rPr>
          <w:rFonts w:hint="eastAsia" w:ascii="仿宋" w:hAnsi="仿宋" w:eastAsia="仿宋" w:cs="仿宋"/>
          <w:color w:val="auto"/>
          <w:sz w:val="24"/>
          <w:highlight w:val="none"/>
        </w:rPr>
        <w:t>对委托人的其他预约服务应按其要求准时到达现场。</w:t>
      </w:r>
    </w:p>
    <w:p w14:paraId="4D54D12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（3）成果文件份数</w:t>
      </w:r>
    </w:p>
    <w:p w14:paraId="2DC345A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每个咨询项目，咨询人需提交纸质成果文件份数不少于10份，电子版（含软件版、EXCEL</w:t>
      </w:r>
      <w:r>
        <w:rPr>
          <w:rFonts w:hint="eastAsia" w:ascii="仿宋" w:hAnsi="仿宋" w:eastAsia="仿宋" w:cs="仿宋"/>
          <w:color w:val="auto"/>
          <w:sz w:val="24"/>
          <w:highlight w:val="none"/>
        </w:rPr>
        <w:t>版、XML版本）不少于2份。并将成果等文件刻盘2份。</w:t>
      </w:r>
    </w:p>
    <w:p w14:paraId="444B4CAB">
      <w:pPr>
        <w:widowControl w:val="0"/>
        <w:snapToGrid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383" w:name="_Toc490753388"/>
      <w:bookmarkStart w:id="384" w:name="_Toc422322535"/>
      <w:bookmarkStart w:id="385" w:name="_Toc17237"/>
      <w:bookmarkStart w:id="386" w:name="_Toc489278554"/>
      <w:bookmarkStart w:id="387" w:name="_Toc419045111"/>
      <w:bookmarkStart w:id="388" w:name="_Toc14572"/>
      <w:r>
        <w:rPr>
          <w:rFonts w:hint="eastAsia" w:ascii="仿宋" w:hAnsi="仿宋" w:eastAsia="仿宋" w:cs="仿宋"/>
          <w:b w:val="0"/>
          <w:color w:val="auto"/>
          <w:kern w:val="28"/>
          <w:sz w:val="24"/>
          <w:szCs w:val="24"/>
          <w:highlight w:val="none"/>
          <w:lang w:val="en-US" w:eastAsia="zh-CN" w:bidi="ar-SA"/>
        </w:rPr>
        <w:t>3.3咨询人的工作依据</w:t>
      </w:r>
      <w:bookmarkEnd w:id="383"/>
      <w:bookmarkEnd w:id="384"/>
      <w:bookmarkEnd w:id="385"/>
      <w:bookmarkEnd w:id="386"/>
      <w:bookmarkEnd w:id="387"/>
      <w:bookmarkEnd w:id="388"/>
    </w:p>
    <w:p w14:paraId="2B3AB05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经</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协商，本合同约定的造价咨询服务适用的技术标准、规范、定额等工作依据为：</w:t>
      </w:r>
      <w:r>
        <w:rPr>
          <w:rFonts w:hint="eastAsia" w:ascii="仿宋" w:hAnsi="仿宋" w:eastAsia="仿宋" w:cs="仿宋"/>
          <w:color w:val="auto"/>
          <w:sz w:val="24"/>
          <w:highlight w:val="none"/>
          <w:u w:val="single"/>
        </w:rPr>
        <w:t xml:space="preserve"> 符合国家、省、市及工程所在地的强制性标准、规范 </w:t>
      </w:r>
      <w:r>
        <w:rPr>
          <w:rFonts w:hint="eastAsia" w:ascii="仿宋" w:hAnsi="仿宋" w:eastAsia="仿宋" w:cs="仿宋"/>
          <w:color w:val="auto"/>
          <w:sz w:val="24"/>
          <w:highlight w:val="none"/>
        </w:rPr>
        <w:t>。</w:t>
      </w:r>
    </w:p>
    <w:p w14:paraId="6ABE7F3C">
      <w:pPr>
        <w:widowControl w:val="0"/>
        <w:snapToGrid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389" w:name="_Toc422322536"/>
      <w:bookmarkStart w:id="390" w:name="_Toc7135"/>
      <w:bookmarkStart w:id="391" w:name="_Toc32359"/>
      <w:bookmarkStart w:id="392" w:name="_Toc419045112"/>
      <w:bookmarkStart w:id="393" w:name="_Toc489278555"/>
      <w:bookmarkStart w:id="394" w:name="_Toc490753389"/>
      <w:r>
        <w:rPr>
          <w:rFonts w:hint="eastAsia" w:ascii="仿宋" w:hAnsi="仿宋" w:eastAsia="仿宋" w:cs="仿宋"/>
          <w:b w:val="0"/>
          <w:color w:val="auto"/>
          <w:kern w:val="28"/>
          <w:sz w:val="24"/>
          <w:szCs w:val="24"/>
          <w:highlight w:val="none"/>
          <w:lang w:val="en-US" w:eastAsia="zh-CN" w:bidi="ar-SA"/>
        </w:rPr>
        <w:t>3.4使用委托人房屋及设备的返还</w:t>
      </w:r>
      <w:bookmarkEnd w:id="389"/>
      <w:bookmarkEnd w:id="390"/>
      <w:bookmarkEnd w:id="391"/>
      <w:bookmarkEnd w:id="392"/>
      <w:bookmarkEnd w:id="393"/>
      <w:bookmarkEnd w:id="394"/>
    </w:p>
    <w:p w14:paraId="0401B07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咨询人应在本合同终止后</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日内移交委托人提供的房屋及设备，移交的方式为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A0F5767">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395" w:name="_Toc17674"/>
      <w:bookmarkStart w:id="396" w:name="_Toc1788"/>
      <w:bookmarkStart w:id="397" w:name="_Toc25678"/>
      <w:bookmarkStart w:id="398" w:name="_Toc422322537"/>
      <w:bookmarkStart w:id="399" w:name="_Toc490753390"/>
      <w:bookmarkStart w:id="400" w:name="_Toc20265"/>
      <w:bookmarkStart w:id="401" w:name="_Toc15853"/>
      <w:bookmarkStart w:id="402" w:name="_Toc419045113"/>
      <w:bookmarkStart w:id="403" w:name="_Toc489278556"/>
    </w:p>
    <w:p w14:paraId="6EAA426B">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4. 违约责任</w:t>
      </w:r>
      <w:bookmarkEnd w:id="395"/>
      <w:bookmarkEnd w:id="396"/>
      <w:bookmarkEnd w:id="397"/>
      <w:bookmarkEnd w:id="398"/>
      <w:bookmarkEnd w:id="399"/>
      <w:bookmarkEnd w:id="400"/>
      <w:bookmarkEnd w:id="401"/>
      <w:bookmarkEnd w:id="402"/>
      <w:bookmarkEnd w:id="403"/>
    </w:p>
    <w:p w14:paraId="5A1D5505">
      <w:pPr>
        <w:tabs>
          <w:tab w:val="left" w:pos="360"/>
        </w:tabs>
        <w:adjustRightInd w:val="0"/>
        <w:snapToGrid w:val="0"/>
        <w:spacing w:line="360" w:lineRule="auto"/>
        <w:ind w:firstLine="480" w:firstLineChars="200"/>
        <w:rPr>
          <w:rFonts w:hint="eastAsia" w:ascii="仿宋" w:hAnsi="仿宋" w:eastAsia="仿宋" w:cs="仿宋"/>
          <w:bCs/>
          <w:color w:val="auto"/>
          <w:sz w:val="24"/>
          <w:highlight w:val="none"/>
        </w:rPr>
      </w:pPr>
      <w:bookmarkStart w:id="404" w:name="_Toc422322540"/>
      <w:bookmarkStart w:id="405" w:name="_Toc419045115"/>
      <w:r>
        <w:rPr>
          <w:rFonts w:hint="eastAsia" w:ascii="仿宋" w:hAnsi="仿宋" w:eastAsia="仿宋" w:cs="仿宋"/>
          <w:color w:val="auto"/>
          <w:sz w:val="24"/>
          <w:highlight w:val="none"/>
        </w:rPr>
        <w:t>因咨询人原因，未能按约定的时间完成咨询业务或对咨询意</w:t>
      </w:r>
      <w:r>
        <w:rPr>
          <w:rFonts w:hint="eastAsia" w:ascii="仿宋" w:hAnsi="仿宋" w:eastAsia="仿宋" w:cs="仿宋"/>
          <w:bCs/>
          <w:color w:val="auto"/>
          <w:sz w:val="24"/>
          <w:highlight w:val="none"/>
        </w:rPr>
        <w:t>见提交不及时或咨询成果出现重大失误的，咨询人除须对委托人造成的损失承担全额赔偿责任外，除上面合同条款中约定的有关处罚外，委托人有权对咨询人另外作出如下经济处罚：</w:t>
      </w:r>
    </w:p>
    <w:p w14:paraId="62011037">
      <w:pPr>
        <w:widowControl/>
        <w:numPr>
          <w:ilvl w:val="0"/>
          <w:numId w:val="9"/>
        </w:numPr>
        <w:tabs>
          <w:tab w:val="left" w:pos="540"/>
        </w:tabs>
        <w:adjustRightInd w:val="0"/>
        <w:snapToGrid w:val="0"/>
        <w:spacing w:after="0" w:afterAutospacing="0" w:line="360" w:lineRule="auto"/>
        <w:ind w:left="0" w:firstLine="424" w:firstLineChars="177"/>
        <w:jc w:val="left"/>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咨询人未能在响应时间内到达现场的，委托人有权对咨询人进行口头或书面警告处理，并罚款￥1000元/次。</w:t>
      </w:r>
    </w:p>
    <w:p w14:paraId="511EB61E">
      <w:pPr>
        <w:widowControl/>
        <w:numPr>
          <w:ilvl w:val="0"/>
          <w:numId w:val="9"/>
        </w:numPr>
        <w:tabs>
          <w:tab w:val="left" w:pos="540"/>
        </w:tabs>
        <w:adjustRightInd w:val="0"/>
        <w:snapToGrid w:val="0"/>
        <w:spacing w:after="0" w:afterAutospacing="0" w:line="360" w:lineRule="auto"/>
        <w:ind w:left="0" w:firstLine="424" w:firstLineChars="177"/>
        <w:jc w:val="left"/>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咨询人违反其他相关规定的，委托人有权对咨询人进行口头或书面警告处理，并有权扣除咨询人￥2000元/次作为违约金。合同履行期内，咨询人被书面警告5次以上（含5次），委托人有权解除咨询服务合同，并拒付剩余的服务费，所造成的损失由咨询人承担，咨询人还需向委托人支付合同总额30%的违约金。</w:t>
      </w:r>
    </w:p>
    <w:p w14:paraId="6C20BA97">
      <w:pPr>
        <w:widowControl/>
        <w:numPr>
          <w:ilvl w:val="0"/>
          <w:numId w:val="9"/>
        </w:numPr>
        <w:tabs>
          <w:tab w:val="left" w:pos="540"/>
        </w:tabs>
        <w:adjustRightInd w:val="0"/>
        <w:snapToGrid w:val="0"/>
        <w:spacing w:after="0" w:afterAutospacing="0" w:line="360" w:lineRule="auto"/>
        <w:ind w:left="0" w:firstLine="424" w:firstLineChars="177"/>
        <w:jc w:val="left"/>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对其他情形严重的，除按上述规定处理外，委托人同时可采取相应措施追究咨询人的相应责任。</w:t>
      </w:r>
    </w:p>
    <w:p w14:paraId="6565395F">
      <w:pPr>
        <w:widowControl/>
        <w:numPr>
          <w:ilvl w:val="0"/>
          <w:numId w:val="9"/>
        </w:numPr>
        <w:tabs>
          <w:tab w:val="left" w:pos="540"/>
        </w:tabs>
        <w:adjustRightInd w:val="0"/>
        <w:snapToGrid w:val="0"/>
        <w:spacing w:after="0" w:afterAutospacing="0" w:line="360" w:lineRule="auto"/>
        <w:ind w:left="0" w:firstLine="424" w:firstLineChars="177"/>
        <w:jc w:val="left"/>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咨询人的诚信或其它情况处罚： 1）咨询人违反了诚实信用和投标承诺，没有严格执行相关质量、服务和收费标准，损害咨询人和使用人的利益；2）拒绝接受相关部门监督和检查的；3）咨询人出现信用危机、财务危机、经营危机甚至破产、倒闭，无法继续履行合同；4）咨询人采用非法手段进行不正当竞争的，造成恶劣影响；5）咨询人未能在响应时间内到达现场累计3次；6）咨询人未能在项目服务期限内按时完成任务累计2次；7）咨询人遭到委托人（代建单位）投诉，经查实累计达2次；8）咨询人向委托人和代建单位出具的工程造价咨询报告发生重大失误达1次；9）咨询人违反造价行业法律法规受到有关部门惩处或咨询报告发生重大失误造成恶劣影响的。出现上述情况时，委托人有权终止合同的造价咨询服务内容。</w:t>
      </w:r>
    </w:p>
    <w:p w14:paraId="52E0BEAB">
      <w:pPr>
        <w:widowControl/>
        <w:tabs>
          <w:tab w:val="left" w:pos="540"/>
        </w:tabs>
        <w:adjustRightInd w:val="0"/>
        <w:snapToGrid w:val="0"/>
        <w:spacing w:after="0" w:afterAutospacing="0" w:line="360" w:lineRule="auto"/>
        <w:ind w:firstLine="424" w:firstLineChars="177"/>
        <w:jc w:val="left"/>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在上述情况下，委托人终止合同并有权另选择其它单位作为新的造价咨询服务单位，有关服务费用差价均在与咨询人签订的合同款项中扣补，此前咨询人已提供的服务委托人有权不再支付任何费用。</w:t>
      </w:r>
    </w:p>
    <w:p w14:paraId="00AB5146">
      <w:pPr>
        <w:widowControl/>
        <w:numPr>
          <w:ilvl w:val="0"/>
          <w:numId w:val="9"/>
        </w:numPr>
        <w:tabs>
          <w:tab w:val="left" w:pos="540"/>
        </w:tabs>
        <w:adjustRightInd w:val="0"/>
        <w:snapToGrid w:val="0"/>
        <w:spacing w:after="0" w:afterAutospacing="0" w:line="360" w:lineRule="auto"/>
        <w:ind w:left="0" w:firstLine="424" w:firstLineChars="177"/>
        <w:jc w:val="left"/>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咨询人须按要求支付违约金、赔偿金等费用，或委托人有权直接在应付的服务费中扣除。</w:t>
      </w:r>
    </w:p>
    <w:p w14:paraId="08504517">
      <w:pPr>
        <w:widowControl w:val="0"/>
        <w:adjustRightInd w:val="0"/>
        <w:snapToGrid w:val="0"/>
        <w:spacing w:line="360" w:lineRule="auto"/>
        <w:jc w:val="left"/>
        <w:outlineLvl w:val="9"/>
        <w:rPr>
          <w:rFonts w:hint="eastAsia" w:ascii="仿宋" w:hAnsi="仿宋" w:eastAsia="仿宋" w:cs="仿宋"/>
          <w:b/>
          <w:color w:val="auto"/>
          <w:kern w:val="2"/>
          <w:sz w:val="24"/>
          <w:szCs w:val="24"/>
          <w:highlight w:val="none"/>
          <w:lang w:val="en-US" w:eastAsia="zh-CN" w:bidi="ar-SA"/>
        </w:rPr>
      </w:pPr>
    </w:p>
    <w:p w14:paraId="70A3A6BA">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406" w:name="_Toc289"/>
      <w:bookmarkStart w:id="407" w:name="_Toc490753391"/>
      <w:bookmarkStart w:id="408" w:name="_Toc11892"/>
      <w:bookmarkStart w:id="409" w:name="_Toc489278557"/>
      <w:bookmarkStart w:id="410" w:name="_Toc30697"/>
      <w:bookmarkStart w:id="411" w:name="_Toc29501"/>
      <w:bookmarkStart w:id="412" w:name="_Toc4511"/>
      <w:r>
        <w:rPr>
          <w:rFonts w:hint="eastAsia" w:ascii="仿宋" w:hAnsi="仿宋" w:eastAsia="仿宋" w:cs="仿宋"/>
          <w:b/>
          <w:color w:val="auto"/>
          <w:kern w:val="2"/>
          <w:sz w:val="24"/>
          <w:szCs w:val="24"/>
          <w:highlight w:val="none"/>
          <w:lang w:val="en-US" w:eastAsia="zh-CN" w:bidi="ar-SA"/>
        </w:rPr>
        <w:t>5. 支付</w:t>
      </w:r>
      <w:bookmarkEnd w:id="404"/>
      <w:bookmarkEnd w:id="405"/>
      <w:bookmarkEnd w:id="406"/>
      <w:bookmarkEnd w:id="407"/>
      <w:bookmarkEnd w:id="408"/>
      <w:bookmarkEnd w:id="409"/>
      <w:bookmarkEnd w:id="410"/>
      <w:bookmarkEnd w:id="411"/>
      <w:bookmarkEnd w:id="412"/>
    </w:p>
    <w:p w14:paraId="7DE1F8DB">
      <w:pPr>
        <w:snapToGrid w:val="0"/>
        <w:spacing w:line="360" w:lineRule="auto"/>
        <w:ind w:firstLine="480" w:firstLineChars="200"/>
        <w:rPr>
          <w:rFonts w:hint="eastAsia" w:ascii="仿宋" w:hAnsi="仿宋" w:eastAsia="仿宋" w:cs="仿宋"/>
          <w:color w:val="auto"/>
          <w:sz w:val="24"/>
          <w:highlight w:val="none"/>
        </w:rPr>
      </w:pPr>
      <w:bookmarkStart w:id="413" w:name="_Toc422322541"/>
      <w:bookmarkStart w:id="414" w:name="_Toc419045116"/>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1支付货币</w:t>
      </w:r>
      <w:bookmarkEnd w:id="413"/>
      <w:bookmarkEnd w:id="414"/>
    </w:p>
    <w:p w14:paraId="7B9CC1E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币种为：</w:t>
      </w:r>
      <w:r>
        <w:rPr>
          <w:rFonts w:hint="eastAsia" w:ascii="仿宋" w:hAnsi="仿宋" w:eastAsia="仿宋" w:cs="仿宋"/>
          <w:color w:val="auto"/>
          <w:sz w:val="24"/>
          <w:highlight w:val="none"/>
          <w:u w:val="single"/>
        </w:rPr>
        <w:t>人民币</w:t>
      </w:r>
      <w:r>
        <w:rPr>
          <w:rFonts w:hint="eastAsia" w:ascii="仿宋" w:hAnsi="仿宋" w:eastAsia="仿宋" w:cs="仿宋"/>
          <w:color w:val="auto"/>
          <w:sz w:val="24"/>
          <w:highlight w:val="none"/>
        </w:rPr>
        <w:t>，汇率为：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，其他约定：</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513B81F0">
      <w:pPr>
        <w:snapToGrid w:val="0"/>
        <w:spacing w:line="360" w:lineRule="auto"/>
        <w:ind w:firstLine="480" w:firstLineChars="200"/>
        <w:rPr>
          <w:rFonts w:hint="eastAsia" w:ascii="仿宋" w:hAnsi="仿宋" w:eastAsia="仿宋" w:cs="仿宋"/>
          <w:color w:val="auto"/>
          <w:sz w:val="24"/>
          <w:highlight w:val="none"/>
        </w:rPr>
      </w:pPr>
      <w:bookmarkStart w:id="415" w:name="_Toc419045117"/>
      <w:bookmarkStart w:id="416" w:name="_Toc422322542"/>
      <w:r>
        <w:rPr>
          <w:rFonts w:hint="eastAsia" w:ascii="仿宋" w:hAnsi="仿宋" w:eastAsia="仿宋" w:cs="仿宋"/>
          <w:color w:val="auto"/>
          <w:sz w:val="24"/>
          <w:highlight w:val="none"/>
        </w:rPr>
        <w:t>5.2 支付申请</w:t>
      </w:r>
      <w:bookmarkEnd w:id="415"/>
      <w:bookmarkEnd w:id="416"/>
    </w:p>
    <w:p w14:paraId="6072D8D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咨询人应在本合同约定的每次应付款日期</w:t>
      </w:r>
      <w:r>
        <w:rPr>
          <w:rFonts w:hint="eastAsia" w:ascii="仿宋" w:hAnsi="仿宋" w:eastAsia="仿宋" w:cs="仿宋"/>
          <w:color w:val="auto"/>
          <w:sz w:val="24"/>
          <w:highlight w:val="none"/>
          <w:u w:val="single"/>
          <w:lang w:val="en-US" w:eastAsia="zh-CN"/>
        </w:rPr>
        <w:t>15</w:t>
      </w:r>
      <w:r>
        <w:rPr>
          <w:rFonts w:hint="eastAsia" w:ascii="仿宋" w:hAnsi="仿宋" w:eastAsia="仿宋" w:cs="仿宋"/>
          <w:color w:val="auto"/>
          <w:sz w:val="24"/>
          <w:highlight w:val="none"/>
        </w:rPr>
        <w:t>日前，向委托人提交支付申请书。</w:t>
      </w:r>
    </w:p>
    <w:p w14:paraId="5FCA373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5.3支付酬金</w:t>
      </w:r>
    </w:p>
    <w:tbl>
      <w:tblPr>
        <w:tblStyle w:val="41"/>
        <w:tblW w:w="0" w:type="auto"/>
        <w:jc w:val="center"/>
        <w:tblLayout w:type="fixed"/>
        <w:tblCellMar>
          <w:top w:w="0" w:type="dxa"/>
          <w:left w:w="108" w:type="dxa"/>
          <w:bottom w:w="0" w:type="dxa"/>
          <w:right w:w="108" w:type="dxa"/>
        </w:tblCellMar>
      </w:tblPr>
      <w:tblGrid>
        <w:gridCol w:w="9000"/>
      </w:tblGrid>
      <w:tr w14:paraId="0487A8E5">
        <w:tblPrEx>
          <w:tblCellMar>
            <w:top w:w="0" w:type="dxa"/>
            <w:left w:w="108" w:type="dxa"/>
            <w:bottom w:w="0" w:type="dxa"/>
            <w:right w:w="108" w:type="dxa"/>
          </w:tblCellMar>
        </w:tblPrEx>
        <w:trPr>
          <w:trHeight w:val="423" w:hRule="atLeast"/>
          <w:jc w:val="center"/>
        </w:trPr>
        <w:tc>
          <w:tcPr>
            <w:tcW w:w="9000" w:type="dxa"/>
            <w:tcBorders>
              <w:top w:val="single" w:color="auto" w:sz="4" w:space="0"/>
              <w:left w:val="single" w:color="auto" w:sz="4" w:space="0"/>
              <w:bottom w:val="single" w:color="auto" w:sz="4" w:space="0"/>
              <w:right w:val="single" w:color="auto" w:sz="4" w:space="0"/>
            </w:tcBorders>
            <w:noWrap w:val="0"/>
            <w:vAlign w:val="center"/>
          </w:tcPr>
          <w:p w14:paraId="62E71C25">
            <w:pPr>
              <w:widowControl/>
              <w:wordWrap w:val="0"/>
              <w:snapToGrid w:val="0"/>
              <w:spacing w:line="440" w:lineRule="atLeast"/>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 xml:space="preserve">    （1）</w:t>
            </w:r>
            <w:r>
              <w:rPr>
                <w:rFonts w:hint="eastAsia" w:ascii="仿宋" w:hAnsi="仿宋" w:eastAsia="仿宋" w:cs="仿宋"/>
                <w:b/>
                <w:bCs w:val="0"/>
                <w:color w:val="auto"/>
                <w:kern w:val="0"/>
                <w:sz w:val="24"/>
                <w:highlight w:val="none"/>
                <w:lang w:val="en-US" w:eastAsia="zh-CN" w:bidi="ar"/>
              </w:rPr>
              <w:t>预付款</w:t>
            </w:r>
            <w:r>
              <w:rPr>
                <w:rFonts w:hint="eastAsia" w:ascii="仿宋" w:hAnsi="仿宋" w:eastAsia="仿宋" w:cs="仿宋"/>
                <w:bCs/>
                <w:color w:val="auto"/>
                <w:kern w:val="0"/>
                <w:sz w:val="24"/>
                <w:highlight w:val="none"/>
                <w:lang w:val="en-US" w:eastAsia="zh-CN" w:bidi="ar"/>
              </w:rPr>
              <w:t>：</w:t>
            </w:r>
            <w:r>
              <w:rPr>
                <w:rFonts w:hint="eastAsia" w:ascii="仿宋" w:hAnsi="仿宋" w:eastAsia="仿宋" w:cs="仿宋"/>
                <w:bCs/>
                <w:color w:val="auto"/>
                <w:kern w:val="0"/>
                <w:sz w:val="24"/>
                <w:highlight w:val="none"/>
                <w:lang w:bidi="ar"/>
              </w:rPr>
              <w:t>签订合同</w:t>
            </w:r>
            <w:r>
              <w:rPr>
                <w:rFonts w:hint="eastAsia" w:ascii="仿宋" w:hAnsi="仿宋" w:eastAsia="仿宋" w:cs="仿宋"/>
                <w:bCs/>
                <w:color w:val="auto"/>
                <w:kern w:val="0"/>
                <w:sz w:val="24"/>
                <w:highlight w:val="none"/>
                <w:lang w:val="en-US" w:eastAsia="zh-CN" w:bidi="ar"/>
              </w:rPr>
              <w:t>且咨询人提交履约担保</w:t>
            </w:r>
            <w:r>
              <w:rPr>
                <w:rFonts w:hint="eastAsia" w:ascii="仿宋" w:hAnsi="仿宋" w:eastAsia="仿宋" w:cs="仿宋"/>
                <w:bCs/>
                <w:color w:val="auto"/>
                <w:kern w:val="0"/>
                <w:sz w:val="24"/>
                <w:highlight w:val="none"/>
                <w:lang w:bidi="ar"/>
              </w:rPr>
              <w:t>后，咨询人向委托人提交请款报告和正式发票之日起</w:t>
            </w:r>
            <w:r>
              <w:rPr>
                <w:rFonts w:hint="eastAsia" w:ascii="仿宋" w:hAnsi="仿宋" w:eastAsia="仿宋" w:cs="仿宋"/>
                <w:bCs/>
                <w:color w:val="auto"/>
                <w:kern w:val="0"/>
                <w:sz w:val="24"/>
                <w:highlight w:val="none"/>
                <w:lang w:val="en-US" w:eastAsia="zh-CN" w:bidi="ar"/>
              </w:rPr>
              <w:t>15</w:t>
            </w:r>
            <w:r>
              <w:rPr>
                <w:rFonts w:hint="eastAsia" w:ascii="仿宋" w:hAnsi="仿宋" w:eastAsia="仿宋" w:cs="仿宋"/>
                <w:bCs/>
                <w:color w:val="auto"/>
                <w:kern w:val="0"/>
                <w:sz w:val="24"/>
                <w:highlight w:val="none"/>
                <w:lang w:bidi="ar"/>
              </w:rPr>
              <w:t>天内，支付工程结算审核咨询服务费签约合同价的10%；</w:t>
            </w:r>
          </w:p>
          <w:p w14:paraId="366AE30E">
            <w:pPr>
              <w:widowControl/>
              <w:wordWrap w:val="0"/>
              <w:snapToGrid w:val="0"/>
              <w:spacing w:line="440" w:lineRule="atLeast"/>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 xml:space="preserve">    （2）</w:t>
            </w:r>
            <w:r>
              <w:rPr>
                <w:rFonts w:hint="eastAsia" w:ascii="仿宋" w:hAnsi="仿宋" w:eastAsia="仿宋" w:cs="仿宋"/>
                <w:b/>
                <w:bCs w:val="0"/>
                <w:color w:val="auto"/>
                <w:kern w:val="0"/>
                <w:sz w:val="24"/>
                <w:highlight w:val="none"/>
                <w:lang w:val="en-US" w:eastAsia="zh-CN" w:bidi="ar"/>
              </w:rPr>
              <w:t>进度款</w:t>
            </w:r>
            <w:r>
              <w:rPr>
                <w:rFonts w:hint="eastAsia" w:ascii="仿宋" w:hAnsi="仿宋" w:eastAsia="仿宋" w:cs="仿宋"/>
                <w:bCs/>
                <w:color w:val="auto"/>
                <w:kern w:val="0"/>
                <w:sz w:val="24"/>
                <w:highlight w:val="none"/>
                <w:lang w:val="en-US" w:eastAsia="zh-CN" w:bidi="ar"/>
              </w:rPr>
              <w:t>：</w:t>
            </w:r>
            <w:r>
              <w:rPr>
                <w:rFonts w:hint="eastAsia" w:ascii="仿宋" w:hAnsi="仿宋" w:eastAsia="仿宋" w:cs="仿宋"/>
                <w:bCs/>
                <w:color w:val="auto"/>
                <w:kern w:val="0"/>
                <w:sz w:val="24"/>
                <w:highlight w:val="none"/>
                <w:lang w:bidi="ar"/>
              </w:rPr>
              <w:t>完成本</w:t>
            </w:r>
            <w:r>
              <w:rPr>
                <w:rFonts w:hint="eastAsia" w:ascii="仿宋" w:hAnsi="仿宋" w:eastAsia="仿宋" w:cs="仿宋"/>
                <w:bCs/>
                <w:color w:val="auto"/>
                <w:kern w:val="0"/>
                <w:sz w:val="24"/>
                <w:highlight w:val="none"/>
                <w:lang w:val="en-US" w:eastAsia="zh-CN" w:bidi="ar"/>
              </w:rPr>
              <w:t>项目中</w:t>
            </w:r>
            <w:r>
              <w:rPr>
                <w:rFonts w:hint="eastAsia" w:ascii="仿宋" w:hAnsi="仿宋" w:eastAsia="仿宋" w:cs="仿宋"/>
                <w:bCs/>
                <w:color w:val="auto"/>
                <w:kern w:val="0"/>
                <w:sz w:val="24"/>
                <w:highlight w:val="none"/>
                <w:lang w:bidi="ar"/>
              </w:rPr>
              <w:t>每一</w:t>
            </w:r>
            <w:r>
              <w:rPr>
                <w:rFonts w:hint="eastAsia" w:ascii="仿宋" w:hAnsi="仿宋" w:eastAsia="仿宋" w:cs="仿宋"/>
                <w:bCs/>
                <w:color w:val="auto"/>
                <w:kern w:val="0"/>
                <w:sz w:val="24"/>
                <w:highlight w:val="none"/>
                <w:lang w:val="en-US" w:eastAsia="zh-CN" w:bidi="ar"/>
              </w:rPr>
              <w:t>送审项目</w:t>
            </w:r>
            <w:r>
              <w:rPr>
                <w:rFonts w:hint="eastAsia" w:ascii="仿宋" w:hAnsi="仿宋" w:eastAsia="仿宋" w:cs="仿宋"/>
                <w:bCs/>
                <w:color w:val="auto"/>
                <w:kern w:val="0"/>
                <w:sz w:val="24"/>
                <w:highlight w:val="none"/>
                <w:lang w:bidi="ar"/>
              </w:rPr>
              <w:t>结算审核</w:t>
            </w:r>
            <w:r>
              <w:rPr>
                <w:rFonts w:hint="eastAsia" w:ascii="仿宋" w:hAnsi="仿宋" w:eastAsia="仿宋" w:cs="仿宋"/>
                <w:bCs/>
                <w:color w:val="auto"/>
                <w:kern w:val="0"/>
                <w:sz w:val="24"/>
                <w:highlight w:val="none"/>
                <w:lang w:val="en-US" w:eastAsia="zh-CN" w:bidi="ar"/>
              </w:rPr>
              <w:t>后</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val="en-US" w:eastAsia="zh-CN" w:bidi="ar"/>
              </w:rPr>
              <w:t>若为双审项目则为结算复审审核定案后</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bidi="ar"/>
              </w:rPr>
              <w:t>，咨询人向委托人提交请款报告和正式发票之日起</w:t>
            </w:r>
            <w:r>
              <w:rPr>
                <w:rFonts w:hint="eastAsia" w:ascii="仿宋" w:hAnsi="仿宋" w:eastAsia="仿宋" w:cs="仿宋"/>
                <w:bCs/>
                <w:color w:val="auto"/>
                <w:kern w:val="0"/>
                <w:sz w:val="24"/>
                <w:highlight w:val="none"/>
                <w:lang w:val="en-US" w:eastAsia="zh-CN" w:bidi="ar"/>
              </w:rPr>
              <w:t>15</w:t>
            </w:r>
            <w:r>
              <w:rPr>
                <w:rFonts w:hint="eastAsia" w:ascii="仿宋" w:hAnsi="仿宋" w:eastAsia="仿宋" w:cs="仿宋"/>
                <w:bCs/>
                <w:color w:val="auto"/>
                <w:kern w:val="0"/>
                <w:sz w:val="24"/>
                <w:highlight w:val="none"/>
                <w:lang w:bidi="ar"/>
              </w:rPr>
              <w:t>天内，委托人向咨询人支付</w:t>
            </w:r>
            <w:r>
              <w:rPr>
                <w:rFonts w:hint="eastAsia" w:ascii="仿宋" w:hAnsi="仿宋" w:eastAsia="仿宋" w:cs="仿宋"/>
                <w:bCs/>
                <w:color w:val="auto"/>
                <w:kern w:val="0"/>
                <w:sz w:val="24"/>
                <w:highlight w:val="none"/>
                <w:lang w:val="en-US" w:eastAsia="zh-CN" w:bidi="ar"/>
              </w:rPr>
              <w:t>至</w:t>
            </w:r>
            <w:r>
              <w:rPr>
                <w:rFonts w:hint="eastAsia" w:ascii="仿宋" w:hAnsi="仿宋" w:eastAsia="仿宋" w:cs="仿宋"/>
                <w:bCs/>
                <w:color w:val="auto"/>
                <w:kern w:val="0"/>
                <w:sz w:val="24"/>
                <w:highlight w:val="none"/>
                <w:lang w:bidi="ar"/>
              </w:rPr>
              <w:t>本</w:t>
            </w:r>
            <w:r>
              <w:rPr>
                <w:rFonts w:hint="eastAsia" w:ascii="仿宋" w:hAnsi="仿宋" w:eastAsia="仿宋" w:cs="仿宋"/>
                <w:bCs/>
                <w:color w:val="auto"/>
                <w:kern w:val="0"/>
                <w:sz w:val="24"/>
                <w:highlight w:val="none"/>
                <w:lang w:val="en-US" w:eastAsia="zh-CN" w:bidi="ar"/>
              </w:rPr>
              <w:t>送审项目</w:t>
            </w:r>
            <w:r>
              <w:rPr>
                <w:rFonts w:hint="eastAsia" w:ascii="仿宋" w:hAnsi="仿宋" w:eastAsia="仿宋" w:cs="仿宋"/>
                <w:bCs/>
                <w:color w:val="auto"/>
                <w:kern w:val="0"/>
                <w:sz w:val="24"/>
                <w:highlight w:val="none"/>
                <w:lang w:bidi="ar"/>
              </w:rPr>
              <w:t>结算审核咨询服务费的</w:t>
            </w:r>
            <w:r>
              <w:rPr>
                <w:rFonts w:hint="eastAsia" w:ascii="仿宋" w:hAnsi="仿宋" w:eastAsia="仿宋" w:cs="仿宋"/>
                <w:bCs/>
                <w:color w:val="auto"/>
                <w:kern w:val="0"/>
                <w:sz w:val="24"/>
                <w:highlight w:val="none"/>
                <w:lang w:val="en-US" w:eastAsia="zh-CN" w:bidi="ar"/>
              </w:rPr>
              <w:t>90</w:t>
            </w:r>
            <w:r>
              <w:rPr>
                <w:rFonts w:hint="eastAsia" w:ascii="仿宋" w:hAnsi="仿宋" w:eastAsia="仿宋" w:cs="仿宋"/>
                <w:bCs/>
                <w:color w:val="auto"/>
                <w:kern w:val="0"/>
                <w:sz w:val="24"/>
                <w:highlight w:val="none"/>
                <w:lang w:bidi="ar"/>
              </w:rPr>
              <w:t>%；</w:t>
            </w:r>
          </w:p>
          <w:p w14:paraId="07F1CFAD">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val="en-US" w:eastAsia="zh-CN" w:bidi="ar"/>
              </w:rPr>
              <w:t>注：</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Cs/>
                <w:color w:val="auto"/>
                <w:kern w:val="0"/>
                <w:sz w:val="24"/>
                <w:highlight w:val="none"/>
                <w:lang w:val="en-US" w:eastAsia="zh-CN" w:bidi="ar"/>
              </w:rPr>
              <w:t>由基本收费和效益收费两部分组成</w:t>
            </w:r>
            <w:r>
              <w:rPr>
                <w:rFonts w:hint="eastAsia" w:ascii="仿宋" w:hAnsi="仿宋" w:eastAsia="仿宋" w:cs="仿宋"/>
                <w:bCs/>
                <w:color w:val="auto"/>
                <w:kern w:val="0"/>
                <w:sz w:val="24"/>
                <w:highlight w:val="none"/>
                <w:lang w:bidi="ar"/>
              </w:rPr>
              <w:t>；</w:t>
            </w:r>
          </w:p>
          <w:p w14:paraId="50DD76A8">
            <w:pPr>
              <w:widowControl/>
              <w:wordWrap w:val="0"/>
              <w:snapToGrid w:val="0"/>
              <w:spacing w:line="440" w:lineRule="atLeast"/>
              <w:ind w:firstLine="480" w:firstLineChars="20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val="en-US" w:eastAsia="zh-CN" w:bidi="ar"/>
              </w:rPr>
              <w:t>基本收费=本送审项目的结算审核报告金额（即结算单审报告或双审</w:t>
            </w:r>
            <w:r>
              <w:rPr>
                <w:rFonts w:hint="eastAsia" w:ascii="仿宋" w:hAnsi="仿宋" w:eastAsia="仿宋" w:cs="仿宋"/>
                <w:bCs/>
                <w:color w:val="auto"/>
                <w:kern w:val="0"/>
                <w:sz w:val="24"/>
                <w:highlight w:val="none"/>
                <w:u w:val="single"/>
                <w:lang w:val="en-US" w:eastAsia="zh-CN" w:bidi="ar"/>
              </w:rPr>
              <w:t>复审</w:t>
            </w:r>
            <w:r>
              <w:rPr>
                <w:rFonts w:hint="eastAsia" w:ascii="仿宋" w:hAnsi="仿宋" w:eastAsia="仿宋" w:cs="仿宋"/>
                <w:bCs/>
                <w:color w:val="auto"/>
                <w:kern w:val="0"/>
                <w:sz w:val="24"/>
                <w:highlight w:val="none"/>
                <w:lang w:val="en-US" w:eastAsia="zh-CN" w:bidi="ar"/>
              </w:rPr>
              <w:t>报告的定案金额）×</w:t>
            </w:r>
            <w:r>
              <w:rPr>
                <w:rFonts w:hint="eastAsia" w:ascii="仿宋" w:hAnsi="仿宋" w:eastAsia="仿宋" w:cs="仿宋"/>
                <w:b/>
                <w:bCs w:val="0"/>
                <w:color w:val="auto"/>
                <w:kern w:val="0"/>
                <w:sz w:val="24"/>
                <w:highlight w:val="none"/>
                <w:u w:val="single"/>
                <w:lang w:val="en-US" w:eastAsia="zh-CN" w:bidi="ar"/>
              </w:rPr>
              <w:t>过程支付暂定计费费率</w:t>
            </w:r>
            <w:r>
              <w:rPr>
                <w:rFonts w:hint="eastAsia" w:ascii="仿宋" w:hAnsi="仿宋" w:eastAsia="仿宋" w:cs="仿宋"/>
                <w:bCs/>
                <w:color w:val="auto"/>
                <w:kern w:val="0"/>
                <w:sz w:val="24"/>
                <w:highlight w:val="none"/>
                <w:lang w:val="en-US" w:eastAsia="zh-CN" w:bidi="ar"/>
              </w:rPr>
              <w:t>×结算审核服务费折率/65.00%</w:t>
            </w:r>
            <w:r>
              <w:rPr>
                <w:rFonts w:hint="eastAsia" w:ascii="仿宋" w:hAnsi="仿宋" w:eastAsia="仿宋" w:cs="仿宋"/>
                <w:bCs/>
                <w:color w:val="auto"/>
                <w:kern w:val="0"/>
                <w:sz w:val="24"/>
                <w:highlight w:val="none"/>
                <w:lang w:bidi="ar"/>
              </w:rPr>
              <w:t>；</w:t>
            </w:r>
          </w:p>
          <w:p w14:paraId="10974652">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效益收费=核减额（即结算单审报告或</w:t>
            </w:r>
            <w:r>
              <w:rPr>
                <w:rFonts w:hint="eastAsia" w:ascii="仿宋" w:hAnsi="仿宋" w:eastAsia="仿宋" w:cs="仿宋"/>
                <w:b/>
                <w:bCs w:val="0"/>
                <w:color w:val="auto"/>
                <w:kern w:val="0"/>
                <w:sz w:val="24"/>
                <w:highlight w:val="none"/>
                <w:lang w:val="en-US" w:eastAsia="zh-CN" w:bidi="ar"/>
              </w:rPr>
              <w:t>双审初审</w:t>
            </w:r>
            <w:r>
              <w:rPr>
                <w:rFonts w:hint="eastAsia" w:ascii="仿宋" w:hAnsi="仿宋" w:eastAsia="仿宋" w:cs="仿宋"/>
                <w:bCs/>
                <w:color w:val="auto"/>
                <w:kern w:val="0"/>
                <w:sz w:val="24"/>
                <w:highlight w:val="none"/>
                <w:lang w:val="en-US" w:eastAsia="zh-CN" w:bidi="ar"/>
              </w:rPr>
              <w:t>报告的定案金额－送审金额）×4.50%×结算审核服务费折率。</w:t>
            </w:r>
          </w:p>
          <w:p w14:paraId="3EDA39A5">
            <w:pPr>
              <w:widowControl/>
              <w:wordWrap w:val="0"/>
              <w:snapToGrid w:val="0"/>
              <w:spacing w:line="440" w:lineRule="atLeast"/>
              <w:ind w:firstLine="480" w:firstLineChars="20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请款资料包含（但不限于）：请款申请书、合同复印件、结算会审确认书</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val="en-US" w:eastAsia="zh-CN" w:bidi="ar"/>
              </w:rPr>
              <w:t>合法有效的发票</w:t>
            </w:r>
            <w:r>
              <w:rPr>
                <w:rFonts w:hint="eastAsia" w:ascii="仿宋" w:hAnsi="仿宋" w:eastAsia="仿宋" w:cs="仿宋"/>
                <w:bCs/>
                <w:color w:val="auto"/>
                <w:kern w:val="0"/>
                <w:sz w:val="24"/>
                <w:highlight w:val="none"/>
                <w:lang w:bidi="ar"/>
              </w:rPr>
              <w:t>及其它相关证明材料。</w:t>
            </w:r>
          </w:p>
          <w:p w14:paraId="5DFA6D40">
            <w:pPr>
              <w:widowControl/>
              <w:wordWrap/>
              <w:snapToGrid w:val="0"/>
              <w:spacing w:line="440" w:lineRule="atLeast"/>
              <w:jc w:val="both"/>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 xml:space="preserve">    （3）</w:t>
            </w:r>
            <w:r>
              <w:rPr>
                <w:rFonts w:hint="eastAsia" w:ascii="仿宋" w:hAnsi="仿宋" w:eastAsia="仿宋" w:cs="仿宋"/>
                <w:b/>
                <w:bCs w:val="0"/>
                <w:color w:val="auto"/>
                <w:kern w:val="0"/>
                <w:sz w:val="24"/>
                <w:highlight w:val="none"/>
                <w:lang w:val="en-US" w:eastAsia="zh-CN" w:bidi="ar"/>
              </w:rPr>
              <w:t>结算款</w:t>
            </w:r>
            <w:r>
              <w:rPr>
                <w:rFonts w:hint="eastAsia" w:ascii="仿宋" w:hAnsi="仿宋" w:eastAsia="仿宋" w:cs="仿宋"/>
                <w:bCs/>
                <w:color w:val="auto"/>
                <w:kern w:val="0"/>
                <w:sz w:val="24"/>
                <w:highlight w:val="none"/>
                <w:lang w:val="en-US" w:eastAsia="zh-CN" w:bidi="ar"/>
              </w:rPr>
              <w:t>：</w:t>
            </w:r>
            <w:r>
              <w:rPr>
                <w:rFonts w:hint="eastAsia" w:ascii="仿宋" w:hAnsi="仿宋" w:eastAsia="仿宋" w:cs="仿宋"/>
                <w:bCs/>
                <w:color w:val="auto"/>
                <w:kern w:val="0"/>
                <w:sz w:val="24"/>
                <w:highlight w:val="none"/>
                <w:lang w:bidi="ar"/>
              </w:rPr>
              <w:t>本</w:t>
            </w:r>
            <w:r>
              <w:rPr>
                <w:rFonts w:hint="eastAsia" w:ascii="仿宋" w:hAnsi="仿宋" w:eastAsia="仿宋" w:cs="仿宋"/>
                <w:bCs/>
                <w:color w:val="auto"/>
                <w:kern w:val="0"/>
                <w:sz w:val="24"/>
                <w:highlight w:val="none"/>
                <w:lang w:val="en-US" w:eastAsia="zh-CN" w:bidi="ar"/>
              </w:rPr>
              <w:t>项目所有</w:t>
            </w:r>
            <w:r>
              <w:rPr>
                <w:rFonts w:hint="eastAsia" w:ascii="仿宋" w:hAnsi="仿宋" w:eastAsia="仿宋" w:cs="仿宋"/>
                <w:bCs/>
                <w:color w:val="auto"/>
                <w:kern w:val="0"/>
                <w:sz w:val="24"/>
                <w:highlight w:val="none"/>
                <w:lang w:bidi="ar"/>
              </w:rPr>
              <w:t>结算经</w:t>
            </w:r>
            <w:r>
              <w:rPr>
                <w:rFonts w:hint="eastAsia" w:ascii="仿宋" w:hAnsi="仿宋" w:eastAsia="仿宋" w:cs="仿宋"/>
                <w:bCs/>
                <w:color w:val="auto"/>
                <w:kern w:val="0"/>
                <w:sz w:val="24"/>
                <w:highlight w:val="none"/>
                <w:lang w:val="en-US" w:eastAsia="zh-CN" w:bidi="ar"/>
              </w:rPr>
              <w:t>财政部门（或政府指定部门）</w:t>
            </w:r>
            <w:r>
              <w:rPr>
                <w:rFonts w:hint="eastAsia" w:ascii="仿宋" w:hAnsi="仿宋" w:eastAsia="仿宋" w:cs="仿宋"/>
                <w:bCs/>
                <w:color w:val="auto"/>
                <w:kern w:val="0"/>
                <w:sz w:val="24"/>
                <w:highlight w:val="none"/>
                <w:lang w:bidi="ar"/>
              </w:rPr>
              <w:t>最终结算审核，咨询人向委托人提交</w:t>
            </w:r>
            <w:r>
              <w:rPr>
                <w:rFonts w:hint="eastAsia" w:ascii="仿宋" w:hAnsi="仿宋" w:eastAsia="仿宋" w:cs="仿宋"/>
                <w:bCs/>
                <w:color w:val="auto"/>
                <w:kern w:val="0"/>
                <w:sz w:val="24"/>
                <w:highlight w:val="none"/>
                <w:lang w:val="en-US" w:eastAsia="zh-CN" w:bidi="ar"/>
              </w:rPr>
              <w:t>的项目结算书经委托人审核后，咨询人向委托人提交</w:t>
            </w:r>
            <w:r>
              <w:rPr>
                <w:rFonts w:hint="eastAsia" w:ascii="仿宋" w:hAnsi="仿宋" w:eastAsia="仿宋" w:cs="仿宋"/>
                <w:bCs/>
                <w:color w:val="auto"/>
                <w:kern w:val="0"/>
                <w:sz w:val="24"/>
                <w:highlight w:val="none"/>
                <w:lang w:bidi="ar"/>
              </w:rPr>
              <w:t>请款报告和正式发票之日起</w:t>
            </w:r>
            <w:r>
              <w:rPr>
                <w:rFonts w:hint="eastAsia" w:ascii="仿宋" w:hAnsi="仿宋" w:eastAsia="仿宋" w:cs="仿宋"/>
                <w:bCs/>
                <w:color w:val="auto"/>
                <w:kern w:val="0"/>
                <w:sz w:val="24"/>
                <w:highlight w:val="none"/>
                <w:lang w:val="en-US" w:eastAsia="zh-CN" w:bidi="ar"/>
              </w:rPr>
              <w:t>15</w:t>
            </w:r>
            <w:r>
              <w:rPr>
                <w:rFonts w:hint="eastAsia" w:ascii="仿宋" w:hAnsi="仿宋" w:eastAsia="仿宋" w:cs="仿宋"/>
                <w:bCs/>
                <w:color w:val="auto"/>
                <w:kern w:val="0"/>
                <w:sz w:val="24"/>
                <w:highlight w:val="none"/>
                <w:lang w:bidi="ar"/>
              </w:rPr>
              <w:t>天内，委托人向咨询人支付至</w:t>
            </w:r>
            <w:r>
              <w:rPr>
                <w:rFonts w:hint="eastAsia" w:ascii="仿宋" w:hAnsi="仿宋" w:eastAsia="仿宋" w:cs="仿宋"/>
                <w:bCs/>
                <w:color w:val="auto"/>
                <w:kern w:val="0"/>
                <w:sz w:val="24"/>
                <w:highlight w:val="none"/>
                <w:lang w:val="en-US" w:eastAsia="zh-CN" w:bidi="ar"/>
              </w:rPr>
              <w:t>本项目</w:t>
            </w:r>
            <w:r>
              <w:rPr>
                <w:rFonts w:hint="eastAsia" w:ascii="仿宋" w:hAnsi="仿宋" w:eastAsia="仿宋" w:cs="仿宋"/>
                <w:bCs/>
                <w:color w:val="auto"/>
                <w:kern w:val="0"/>
                <w:sz w:val="24"/>
                <w:highlight w:val="none"/>
                <w:lang w:bidi="ar"/>
              </w:rPr>
              <w:t>结算审核咨询服务费的100％。</w:t>
            </w:r>
          </w:p>
          <w:p w14:paraId="7809F260">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请款资料包含（但不限于）：请款申请书、合同复印件、结算会审确认书、</w:t>
            </w:r>
            <w:r>
              <w:rPr>
                <w:rFonts w:hint="eastAsia" w:ascii="仿宋" w:hAnsi="仿宋" w:eastAsia="仿宋" w:cs="仿宋"/>
                <w:bCs/>
                <w:color w:val="auto"/>
                <w:kern w:val="0"/>
                <w:sz w:val="24"/>
                <w:highlight w:val="none"/>
                <w:lang w:val="en-US" w:eastAsia="zh-CN" w:bidi="ar"/>
              </w:rPr>
              <w:t>合法有效的发票、</w:t>
            </w:r>
            <w:r>
              <w:rPr>
                <w:rFonts w:hint="eastAsia" w:ascii="仿宋" w:hAnsi="仿宋" w:eastAsia="仿宋" w:cs="仿宋"/>
                <w:bCs/>
                <w:color w:val="auto"/>
                <w:kern w:val="0"/>
                <w:sz w:val="24"/>
                <w:highlight w:val="none"/>
                <w:lang w:bidi="ar"/>
              </w:rPr>
              <w:t>送审金额与</w:t>
            </w:r>
            <w:r>
              <w:rPr>
                <w:rFonts w:hint="eastAsia" w:ascii="仿宋" w:hAnsi="仿宋" w:eastAsia="仿宋" w:cs="仿宋"/>
                <w:bCs/>
                <w:color w:val="auto"/>
                <w:kern w:val="0"/>
                <w:sz w:val="24"/>
                <w:highlight w:val="none"/>
                <w:lang w:val="en-US" w:eastAsia="zh-CN" w:bidi="ar"/>
              </w:rPr>
              <w:t>财政部门（或政府指定部门）</w:t>
            </w:r>
            <w:r>
              <w:rPr>
                <w:rFonts w:hint="eastAsia" w:ascii="仿宋" w:hAnsi="仿宋" w:eastAsia="仿宋" w:cs="仿宋"/>
                <w:bCs/>
                <w:color w:val="auto"/>
                <w:kern w:val="0"/>
                <w:sz w:val="24"/>
                <w:highlight w:val="none"/>
                <w:lang w:bidi="ar"/>
              </w:rPr>
              <w:t>审定对比表及其它相关证明材料。</w:t>
            </w:r>
          </w:p>
          <w:p w14:paraId="49BE9C5C">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bidi="ar"/>
              </w:rPr>
              <w:t>因本项目使用的是财政资金，待财政资金指标下达后，委托人在上述规定时间内向政府提出资金申请手续，即视为委托人按期支付。因政府财政支付审批流程及办理手续而造成项目支付进度有所推延，而导致委托人逾期付款的，委托人不承担逾期付款违约责任。</w:t>
            </w:r>
          </w:p>
        </w:tc>
      </w:tr>
    </w:tbl>
    <w:p w14:paraId="6B853569">
      <w:pPr>
        <w:snapToGrid w:val="0"/>
        <w:spacing w:line="360" w:lineRule="auto"/>
        <w:ind w:firstLine="482"/>
        <w:rPr>
          <w:rFonts w:hint="eastAsia" w:ascii="仿宋" w:hAnsi="仿宋" w:eastAsia="仿宋" w:cs="仿宋"/>
          <w:b w:val="0"/>
          <w:bCs/>
          <w:color w:val="auto"/>
          <w:sz w:val="24"/>
          <w:highlight w:val="none"/>
          <w:lang w:val="en-US" w:eastAsia="zh-CN"/>
        </w:rPr>
      </w:pPr>
      <w:bookmarkStart w:id="417" w:name="_Toc3006"/>
      <w:bookmarkStart w:id="418" w:name="_Toc422322544"/>
      <w:bookmarkStart w:id="419" w:name="_Toc13891"/>
      <w:bookmarkStart w:id="420" w:name="_Toc21163"/>
      <w:bookmarkStart w:id="421" w:name="_Toc419045119"/>
      <w:bookmarkStart w:id="422" w:name="_Toc490753392"/>
      <w:bookmarkStart w:id="423" w:name="_Toc489278558"/>
      <w:bookmarkStart w:id="424" w:name="_Toc5929"/>
    </w:p>
    <w:p w14:paraId="5919E045">
      <w:pPr>
        <w:snapToGrid w:val="0"/>
        <w:spacing w:line="360" w:lineRule="auto"/>
        <w:ind w:firstLine="482"/>
        <w:rPr>
          <w:rFonts w:hint="eastAsia" w:ascii="仿宋" w:hAnsi="仿宋" w:eastAsia="仿宋" w:cs="仿宋"/>
          <w:bCs/>
          <w:color w:val="auto"/>
          <w:kern w:val="0"/>
          <w:sz w:val="24"/>
          <w:highlight w:val="none"/>
          <w:lang w:val="en-US" w:eastAsia="zh-CN" w:bidi="ar"/>
        </w:rPr>
      </w:pPr>
      <w:r>
        <w:rPr>
          <w:rFonts w:hint="eastAsia" w:ascii="仿宋" w:hAnsi="仿宋" w:eastAsia="仿宋" w:cs="仿宋"/>
          <w:b w:val="0"/>
          <w:bCs/>
          <w:color w:val="auto"/>
          <w:sz w:val="24"/>
          <w:highlight w:val="none"/>
          <w:lang w:val="en-US" w:eastAsia="zh-CN"/>
        </w:rPr>
        <w:t>5.4</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Cs/>
          <w:color w:val="auto"/>
          <w:kern w:val="0"/>
          <w:sz w:val="24"/>
          <w:highlight w:val="none"/>
          <w:lang w:val="en-US" w:eastAsia="zh-CN" w:bidi="ar"/>
        </w:rPr>
        <w:t>计算方式</w:t>
      </w:r>
    </w:p>
    <w:tbl>
      <w:tblPr>
        <w:tblStyle w:val="41"/>
        <w:tblW w:w="0" w:type="auto"/>
        <w:jc w:val="center"/>
        <w:tblLayout w:type="fixed"/>
        <w:tblCellMar>
          <w:top w:w="0" w:type="dxa"/>
          <w:left w:w="108" w:type="dxa"/>
          <w:bottom w:w="0" w:type="dxa"/>
          <w:right w:w="108" w:type="dxa"/>
        </w:tblCellMar>
      </w:tblPr>
      <w:tblGrid>
        <w:gridCol w:w="9000"/>
      </w:tblGrid>
      <w:tr w14:paraId="5DB890FA">
        <w:tblPrEx>
          <w:tblCellMar>
            <w:top w:w="0" w:type="dxa"/>
            <w:left w:w="108" w:type="dxa"/>
            <w:bottom w:w="0" w:type="dxa"/>
            <w:right w:w="108" w:type="dxa"/>
          </w:tblCellMar>
        </w:tblPrEx>
        <w:trPr>
          <w:trHeight w:val="423" w:hRule="atLeast"/>
          <w:jc w:val="center"/>
        </w:trPr>
        <w:tc>
          <w:tcPr>
            <w:tcW w:w="9000" w:type="dxa"/>
            <w:tcBorders>
              <w:top w:val="single" w:color="auto" w:sz="4" w:space="0"/>
              <w:left w:val="single" w:color="auto" w:sz="4" w:space="0"/>
              <w:bottom w:val="single" w:color="auto" w:sz="4" w:space="0"/>
              <w:right w:val="single" w:color="auto" w:sz="4" w:space="0"/>
            </w:tcBorders>
            <w:noWrap w:val="0"/>
            <w:vAlign w:val="center"/>
          </w:tcPr>
          <w:p w14:paraId="0629A622">
            <w:pPr>
              <w:widowControl/>
              <w:wordWrap w:val="0"/>
              <w:snapToGrid w:val="0"/>
              <w:spacing w:line="440" w:lineRule="atLeast"/>
              <w:ind w:firstLine="480"/>
              <w:jc w:val="left"/>
              <w:rPr>
                <w:rFonts w:hint="eastAsia" w:ascii="仿宋" w:hAnsi="仿宋" w:eastAsia="仿宋" w:cs="仿宋"/>
                <w:bCs/>
                <w:color w:val="auto"/>
                <w:kern w:val="0"/>
                <w:sz w:val="24"/>
                <w:highlight w:val="none"/>
                <w:lang w:bidi="ar"/>
              </w:rPr>
            </w:pP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val="en-US" w:eastAsia="zh-CN" w:bidi="ar"/>
              </w:rPr>
              <w:t>1</w:t>
            </w:r>
            <w:r>
              <w:rPr>
                <w:rFonts w:hint="eastAsia" w:ascii="仿宋" w:hAnsi="仿宋" w:eastAsia="仿宋" w:cs="仿宋"/>
                <w:bCs/>
                <w:color w:val="auto"/>
                <w:kern w:val="0"/>
                <w:sz w:val="24"/>
                <w:highlight w:val="none"/>
                <w:lang w:eastAsia="zh-CN" w:bidi="ar"/>
              </w:rPr>
              <w:t>）</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Cs/>
                <w:color w:val="auto"/>
                <w:kern w:val="0"/>
                <w:sz w:val="24"/>
                <w:highlight w:val="none"/>
                <w:lang w:val="en-US" w:eastAsia="zh-CN" w:bidi="ar"/>
              </w:rPr>
              <w:t>由基本收费和效益收费两部分组成</w:t>
            </w:r>
            <w:r>
              <w:rPr>
                <w:rFonts w:hint="eastAsia" w:ascii="仿宋" w:hAnsi="仿宋" w:eastAsia="仿宋" w:cs="仿宋"/>
                <w:bCs/>
                <w:color w:val="auto"/>
                <w:kern w:val="0"/>
                <w:sz w:val="24"/>
                <w:highlight w:val="none"/>
                <w:lang w:bidi="ar"/>
              </w:rPr>
              <w:t>；</w:t>
            </w:r>
          </w:p>
          <w:p w14:paraId="214A0C6F">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（2）送审项目1-7</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
                <w:bCs w:val="0"/>
                <w:color w:val="auto"/>
                <w:kern w:val="0"/>
                <w:sz w:val="24"/>
                <w:highlight w:val="none"/>
                <w:lang w:val="en-US" w:eastAsia="zh-CN" w:bidi="ar"/>
              </w:rPr>
              <w:t>结算价</w:t>
            </w:r>
            <w:r>
              <w:rPr>
                <w:rFonts w:hint="eastAsia" w:ascii="仿宋" w:hAnsi="仿宋" w:eastAsia="仿宋" w:cs="仿宋"/>
                <w:bCs/>
                <w:color w:val="auto"/>
                <w:kern w:val="0"/>
                <w:sz w:val="24"/>
                <w:highlight w:val="none"/>
                <w:lang w:val="en-US" w:eastAsia="zh-CN" w:bidi="ar"/>
              </w:rPr>
              <w:t>=基本收费结算价＋效益收费结算价</w:t>
            </w:r>
          </w:p>
          <w:p w14:paraId="69512CAD">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基本收费结算价=</w:t>
            </w:r>
            <w:r>
              <w:rPr>
                <w:rFonts w:hint="eastAsia" w:ascii="仿宋" w:hAnsi="仿宋" w:eastAsia="仿宋" w:cs="仿宋"/>
                <w:b/>
                <w:bCs w:val="0"/>
                <w:color w:val="auto"/>
                <w:kern w:val="0"/>
                <w:sz w:val="24"/>
                <w:highlight w:val="none"/>
                <w:lang w:val="en-US" w:eastAsia="zh-CN" w:bidi="ar"/>
              </w:rPr>
              <w:t>∑各送审项目最终审核定案金额（即结算单审报告或双审</w:t>
            </w:r>
            <w:r>
              <w:rPr>
                <w:rFonts w:hint="eastAsia" w:ascii="仿宋" w:hAnsi="仿宋" w:eastAsia="仿宋" w:cs="仿宋"/>
                <w:b/>
                <w:bCs w:val="0"/>
                <w:color w:val="auto"/>
                <w:kern w:val="0"/>
                <w:sz w:val="24"/>
                <w:highlight w:val="none"/>
                <w:u w:val="single"/>
                <w:lang w:val="en-US" w:eastAsia="zh-CN" w:bidi="ar"/>
              </w:rPr>
              <w:t>复审</w:t>
            </w:r>
            <w:r>
              <w:rPr>
                <w:rFonts w:hint="eastAsia" w:ascii="仿宋" w:hAnsi="仿宋" w:eastAsia="仿宋" w:cs="仿宋"/>
                <w:b/>
                <w:bCs w:val="0"/>
                <w:color w:val="auto"/>
                <w:kern w:val="0"/>
                <w:sz w:val="24"/>
                <w:highlight w:val="none"/>
                <w:lang w:val="en-US" w:eastAsia="zh-CN" w:bidi="ar"/>
              </w:rPr>
              <w:t>报告的定案金额）为基数，</w:t>
            </w:r>
            <w:r>
              <w:rPr>
                <w:rFonts w:hint="eastAsia" w:ascii="仿宋" w:hAnsi="仿宋" w:eastAsia="仿宋" w:cs="仿宋"/>
                <w:bCs/>
                <w:color w:val="auto"/>
                <w:kern w:val="0"/>
                <w:sz w:val="24"/>
                <w:highlight w:val="none"/>
                <w:lang w:val="en-US" w:eastAsia="zh-CN" w:bidi="ar"/>
              </w:rPr>
              <w:t>按照《佛山市南海区财政局工程造价咨询服务收费标准表》（FS2025（NH）WZ0002）</w:t>
            </w:r>
            <w:r>
              <w:rPr>
                <w:rFonts w:hint="eastAsia" w:ascii="仿宋" w:hAnsi="仿宋" w:eastAsia="仿宋" w:cs="仿宋"/>
                <w:bCs/>
                <w:color w:val="auto"/>
                <w:kern w:val="0"/>
                <w:sz w:val="24"/>
                <w:highlight w:val="none"/>
                <w:vertAlign w:val="baseline"/>
                <w:lang w:val="en-US" w:eastAsia="zh-CN" w:bidi="ar"/>
              </w:rPr>
              <w:t>中“</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栏及备注第9点”计算的造价咨询服务费</w:t>
            </w:r>
            <w:r>
              <w:rPr>
                <w:rFonts w:hint="eastAsia" w:ascii="仿宋" w:hAnsi="仿宋" w:eastAsia="仿宋" w:cs="仿宋"/>
                <w:bCs/>
                <w:color w:val="auto"/>
                <w:kern w:val="0"/>
                <w:sz w:val="24"/>
                <w:highlight w:val="none"/>
                <w:lang w:val="en-US" w:eastAsia="zh-CN" w:bidi="ar"/>
              </w:rPr>
              <w:t>×结算审核服务费折率。</w:t>
            </w:r>
          </w:p>
          <w:p w14:paraId="13BA0789">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效益收费结算价=∑各送审项目核减额（即结算单审报告或</w:t>
            </w:r>
            <w:r>
              <w:rPr>
                <w:rFonts w:hint="eastAsia" w:ascii="仿宋" w:hAnsi="仿宋" w:eastAsia="仿宋" w:cs="仿宋"/>
                <w:b/>
                <w:bCs w:val="0"/>
                <w:color w:val="auto"/>
                <w:kern w:val="0"/>
                <w:sz w:val="24"/>
                <w:highlight w:val="none"/>
                <w:lang w:val="en-US" w:eastAsia="zh-CN" w:bidi="ar"/>
              </w:rPr>
              <w:t>双审初审</w:t>
            </w:r>
            <w:r>
              <w:rPr>
                <w:rFonts w:hint="eastAsia" w:ascii="仿宋" w:hAnsi="仿宋" w:eastAsia="仿宋" w:cs="仿宋"/>
                <w:bCs/>
                <w:color w:val="auto"/>
                <w:kern w:val="0"/>
                <w:sz w:val="24"/>
                <w:highlight w:val="none"/>
                <w:lang w:val="en-US" w:eastAsia="zh-CN" w:bidi="ar"/>
              </w:rPr>
              <w:t>报告的定案金额－送审金额）×4.50%×结算审核服务费折率。</w:t>
            </w:r>
          </w:p>
          <w:p w14:paraId="4F60A422">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（3）送审项目8-14</w:t>
            </w:r>
            <w:r>
              <w:rPr>
                <w:rFonts w:hint="eastAsia" w:ascii="仿宋" w:hAnsi="仿宋" w:eastAsia="仿宋" w:cs="仿宋"/>
                <w:bCs/>
                <w:color w:val="auto"/>
                <w:kern w:val="0"/>
                <w:sz w:val="24"/>
                <w:highlight w:val="none"/>
                <w:lang w:bidi="ar"/>
              </w:rPr>
              <w:t>结算审核咨询服务费</w:t>
            </w:r>
            <w:r>
              <w:rPr>
                <w:rFonts w:hint="eastAsia" w:ascii="仿宋" w:hAnsi="仿宋" w:eastAsia="仿宋" w:cs="仿宋"/>
                <w:b/>
                <w:bCs w:val="0"/>
                <w:color w:val="auto"/>
                <w:kern w:val="0"/>
                <w:sz w:val="24"/>
                <w:highlight w:val="none"/>
                <w:lang w:val="en-US" w:eastAsia="zh-CN" w:bidi="ar"/>
              </w:rPr>
              <w:t>结算价</w:t>
            </w:r>
            <w:r>
              <w:rPr>
                <w:rFonts w:hint="eastAsia" w:ascii="仿宋" w:hAnsi="仿宋" w:eastAsia="仿宋" w:cs="仿宋"/>
                <w:bCs/>
                <w:color w:val="auto"/>
                <w:kern w:val="0"/>
                <w:sz w:val="24"/>
                <w:highlight w:val="none"/>
                <w:lang w:val="en-US" w:eastAsia="zh-CN" w:bidi="ar"/>
              </w:rPr>
              <w:t>=基本收费结算价＋效益收费结算价</w:t>
            </w:r>
          </w:p>
          <w:p w14:paraId="43E92ED9">
            <w:pPr>
              <w:widowControl/>
              <w:wordWrap w:val="0"/>
              <w:snapToGrid w:val="0"/>
              <w:spacing w:line="440" w:lineRule="atLeast"/>
              <w:ind w:firstLine="48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基本收费结算价=</w:t>
            </w:r>
            <w:r>
              <w:rPr>
                <w:rFonts w:hint="eastAsia" w:ascii="仿宋" w:hAnsi="仿宋" w:eastAsia="仿宋" w:cs="仿宋"/>
                <w:b/>
                <w:bCs w:val="0"/>
                <w:color w:val="auto"/>
                <w:kern w:val="0"/>
                <w:sz w:val="24"/>
                <w:highlight w:val="none"/>
                <w:lang w:val="en-US" w:eastAsia="zh-CN" w:bidi="ar"/>
              </w:rPr>
              <w:t>∑各送审项目最终审核定案金额（即结算单审报告或双审</w:t>
            </w:r>
            <w:r>
              <w:rPr>
                <w:rFonts w:hint="eastAsia" w:ascii="仿宋" w:hAnsi="仿宋" w:eastAsia="仿宋" w:cs="仿宋"/>
                <w:b/>
                <w:bCs w:val="0"/>
                <w:color w:val="auto"/>
                <w:kern w:val="0"/>
                <w:sz w:val="24"/>
                <w:highlight w:val="none"/>
                <w:u w:val="single"/>
                <w:lang w:val="en-US" w:eastAsia="zh-CN" w:bidi="ar"/>
              </w:rPr>
              <w:t>复审</w:t>
            </w:r>
            <w:r>
              <w:rPr>
                <w:rFonts w:hint="eastAsia" w:ascii="仿宋" w:hAnsi="仿宋" w:eastAsia="仿宋" w:cs="仿宋"/>
                <w:b/>
                <w:bCs w:val="0"/>
                <w:color w:val="auto"/>
                <w:kern w:val="0"/>
                <w:sz w:val="24"/>
                <w:highlight w:val="none"/>
                <w:lang w:val="en-US" w:eastAsia="zh-CN" w:bidi="ar"/>
              </w:rPr>
              <w:t>报告的定案金额）为基数，</w:t>
            </w:r>
            <w:r>
              <w:rPr>
                <w:rFonts w:hint="eastAsia" w:ascii="仿宋" w:hAnsi="仿宋" w:eastAsia="仿宋" w:cs="仿宋"/>
                <w:bCs/>
                <w:color w:val="auto"/>
                <w:kern w:val="0"/>
                <w:sz w:val="24"/>
                <w:highlight w:val="none"/>
                <w:lang w:val="en-US" w:eastAsia="zh-CN" w:bidi="ar"/>
              </w:rPr>
              <w:t>按照《佛山市南海区财政局工程造价咨询服务收费标准表》（FS2025（NH）WZ0002）</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w:t>
            </w:r>
            <w:r>
              <w:rPr>
                <w:rFonts w:hint="eastAsia" w:ascii="仿宋" w:hAnsi="仿宋" w:eastAsia="仿宋" w:cs="仿宋"/>
                <w:bCs/>
                <w:color w:val="auto"/>
                <w:kern w:val="0"/>
                <w:sz w:val="24"/>
                <w:highlight w:val="none"/>
                <w:lang w:val="en-US" w:eastAsia="zh-CN" w:bidi="ar"/>
              </w:rPr>
              <w:t>计算的造价咨询服务费×结算审核服务费折率。</w:t>
            </w:r>
          </w:p>
          <w:p w14:paraId="635DF502">
            <w:pPr>
              <w:widowControl/>
              <w:wordWrap w:val="0"/>
              <w:snapToGrid w:val="0"/>
              <w:spacing w:line="440" w:lineRule="atLeast"/>
              <w:ind w:firstLine="480"/>
              <w:jc w:val="left"/>
              <w:rPr>
                <w:rFonts w:hint="default"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lang w:val="en-US" w:eastAsia="zh-CN" w:bidi="ar"/>
              </w:rPr>
              <w:t>效益收费结算价=∑各送审项目核减额（即结算单审报告或</w:t>
            </w:r>
            <w:r>
              <w:rPr>
                <w:rFonts w:hint="eastAsia" w:ascii="仿宋" w:hAnsi="仿宋" w:eastAsia="仿宋" w:cs="仿宋"/>
                <w:b/>
                <w:bCs w:val="0"/>
                <w:color w:val="auto"/>
                <w:kern w:val="0"/>
                <w:sz w:val="24"/>
                <w:highlight w:val="none"/>
                <w:lang w:val="en-US" w:eastAsia="zh-CN" w:bidi="ar"/>
              </w:rPr>
              <w:t>双审初审</w:t>
            </w:r>
            <w:r>
              <w:rPr>
                <w:rFonts w:hint="eastAsia" w:ascii="仿宋" w:hAnsi="仿宋" w:eastAsia="仿宋" w:cs="仿宋"/>
                <w:bCs/>
                <w:color w:val="auto"/>
                <w:kern w:val="0"/>
                <w:sz w:val="24"/>
                <w:highlight w:val="none"/>
                <w:lang w:val="en-US" w:eastAsia="zh-CN" w:bidi="ar"/>
              </w:rPr>
              <w:t>报告的定案金额－送审金额）×4.50%×结算审核服务费折率。</w:t>
            </w:r>
          </w:p>
        </w:tc>
      </w:tr>
    </w:tbl>
    <w:p w14:paraId="35B373BA">
      <w:pPr>
        <w:snapToGrid w:val="0"/>
        <w:spacing w:line="360" w:lineRule="auto"/>
        <w:ind w:firstLine="482"/>
        <w:rPr>
          <w:rFonts w:hint="eastAsia" w:ascii="仿宋" w:hAnsi="仿宋" w:eastAsia="仿宋" w:cs="仿宋"/>
          <w:bCs/>
          <w:color w:val="auto"/>
          <w:kern w:val="0"/>
          <w:sz w:val="24"/>
          <w:highlight w:val="none"/>
          <w:lang w:val="en-US" w:eastAsia="zh-CN" w:bidi="ar"/>
        </w:rPr>
      </w:pPr>
    </w:p>
    <w:p w14:paraId="1C460B90">
      <w:pPr>
        <w:snapToGrid w:val="0"/>
        <w:spacing w:line="360" w:lineRule="auto"/>
        <w:ind w:firstLine="482"/>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lang w:val="en-US" w:eastAsia="zh-CN" w:bidi="ar"/>
        </w:rPr>
        <w:t>5.5暂定计费基数</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566"/>
        <w:gridCol w:w="1717"/>
        <w:gridCol w:w="1504"/>
      </w:tblGrid>
      <w:tr w14:paraId="34E9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206C8508">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序号</w:t>
            </w:r>
          </w:p>
        </w:tc>
        <w:tc>
          <w:tcPr>
            <w:tcW w:w="5566" w:type="dxa"/>
            <w:vAlign w:val="center"/>
          </w:tcPr>
          <w:p w14:paraId="6A132397">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送审项目名称</w:t>
            </w:r>
          </w:p>
        </w:tc>
        <w:tc>
          <w:tcPr>
            <w:tcW w:w="1717" w:type="dxa"/>
            <w:vAlign w:val="center"/>
          </w:tcPr>
          <w:p w14:paraId="65072048">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暂定计费基数</w:t>
            </w:r>
          </w:p>
        </w:tc>
        <w:tc>
          <w:tcPr>
            <w:tcW w:w="1504" w:type="dxa"/>
            <w:vAlign w:val="center"/>
          </w:tcPr>
          <w:p w14:paraId="54E3F55B">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过程支付暂定计费费率</w:t>
            </w:r>
          </w:p>
        </w:tc>
      </w:tr>
      <w:tr w14:paraId="48DA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06" w:type="dxa"/>
            <w:vAlign w:val="center"/>
          </w:tcPr>
          <w:p w14:paraId="702F05EF">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w:t>
            </w:r>
          </w:p>
        </w:tc>
        <w:tc>
          <w:tcPr>
            <w:tcW w:w="5566" w:type="dxa"/>
            <w:vAlign w:val="center"/>
          </w:tcPr>
          <w:p w14:paraId="3D67C2C7">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南海文化中心项目土建施工总承包</w:t>
            </w:r>
          </w:p>
        </w:tc>
        <w:tc>
          <w:tcPr>
            <w:tcW w:w="1717" w:type="dxa"/>
            <w:vMerge w:val="restart"/>
            <w:vAlign w:val="center"/>
          </w:tcPr>
          <w:p w14:paraId="3CF6E77C">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101479万元</w:t>
            </w:r>
          </w:p>
        </w:tc>
        <w:tc>
          <w:tcPr>
            <w:tcW w:w="1504" w:type="dxa"/>
            <w:vMerge w:val="restart"/>
            <w:vAlign w:val="center"/>
          </w:tcPr>
          <w:p w14:paraId="25D093C1">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0.00788%</w:t>
            </w:r>
          </w:p>
        </w:tc>
      </w:tr>
      <w:tr w14:paraId="4F4F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3B9CE360">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2</w:t>
            </w:r>
          </w:p>
        </w:tc>
        <w:tc>
          <w:tcPr>
            <w:tcW w:w="5566" w:type="dxa"/>
            <w:vAlign w:val="center"/>
          </w:tcPr>
          <w:p w14:paraId="480C1170">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南海文化中心项目-图书馆专用设备采购项目</w:t>
            </w:r>
          </w:p>
        </w:tc>
        <w:tc>
          <w:tcPr>
            <w:tcW w:w="1717" w:type="dxa"/>
            <w:vMerge w:val="continue"/>
            <w:vAlign w:val="center"/>
          </w:tcPr>
          <w:p w14:paraId="0A62986C">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4286361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686C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4935F9AA">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3</w:t>
            </w:r>
          </w:p>
        </w:tc>
        <w:tc>
          <w:tcPr>
            <w:tcW w:w="5566" w:type="dxa"/>
            <w:vAlign w:val="center"/>
          </w:tcPr>
          <w:p w14:paraId="4B37D3C2">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南海文化中心项目电梯设备采购与安装工程</w:t>
            </w:r>
          </w:p>
        </w:tc>
        <w:tc>
          <w:tcPr>
            <w:tcW w:w="1717" w:type="dxa"/>
            <w:vMerge w:val="continue"/>
            <w:vAlign w:val="center"/>
          </w:tcPr>
          <w:p w14:paraId="7A4A2AD0">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650B363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2467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1DFD17C9">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4</w:t>
            </w:r>
          </w:p>
        </w:tc>
        <w:tc>
          <w:tcPr>
            <w:tcW w:w="5566" w:type="dxa"/>
            <w:vAlign w:val="center"/>
          </w:tcPr>
          <w:p w14:paraId="2C7B1E5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南海文化中心项目-图书馆专用家具采购项目</w:t>
            </w:r>
          </w:p>
        </w:tc>
        <w:tc>
          <w:tcPr>
            <w:tcW w:w="1717" w:type="dxa"/>
            <w:vMerge w:val="continue"/>
            <w:vAlign w:val="center"/>
          </w:tcPr>
          <w:p w14:paraId="21729BF3">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474CDE9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193A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4E856D48">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5</w:t>
            </w:r>
          </w:p>
        </w:tc>
        <w:tc>
          <w:tcPr>
            <w:tcW w:w="5566" w:type="dxa"/>
            <w:vAlign w:val="center"/>
          </w:tcPr>
          <w:p w14:paraId="4D12A01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南海文化中心项目(综合表演厅、黑匣子剧场、文化馆粤剧表演厅和录音室)舞台设备供应及安装</w:t>
            </w:r>
          </w:p>
        </w:tc>
        <w:tc>
          <w:tcPr>
            <w:tcW w:w="1717" w:type="dxa"/>
            <w:vMerge w:val="continue"/>
            <w:vAlign w:val="center"/>
          </w:tcPr>
          <w:p w14:paraId="4F0F542E">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0C135855">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01A8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7D77E5FD">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6</w:t>
            </w:r>
          </w:p>
        </w:tc>
        <w:tc>
          <w:tcPr>
            <w:tcW w:w="5566" w:type="dxa"/>
            <w:vAlign w:val="center"/>
          </w:tcPr>
          <w:p w14:paraId="28519F84">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南海文化中心项目办公家具、用具采购</w:t>
            </w:r>
          </w:p>
        </w:tc>
        <w:tc>
          <w:tcPr>
            <w:tcW w:w="1717" w:type="dxa"/>
            <w:vMerge w:val="continue"/>
            <w:vAlign w:val="center"/>
          </w:tcPr>
          <w:p w14:paraId="71B10BD8">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1DD2CCF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558A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14CF7EBD">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7</w:t>
            </w:r>
          </w:p>
        </w:tc>
        <w:tc>
          <w:tcPr>
            <w:tcW w:w="5566" w:type="dxa"/>
            <w:vAlign w:val="center"/>
          </w:tcPr>
          <w:p w14:paraId="6948631A">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其他采购及服务</w:t>
            </w:r>
          </w:p>
        </w:tc>
        <w:tc>
          <w:tcPr>
            <w:tcW w:w="1717" w:type="dxa"/>
            <w:vMerge w:val="continue"/>
            <w:vAlign w:val="center"/>
          </w:tcPr>
          <w:p w14:paraId="535F1C72">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043437B1">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8B8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6E3803AC">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8</w:t>
            </w:r>
          </w:p>
        </w:tc>
        <w:tc>
          <w:tcPr>
            <w:tcW w:w="5566" w:type="dxa"/>
            <w:vAlign w:val="center"/>
          </w:tcPr>
          <w:p w14:paraId="343BC47C">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南海文化中心项目幕墙系统工程</w:t>
            </w:r>
          </w:p>
        </w:tc>
        <w:tc>
          <w:tcPr>
            <w:tcW w:w="1717" w:type="dxa"/>
            <w:vMerge w:val="restart"/>
            <w:vAlign w:val="center"/>
          </w:tcPr>
          <w:p w14:paraId="1A02BF4C">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103503万元</w:t>
            </w:r>
          </w:p>
        </w:tc>
        <w:tc>
          <w:tcPr>
            <w:tcW w:w="1504" w:type="dxa"/>
            <w:vMerge w:val="restart"/>
            <w:vAlign w:val="center"/>
          </w:tcPr>
          <w:p w14:paraId="125DB503">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0.05072%</w:t>
            </w:r>
          </w:p>
        </w:tc>
      </w:tr>
      <w:tr w14:paraId="24C7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2E2C0911">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9</w:t>
            </w:r>
          </w:p>
        </w:tc>
        <w:tc>
          <w:tcPr>
            <w:tcW w:w="5566" w:type="dxa"/>
            <w:vAlign w:val="center"/>
          </w:tcPr>
          <w:p w14:paraId="71EBDF5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南海文化中心项目高低压变配电工程</w:t>
            </w:r>
          </w:p>
        </w:tc>
        <w:tc>
          <w:tcPr>
            <w:tcW w:w="1717" w:type="dxa"/>
            <w:vMerge w:val="continue"/>
            <w:vAlign w:val="center"/>
          </w:tcPr>
          <w:p w14:paraId="7526C662">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6797E00A">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131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75C64F17">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10</w:t>
            </w:r>
          </w:p>
        </w:tc>
        <w:tc>
          <w:tcPr>
            <w:tcW w:w="5566" w:type="dxa"/>
            <w:vAlign w:val="center"/>
          </w:tcPr>
          <w:p w14:paraId="3CEEEA0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南海文化中心项目装修及机电安装工程</w:t>
            </w:r>
          </w:p>
        </w:tc>
        <w:tc>
          <w:tcPr>
            <w:tcW w:w="1717" w:type="dxa"/>
            <w:vMerge w:val="continue"/>
            <w:vAlign w:val="center"/>
          </w:tcPr>
          <w:p w14:paraId="224C140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53026D4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22C1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31CA3D25">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11</w:t>
            </w:r>
          </w:p>
        </w:tc>
        <w:tc>
          <w:tcPr>
            <w:tcW w:w="5566" w:type="dxa"/>
            <w:vAlign w:val="center"/>
          </w:tcPr>
          <w:p w14:paraId="13561DA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南海文化中心项目--三圣河(南海文化中心段)改造</w:t>
            </w:r>
          </w:p>
        </w:tc>
        <w:tc>
          <w:tcPr>
            <w:tcW w:w="1717" w:type="dxa"/>
            <w:vMerge w:val="continue"/>
            <w:vAlign w:val="center"/>
          </w:tcPr>
          <w:p w14:paraId="5272FBBF">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009A700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4D11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2ED69B64">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12</w:t>
            </w:r>
          </w:p>
        </w:tc>
        <w:tc>
          <w:tcPr>
            <w:tcW w:w="5566" w:type="dxa"/>
            <w:vAlign w:val="center"/>
          </w:tcPr>
          <w:p w14:paraId="22E356B3">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南海文化中心项目智能化工程</w:t>
            </w:r>
          </w:p>
        </w:tc>
        <w:tc>
          <w:tcPr>
            <w:tcW w:w="1717" w:type="dxa"/>
            <w:vMerge w:val="continue"/>
            <w:vAlign w:val="center"/>
          </w:tcPr>
          <w:p w14:paraId="43B4FC79">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338E7612">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423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7F3BFD1B">
            <w:pPr>
              <w:snapToGrid w:val="0"/>
              <w:spacing w:line="360" w:lineRule="auto"/>
              <w:jc w:val="center"/>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13</w:t>
            </w:r>
          </w:p>
        </w:tc>
        <w:tc>
          <w:tcPr>
            <w:tcW w:w="5566" w:type="dxa"/>
            <w:vAlign w:val="center"/>
          </w:tcPr>
          <w:p w14:paraId="73342F9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南海文化中心项目自然科学探索馆布展工程</w:t>
            </w:r>
          </w:p>
        </w:tc>
        <w:tc>
          <w:tcPr>
            <w:tcW w:w="1717" w:type="dxa"/>
            <w:vMerge w:val="continue"/>
            <w:vAlign w:val="center"/>
          </w:tcPr>
          <w:p w14:paraId="1DB9DA53">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7AAF056B">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35DF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32C510E7">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14</w:t>
            </w:r>
          </w:p>
        </w:tc>
        <w:tc>
          <w:tcPr>
            <w:tcW w:w="5566" w:type="dxa"/>
            <w:vAlign w:val="center"/>
          </w:tcPr>
          <w:p w14:paraId="00AC4704">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其他工程项目</w:t>
            </w:r>
          </w:p>
        </w:tc>
        <w:tc>
          <w:tcPr>
            <w:tcW w:w="1717" w:type="dxa"/>
            <w:vMerge w:val="continue"/>
            <w:vAlign w:val="center"/>
          </w:tcPr>
          <w:p w14:paraId="4D903A36">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c>
          <w:tcPr>
            <w:tcW w:w="1504" w:type="dxa"/>
            <w:vMerge w:val="continue"/>
            <w:vAlign w:val="center"/>
          </w:tcPr>
          <w:p w14:paraId="2E8F116A">
            <w:pPr>
              <w:snapToGrid w:val="0"/>
              <w:spacing w:line="360" w:lineRule="auto"/>
              <w:jc w:val="center"/>
              <w:rPr>
                <w:rFonts w:hint="eastAsia" w:ascii="仿宋" w:hAnsi="仿宋" w:eastAsia="仿宋" w:cs="仿宋"/>
                <w:bCs/>
                <w:color w:val="auto"/>
                <w:kern w:val="0"/>
                <w:sz w:val="24"/>
                <w:highlight w:val="none"/>
                <w:vertAlign w:val="baseline"/>
                <w:lang w:val="en-US" w:eastAsia="zh-CN" w:bidi="ar"/>
              </w:rPr>
            </w:pPr>
          </w:p>
        </w:tc>
      </w:tr>
      <w:tr w14:paraId="2DD1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4"/>
            <w:vAlign w:val="center"/>
          </w:tcPr>
          <w:p w14:paraId="6406CC8B">
            <w:pPr>
              <w:snapToGrid w:val="0"/>
              <w:spacing w:line="360" w:lineRule="auto"/>
              <w:ind w:firstLine="0" w:firstLineChars="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vertAlign w:val="baseline"/>
                <w:lang w:val="en-US" w:eastAsia="zh-CN" w:bidi="ar"/>
              </w:rPr>
              <w:t>注：（1）</w:t>
            </w:r>
            <w:r>
              <w:rPr>
                <w:rFonts w:hint="eastAsia" w:ascii="仿宋" w:hAnsi="仿宋" w:eastAsia="仿宋" w:cs="仿宋"/>
                <w:bCs/>
                <w:color w:val="auto"/>
                <w:kern w:val="0"/>
                <w:sz w:val="24"/>
                <w:highlight w:val="none"/>
                <w:lang w:val="en-US" w:eastAsia="zh-CN" w:bidi="ar"/>
              </w:rPr>
              <w:t>送审项目1-7</w:t>
            </w:r>
            <w:r>
              <w:rPr>
                <w:rFonts w:hint="eastAsia" w:ascii="仿宋" w:hAnsi="仿宋" w:eastAsia="仿宋" w:cs="仿宋"/>
                <w:bCs/>
                <w:color w:val="auto"/>
                <w:kern w:val="0"/>
                <w:sz w:val="24"/>
                <w:highlight w:val="none"/>
                <w:vertAlign w:val="baseline"/>
                <w:lang w:val="en-US" w:eastAsia="zh-CN" w:bidi="ar"/>
              </w:rPr>
              <w:t>过程支付暂定计费费率</w:t>
            </w:r>
            <w:r>
              <w:rPr>
                <w:rFonts w:hint="eastAsia" w:ascii="仿宋" w:hAnsi="仿宋" w:eastAsia="仿宋" w:cs="仿宋"/>
                <w:bCs/>
                <w:color w:val="auto"/>
                <w:kern w:val="0"/>
                <w:sz w:val="24"/>
                <w:highlight w:val="none"/>
                <w:lang w:val="en-US" w:eastAsia="zh-CN" w:bidi="ar"/>
              </w:rPr>
              <w:t>：</w:t>
            </w:r>
          </w:p>
          <w:p w14:paraId="616A0F27">
            <w:pPr>
              <w:snapToGrid w:val="0"/>
              <w:spacing w:line="360" w:lineRule="auto"/>
              <w:ind w:firstLine="480" w:firstLineChars="200"/>
              <w:jc w:val="left"/>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过程支付暂定计费费率=暂定计费基数按照《佛山市南海区财政局工程造价咨询服务收费标准表》（FS2025（NH）WZ0002）中“</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栏及备注第9点”计算的造价咨询服务费×0.65÷暂定计费基数（101479万元）</w:t>
            </w:r>
          </w:p>
          <w:p w14:paraId="0FB8A960">
            <w:pPr>
              <w:snapToGrid w:val="0"/>
              <w:spacing w:line="360" w:lineRule="auto"/>
              <w:ind w:firstLine="480" w:firstLineChars="200"/>
              <w:jc w:val="left"/>
              <w:rPr>
                <w:rFonts w:hint="eastAsia" w:ascii="仿宋" w:hAnsi="仿宋" w:eastAsia="仿宋" w:cs="仿宋"/>
                <w:bCs/>
                <w:color w:val="auto"/>
                <w:kern w:val="0"/>
                <w:sz w:val="24"/>
                <w:highlight w:val="none"/>
                <w:lang w:val="en-US" w:eastAsia="zh-CN" w:bidi="ar"/>
              </w:rPr>
            </w:pPr>
            <w:r>
              <w:rPr>
                <w:rFonts w:hint="eastAsia" w:ascii="仿宋" w:hAnsi="仿宋" w:eastAsia="仿宋" w:cs="仿宋"/>
                <w:bCs/>
                <w:color w:val="auto"/>
                <w:kern w:val="0"/>
                <w:sz w:val="24"/>
                <w:highlight w:val="none"/>
                <w:vertAlign w:val="baseline"/>
                <w:lang w:val="en-US" w:eastAsia="zh-CN" w:bidi="ar"/>
              </w:rPr>
              <w:t>（2）</w:t>
            </w:r>
            <w:r>
              <w:rPr>
                <w:rFonts w:hint="eastAsia" w:ascii="仿宋" w:hAnsi="仿宋" w:eastAsia="仿宋" w:cs="仿宋"/>
                <w:bCs/>
                <w:color w:val="auto"/>
                <w:kern w:val="0"/>
                <w:sz w:val="24"/>
                <w:highlight w:val="none"/>
                <w:lang w:val="en-US" w:eastAsia="zh-CN" w:bidi="ar"/>
              </w:rPr>
              <w:t>送审项目8-14</w:t>
            </w:r>
            <w:r>
              <w:rPr>
                <w:rFonts w:hint="eastAsia" w:ascii="仿宋" w:hAnsi="仿宋" w:eastAsia="仿宋" w:cs="仿宋"/>
                <w:bCs/>
                <w:color w:val="auto"/>
                <w:kern w:val="0"/>
                <w:sz w:val="24"/>
                <w:highlight w:val="none"/>
                <w:vertAlign w:val="baseline"/>
                <w:lang w:val="en-US" w:eastAsia="zh-CN" w:bidi="ar"/>
              </w:rPr>
              <w:t>过程支付暂定计费费率</w:t>
            </w:r>
            <w:r>
              <w:rPr>
                <w:rFonts w:hint="eastAsia" w:ascii="仿宋" w:hAnsi="仿宋" w:eastAsia="仿宋" w:cs="仿宋"/>
                <w:bCs/>
                <w:color w:val="auto"/>
                <w:kern w:val="0"/>
                <w:sz w:val="24"/>
                <w:highlight w:val="none"/>
                <w:lang w:val="en-US" w:eastAsia="zh-CN" w:bidi="ar"/>
              </w:rPr>
              <w:t>：</w:t>
            </w:r>
          </w:p>
          <w:p w14:paraId="2E890802">
            <w:pPr>
              <w:snapToGrid w:val="0"/>
              <w:spacing w:line="360" w:lineRule="auto"/>
              <w:ind w:firstLine="480" w:firstLineChars="200"/>
              <w:jc w:val="left"/>
              <w:rPr>
                <w:rFonts w:hint="default" w:ascii="仿宋" w:hAnsi="仿宋" w:eastAsia="仿宋" w:cs="仿宋"/>
                <w:bCs/>
                <w:color w:val="auto"/>
                <w:kern w:val="0"/>
                <w:sz w:val="24"/>
                <w:highlight w:val="none"/>
                <w:vertAlign w:val="baseline"/>
                <w:lang w:val="en-US" w:eastAsia="zh-CN" w:bidi="ar"/>
              </w:rPr>
            </w:pPr>
            <w:r>
              <w:rPr>
                <w:rFonts w:hint="eastAsia" w:ascii="仿宋" w:hAnsi="仿宋" w:eastAsia="仿宋" w:cs="仿宋"/>
                <w:bCs/>
                <w:color w:val="auto"/>
                <w:kern w:val="0"/>
                <w:sz w:val="24"/>
                <w:highlight w:val="none"/>
                <w:vertAlign w:val="baseline"/>
                <w:lang w:val="en-US" w:eastAsia="zh-CN" w:bidi="ar"/>
              </w:rPr>
              <w:t>过程支付暂定计费费率=暂定计费基数按照《佛山市南海区财政局工程造价咨询服务收费标准表》（FS2025（NH）WZ0002）</w:t>
            </w:r>
            <w:r>
              <w:rPr>
                <w:rFonts w:hint="default" w:ascii="仿宋" w:hAnsi="仿宋" w:eastAsia="仿宋" w:cs="仿宋"/>
                <w:bCs/>
                <w:color w:val="auto"/>
                <w:kern w:val="0"/>
                <w:sz w:val="24"/>
                <w:highlight w:val="none"/>
                <w:vertAlign w:val="baseline"/>
                <w:lang w:val="en-US" w:eastAsia="zh-CN" w:bidi="ar"/>
              </w:rPr>
              <w:t>“结算单审和双审初审”</w:t>
            </w:r>
            <w:r>
              <w:rPr>
                <w:rFonts w:hint="eastAsia" w:ascii="仿宋" w:hAnsi="仿宋" w:eastAsia="仿宋" w:cs="仿宋"/>
                <w:bCs/>
                <w:color w:val="auto"/>
                <w:kern w:val="0"/>
                <w:sz w:val="24"/>
                <w:highlight w:val="none"/>
                <w:vertAlign w:val="baseline"/>
                <w:lang w:val="en-US" w:eastAsia="zh-CN" w:bidi="ar"/>
              </w:rPr>
              <w:t>栏计算的造价咨询服务费×0.65÷暂定计费基数（103503万元）</w:t>
            </w:r>
          </w:p>
        </w:tc>
      </w:tr>
    </w:tbl>
    <w:p w14:paraId="14C01F03">
      <w:pPr>
        <w:snapToGrid w:val="0"/>
        <w:spacing w:line="360" w:lineRule="auto"/>
        <w:ind w:firstLine="48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弃审补偿标准：在审核过程中出现因委托人（或第三方）原因引起退件弃审的情况，咨询人未提交审核初稿</w:t>
      </w:r>
      <w:r>
        <w:rPr>
          <w:rFonts w:hint="eastAsia" w:ascii="仿宋" w:hAnsi="仿宋" w:eastAsia="仿宋" w:cs="仿宋"/>
          <w:b/>
          <w:color w:val="auto"/>
          <w:sz w:val="24"/>
          <w:highlight w:val="none"/>
          <w:lang w:val="en-US" w:eastAsia="zh-CN"/>
        </w:rPr>
        <w:t>或</w:t>
      </w:r>
      <w:r>
        <w:rPr>
          <w:rFonts w:hint="eastAsia" w:ascii="仿宋" w:hAnsi="仿宋" w:eastAsia="仿宋" w:cs="仿宋"/>
          <w:b/>
          <w:color w:val="auto"/>
          <w:sz w:val="24"/>
          <w:highlight w:val="none"/>
        </w:rPr>
        <w:t>咨询人已提交初稿但未进行对数的，不支付审核费；咨询人已提交初稿并已进行对数的，按应付审核费的70%支付；已办理定案手续的，按应付审核费的100%支付。本项委托业务经甲乙</w:t>
      </w:r>
      <w:r>
        <w:rPr>
          <w:rFonts w:hint="eastAsia" w:ascii="仿宋" w:hAnsi="仿宋" w:eastAsia="仿宋" w:cs="仿宋"/>
          <w:b/>
          <w:color w:val="auto"/>
          <w:sz w:val="24"/>
          <w:highlight w:val="none"/>
          <w:lang w:val="en-US" w:eastAsia="zh-CN"/>
        </w:rPr>
        <w:t>丙</w:t>
      </w:r>
      <w:r>
        <w:rPr>
          <w:rFonts w:hint="eastAsia" w:ascii="仿宋" w:hAnsi="仿宋" w:eastAsia="仿宋" w:cs="仿宋"/>
          <w:b/>
          <w:color w:val="auto"/>
          <w:sz w:val="24"/>
          <w:highlight w:val="none"/>
          <w:lang w:eastAsia="zh-CN"/>
        </w:rPr>
        <w:t>三方</w:t>
      </w:r>
      <w:r>
        <w:rPr>
          <w:rFonts w:hint="eastAsia" w:ascii="仿宋" w:hAnsi="仿宋" w:eastAsia="仿宋" w:cs="仿宋"/>
          <w:b/>
          <w:color w:val="auto"/>
          <w:sz w:val="24"/>
          <w:highlight w:val="none"/>
        </w:rPr>
        <w:t>确认后终止履行。若退件弃审由咨询人原因引起的，委托人则无需向咨询人支付审核费。退件弃审表示该委托业务不再继续，审核任务不再由咨询人承担，如弃审后又需要咨询人审核的，则按原收费标准计算审核费，并扣除已支付部分后，支付剩余部分费用。</w:t>
      </w:r>
    </w:p>
    <w:p w14:paraId="747F7053">
      <w:pPr>
        <w:spacing w:line="360" w:lineRule="auto"/>
        <w:rPr>
          <w:rFonts w:hint="eastAsia" w:ascii="仿宋" w:hAnsi="仿宋" w:eastAsia="仿宋" w:cs="仿宋"/>
          <w:color w:val="auto"/>
          <w:highlight w:val="none"/>
        </w:rPr>
      </w:pPr>
    </w:p>
    <w:p w14:paraId="0DD5D4B2">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425" w:name="_Toc2068"/>
      <w:r>
        <w:rPr>
          <w:rFonts w:hint="eastAsia" w:ascii="仿宋" w:hAnsi="仿宋" w:eastAsia="仿宋" w:cs="仿宋"/>
          <w:b/>
          <w:color w:val="auto"/>
          <w:kern w:val="2"/>
          <w:sz w:val="24"/>
          <w:szCs w:val="24"/>
          <w:highlight w:val="none"/>
          <w:lang w:val="en-US" w:eastAsia="zh-CN" w:bidi="ar-SA"/>
        </w:rPr>
        <w:t>6. 合同变更、解除与终止</w:t>
      </w:r>
      <w:bookmarkEnd w:id="417"/>
      <w:bookmarkEnd w:id="418"/>
      <w:bookmarkEnd w:id="419"/>
      <w:bookmarkEnd w:id="420"/>
      <w:bookmarkEnd w:id="421"/>
      <w:bookmarkEnd w:id="422"/>
      <w:bookmarkEnd w:id="423"/>
      <w:bookmarkEnd w:id="424"/>
      <w:bookmarkEnd w:id="425"/>
    </w:p>
    <w:p w14:paraId="714C5E90">
      <w:pPr>
        <w:snapToGrid w:val="0"/>
        <w:spacing w:line="360" w:lineRule="auto"/>
        <w:ind w:firstLine="480" w:firstLineChars="200"/>
        <w:rPr>
          <w:rStyle w:val="178"/>
          <w:rFonts w:hint="eastAsia" w:ascii="仿宋" w:hAnsi="仿宋" w:eastAsia="仿宋" w:cs="仿宋"/>
          <w:b/>
          <w:color w:val="auto"/>
          <w:sz w:val="24"/>
          <w:highlight w:val="none"/>
        </w:rPr>
      </w:pPr>
      <w:bookmarkStart w:id="426" w:name="_Toc419045120"/>
      <w:bookmarkStart w:id="427" w:name="_Toc422322545"/>
      <w:r>
        <w:rPr>
          <w:rFonts w:hint="eastAsia" w:ascii="仿宋" w:hAnsi="仿宋" w:eastAsia="仿宋" w:cs="仿宋"/>
          <w:color w:val="auto"/>
          <w:sz w:val="24"/>
          <w:highlight w:val="none"/>
        </w:rPr>
        <w:t>6.1合同变更</w:t>
      </w:r>
      <w:bookmarkEnd w:id="426"/>
      <w:bookmarkEnd w:id="427"/>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6.1.2除不可抗力外，因非咨询人方原因导致咨询人方履行合同期限延长、内容增加时，咨询人方应当将此情况与可能产生的影响及时通知委托人。经委托人批准，增加的工作时间或工作内容应视为附加工作。附加工作酬金的确定方法由</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 xml:space="preserve">根据委托的服务范围及工作内容参考专用条件，以补充合同等书面方式另行约定。 </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6.1.4因工程规模、服务范围及内容的变化等导致咨询人的工作量增减时，服务酬金的调整方法：</w:t>
      </w:r>
      <w:r>
        <w:rPr>
          <w:rFonts w:hint="eastAsia" w:ascii="仿宋" w:hAnsi="仿宋" w:eastAsia="仿宋" w:cs="仿宋"/>
          <w:color w:val="auto"/>
          <w:sz w:val="24"/>
          <w:highlight w:val="none"/>
          <w:u w:val="single"/>
        </w:rPr>
        <w:t>服务酬金应作相应调整，调整方法参考专用条件，以补充合同等书面方式另行约定</w:t>
      </w:r>
      <w:r>
        <w:rPr>
          <w:rFonts w:hint="eastAsia" w:ascii="仿宋" w:hAnsi="仿宋" w:eastAsia="仿宋" w:cs="仿宋"/>
          <w:color w:val="auto"/>
          <w:sz w:val="24"/>
          <w:highlight w:val="none"/>
        </w:rPr>
        <w:t>。</w:t>
      </w:r>
    </w:p>
    <w:p w14:paraId="1405722A">
      <w:pPr>
        <w:widowControl w:val="0"/>
        <w:snapToGrid w:val="0"/>
        <w:spacing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428" w:name="_Toc489278559"/>
      <w:bookmarkStart w:id="429" w:name="_Toc3695"/>
      <w:bookmarkStart w:id="430" w:name="_Toc422322546"/>
      <w:bookmarkStart w:id="431" w:name="_Toc490753393"/>
      <w:bookmarkStart w:id="432" w:name="_Toc9630"/>
      <w:r>
        <w:rPr>
          <w:rFonts w:hint="eastAsia" w:ascii="仿宋" w:hAnsi="仿宋" w:eastAsia="仿宋" w:cs="仿宋"/>
          <w:b w:val="0"/>
          <w:color w:val="auto"/>
          <w:kern w:val="28"/>
          <w:sz w:val="24"/>
          <w:szCs w:val="24"/>
          <w:highlight w:val="none"/>
          <w:lang w:val="en-US" w:eastAsia="zh-CN" w:bidi="ar-SA"/>
        </w:rPr>
        <w:t>6.2合同解除</w:t>
      </w:r>
      <w:bookmarkEnd w:id="428"/>
      <w:bookmarkEnd w:id="429"/>
      <w:bookmarkEnd w:id="430"/>
      <w:bookmarkEnd w:id="431"/>
      <w:bookmarkEnd w:id="432"/>
    </w:p>
    <w:p w14:paraId="00AC5DE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6.2.2</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约定解除合同的条件还包括：</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 xml:space="preserve">。 </w:t>
      </w:r>
    </w:p>
    <w:p w14:paraId="6D45A48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6.2.4因不可抗力导致的合同解除，</w:t>
      </w:r>
      <w:r>
        <w:rPr>
          <w:rFonts w:hint="eastAsia" w:ascii="仿宋" w:hAnsi="仿宋" w:eastAsia="仿宋" w:cs="仿宋"/>
          <w:color w:val="auto"/>
          <w:sz w:val="24"/>
          <w:highlight w:val="none"/>
          <w:u w:val="single"/>
          <w:lang w:eastAsia="zh-CN"/>
        </w:rPr>
        <w:t>三方</w:t>
      </w:r>
      <w:r>
        <w:rPr>
          <w:rFonts w:hint="eastAsia" w:ascii="仿宋" w:hAnsi="仿宋" w:eastAsia="仿宋" w:cs="仿宋"/>
          <w:color w:val="auto"/>
          <w:sz w:val="24"/>
          <w:highlight w:val="none"/>
          <w:u w:val="single"/>
        </w:rPr>
        <w:t>约定损失的分担如下：其损失的分担按照合理分担的原则由合同当事人参考专用条件，以补充合同等书面方式另行约定。除不可抗力外因非咨询人原因导致的合同解除，其损失由委托人承担。因咨询人自身原因导致的合同解除，按照违约责任处理</w:t>
      </w:r>
      <w:r>
        <w:rPr>
          <w:rFonts w:hint="eastAsia" w:ascii="仿宋" w:hAnsi="仿宋" w:eastAsia="仿宋" w:cs="仿宋"/>
          <w:color w:val="auto"/>
          <w:sz w:val="24"/>
          <w:highlight w:val="none"/>
        </w:rPr>
        <w:t>。</w:t>
      </w:r>
    </w:p>
    <w:p w14:paraId="05841E42">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433" w:name="_Toc32490"/>
      <w:bookmarkStart w:id="434" w:name="_Toc20663"/>
      <w:bookmarkStart w:id="435" w:name="_Toc490753394"/>
      <w:bookmarkStart w:id="436" w:name="_Toc419045121"/>
      <w:bookmarkStart w:id="437" w:name="_Toc25405"/>
      <w:bookmarkStart w:id="438" w:name="_Toc285"/>
      <w:bookmarkStart w:id="439" w:name="_Toc489278560"/>
      <w:bookmarkStart w:id="440" w:name="_Toc422322547"/>
      <w:bookmarkStart w:id="441" w:name="_Toc23751"/>
    </w:p>
    <w:p w14:paraId="3040B7B8">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7. 争议解决</w:t>
      </w:r>
      <w:bookmarkEnd w:id="433"/>
      <w:bookmarkEnd w:id="434"/>
      <w:bookmarkEnd w:id="435"/>
      <w:bookmarkEnd w:id="436"/>
      <w:bookmarkEnd w:id="437"/>
      <w:bookmarkEnd w:id="438"/>
      <w:bookmarkEnd w:id="439"/>
      <w:bookmarkEnd w:id="440"/>
      <w:bookmarkEnd w:id="441"/>
    </w:p>
    <w:p w14:paraId="4842442C">
      <w:pPr>
        <w:snapToGrid w:val="0"/>
        <w:spacing w:line="360" w:lineRule="auto"/>
        <w:ind w:firstLine="480"/>
        <w:rPr>
          <w:rStyle w:val="178"/>
          <w:rFonts w:hint="eastAsia" w:ascii="仿宋" w:hAnsi="仿宋" w:eastAsia="仿宋" w:cs="仿宋"/>
          <w:b/>
          <w:color w:val="auto"/>
          <w:sz w:val="24"/>
          <w:highlight w:val="none"/>
        </w:rPr>
      </w:pPr>
      <w:bookmarkStart w:id="442" w:name="_Toc419045122"/>
      <w:bookmarkStart w:id="443" w:name="_Toc422322548"/>
      <w:r>
        <w:rPr>
          <w:rFonts w:hint="eastAsia" w:ascii="仿宋" w:hAnsi="仿宋" w:eastAsia="仿宋" w:cs="仿宋"/>
          <w:color w:val="auto"/>
          <w:sz w:val="24"/>
          <w:highlight w:val="none"/>
        </w:rPr>
        <w:t>7.2调解</w:t>
      </w:r>
      <w:bookmarkEnd w:id="442"/>
      <w:bookmarkEnd w:id="443"/>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合同在履行过程中发生争议，委托人与咨询人应及时协商解决；如未能达成一致，可提交有关主管部门调解；</w:t>
      </w:r>
    </w:p>
    <w:p w14:paraId="5FC7518C">
      <w:pPr>
        <w:widowControl w:val="0"/>
        <w:snapToGrid w:val="0"/>
        <w:spacing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444" w:name="_Toc6531"/>
      <w:bookmarkStart w:id="445" w:name="_Toc490753395"/>
      <w:bookmarkStart w:id="446" w:name="_Toc489278561"/>
      <w:bookmarkStart w:id="447" w:name="_Toc422322549"/>
      <w:bookmarkStart w:id="448" w:name="_Toc32604"/>
      <w:r>
        <w:rPr>
          <w:rFonts w:hint="eastAsia" w:ascii="仿宋" w:hAnsi="仿宋" w:eastAsia="仿宋" w:cs="仿宋"/>
          <w:b w:val="0"/>
          <w:color w:val="auto"/>
          <w:kern w:val="28"/>
          <w:sz w:val="24"/>
          <w:szCs w:val="24"/>
          <w:highlight w:val="none"/>
          <w:lang w:val="en-US" w:eastAsia="zh-CN" w:bidi="ar-SA"/>
        </w:rPr>
        <w:t>7.3仲裁或诉讼</w:t>
      </w:r>
      <w:bookmarkEnd w:id="444"/>
      <w:bookmarkEnd w:id="445"/>
      <w:bookmarkEnd w:id="446"/>
      <w:bookmarkEnd w:id="447"/>
      <w:bookmarkEnd w:id="448"/>
    </w:p>
    <w:p w14:paraId="5230867B">
      <w:pPr>
        <w:snapToGrid w:val="0"/>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合同争议的最终解决方式为下列第（2）种方式：</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（1）提请</w:t>
      </w:r>
      <w:r>
        <w:rPr>
          <w:rFonts w:hint="eastAsia" w:ascii="仿宋" w:hAnsi="仿宋" w:eastAsia="仿宋" w:cs="仿宋"/>
          <w:color w:val="auto"/>
          <w:sz w:val="24"/>
          <w:highlight w:val="none"/>
          <w:u w:val="single"/>
        </w:rPr>
        <w:t>项目所在地</w:t>
      </w:r>
      <w:r>
        <w:rPr>
          <w:rFonts w:hint="eastAsia" w:ascii="仿宋" w:hAnsi="仿宋" w:eastAsia="仿宋" w:cs="仿宋"/>
          <w:color w:val="auto"/>
          <w:sz w:val="24"/>
          <w:highlight w:val="none"/>
        </w:rPr>
        <w:t>仲裁委员会进行仲裁。</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（2）向</w:t>
      </w:r>
      <w:r>
        <w:rPr>
          <w:rFonts w:hint="eastAsia" w:ascii="仿宋" w:hAnsi="仿宋" w:eastAsia="仿宋" w:cs="仿宋"/>
          <w:color w:val="auto"/>
          <w:sz w:val="24"/>
          <w:highlight w:val="none"/>
          <w:u w:val="single"/>
        </w:rPr>
        <w:t>佛山市南海区</w:t>
      </w:r>
      <w:r>
        <w:rPr>
          <w:rFonts w:hint="eastAsia" w:ascii="仿宋" w:hAnsi="仿宋" w:eastAsia="仿宋" w:cs="仿宋"/>
          <w:color w:val="auto"/>
          <w:sz w:val="24"/>
          <w:highlight w:val="none"/>
        </w:rPr>
        <w:t>人民法院提起诉讼。</w:t>
      </w:r>
    </w:p>
    <w:p w14:paraId="5C19FE53">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449" w:name="_Toc8631"/>
      <w:bookmarkStart w:id="450" w:name="_Toc6508"/>
      <w:bookmarkStart w:id="451" w:name="_Toc490753396"/>
      <w:bookmarkStart w:id="452" w:name="_Toc4533"/>
      <w:bookmarkStart w:id="453" w:name="_Toc7412"/>
      <w:bookmarkStart w:id="454" w:name="_Toc419045123"/>
      <w:bookmarkStart w:id="455" w:name="_Toc489278562"/>
      <w:bookmarkStart w:id="456" w:name="_Toc422322550"/>
      <w:bookmarkStart w:id="457" w:name="_Toc12875"/>
    </w:p>
    <w:p w14:paraId="1E6DC785">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8. 其他</w:t>
      </w:r>
      <w:bookmarkEnd w:id="449"/>
      <w:bookmarkEnd w:id="450"/>
      <w:bookmarkEnd w:id="451"/>
      <w:bookmarkEnd w:id="452"/>
      <w:bookmarkEnd w:id="453"/>
      <w:bookmarkEnd w:id="454"/>
      <w:bookmarkEnd w:id="455"/>
      <w:bookmarkEnd w:id="456"/>
      <w:bookmarkEnd w:id="457"/>
    </w:p>
    <w:p w14:paraId="269682A9">
      <w:pPr>
        <w:widowControl w:val="0"/>
        <w:snapToGrid w:val="0"/>
        <w:spacing w:line="360" w:lineRule="auto"/>
        <w:ind w:firstLine="480" w:firstLineChars="200"/>
        <w:jc w:val="left"/>
        <w:outlineLvl w:val="1"/>
        <w:rPr>
          <w:rFonts w:hint="eastAsia" w:ascii="仿宋" w:hAnsi="仿宋" w:eastAsia="仿宋" w:cs="仿宋"/>
          <w:b w:val="0"/>
          <w:color w:val="auto"/>
          <w:kern w:val="28"/>
          <w:sz w:val="24"/>
          <w:szCs w:val="24"/>
          <w:highlight w:val="none"/>
          <w:lang w:val="en-US" w:eastAsia="zh-CN" w:bidi="ar-SA"/>
        </w:rPr>
      </w:pPr>
      <w:bookmarkStart w:id="458" w:name="_Toc489278563"/>
      <w:bookmarkStart w:id="459" w:name="_Toc13715"/>
      <w:bookmarkStart w:id="460" w:name="_Toc490753397"/>
      <w:bookmarkStart w:id="461" w:name="_Toc422322551"/>
      <w:bookmarkStart w:id="462" w:name="_Toc4838"/>
      <w:r>
        <w:rPr>
          <w:rFonts w:hint="eastAsia" w:ascii="仿宋" w:hAnsi="仿宋" w:eastAsia="仿宋" w:cs="仿宋"/>
          <w:b w:val="0"/>
          <w:color w:val="auto"/>
          <w:kern w:val="28"/>
          <w:sz w:val="24"/>
          <w:szCs w:val="24"/>
          <w:highlight w:val="none"/>
          <w:lang w:val="en-US" w:eastAsia="zh-CN" w:bidi="ar-SA"/>
        </w:rPr>
        <w:t>8.1考察及相关费用</w:t>
      </w:r>
      <w:bookmarkEnd w:id="458"/>
      <w:bookmarkEnd w:id="459"/>
      <w:bookmarkEnd w:id="460"/>
      <w:bookmarkEnd w:id="461"/>
      <w:bookmarkEnd w:id="462"/>
    </w:p>
    <w:p w14:paraId="39FC98D4">
      <w:pPr>
        <w:snapToGrid w:val="0"/>
        <w:spacing w:line="360" w:lineRule="auto"/>
        <w:ind w:firstLine="480" w:firstLineChars="200"/>
        <w:rPr>
          <w:rStyle w:val="178"/>
          <w:rFonts w:hint="eastAsia" w:ascii="仿宋" w:hAnsi="仿宋" w:eastAsia="仿宋" w:cs="仿宋"/>
          <w:color w:val="auto"/>
          <w:sz w:val="24"/>
          <w:highlight w:val="none"/>
        </w:rPr>
      </w:pPr>
      <w:r>
        <w:rPr>
          <w:rFonts w:hint="eastAsia" w:ascii="仿宋" w:hAnsi="仿宋" w:eastAsia="仿宋" w:cs="仿宋"/>
          <w:color w:val="auto"/>
          <w:sz w:val="24"/>
          <w:highlight w:val="none"/>
        </w:rPr>
        <w:t>咨询人经委托人同意进行考察发生的差旅费及相关费用由</w:t>
      </w:r>
      <w:r>
        <w:rPr>
          <w:rFonts w:hint="eastAsia" w:ascii="仿宋" w:hAnsi="仿宋" w:eastAsia="仿宋" w:cs="仿宋"/>
          <w:color w:val="auto"/>
          <w:sz w:val="24"/>
          <w:highlight w:val="none"/>
          <w:u w:val="single"/>
        </w:rPr>
        <w:t>咨询人</w:t>
      </w:r>
      <w:r>
        <w:rPr>
          <w:rFonts w:hint="eastAsia" w:ascii="仿宋" w:hAnsi="仿宋" w:eastAsia="仿宋" w:cs="仿宋"/>
          <w:color w:val="auto"/>
          <w:sz w:val="24"/>
          <w:highlight w:val="none"/>
        </w:rPr>
        <w:t>支付。</w:t>
      </w:r>
    </w:p>
    <w:p w14:paraId="5244D61C">
      <w:pPr>
        <w:widowControl w:val="0"/>
        <w:snapToGrid w:val="0"/>
        <w:spacing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463" w:name="_Toc422322552"/>
      <w:bookmarkStart w:id="464" w:name="_Toc490753398"/>
      <w:bookmarkStart w:id="465" w:name="_Toc489278564"/>
      <w:bookmarkStart w:id="466" w:name="_Toc14187"/>
      <w:bookmarkStart w:id="467" w:name="_Toc15793"/>
      <w:r>
        <w:rPr>
          <w:rFonts w:hint="eastAsia" w:ascii="仿宋" w:hAnsi="仿宋" w:eastAsia="仿宋" w:cs="仿宋"/>
          <w:b w:val="0"/>
          <w:color w:val="auto"/>
          <w:kern w:val="28"/>
          <w:sz w:val="24"/>
          <w:szCs w:val="24"/>
          <w:highlight w:val="none"/>
          <w:lang w:val="en-US" w:eastAsia="zh-CN" w:bidi="ar-SA"/>
        </w:rPr>
        <w:t>8.2奖励</w:t>
      </w:r>
      <w:bookmarkEnd w:id="463"/>
      <w:bookmarkEnd w:id="464"/>
      <w:bookmarkEnd w:id="465"/>
      <w:bookmarkEnd w:id="466"/>
      <w:bookmarkEnd w:id="467"/>
    </w:p>
    <w:p w14:paraId="6D97A440">
      <w:pPr>
        <w:snapToGrid w:val="0"/>
        <w:spacing w:line="360" w:lineRule="auto"/>
        <w:ind w:firstLine="480" w:firstLineChars="200"/>
        <w:rPr>
          <w:rStyle w:val="178"/>
          <w:rFonts w:hint="eastAsia" w:ascii="仿宋" w:hAnsi="仿宋" w:eastAsia="仿宋" w:cs="仿宋"/>
          <w:color w:val="auto"/>
          <w:sz w:val="24"/>
          <w:highlight w:val="none"/>
        </w:rPr>
      </w:pPr>
      <w:r>
        <w:rPr>
          <w:rFonts w:hint="eastAsia" w:ascii="仿宋" w:hAnsi="仿宋" w:eastAsia="仿宋" w:cs="仿宋"/>
          <w:color w:val="auto"/>
          <w:sz w:val="24"/>
          <w:highlight w:val="none"/>
        </w:rPr>
        <w:t>合理化建议的奖励金额按下列方法确定：</w:t>
      </w:r>
      <w:r>
        <w:rPr>
          <w:rFonts w:hint="eastAsia" w:ascii="仿宋" w:hAnsi="仿宋" w:eastAsia="仿宋" w:cs="仿宋"/>
          <w:color w:val="auto"/>
          <w:sz w:val="24"/>
          <w:highlight w:val="none"/>
          <w:u w:val="single"/>
        </w:rPr>
        <w:t xml:space="preserve"> 无 </w:t>
      </w:r>
      <w:r>
        <w:rPr>
          <w:rFonts w:hint="eastAsia" w:ascii="仿宋" w:hAnsi="仿宋" w:eastAsia="仿宋" w:cs="仿宋"/>
          <w:color w:val="auto"/>
          <w:sz w:val="24"/>
          <w:highlight w:val="none"/>
        </w:rPr>
        <w:t>。</w:t>
      </w:r>
    </w:p>
    <w:p w14:paraId="544C153F">
      <w:pPr>
        <w:widowControl w:val="0"/>
        <w:snapToGrid w:val="0"/>
        <w:spacing w:line="360" w:lineRule="auto"/>
        <w:ind w:firstLine="480" w:firstLineChars="200"/>
        <w:jc w:val="left"/>
        <w:outlineLvl w:val="1"/>
        <w:rPr>
          <w:rFonts w:hint="eastAsia" w:ascii="仿宋" w:hAnsi="仿宋" w:eastAsia="仿宋" w:cs="仿宋"/>
          <w:b/>
          <w:color w:val="auto"/>
          <w:kern w:val="28"/>
          <w:sz w:val="32"/>
          <w:szCs w:val="20"/>
          <w:highlight w:val="none"/>
          <w:lang w:val="en-US" w:eastAsia="zh-CN" w:bidi="ar-SA"/>
        </w:rPr>
      </w:pPr>
      <w:bookmarkStart w:id="468" w:name="_Toc12027"/>
      <w:bookmarkStart w:id="469" w:name="_Toc490753399"/>
      <w:bookmarkStart w:id="470" w:name="_Toc12059"/>
      <w:bookmarkStart w:id="471" w:name="_Toc489278565"/>
      <w:bookmarkStart w:id="472" w:name="_Toc422322553"/>
      <w:r>
        <w:rPr>
          <w:rFonts w:hint="eastAsia" w:ascii="仿宋" w:hAnsi="仿宋" w:eastAsia="仿宋" w:cs="仿宋"/>
          <w:b w:val="0"/>
          <w:color w:val="auto"/>
          <w:kern w:val="28"/>
          <w:sz w:val="24"/>
          <w:szCs w:val="24"/>
          <w:highlight w:val="none"/>
          <w:lang w:val="en-US" w:eastAsia="zh-CN" w:bidi="ar-SA"/>
        </w:rPr>
        <w:t>8.3保密</w:t>
      </w:r>
      <w:bookmarkEnd w:id="468"/>
      <w:bookmarkEnd w:id="469"/>
      <w:bookmarkEnd w:id="470"/>
      <w:bookmarkEnd w:id="471"/>
      <w:bookmarkEnd w:id="472"/>
    </w:p>
    <w:p w14:paraId="32BE7349">
      <w:pPr>
        <w:snapToGrid w:val="0"/>
        <w:spacing w:line="360" w:lineRule="auto"/>
        <w:ind w:firstLine="424" w:firstLineChars="177"/>
        <w:rPr>
          <w:rFonts w:hint="eastAsia" w:ascii="仿宋" w:hAnsi="仿宋" w:eastAsia="仿宋" w:cs="仿宋"/>
          <w:color w:val="auto"/>
          <w:sz w:val="24"/>
          <w:highlight w:val="none"/>
        </w:rPr>
      </w:pPr>
      <w:r>
        <w:rPr>
          <w:rFonts w:hint="eastAsia" w:ascii="仿宋" w:hAnsi="仿宋" w:eastAsia="仿宋" w:cs="仿宋"/>
          <w:bCs/>
          <w:color w:val="auto"/>
          <w:sz w:val="24"/>
          <w:highlight w:val="none"/>
        </w:rPr>
        <w:t>咨询人在项目实施过程中，对委托人所提供的所有相关资料、数据，未经委托人书面同意不得向任何第三人泄露，且保密责任不因合同的终止或解除而失效。如采购提出要求，咨询人须无条件与委托人签定保密协议。</w:t>
      </w:r>
    </w:p>
    <w:p w14:paraId="2FB680BF">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委托人申明的保密事项和期限：___________________________________。</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咨询人申明的保密事项和期限：___________________________________。</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rPr>
        <w:t xml:space="preserve">    第三人申明的保密事项和期限：___________________________________。</w:t>
      </w:r>
    </w:p>
    <w:p w14:paraId="75F37E7D">
      <w:pPr>
        <w:snapToGrid w:val="0"/>
        <w:spacing w:line="360" w:lineRule="auto"/>
        <w:ind w:firstLine="480" w:firstLineChars="200"/>
        <w:rPr>
          <w:rFonts w:hint="eastAsia" w:ascii="仿宋" w:hAnsi="仿宋" w:eastAsia="仿宋" w:cs="仿宋"/>
          <w:color w:val="auto"/>
          <w:sz w:val="24"/>
          <w:highlight w:val="none"/>
        </w:rPr>
      </w:pPr>
      <w:bookmarkStart w:id="473" w:name="_Toc422322554"/>
      <w:r>
        <w:rPr>
          <w:rFonts w:hint="eastAsia" w:ascii="仿宋" w:hAnsi="仿宋" w:eastAsia="仿宋" w:cs="仿宋"/>
          <w:color w:val="auto"/>
          <w:sz w:val="24"/>
          <w:highlight w:val="none"/>
        </w:rPr>
        <w:t>8.4联络</w:t>
      </w:r>
      <w:bookmarkEnd w:id="473"/>
    </w:p>
    <w:p w14:paraId="3145AD2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8.4.1任何一方与合同有关的通知、指示、要求、决定等，均应在</w:t>
      </w:r>
      <w:r>
        <w:rPr>
          <w:rFonts w:hint="eastAsia" w:ascii="仿宋" w:hAnsi="仿宋" w:eastAsia="仿宋" w:cs="仿宋"/>
          <w:color w:val="auto"/>
          <w:sz w:val="24"/>
          <w:highlight w:val="none"/>
          <w:u w:val="single"/>
        </w:rPr>
        <w:t xml:space="preserve"> 7 </w:t>
      </w:r>
      <w:r>
        <w:rPr>
          <w:rFonts w:hint="eastAsia" w:ascii="仿宋" w:hAnsi="仿宋" w:eastAsia="仿宋" w:cs="仿宋"/>
          <w:color w:val="auto"/>
          <w:sz w:val="24"/>
          <w:highlight w:val="none"/>
        </w:rPr>
        <w:t>日内送达对方指定的接收人和送达地点。</w:t>
      </w:r>
    </w:p>
    <w:p w14:paraId="41A0D04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8.4.2委托人指定的送达接收人：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，送达地点：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，电子邮箱：</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5B1E34F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咨询人指定的送达接收人：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，送达地点：</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，电子邮箱：</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B07AFD4">
      <w:pPr>
        <w:snapToGrid w:val="0"/>
        <w:spacing w:line="360" w:lineRule="auto"/>
        <w:ind w:firstLine="480" w:firstLineChars="200"/>
        <w:rPr>
          <w:rFonts w:hint="eastAsia" w:ascii="仿宋" w:hAnsi="仿宋" w:eastAsia="仿宋" w:cs="仿宋"/>
          <w:color w:val="auto"/>
          <w:sz w:val="24"/>
          <w:highlight w:val="none"/>
        </w:rPr>
      </w:pPr>
      <w:bookmarkStart w:id="474" w:name="_Toc419045124"/>
      <w:bookmarkStart w:id="475" w:name="_Toc422322555"/>
      <w:r>
        <w:rPr>
          <w:rFonts w:hint="eastAsia" w:ascii="仿宋" w:hAnsi="仿宋" w:eastAsia="仿宋" w:cs="仿宋"/>
          <w:color w:val="auto"/>
          <w:sz w:val="24"/>
          <w:highlight w:val="none"/>
        </w:rPr>
        <w:t>8.5知识产权</w:t>
      </w:r>
      <w:bookmarkEnd w:id="474"/>
      <w:bookmarkEnd w:id="475"/>
    </w:p>
    <w:p w14:paraId="6779E0E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委托人提供给咨询人的图纸、委托人为实施工程自行编制或委托编制的技术规范以及反映委托人要求的或其他类似性质文件的著作权属于</w:t>
      </w:r>
      <w:r>
        <w:rPr>
          <w:rFonts w:hint="eastAsia" w:ascii="仿宋" w:hAnsi="仿宋" w:eastAsia="仿宋" w:cs="仿宋"/>
          <w:color w:val="auto"/>
          <w:sz w:val="24"/>
          <w:highlight w:val="none"/>
          <w:u w:val="single"/>
        </w:rPr>
        <w:t xml:space="preserve"> 委托人 </w:t>
      </w:r>
      <w:r>
        <w:rPr>
          <w:rFonts w:hint="eastAsia" w:ascii="仿宋" w:hAnsi="仿宋" w:eastAsia="仿宋" w:cs="仿宋"/>
          <w:color w:val="auto"/>
          <w:sz w:val="24"/>
          <w:highlight w:val="none"/>
        </w:rPr>
        <w:t>。</w:t>
      </w:r>
    </w:p>
    <w:p w14:paraId="1F32768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咨询人为履行本合同约定而编制的成果文件，其著作权属于</w:t>
      </w:r>
      <w:r>
        <w:rPr>
          <w:rFonts w:hint="eastAsia" w:ascii="仿宋" w:hAnsi="仿宋" w:eastAsia="仿宋" w:cs="仿宋"/>
          <w:color w:val="auto"/>
          <w:sz w:val="24"/>
          <w:highlight w:val="none"/>
          <w:u w:val="single"/>
        </w:rPr>
        <w:t xml:space="preserve"> 委托人 </w:t>
      </w:r>
      <w:r>
        <w:rPr>
          <w:rFonts w:hint="eastAsia" w:ascii="仿宋" w:hAnsi="仿宋" w:eastAsia="仿宋" w:cs="仿宋"/>
          <w:color w:val="auto"/>
          <w:sz w:val="24"/>
          <w:highlight w:val="none"/>
        </w:rPr>
        <w:t>。</w:t>
      </w:r>
    </w:p>
    <w:p w14:paraId="4B1D8EA8">
      <w:pPr>
        <w:snapToGrid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将履行本合同形成的有关成果文件用于企业宣传、申报奖项以及接受上级主管部门的检查须遵守以下约定：</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7370A67">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bookmarkStart w:id="476" w:name="_Toc422322556"/>
      <w:bookmarkStart w:id="477" w:name="_Toc419045125"/>
      <w:bookmarkStart w:id="478" w:name="_Toc6350"/>
      <w:bookmarkStart w:id="479" w:name="_Toc21435"/>
      <w:bookmarkStart w:id="480" w:name="_Toc32369"/>
      <w:bookmarkStart w:id="481" w:name="_Toc490753400"/>
      <w:bookmarkStart w:id="482" w:name="_Toc16563"/>
      <w:bookmarkStart w:id="483" w:name="_Toc9809"/>
      <w:bookmarkStart w:id="484" w:name="_Toc489278566"/>
    </w:p>
    <w:p w14:paraId="4BE12FC7">
      <w:pPr>
        <w:widowControl w:val="0"/>
        <w:adjustRightInd w:val="0"/>
        <w:snapToGrid w:val="0"/>
        <w:spacing w:line="360" w:lineRule="auto"/>
        <w:jc w:val="left"/>
        <w:outlineLvl w:val="1"/>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9.补充条款</w:t>
      </w:r>
      <w:bookmarkEnd w:id="476"/>
      <w:bookmarkEnd w:id="477"/>
      <w:r>
        <w:rPr>
          <w:rFonts w:hint="eastAsia" w:ascii="仿宋" w:hAnsi="仿宋" w:eastAsia="仿宋" w:cs="仿宋"/>
          <w:b/>
          <w:color w:val="auto"/>
          <w:kern w:val="2"/>
          <w:sz w:val="24"/>
          <w:szCs w:val="24"/>
          <w:highlight w:val="none"/>
          <w:lang w:val="en-US" w:eastAsia="zh-CN" w:bidi="ar-SA"/>
        </w:rPr>
        <w:t>：</w:t>
      </w:r>
      <w:bookmarkEnd w:id="478"/>
      <w:bookmarkEnd w:id="479"/>
      <w:bookmarkEnd w:id="480"/>
      <w:bookmarkEnd w:id="481"/>
      <w:bookmarkEnd w:id="482"/>
      <w:bookmarkEnd w:id="483"/>
      <w:bookmarkEnd w:id="484"/>
    </w:p>
    <w:p w14:paraId="5F26956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9.1评审偏差率考核及扣费</w:t>
      </w:r>
    </w:p>
    <w:p w14:paraId="2347EA1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经相关审核部门最终审核后，综合偏差率按如下公式计算：</w:t>
      </w:r>
    </w:p>
    <w:p w14:paraId="6283152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i=∣（单项工程）最终审核结算定案金额-（单项工程）结算金额∣÷（单项工程）最终审核结算定案金额</w:t>
      </w:r>
    </w:p>
    <w:p w14:paraId="33C78D7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结算综合偏差率i超过以下情况的，委托人对咨询人作出如下的处理（注：此处结算是指相同口径下做出的结算，即指相同的编制依据、编制方法和编制深度等。此处结算综合偏差率是指因工程量计算错误、单价取定或调整错误、措施项目的计算或调整错误、其他项目及规费的和税金的取定、计算错误等各类计算误差正负相抵后的绝对值与修正后的结算审查性总额的比率。）</w:t>
      </w:r>
    </w:p>
    <w:p w14:paraId="24B84A2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①单项清单偏差超过30万元以上的项目，且其影响单项工程定案金额超过1%的，即（单项清单偏差金额/单项工程最终审核定案金额&gt;1%），每出现一次按扣减该单项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的10%处理。</w:t>
      </w:r>
    </w:p>
    <w:p w14:paraId="43D3FE0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②i在4%（含）-7%的，扣减该单项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的10%。</w:t>
      </w:r>
    </w:p>
    <w:p w14:paraId="396BE4A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③i在7%（含）-10%的，扣减该单项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的20%。</w:t>
      </w:r>
    </w:p>
    <w:p w14:paraId="6217060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④i在10%（含）-20%的，扣减该单项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的30%。</w:t>
      </w:r>
    </w:p>
    <w:p w14:paraId="179947D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⑤i在20%（含）-30%的，扣减该单项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的50%。</w:t>
      </w:r>
    </w:p>
    <w:p w14:paraId="757ADAF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⑥i≧30%的扣减该单项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的100%，且委托人有权单方面终止合同（无需给予咨询人补偿）。</w:t>
      </w:r>
    </w:p>
    <w:p w14:paraId="3595E65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以上第①项单项清单偏差扣费和其余②至⑥项总价偏差扣费叠加计算，扣完为止。对已支付造价咨询费但事后抽查或审计的项目，发现咨询人的编制结果有误需扣减相应造价咨询费的，委托人有权要求退回该单项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或在其今后支付的该单项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中抵扣，今后支付的该单项</w:t>
      </w:r>
      <w:r>
        <w:rPr>
          <w:rFonts w:hint="eastAsia" w:ascii="仿宋" w:hAnsi="仿宋" w:eastAsia="仿宋" w:cs="仿宋"/>
          <w:color w:val="auto"/>
          <w:sz w:val="24"/>
          <w:highlight w:val="none"/>
          <w:lang w:eastAsia="zh-CN"/>
        </w:rPr>
        <w:t>结算审核咨询费</w:t>
      </w:r>
      <w:r>
        <w:rPr>
          <w:rFonts w:hint="eastAsia" w:ascii="仿宋" w:hAnsi="仿宋" w:eastAsia="仿宋" w:cs="仿宋"/>
          <w:color w:val="auto"/>
          <w:sz w:val="24"/>
          <w:highlight w:val="none"/>
        </w:rPr>
        <w:t>不足以抵扣的，保留追溯的权利。</w:t>
      </w:r>
    </w:p>
    <w:p w14:paraId="79E1B7D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9.2项目违反时限管理逾期处理</w:t>
      </w:r>
    </w:p>
    <w:p w14:paraId="09DAE40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因咨询人原因，未能按约定的时间提交成果文件的，以及对审核意见处理不及时的，按如下规定处理：</w:t>
      </w:r>
    </w:p>
    <w:p w14:paraId="33BA980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⑴逾期5天（含）以内的，进行口头或书面警告处理。</w:t>
      </w:r>
    </w:p>
    <w:p w14:paraId="17A51A8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⑵逾期5天以及10天（含）以下的，扣减该工程结算审核咨询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的10%。</w:t>
      </w:r>
    </w:p>
    <w:p w14:paraId="14B6E8E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⑶逾期10天以上20天（含）以下的，扣减该工程结算审核咨询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的20%。</w:t>
      </w:r>
    </w:p>
    <w:p w14:paraId="07E865E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⑷逾期20天以上30天（含）以下的，扣减该工程结算审核咨询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的30%。</w:t>
      </w:r>
    </w:p>
    <w:p w14:paraId="26F5239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⑸逾期超过30天，扣减该工程结算审核咨询</w:t>
      </w:r>
      <w:r>
        <w:rPr>
          <w:rFonts w:hint="eastAsia" w:ascii="仿宋" w:hAnsi="仿宋" w:eastAsia="仿宋" w:cs="仿宋"/>
          <w:color w:val="auto"/>
          <w:sz w:val="24"/>
          <w:highlight w:val="none"/>
          <w:lang w:val="en-US" w:eastAsia="zh-CN"/>
        </w:rPr>
        <w:t>费</w:t>
      </w:r>
      <w:r>
        <w:rPr>
          <w:rFonts w:hint="eastAsia" w:ascii="仿宋" w:hAnsi="仿宋" w:eastAsia="仿宋" w:cs="仿宋"/>
          <w:color w:val="auto"/>
          <w:sz w:val="24"/>
          <w:highlight w:val="none"/>
        </w:rPr>
        <w:t>的50%。</w:t>
      </w:r>
    </w:p>
    <w:p w14:paraId="06A1C1A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⑹若逾期扣费情况出现3次及以上，委托人有权单方面终止合同（无需给予咨询人补偿）。</w:t>
      </w:r>
    </w:p>
    <w:p w14:paraId="3A18A078">
      <w:pPr>
        <w:snapToGrid w:val="0"/>
        <w:spacing w:line="360" w:lineRule="auto"/>
        <w:ind w:firstLine="480" w:firstLineChars="200"/>
        <w:rPr>
          <w:rFonts w:hint="eastAsia" w:ascii="仿宋" w:hAnsi="仿宋" w:eastAsia="仿宋" w:cs="仿宋"/>
          <w:color w:val="auto"/>
          <w:sz w:val="24"/>
          <w:highlight w:val="none"/>
        </w:rPr>
      </w:pPr>
    </w:p>
    <w:p w14:paraId="58679AFB">
      <w:pPr>
        <w:snapToGrid w:val="0"/>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lang w:val="en-US" w:eastAsia="zh-CN"/>
        </w:rPr>
        <w:t>10</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履约担保：</w:t>
      </w:r>
    </w:p>
    <w:p w14:paraId="6E770ABB">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1.履约担保的形式：可采用现金担保、银行业金融机构担保、保险机构担保以及专业担保机构担保，保函的内容及格式须经委托人认可。</w:t>
      </w:r>
    </w:p>
    <w:p w14:paraId="4BC30F96">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2.履约担保总金额：签约合同总价的10%。</w:t>
      </w:r>
    </w:p>
    <w:p w14:paraId="4E6986E0">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3.履约担保递交时间：在签订合同前递交。</w:t>
      </w:r>
    </w:p>
    <w:p w14:paraId="646E4C5D">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4.履约担保的退回：服务期满后且咨询人完成全部服务工作内容后10日内无息退还。</w:t>
      </w:r>
    </w:p>
    <w:p w14:paraId="61390DB0">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1）上述提供担保的保证人应为具有相应资格的银行业金融机构、保险机构、专业担保机构。①银行业金融机构是指分行、支行以上银行；②保险机构是指经银保监会批准可以从事保证保险业务的保险公司；③专业担保机构是指取得相关主管部门核发的资格证书的专业工程担保公司。</w:t>
      </w:r>
    </w:p>
    <w:p w14:paraId="5BB8F500">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如采用履约保函，保函有效期至本工程服务期满后（30）天，咨询人提供的履约保函应经委托人确认。如果出具的履约保函有效期早于上述规定的时间，咨询人应在保函到期前一个月内延长保函的有效期，否则将被视为违约。</w:t>
      </w:r>
    </w:p>
    <w:p w14:paraId="1AF8F639">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（3）使用现金作为履约担保的应符合《现金管理暂行条例》的规定。</w:t>
      </w:r>
    </w:p>
    <w:p w14:paraId="02A93577">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（4）执行本条各项要求所需的费用由咨询人承担。</w:t>
      </w:r>
    </w:p>
    <w:p w14:paraId="05C921B8">
      <w:pPr>
        <w:snapToGrid w:val="0"/>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履约保证金用于补偿委托人因咨询人履约不充分、不及时而蒙受的损失。如果在咨询人不能履行其合同项下任何一项义务而承担违约责任的情况下，委托人有权不经咨询人同意直接从履约保证金中扣除资金补偿委托人的任何损失；咨询人通过保函形式提供履约保证金的，委托人有权要求担保方支付相应款项。</w:t>
      </w:r>
    </w:p>
    <w:p w14:paraId="73D490D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（6）委托人提取履约保证金后，剩余履约保证金不足合同总价10%的，咨询人应及时补足履约保证金或另行提供履约保函。</w:t>
      </w:r>
    </w:p>
    <w:p w14:paraId="57B3AED9">
      <w:pPr>
        <w:spacing w:line="440" w:lineRule="exact"/>
        <w:outlineLvl w:val="0"/>
        <w:rPr>
          <w:rFonts w:hint="eastAsia" w:ascii="仿宋" w:hAnsi="仿宋" w:eastAsia="仿宋" w:cs="仿宋"/>
          <w:b/>
          <w:bCs/>
          <w:color w:val="auto"/>
          <w:sz w:val="28"/>
          <w:szCs w:val="28"/>
          <w:highlight w:val="none"/>
        </w:rPr>
      </w:pPr>
      <w:bookmarkStart w:id="485" w:name="_Toc31460"/>
      <w:bookmarkStart w:id="486" w:name="_Toc15403"/>
      <w:bookmarkStart w:id="487" w:name="_Toc8520"/>
      <w:bookmarkStart w:id="488" w:name="_Toc7527"/>
    </w:p>
    <w:p w14:paraId="239811DD">
      <w:pPr>
        <w:spacing w:line="440" w:lineRule="exact"/>
        <w:outlineLvl w:val="0"/>
        <w:rPr>
          <w:rFonts w:hint="eastAsia" w:ascii="仿宋" w:hAnsi="仿宋" w:eastAsia="仿宋" w:cs="仿宋"/>
          <w:b/>
          <w:bCs/>
          <w:color w:val="auto"/>
          <w:sz w:val="28"/>
          <w:szCs w:val="28"/>
          <w:highlight w:val="none"/>
        </w:rPr>
        <w:sectPr>
          <w:footerReference r:id="rId7" w:type="default"/>
          <w:pgSz w:w="11906" w:h="16838"/>
          <w:pgMar w:top="1440" w:right="1080" w:bottom="1440" w:left="1080" w:header="851" w:footer="992" w:gutter="0"/>
          <w:pgNumType w:fmt="decimal"/>
          <w:cols w:space="720" w:num="1"/>
          <w:docGrid w:type="lines" w:linePitch="312" w:charSpace="0"/>
        </w:sectPr>
      </w:pPr>
    </w:p>
    <w:tbl>
      <w:tblPr>
        <w:tblStyle w:val="4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869"/>
        <w:gridCol w:w="754"/>
        <w:gridCol w:w="1671"/>
        <w:gridCol w:w="637"/>
        <w:gridCol w:w="1071"/>
        <w:gridCol w:w="817"/>
        <w:gridCol w:w="342"/>
        <w:gridCol w:w="1188"/>
        <w:gridCol w:w="120"/>
        <w:gridCol w:w="108"/>
        <w:gridCol w:w="916"/>
        <w:gridCol w:w="836"/>
        <w:gridCol w:w="459"/>
        <w:gridCol w:w="130"/>
        <w:gridCol w:w="1211"/>
        <w:gridCol w:w="45"/>
        <w:gridCol w:w="1590"/>
        <w:gridCol w:w="555"/>
      </w:tblGrid>
      <w:tr w14:paraId="64BD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285" w:hRule="atLeast"/>
          <w:jc w:val="center"/>
        </w:trPr>
        <w:tc>
          <w:tcPr>
            <w:tcW w:w="13350" w:type="dxa"/>
            <w:gridSpan w:val="18"/>
            <w:vMerge w:val="restart"/>
            <w:tcBorders>
              <w:top w:val="nil"/>
              <w:left w:val="nil"/>
              <w:bottom w:val="nil"/>
              <w:right w:val="nil"/>
            </w:tcBorders>
            <w:noWrap w:val="0"/>
            <w:vAlign w:val="center"/>
          </w:tcPr>
          <w:p w14:paraId="213A6612">
            <w:pPr>
              <w:keepNext w:val="0"/>
              <w:keepLines w:val="0"/>
              <w:widowControl/>
              <w:suppressLineNumbers w:val="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32"/>
                <w:szCs w:val="32"/>
                <w:highlight w:val="none"/>
                <w:u w:val="none"/>
                <w:lang w:val="en-US" w:eastAsia="zh-CN" w:bidi="ar"/>
              </w:rPr>
              <w:t>附件1：佛山市南海区财政局工程造价咨询服务收费标准表（FS2025（NH）WZ0002）</w:t>
            </w:r>
          </w:p>
        </w:tc>
      </w:tr>
      <w:tr w14:paraId="231B9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300" w:hRule="atLeast"/>
          <w:jc w:val="center"/>
        </w:trPr>
        <w:tc>
          <w:tcPr>
            <w:tcW w:w="13350" w:type="dxa"/>
            <w:gridSpan w:val="18"/>
            <w:vMerge w:val="continue"/>
            <w:tcBorders>
              <w:top w:val="nil"/>
              <w:left w:val="nil"/>
              <w:bottom w:val="nil"/>
              <w:right w:val="nil"/>
            </w:tcBorders>
            <w:noWrap w:val="0"/>
            <w:vAlign w:val="center"/>
          </w:tcPr>
          <w:p w14:paraId="47518472">
            <w:pPr>
              <w:jc w:val="center"/>
              <w:rPr>
                <w:rFonts w:hint="eastAsia" w:ascii="仿宋" w:hAnsi="仿宋" w:eastAsia="仿宋" w:cs="仿宋"/>
                <w:b/>
                <w:bCs/>
                <w:i w:val="0"/>
                <w:iCs w:val="0"/>
                <w:color w:val="auto"/>
                <w:sz w:val="24"/>
                <w:szCs w:val="24"/>
                <w:highlight w:val="none"/>
                <w:u w:val="none"/>
              </w:rPr>
            </w:pPr>
          </w:p>
        </w:tc>
      </w:tr>
      <w:tr w14:paraId="35CFB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315" w:hRule="atLeast"/>
          <w:jc w:val="center"/>
        </w:trPr>
        <w:tc>
          <w:tcPr>
            <w:tcW w:w="586" w:type="dxa"/>
            <w:vMerge w:val="restart"/>
            <w:tcBorders>
              <w:top w:val="single" w:color="000000" w:sz="8" w:space="0"/>
              <w:left w:val="single" w:color="000000" w:sz="8" w:space="0"/>
              <w:bottom w:val="single" w:color="000000" w:sz="8" w:space="0"/>
              <w:right w:val="single" w:color="000000" w:sz="8" w:space="0"/>
            </w:tcBorders>
            <w:noWrap w:val="0"/>
            <w:vAlign w:val="center"/>
          </w:tcPr>
          <w:p w14:paraId="75CC192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序号</w:t>
            </w:r>
          </w:p>
        </w:tc>
        <w:tc>
          <w:tcPr>
            <w:tcW w:w="1623" w:type="dxa"/>
            <w:gridSpan w:val="2"/>
            <w:vMerge w:val="restart"/>
            <w:tcBorders>
              <w:top w:val="single" w:color="000000" w:sz="8" w:space="0"/>
              <w:left w:val="single" w:color="000000" w:sz="8" w:space="0"/>
              <w:bottom w:val="single" w:color="000000" w:sz="8" w:space="0"/>
              <w:right w:val="single" w:color="000000" w:sz="8" w:space="0"/>
            </w:tcBorders>
            <w:noWrap w:val="0"/>
            <w:vAlign w:val="center"/>
          </w:tcPr>
          <w:p w14:paraId="439395EE">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咨询项目名称</w:t>
            </w:r>
          </w:p>
        </w:tc>
        <w:tc>
          <w:tcPr>
            <w:tcW w:w="1671" w:type="dxa"/>
            <w:vMerge w:val="restart"/>
            <w:tcBorders>
              <w:top w:val="single" w:color="000000" w:sz="8" w:space="0"/>
              <w:left w:val="single" w:color="000000" w:sz="8" w:space="0"/>
              <w:bottom w:val="single" w:color="000000" w:sz="8" w:space="0"/>
              <w:right w:val="single" w:color="000000" w:sz="8" w:space="0"/>
            </w:tcBorders>
            <w:noWrap w:val="0"/>
            <w:vAlign w:val="center"/>
          </w:tcPr>
          <w:p w14:paraId="561A2322">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服务内容</w:t>
            </w:r>
          </w:p>
        </w:tc>
        <w:tc>
          <w:tcPr>
            <w:tcW w:w="637" w:type="dxa"/>
            <w:vMerge w:val="restart"/>
            <w:tcBorders>
              <w:top w:val="single" w:color="000000" w:sz="8" w:space="0"/>
              <w:left w:val="single" w:color="000000" w:sz="8" w:space="0"/>
              <w:bottom w:val="single" w:color="000000" w:sz="8" w:space="0"/>
              <w:right w:val="single" w:color="000000" w:sz="8" w:space="0"/>
            </w:tcBorders>
            <w:noWrap w:val="0"/>
            <w:vAlign w:val="center"/>
          </w:tcPr>
          <w:p w14:paraId="2BD5C580">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计费基数</w:t>
            </w:r>
          </w:p>
        </w:tc>
        <w:tc>
          <w:tcPr>
            <w:tcW w:w="8833" w:type="dxa"/>
            <w:gridSpan w:val="13"/>
            <w:tcBorders>
              <w:top w:val="single" w:color="000000" w:sz="8" w:space="0"/>
              <w:left w:val="single" w:color="000000" w:sz="8" w:space="0"/>
              <w:bottom w:val="single" w:color="000000" w:sz="8" w:space="0"/>
              <w:right w:val="single" w:color="000000" w:sz="8" w:space="0"/>
            </w:tcBorders>
            <w:noWrap w:val="0"/>
            <w:vAlign w:val="center"/>
          </w:tcPr>
          <w:p w14:paraId="19B0CD9A">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计费标准</w:t>
            </w:r>
          </w:p>
        </w:tc>
      </w:tr>
      <w:tr w14:paraId="52BA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510" w:hRule="atLeast"/>
          <w:jc w:val="center"/>
        </w:trPr>
        <w:tc>
          <w:tcPr>
            <w:tcW w:w="586" w:type="dxa"/>
            <w:vMerge w:val="continue"/>
            <w:tcBorders>
              <w:top w:val="single" w:color="000000" w:sz="8" w:space="0"/>
              <w:left w:val="single" w:color="000000" w:sz="8" w:space="0"/>
              <w:bottom w:val="single" w:color="000000" w:sz="8" w:space="0"/>
              <w:right w:val="single" w:color="000000" w:sz="8" w:space="0"/>
            </w:tcBorders>
            <w:noWrap w:val="0"/>
            <w:vAlign w:val="center"/>
          </w:tcPr>
          <w:p w14:paraId="7DD1D3F6">
            <w:pPr>
              <w:jc w:val="center"/>
              <w:rPr>
                <w:rFonts w:hint="eastAsia" w:ascii="仿宋" w:hAnsi="仿宋" w:eastAsia="仿宋" w:cs="仿宋"/>
                <w:i w:val="0"/>
                <w:iCs w:val="0"/>
                <w:color w:val="auto"/>
                <w:sz w:val="20"/>
                <w:szCs w:val="20"/>
                <w:highlight w:val="none"/>
                <w:u w:val="none"/>
              </w:rPr>
            </w:pPr>
          </w:p>
        </w:tc>
        <w:tc>
          <w:tcPr>
            <w:tcW w:w="1623"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14:paraId="162BFDBC">
            <w:pPr>
              <w:jc w:val="center"/>
              <w:rPr>
                <w:rFonts w:hint="eastAsia" w:ascii="仿宋" w:hAnsi="仿宋" w:eastAsia="仿宋" w:cs="仿宋"/>
                <w:i w:val="0"/>
                <w:iCs w:val="0"/>
                <w:color w:val="auto"/>
                <w:sz w:val="20"/>
                <w:szCs w:val="20"/>
                <w:highlight w:val="none"/>
                <w:u w:val="none"/>
              </w:rPr>
            </w:pPr>
          </w:p>
        </w:tc>
        <w:tc>
          <w:tcPr>
            <w:tcW w:w="1671" w:type="dxa"/>
            <w:vMerge w:val="continue"/>
            <w:tcBorders>
              <w:top w:val="single" w:color="000000" w:sz="8" w:space="0"/>
              <w:left w:val="single" w:color="000000" w:sz="8" w:space="0"/>
              <w:bottom w:val="single" w:color="000000" w:sz="8" w:space="0"/>
              <w:right w:val="single" w:color="000000" w:sz="8" w:space="0"/>
            </w:tcBorders>
            <w:noWrap w:val="0"/>
            <w:vAlign w:val="center"/>
          </w:tcPr>
          <w:p w14:paraId="026CC1C3">
            <w:pPr>
              <w:jc w:val="center"/>
              <w:rPr>
                <w:rFonts w:hint="eastAsia" w:ascii="仿宋" w:hAnsi="仿宋" w:eastAsia="仿宋" w:cs="仿宋"/>
                <w:i w:val="0"/>
                <w:iCs w:val="0"/>
                <w:color w:val="auto"/>
                <w:sz w:val="20"/>
                <w:szCs w:val="20"/>
                <w:highlight w:val="none"/>
                <w:u w:val="none"/>
              </w:rPr>
            </w:pPr>
          </w:p>
        </w:tc>
        <w:tc>
          <w:tcPr>
            <w:tcW w:w="6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EF9351C">
            <w:pPr>
              <w:jc w:val="center"/>
              <w:rPr>
                <w:rFonts w:hint="eastAsia" w:ascii="仿宋" w:hAnsi="仿宋" w:eastAsia="仿宋" w:cs="仿宋"/>
                <w:i w:val="0"/>
                <w:iCs w:val="0"/>
                <w:color w:val="auto"/>
                <w:sz w:val="20"/>
                <w:szCs w:val="20"/>
                <w:highlight w:val="none"/>
                <w:u w:val="none"/>
              </w:rPr>
            </w:pP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70C96DE5">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100（含）万元以内</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14288370">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100-500（含）万元</w:t>
            </w:r>
          </w:p>
        </w:tc>
        <w:tc>
          <w:tcPr>
            <w:tcW w:w="1188" w:type="dxa"/>
            <w:tcBorders>
              <w:top w:val="single" w:color="000000" w:sz="8" w:space="0"/>
              <w:left w:val="single" w:color="000000" w:sz="8" w:space="0"/>
              <w:bottom w:val="single" w:color="000000" w:sz="8" w:space="0"/>
              <w:right w:val="single" w:color="000000" w:sz="8" w:space="0"/>
            </w:tcBorders>
            <w:noWrap w:val="0"/>
            <w:vAlign w:val="center"/>
          </w:tcPr>
          <w:p w14:paraId="702B626D">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500-1000（含）万元</w:t>
            </w:r>
          </w:p>
        </w:tc>
        <w:tc>
          <w:tcPr>
            <w:tcW w:w="1144" w:type="dxa"/>
            <w:gridSpan w:val="3"/>
            <w:tcBorders>
              <w:top w:val="single" w:color="000000" w:sz="8" w:space="0"/>
              <w:left w:val="single" w:color="000000" w:sz="8" w:space="0"/>
              <w:bottom w:val="single" w:color="000000" w:sz="8" w:space="0"/>
              <w:right w:val="single" w:color="000000" w:sz="8" w:space="0"/>
            </w:tcBorders>
            <w:noWrap w:val="0"/>
            <w:vAlign w:val="center"/>
          </w:tcPr>
          <w:p w14:paraId="414AF18D">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1000-5000（含）万元</w:t>
            </w:r>
          </w:p>
        </w:tc>
        <w:tc>
          <w:tcPr>
            <w:tcW w:w="1425" w:type="dxa"/>
            <w:gridSpan w:val="3"/>
            <w:tcBorders>
              <w:top w:val="single" w:color="000000" w:sz="8" w:space="0"/>
              <w:left w:val="single" w:color="000000" w:sz="8" w:space="0"/>
              <w:bottom w:val="single" w:color="000000" w:sz="8" w:space="0"/>
              <w:right w:val="single" w:color="000000" w:sz="8" w:space="0"/>
            </w:tcBorders>
            <w:noWrap w:val="0"/>
            <w:vAlign w:val="center"/>
          </w:tcPr>
          <w:p w14:paraId="75C2C839">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5000万元-1（含）亿元</w:t>
            </w:r>
          </w:p>
        </w:tc>
        <w:tc>
          <w:tcPr>
            <w:tcW w:w="1256" w:type="dxa"/>
            <w:gridSpan w:val="2"/>
            <w:tcBorders>
              <w:top w:val="single" w:color="000000" w:sz="8" w:space="0"/>
              <w:left w:val="single" w:color="000000" w:sz="8" w:space="0"/>
              <w:bottom w:val="single" w:color="000000" w:sz="8" w:space="0"/>
              <w:right w:val="single" w:color="000000" w:sz="8" w:space="0"/>
            </w:tcBorders>
            <w:noWrap w:val="0"/>
            <w:vAlign w:val="center"/>
          </w:tcPr>
          <w:p w14:paraId="4476802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1亿元-5亿元（含）</w:t>
            </w:r>
          </w:p>
        </w:tc>
        <w:tc>
          <w:tcPr>
            <w:tcW w:w="1590" w:type="dxa"/>
            <w:tcBorders>
              <w:top w:val="single" w:color="000000" w:sz="8" w:space="0"/>
              <w:left w:val="single" w:color="000000" w:sz="8" w:space="0"/>
              <w:bottom w:val="single" w:color="000000" w:sz="8" w:space="0"/>
              <w:right w:val="single" w:color="000000" w:sz="8" w:space="0"/>
            </w:tcBorders>
            <w:noWrap w:val="0"/>
            <w:vAlign w:val="center"/>
          </w:tcPr>
          <w:p w14:paraId="0F8D3E8D">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5亿元以上</w:t>
            </w:r>
          </w:p>
        </w:tc>
      </w:tr>
      <w:tr w14:paraId="57A8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710" w:hRule="atLeast"/>
          <w:jc w:val="center"/>
        </w:trPr>
        <w:tc>
          <w:tcPr>
            <w:tcW w:w="586" w:type="dxa"/>
            <w:tcBorders>
              <w:top w:val="single" w:color="000000" w:sz="8" w:space="0"/>
              <w:left w:val="single" w:color="000000" w:sz="8" w:space="0"/>
              <w:bottom w:val="single" w:color="000000" w:sz="8" w:space="0"/>
              <w:right w:val="single" w:color="000000" w:sz="8" w:space="0"/>
            </w:tcBorders>
            <w:noWrap w:val="0"/>
            <w:vAlign w:val="center"/>
          </w:tcPr>
          <w:p w14:paraId="728F656F">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w:t>
            </w:r>
          </w:p>
        </w:tc>
        <w:tc>
          <w:tcPr>
            <w:tcW w:w="1623" w:type="dxa"/>
            <w:gridSpan w:val="2"/>
            <w:tcBorders>
              <w:top w:val="single" w:color="000000" w:sz="8" w:space="0"/>
              <w:left w:val="single" w:color="000000" w:sz="8" w:space="0"/>
              <w:bottom w:val="single" w:color="000000" w:sz="8" w:space="0"/>
              <w:right w:val="single" w:color="000000" w:sz="8" w:space="0"/>
            </w:tcBorders>
            <w:noWrap w:val="0"/>
            <w:vAlign w:val="center"/>
          </w:tcPr>
          <w:p w14:paraId="002C06E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投资估算的审核</w:t>
            </w:r>
          </w:p>
        </w:tc>
        <w:tc>
          <w:tcPr>
            <w:tcW w:w="1671" w:type="dxa"/>
            <w:tcBorders>
              <w:top w:val="single" w:color="000000" w:sz="8" w:space="0"/>
              <w:left w:val="single" w:color="000000" w:sz="8" w:space="0"/>
              <w:bottom w:val="single" w:color="000000" w:sz="8" w:space="0"/>
              <w:right w:val="single" w:color="000000" w:sz="8" w:space="0"/>
            </w:tcBorders>
            <w:noWrap w:val="0"/>
            <w:vAlign w:val="center"/>
          </w:tcPr>
          <w:p w14:paraId="35F324A9">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依据建设项目可行性研究方案核对项目投资估算，出具投资估算审核报告</w:t>
            </w:r>
          </w:p>
        </w:tc>
        <w:tc>
          <w:tcPr>
            <w:tcW w:w="637" w:type="dxa"/>
            <w:tcBorders>
              <w:top w:val="single" w:color="000000" w:sz="8" w:space="0"/>
              <w:left w:val="single" w:color="000000" w:sz="8" w:space="0"/>
              <w:bottom w:val="single" w:color="000000" w:sz="8" w:space="0"/>
              <w:right w:val="single" w:color="000000" w:sz="8" w:space="0"/>
            </w:tcBorders>
            <w:noWrap w:val="0"/>
            <w:vAlign w:val="center"/>
          </w:tcPr>
          <w:p w14:paraId="63B4801D">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审定金额</w:t>
            </w: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3D143CF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1.17‰</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7BCEDDE0">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0.99‰</w:t>
            </w:r>
          </w:p>
        </w:tc>
        <w:tc>
          <w:tcPr>
            <w:tcW w:w="1188" w:type="dxa"/>
            <w:tcBorders>
              <w:top w:val="single" w:color="000000" w:sz="8" w:space="0"/>
              <w:left w:val="single" w:color="000000" w:sz="8" w:space="0"/>
              <w:bottom w:val="single" w:color="000000" w:sz="8" w:space="0"/>
              <w:right w:val="single" w:color="000000" w:sz="8" w:space="0"/>
            </w:tcBorders>
            <w:noWrap w:val="0"/>
            <w:vAlign w:val="center"/>
          </w:tcPr>
          <w:p w14:paraId="0735ADC9">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0.81‰</w:t>
            </w:r>
          </w:p>
        </w:tc>
        <w:tc>
          <w:tcPr>
            <w:tcW w:w="1144" w:type="dxa"/>
            <w:gridSpan w:val="3"/>
            <w:tcBorders>
              <w:top w:val="single" w:color="000000" w:sz="8" w:space="0"/>
              <w:left w:val="single" w:color="000000" w:sz="8" w:space="0"/>
              <w:bottom w:val="single" w:color="000000" w:sz="8" w:space="0"/>
              <w:right w:val="single" w:color="000000" w:sz="8" w:space="0"/>
            </w:tcBorders>
            <w:noWrap w:val="0"/>
            <w:vAlign w:val="center"/>
          </w:tcPr>
          <w:p w14:paraId="4078A6FA">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0.63‰</w:t>
            </w:r>
          </w:p>
        </w:tc>
        <w:tc>
          <w:tcPr>
            <w:tcW w:w="1425" w:type="dxa"/>
            <w:gridSpan w:val="3"/>
            <w:tcBorders>
              <w:top w:val="single" w:color="000000" w:sz="8" w:space="0"/>
              <w:left w:val="single" w:color="000000" w:sz="8" w:space="0"/>
              <w:bottom w:val="single" w:color="000000" w:sz="8" w:space="0"/>
              <w:right w:val="single" w:color="000000" w:sz="8" w:space="0"/>
            </w:tcBorders>
            <w:noWrap w:val="0"/>
            <w:vAlign w:val="center"/>
          </w:tcPr>
          <w:p w14:paraId="43560EE0">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0.45‰</w:t>
            </w:r>
          </w:p>
        </w:tc>
        <w:tc>
          <w:tcPr>
            <w:tcW w:w="1256" w:type="dxa"/>
            <w:gridSpan w:val="2"/>
            <w:tcBorders>
              <w:top w:val="single" w:color="000000" w:sz="8" w:space="0"/>
              <w:left w:val="single" w:color="000000" w:sz="8" w:space="0"/>
              <w:bottom w:val="single" w:color="000000" w:sz="8" w:space="0"/>
              <w:right w:val="single" w:color="000000" w:sz="8" w:space="0"/>
            </w:tcBorders>
            <w:noWrap w:val="0"/>
            <w:vAlign w:val="center"/>
          </w:tcPr>
          <w:p w14:paraId="591117F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0.324‰</w:t>
            </w:r>
          </w:p>
        </w:tc>
        <w:tc>
          <w:tcPr>
            <w:tcW w:w="1590" w:type="dxa"/>
            <w:tcBorders>
              <w:top w:val="single" w:color="000000" w:sz="8" w:space="0"/>
              <w:left w:val="single" w:color="000000" w:sz="8" w:space="0"/>
              <w:bottom w:val="single" w:color="000000" w:sz="8" w:space="0"/>
              <w:right w:val="single" w:color="000000" w:sz="8" w:space="0"/>
            </w:tcBorders>
            <w:noWrap w:val="0"/>
            <w:vAlign w:val="center"/>
          </w:tcPr>
          <w:p w14:paraId="4D2B9A55">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0.259‰</w:t>
            </w:r>
          </w:p>
        </w:tc>
      </w:tr>
      <w:tr w14:paraId="6B88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470" w:hRule="atLeast"/>
          <w:jc w:val="center"/>
        </w:trPr>
        <w:tc>
          <w:tcPr>
            <w:tcW w:w="586" w:type="dxa"/>
            <w:tcBorders>
              <w:top w:val="single" w:color="000000" w:sz="8" w:space="0"/>
              <w:left w:val="single" w:color="000000" w:sz="8" w:space="0"/>
              <w:bottom w:val="single" w:color="000000" w:sz="8" w:space="0"/>
              <w:right w:val="single" w:color="000000" w:sz="8" w:space="0"/>
            </w:tcBorders>
            <w:noWrap w:val="0"/>
            <w:vAlign w:val="center"/>
          </w:tcPr>
          <w:p w14:paraId="5266D59F">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w:t>
            </w:r>
          </w:p>
        </w:tc>
        <w:tc>
          <w:tcPr>
            <w:tcW w:w="1623" w:type="dxa"/>
            <w:gridSpan w:val="2"/>
            <w:tcBorders>
              <w:top w:val="single" w:color="000000" w:sz="8" w:space="0"/>
              <w:left w:val="single" w:color="000000" w:sz="8" w:space="0"/>
              <w:bottom w:val="single" w:color="000000" w:sz="8" w:space="0"/>
              <w:right w:val="single" w:color="000000" w:sz="8" w:space="0"/>
            </w:tcBorders>
            <w:noWrap w:val="0"/>
            <w:vAlign w:val="center"/>
          </w:tcPr>
          <w:p w14:paraId="358F1491">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工程概算的审核</w:t>
            </w:r>
          </w:p>
        </w:tc>
        <w:tc>
          <w:tcPr>
            <w:tcW w:w="1671" w:type="dxa"/>
            <w:tcBorders>
              <w:top w:val="single" w:color="000000" w:sz="8" w:space="0"/>
              <w:left w:val="single" w:color="000000" w:sz="8" w:space="0"/>
              <w:bottom w:val="single" w:color="000000" w:sz="8" w:space="0"/>
              <w:right w:val="single" w:color="000000" w:sz="8" w:space="0"/>
            </w:tcBorders>
            <w:noWrap w:val="0"/>
            <w:vAlign w:val="center"/>
          </w:tcPr>
          <w:p w14:paraId="6055BBDB">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依据初步设计图纸计算或复核工程量，出具工程概算书或审核报告</w:t>
            </w:r>
          </w:p>
        </w:tc>
        <w:tc>
          <w:tcPr>
            <w:tcW w:w="637" w:type="dxa"/>
            <w:tcBorders>
              <w:top w:val="single" w:color="000000" w:sz="8" w:space="0"/>
              <w:left w:val="single" w:color="000000" w:sz="8" w:space="0"/>
              <w:bottom w:val="single" w:color="000000" w:sz="8" w:space="0"/>
              <w:right w:val="single" w:color="000000" w:sz="8" w:space="0"/>
            </w:tcBorders>
            <w:noWrap w:val="0"/>
            <w:vAlign w:val="center"/>
          </w:tcPr>
          <w:p w14:paraId="166138C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审定金额</w:t>
            </w: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55F90E4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1.8‰</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0293B7A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1.62‰</w:t>
            </w:r>
          </w:p>
        </w:tc>
        <w:tc>
          <w:tcPr>
            <w:tcW w:w="1188" w:type="dxa"/>
            <w:tcBorders>
              <w:top w:val="single" w:color="000000" w:sz="8" w:space="0"/>
              <w:left w:val="single" w:color="000000" w:sz="8" w:space="0"/>
              <w:bottom w:val="single" w:color="000000" w:sz="8" w:space="0"/>
              <w:right w:val="single" w:color="000000" w:sz="8" w:space="0"/>
            </w:tcBorders>
            <w:noWrap w:val="0"/>
            <w:vAlign w:val="center"/>
          </w:tcPr>
          <w:p w14:paraId="18FD3A5E">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1.44‰</w:t>
            </w:r>
          </w:p>
        </w:tc>
        <w:tc>
          <w:tcPr>
            <w:tcW w:w="1144" w:type="dxa"/>
            <w:gridSpan w:val="3"/>
            <w:tcBorders>
              <w:top w:val="single" w:color="000000" w:sz="8" w:space="0"/>
              <w:left w:val="single" w:color="000000" w:sz="8" w:space="0"/>
              <w:bottom w:val="single" w:color="000000" w:sz="8" w:space="0"/>
              <w:right w:val="single" w:color="000000" w:sz="8" w:space="0"/>
            </w:tcBorders>
            <w:noWrap w:val="0"/>
            <w:vAlign w:val="center"/>
          </w:tcPr>
          <w:p w14:paraId="774CCE83">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1.17‰</w:t>
            </w:r>
          </w:p>
        </w:tc>
        <w:tc>
          <w:tcPr>
            <w:tcW w:w="1425" w:type="dxa"/>
            <w:gridSpan w:val="3"/>
            <w:tcBorders>
              <w:top w:val="single" w:color="000000" w:sz="8" w:space="0"/>
              <w:left w:val="single" w:color="000000" w:sz="8" w:space="0"/>
              <w:bottom w:val="single" w:color="000000" w:sz="8" w:space="0"/>
              <w:right w:val="single" w:color="000000" w:sz="8" w:space="0"/>
            </w:tcBorders>
            <w:noWrap w:val="0"/>
            <w:vAlign w:val="center"/>
          </w:tcPr>
          <w:p w14:paraId="5DB23251">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1.08‰</w:t>
            </w:r>
          </w:p>
        </w:tc>
        <w:tc>
          <w:tcPr>
            <w:tcW w:w="1256" w:type="dxa"/>
            <w:gridSpan w:val="2"/>
            <w:tcBorders>
              <w:top w:val="single" w:color="000000" w:sz="8" w:space="0"/>
              <w:left w:val="single" w:color="000000" w:sz="8" w:space="0"/>
              <w:bottom w:val="single" w:color="000000" w:sz="8" w:space="0"/>
              <w:right w:val="single" w:color="000000" w:sz="8" w:space="0"/>
            </w:tcBorders>
            <w:noWrap w:val="0"/>
            <w:vAlign w:val="center"/>
          </w:tcPr>
          <w:p w14:paraId="7DC06999">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0.891‰</w:t>
            </w:r>
          </w:p>
        </w:tc>
        <w:tc>
          <w:tcPr>
            <w:tcW w:w="1590" w:type="dxa"/>
            <w:tcBorders>
              <w:top w:val="single" w:color="000000" w:sz="8" w:space="0"/>
              <w:left w:val="single" w:color="000000" w:sz="8" w:space="0"/>
              <w:bottom w:val="single" w:color="000000" w:sz="8" w:space="0"/>
              <w:right w:val="single" w:color="000000" w:sz="8" w:space="0"/>
            </w:tcBorders>
            <w:noWrap w:val="0"/>
            <w:vAlign w:val="center"/>
          </w:tcPr>
          <w:p w14:paraId="6E107AA0">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0.713‰</w:t>
            </w:r>
          </w:p>
        </w:tc>
      </w:tr>
      <w:tr w14:paraId="207C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230" w:hRule="atLeast"/>
          <w:jc w:val="center"/>
        </w:trPr>
        <w:tc>
          <w:tcPr>
            <w:tcW w:w="586" w:type="dxa"/>
            <w:tcBorders>
              <w:top w:val="single" w:color="000000" w:sz="8" w:space="0"/>
              <w:left w:val="single" w:color="000000" w:sz="8" w:space="0"/>
              <w:bottom w:val="single" w:color="000000" w:sz="8" w:space="0"/>
              <w:right w:val="single" w:color="000000" w:sz="8" w:space="0"/>
            </w:tcBorders>
            <w:noWrap w:val="0"/>
            <w:vAlign w:val="center"/>
          </w:tcPr>
          <w:p w14:paraId="1F8C943A">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w:t>
            </w:r>
          </w:p>
        </w:tc>
        <w:tc>
          <w:tcPr>
            <w:tcW w:w="1623" w:type="dxa"/>
            <w:gridSpan w:val="2"/>
            <w:tcBorders>
              <w:top w:val="single" w:color="000000" w:sz="8" w:space="0"/>
              <w:left w:val="single" w:color="000000" w:sz="8" w:space="0"/>
              <w:bottom w:val="single" w:color="000000" w:sz="8" w:space="0"/>
              <w:right w:val="single" w:color="000000" w:sz="8" w:space="0"/>
            </w:tcBorders>
            <w:noWrap w:val="0"/>
            <w:vAlign w:val="center"/>
          </w:tcPr>
          <w:p w14:paraId="4B2016E2">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预算初审审核</w:t>
            </w:r>
          </w:p>
        </w:tc>
        <w:tc>
          <w:tcPr>
            <w:tcW w:w="1671" w:type="dxa"/>
            <w:tcBorders>
              <w:top w:val="single" w:color="000000" w:sz="8" w:space="0"/>
              <w:left w:val="single" w:color="000000" w:sz="8" w:space="0"/>
              <w:bottom w:val="single" w:color="000000" w:sz="8" w:space="0"/>
              <w:right w:val="single" w:color="000000" w:sz="8" w:space="0"/>
            </w:tcBorders>
            <w:noWrap w:val="0"/>
            <w:vAlign w:val="center"/>
          </w:tcPr>
          <w:p w14:paraId="6C6954DA">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依据施工图审核工程量清单、清单报价，出具审核报告</w:t>
            </w:r>
          </w:p>
        </w:tc>
        <w:tc>
          <w:tcPr>
            <w:tcW w:w="637" w:type="dxa"/>
            <w:tcBorders>
              <w:top w:val="single" w:color="000000" w:sz="8" w:space="0"/>
              <w:left w:val="single" w:color="000000" w:sz="8" w:space="0"/>
              <w:bottom w:val="single" w:color="000000" w:sz="8" w:space="0"/>
              <w:right w:val="single" w:color="000000" w:sz="8" w:space="0"/>
            </w:tcBorders>
            <w:noWrap w:val="0"/>
            <w:vAlign w:val="center"/>
          </w:tcPr>
          <w:p w14:paraId="4DDB2EF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审定金额</w:t>
            </w: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224D09C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4.32‰</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0AB90E1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3.69‰</w:t>
            </w:r>
          </w:p>
        </w:tc>
        <w:tc>
          <w:tcPr>
            <w:tcW w:w="1188" w:type="dxa"/>
            <w:tcBorders>
              <w:top w:val="single" w:color="000000" w:sz="8" w:space="0"/>
              <w:left w:val="single" w:color="000000" w:sz="8" w:space="0"/>
              <w:bottom w:val="single" w:color="000000" w:sz="8" w:space="0"/>
              <w:right w:val="single" w:color="000000" w:sz="8" w:space="0"/>
            </w:tcBorders>
            <w:noWrap w:val="0"/>
            <w:vAlign w:val="center"/>
          </w:tcPr>
          <w:p w14:paraId="32231E18">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3.42‰</w:t>
            </w:r>
          </w:p>
        </w:tc>
        <w:tc>
          <w:tcPr>
            <w:tcW w:w="1144" w:type="dxa"/>
            <w:gridSpan w:val="3"/>
            <w:tcBorders>
              <w:top w:val="single" w:color="000000" w:sz="8" w:space="0"/>
              <w:left w:val="single" w:color="000000" w:sz="8" w:space="0"/>
              <w:bottom w:val="single" w:color="000000" w:sz="8" w:space="0"/>
              <w:right w:val="single" w:color="000000" w:sz="8" w:space="0"/>
            </w:tcBorders>
            <w:noWrap w:val="0"/>
            <w:vAlign w:val="center"/>
          </w:tcPr>
          <w:p w14:paraId="66058541">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3.06‰</w:t>
            </w:r>
          </w:p>
        </w:tc>
        <w:tc>
          <w:tcPr>
            <w:tcW w:w="1425" w:type="dxa"/>
            <w:gridSpan w:val="3"/>
            <w:tcBorders>
              <w:top w:val="single" w:color="000000" w:sz="8" w:space="0"/>
              <w:left w:val="single" w:color="000000" w:sz="8" w:space="0"/>
              <w:bottom w:val="single" w:color="000000" w:sz="8" w:space="0"/>
              <w:right w:val="single" w:color="000000" w:sz="8" w:space="0"/>
            </w:tcBorders>
            <w:noWrap w:val="0"/>
            <w:vAlign w:val="center"/>
          </w:tcPr>
          <w:p w14:paraId="373C0810">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2.61‰</w:t>
            </w:r>
          </w:p>
        </w:tc>
        <w:tc>
          <w:tcPr>
            <w:tcW w:w="1256" w:type="dxa"/>
            <w:gridSpan w:val="2"/>
            <w:tcBorders>
              <w:top w:val="single" w:color="000000" w:sz="8" w:space="0"/>
              <w:left w:val="single" w:color="000000" w:sz="8" w:space="0"/>
              <w:bottom w:val="single" w:color="000000" w:sz="8" w:space="0"/>
              <w:right w:val="single" w:color="000000" w:sz="8" w:space="0"/>
            </w:tcBorders>
            <w:noWrap w:val="0"/>
            <w:vAlign w:val="center"/>
          </w:tcPr>
          <w:p w14:paraId="35DFEA0B">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2.106‰</w:t>
            </w:r>
          </w:p>
        </w:tc>
        <w:tc>
          <w:tcPr>
            <w:tcW w:w="1590" w:type="dxa"/>
            <w:tcBorders>
              <w:top w:val="single" w:color="000000" w:sz="8" w:space="0"/>
              <w:left w:val="single" w:color="000000" w:sz="8" w:space="0"/>
              <w:bottom w:val="single" w:color="000000" w:sz="8" w:space="0"/>
              <w:right w:val="single" w:color="000000" w:sz="8" w:space="0"/>
            </w:tcBorders>
            <w:noWrap w:val="0"/>
            <w:vAlign w:val="center"/>
          </w:tcPr>
          <w:p w14:paraId="10B18C18">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1.685‰</w:t>
            </w:r>
          </w:p>
        </w:tc>
      </w:tr>
      <w:tr w14:paraId="7E6C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960" w:hRule="atLeast"/>
          <w:jc w:val="center"/>
        </w:trPr>
        <w:tc>
          <w:tcPr>
            <w:tcW w:w="586" w:type="dxa"/>
            <w:vMerge w:val="restart"/>
            <w:tcBorders>
              <w:top w:val="single" w:color="000000" w:sz="8" w:space="0"/>
              <w:left w:val="single" w:color="000000" w:sz="8" w:space="0"/>
              <w:bottom w:val="single" w:color="000000" w:sz="8" w:space="0"/>
              <w:right w:val="single" w:color="000000" w:sz="8" w:space="0"/>
            </w:tcBorders>
            <w:noWrap w:val="0"/>
            <w:vAlign w:val="center"/>
          </w:tcPr>
          <w:p w14:paraId="7C58372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4</w:t>
            </w:r>
          </w:p>
        </w:tc>
        <w:tc>
          <w:tcPr>
            <w:tcW w:w="869" w:type="dxa"/>
            <w:vMerge w:val="restart"/>
            <w:tcBorders>
              <w:top w:val="single" w:color="000000" w:sz="8" w:space="0"/>
              <w:left w:val="single" w:color="000000" w:sz="8" w:space="0"/>
              <w:bottom w:val="single" w:color="000000" w:sz="8" w:space="0"/>
              <w:right w:val="single" w:color="000000" w:sz="8" w:space="0"/>
            </w:tcBorders>
            <w:noWrap w:val="0"/>
            <w:vAlign w:val="center"/>
          </w:tcPr>
          <w:p w14:paraId="4453801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结算单审和双审初审</w:t>
            </w:r>
          </w:p>
        </w:tc>
        <w:tc>
          <w:tcPr>
            <w:tcW w:w="754" w:type="dxa"/>
            <w:tcBorders>
              <w:top w:val="single" w:color="000000" w:sz="8" w:space="0"/>
              <w:left w:val="single" w:color="000000" w:sz="8" w:space="0"/>
              <w:bottom w:val="single" w:color="000000" w:sz="8" w:space="0"/>
              <w:right w:val="single" w:color="000000" w:sz="8" w:space="0"/>
            </w:tcBorders>
            <w:noWrap w:val="0"/>
            <w:vAlign w:val="center"/>
          </w:tcPr>
          <w:p w14:paraId="47F2BD44">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（1）基本收费</w:t>
            </w:r>
          </w:p>
        </w:tc>
        <w:tc>
          <w:tcPr>
            <w:tcW w:w="1671" w:type="dxa"/>
            <w:vMerge w:val="restart"/>
            <w:tcBorders>
              <w:top w:val="single" w:color="000000" w:sz="8" w:space="0"/>
              <w:left w:val="single" w:color="000000" w:sz="8" w:space="0"/>
              <w:bottom w:val="single" w:color="000000" w:sz="8" w:space="0"/>
              <w:right w:val="single" w:color="000000" w:sz="8" w:space="0"/>
            </w:tcBorders>
            <w:noWrap w:val="0"/>
            <w:vAlign w:val="center"/>
          </w:tcPr>
          <w:p w14:paraId="299121F5">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根据竣工图、签证资料、工程结算书等进行审核出具结算审核报告</w:t>
            </w:r>
          </w:p>
        </w:tc>
        <w:tc>
          <w:tcPr>
            <w:tcW w:w="637" w:type="dxa"/>
            <w:tcBorders>
              <w:top w:val="single" w:color="000000" w:sz="8" w:space="0"/>
              <w:left w:val="single" w:color="000000" w:sz="8" w:space="0"/>
              <w:bottom w:val="single" w:color="000000" w:sz="8" w:space="0"/>
              <w:right w:val="single" w:color="000000" w:sz="8" w:space="0"/>
            </w:tcBorders>
            <w:noWrap w:val="0"/>
            <w:vAlign w:val="center"/>
          </w:tcPr>
          <w:p w14:paraId="3288D06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审定金额</w:t>
            </w: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3AD74355">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2.52‰</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14938B4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2.25‰</w:t>
            </w:r>
          </w:p>
        </w:tc>
        <w:tc>
          <w:tcPr>
            <w:tcW w:w="1188" w:type="dxa"/>
            <w:tcBorders>
              <w:top w:val="single" w:color="000000" w:sz="8" w:space="0"/>
              <w:left w:val="single" w:color="000000" w:sz="8" w:space="0"/>
              <w:bottom w:val="single" w:color="000000" w:sz="8" w:space="0"/>
              <w:right w:val="single" w:color="000000" w:sz="8" w:space="0"/>
            </w:tcBorders>
            <w:noWrap w:val="0"/>
            <w:vAlign w:val="center"/>
          </w:tcPr>
          <w:p w14:paraId="3AEB8FC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1.98‰</w:t>
            </w:r>
          </w:p>
        </w:tc>
        <w:tc>
          <w:tcPr>
            <w:tcW w:w="1144" w:type="dxa"/>
            <w:gridSpan w:val="3"/>
            <w:tcBorders>
              <w:top w:val="single" w:color="000000" w:sz="8" w:space="0"/>
              <w:left w:val="single" w:color="000000" w:sz="8" w:space="0"/>
              <w:bottom w:val="single" w:color="000000" w:sz="8" w:space="0"/>
              <w:right w:val="single" w:color="000000" w:sz="8" w:space="0"/>
            </w:tcBorders>
            <w:noWrap w:val="0"/>
            <w:vAlign w:val="center"/>
          </w:tcPr>
          <w:p w14:paraId="38F7E1BC">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1.44‰</w:t>
            </w:r>
          </w:p>
        </w:tc>
        <w:tc>
          <w:tcPr>
            <w:tcW w:w="1425" w:type="dxa"/>
            <w:gridSpan w:val="3"/>
            <w:tcBorders>
              <w:top w:val="single" w:color="000000" w:sz="8" w:space="0"/>
              <w:left w:val="single" w:color="000000" w:sz="8" w:space="0"/>
              <w:bottom w:val="single" w:color="000000" w:sz="8" w:space="0"/>
              <w:right w:val="single" w:color="000000" w:sz="8" w:space="0"/>
            </w:tcBorders>
            <w:noWrap w:val="0"/>
            <w:vAlign w:val="center"/>
          </w:tcPr>
          <w:p w14:paraId="5E37E015">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1.17‰</w:t>
            </w:r>
          </w:p>
        </w:tc>
        <w:tc>
          <w:tcPr>
            <w:tcW w:w="1256" w:type="dxa"/>
            <w:gridSpan w:val="2"/>
            <w:tcBorders>
              <w:top w:val="single" w:color="000000" w:sz="8" w:space="0"/>
              <w:left w:val="single" w:color="000000" w:sz="8" w:space="0"/>
              <w:bottom w:val="single" w:color="000000" w:sz="8" w:space="0"/>
              <w:right w:val="single" w:color="000000" w:sz="8" w:space="0"/>
            </w:tcBorders>
            <w:noWrap w:val="0"/>
            <w:vAlign w:val="center"/>
          </w:tcPr>
          <w:p w14:paraId="17F661B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0.81‰</w:t>
            </w:r>
          </w:p>
        </w:tc>
        <w:tc>
          <w:tcPr>
            <w:tcW w:w="1590" w:type="dxa"/>
            <w:tcBorders>
              <w:top w:val="single" w:color="000000" w:sz="8" w:space="0"/>
              <w:left w:val="single" w:color="000000" w:sz="8" w:space="0"/>
              <w:bottom w:val="single" w:color="000000" w:sz="8" w:space="0"/>
              <w:right w:val="single" w:color="000000" w:sz="8" w:space="0"/>
            </w:tcBorders>
            <w:noWrap w:val="0"/>
            <w:vAlign w:val="center"/>
          </w:tcPr>
          <w:p w14:paraId="745F330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0.648‰</w:t>
            </w:r>
          </w:p>
        </w:tc>
      </w:tr>
      <w:tr w14:paraId="15D8A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510" w:hRule="atLeast"/>
          <w:jc w:val="center"/>
        </w:trPr>
        <w:tc>
          <w:tcPr>
            <w:tcW w:w="586" w:type="dxa"/>
            <w:vMerge w:val="continue"/>
            <w:tcBorders>
              <w:top w:val="single" w:color="000000" w:sz="8" w:space="0"/>
              <w:left w:val="single" w:color="000000" w:sz="8" w:space="0"/>
              <w:bottom w:val="single" w:color="000000" w:sz="8" w:space="0"/>
              <w:right w:val="single" w:color="000000" w:sz="8" w:space="0"/>
            </w:tcBorders>
            <w:noWrap w:val="0"/>
            <w:vAlign w:val="center"/>
          </w:tcPr>
          <w:p w14:paraId="719AA44E">
            <w:pPr>
              <w:jc w:val="center"/>
              <w:rPr>
                <w:rFonts w:hint="eastAsia" w:ascii="仿宋" w:hAnsi="仿宋" w:eastAsia="仿宋" w:cs="仿宋"/>
                <w:i w:val="0"/>
                <w:iCs w:val="0"/>
                <w:color w:val="auto"/>
                <w:sz w:val="20"/>
                <w:szCs w:val="20"/>
                <w:highlight w:val="none"/>
                <w:u w:val="none"/>
              </w:rPr>
            </w:pPr>
          </w:p>
        </w:tc>
        <w:tc>
          <w:tcPr>
            <w:tcW w:w="869" w:type="dxa"/>
            <w:vMerge w:val="continue"/>
            <w:tcBorders>
              <w:top w:val="single" w:color="000000" w:sz="8" w:space="0"/>
              <w:left w:val="single" w:color="000000" w:sz="8" w:space="0"/>
              <w:bottom w:val="single" w:color="000000" w:sz="8" w:space="0"/>
              <w:right w:val="single" w:color="000000" w:sz="8" w:space="0"/>
            </w:tcBorders>
            <w:noWrap w:val="0"/>
            <w:vAlign w:val="center"/>
          </w:tcPr>
          <w:p w14:paraId="70C650F5">
            <w:pPr>
              <w:jc w:val="center"/>
              <w:rPr>
                <w:rFonts w:hint="eastAsia" w:ascii="仿宋" w:hAnsi="仿宋" w:eastAsia="仿宋" w:cs="仿宋"/>
                <w:i w:val="0"/>
                <w:iCs w:val="0"/>
                <w:color w:val="auto"/>
                <w:sz w:val="20"/>
                <w:szCs w:val="20"/>
                <w:highlight w:val="none"/>
                <w:u w:val="none"/>
              </w:rPr>
            </w:pPr>
          </w:p>
        </w:tc>
        <w:tc>
          <w:tcPr>
            <w:tcW w:w="754" w:type="dxa"/>
            <w:tcBorders>
              <w:top w:val="single" w:color="000000" w:sz="8" w:space="0"/>
              <w:left w:val="single" w:color="000000" w:sz="8" w:space="0"/>
              <w:bottom w:val="single" w:color="000000" w:sz="8" w:space="0"/>
              <w:right w:val="single" w:color="000000" w:sz="8" w:space="0"/>
            </w:tcBorders>
            <w:noWrap w:val="0"/>
            <w:vAlign w:val="center"/>
          </w:tcPr>
          <w:p w14:paraId="011E6D62">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（2）效益收费</w:t>
            </w:r>
          </w:p>
        </w:tc>
        <w:tc>
          <w:tcPr>
            <w:tcW w:w="1671" w:type="dxa"/>
            <w:vMerge w:val="continue"/>
            <w:tcBorders>
              <w:top w:val="single" w:color="000000" w:sz="8" w:space="0"/>
              <w:left w:val="single" w:color="000000" w:sz="8" w:space="0"/>
              <w:bottom w:val="single" w:color="000000" w:sz="8" w:space="0"/>
              <w:right w:val="single" w:color="000000" w:sz="8" w:space="0"/>
            </w:tcBorders>
            <w:noWrap w:val="0"/>
            <w:vAlign w:val="center"/>
          </w:tcPr>
          <w:p w14:paraId="05BC6A56">
            <w:pPr>
              <w:jc w:val="left"/>
              <w:rPr>
                <w:rFonts w:hint="eastAsia" w:ascii="仿宋" w:hAnsi="仿宋" w:eastAsia="仿宋" w:cs="仿宋"/>
                <w:i w:val="0"/>
                <w:iCs w:val="0"/>
                <w:color w:val="auto"/>
                <w:sz w:val="20"/>
                <w:szCs w:val="20"/>
                <w:highlight w:val="none"/>
                <w:u w:val="none"/>
              </w:rPr>
            </w:pPr>
          </w:p>
        </w:tc>
        <w:tc>
          <w:tcPr>
            <w:tcW w:w="637" w:type="dxa"/>
            <w:tcBorders>
              <w:top w:val="single" w:color="000000" w:sz="8" w:space="0"/>
              <w:left w:val="single" w:color="000000" w:sz="8" w:space="0"/>
              <w:bottom w:val="single" w:color="000000" w:sz="8" w:space="0"/>
              <w:right w:val="single" w:color="000000" w:sz="8" w:space="0"/>
            </w:tcBorders>
            <w:noWrap w:val="0"/>
            <w:vAlign w:val="center"/>
          </w:tcPr>
          <w:p w14:paraId="2A28FDB4">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核减额</w:t>
            </w:r>
          </w:p>
        </w:tc>
        <w:tc>
          <w:tcPr>
            <w:tcW w:w="8833" w:type="dxa"/>
            <w:gridSpan w:val="13"/>
            <w:tcBorders>
              <w:top w:val="single" w:color="000000" w:sz="8" w:space="0"/>
              <w:left w:val="single" w:color="000000" w:sz="8" w:space="0"/>
              <w:bottom w:val="single" w:color="000000" w:sz="8" w:space="0"/>
              <w:right w:val="single" w:color="000000" w:sz="8" w:space="0"/>
            </w:tcBorders>
            <w:noWrap w:val="0"/>
            <w:vAlign w:val="center"/>
          </w:tcPr>
          <w:p w14:paraId="2554A70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4.50%</w:t>
            </w:r>
          </w:p>
        </w:tc>
      </w:tr>
      <w:tr w14:paraId="4655D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355" w:hRule="atLeast"/>
          <w:jc w:val="center"/>
        </w:trPr>
        <w:tc>
          <w:tcPr>
            <w:tcW w:w="586" w:type="dxa"/>
            <w:vMerge w:val="restart"/>
            <w:tcBorders>
              <w:top w:val="single" w:color="000000" w:sz="8" w:space="0"/>
              <w:left w:val="single" w:color="000000" w:sz="8" w:space="0"/>
              <w:bottom w:val="single" w:color="000000" w:sz="8" w:space="0"/>
              <w:right w:val="single" w:color="000000" w:sz="8" w:space="0"/>
            </w:tcBorders>
            <w:noWrap w:val="0"/>
            <w:vAlign w:val="center"/>
          </w:tcPr>
          <w:p w14:paraId="1E31217A">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w:t>
            </w:r>
          </w:p>
        </w:tc>
        <w:tc>
          <w:tcPr>
            <w:tcW w:w="1623" w:type="dxa"/>
            <w:gridSpan w:val="2"/>
            <w:vMerge w:val="restart"/>
            <w:tcBorders>
              <w:top w:val="single" w:color="000000" w:sz="8" w:space="0"/>
              <w:left w:val="single" w:color="000000" w:sz="8" w:space="0"/>
              <w:bottom w:val="single" w:color="000000" w:sz="8" w:space="0"/>
              <w:right w:val="single" w:color="000000" w:sz="8" w:space="0"/>
            </w:tcBorders>
            <w:noWrap w:val="0"/>
            <w:vAlign w:val="center"/>
          </w:tcPr>
          <w:p w14:paraId="7F63555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结算复审费用</w:t>
            </w:r>
          </w:p>
        </w:tc>
        <w:tc>
          <w:tcPr>
            <w:tcW w:w="1671" w:type="dxa"/>
            <w:vMerge w:val="restart"/>
            <w:tcBorders>
              <w:top w:val="single" w:color="000000" w:sz="8" w:space="0"/>
              <w:left w:val="single" w:color="000000" w:sz="8" w:space="0"/>
              <w:bottom w:val="single" w:color="000000" w:sz="8" w:space="0"/>
              <w:right w:val="single" w:color="000000" w:sz="8" w:space="0"/>
            </w:tcBorders>
            <w:noWrap w:val="0"/>
            <w:vAlign w:val="center"/>
          </w:tcPr>
          <w:p w14:paraId="42302B1D">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按初审结果作为复审单位的送审金额，核减额的计算是相对初审结果作出的，即核减额=定案金额-初审结果</w:t>
            </w:r>
          </w:p>
        </w:tc>
        <w:tc>
          <w:tcPr>
            <w:tcW w:w="637" w:type="dxa"/>
            <w:vMerge w:val="restart"/>
            <w:tcBorders>
              <w:top w:val="single" w:color="000000" w:sz="8" w:space="0"/>
              <w:left w:val="single" w:color="000000" w:sz="8" w:space="0"/>
              <w:bottom w:val="single" w:color="000000" w:sz="8" w:space="0"/>
              <w:right w:val="single" w:color="000000" w:sz="8" w:space="0"/>
            </w:tcBorders>
            <w:noWrap w:val="0"/>
            <w:vAlign w:val="center"/>
          </w:tcPr>
          <w:p w14:paraId="7F45ED38">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核减额</w:t>
            </w: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3F558ECD">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10万以下</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19DF06B7">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10-50万</w:t>
            </w:r>
          </w:p>
        </w:tc>
        <w:tc>
          <w:tcPr>
            <w:tcW w:w="1416" w:type="dxa"/>
            <w:gridSpan w:val="3"/>
            <w:tcBorders>
              <w:top w:val="single" w:color="000000" w:sz="8" w:space="0"/>
              <w:left w:val="single" w:color="000000" w:sz="8" w:space="0"/>
              <w:bottom w:val="single" w:color="000000" w:sz="8" w:space="0"/>
              <w:right w:val="single" w:color="000000" w:sz="8" w:space="0"/>
            </w:tcBorders>
            <w:noWrap w:val="0"/>
            <w:vAlign w:val="center"/>
          </w:tcPr>
          <w:p w14:paraId="5EF75891">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50万-100万（含）</w:t>
            </w:r>
          </w:p>
        </w:tc>
        <w:tc>
          <w:tcPr>
            <w:tcW w:w="916" w:type="dxa"/>
            <w:tcBorders>
              <w:top w:val="single" w:color="000000" w:sz="8" w:space="0"/>
              <w:left w:val="single" w:color="000000" w:sz="8" w:space="0"/>
              <w:bottom w:val="single" w:color="000000" w:sz="8" w:space="0"/>
              <w:right w:val="single" w:color="000000" w:sz="8" w:space="0"/>
            </w:tcBorders>
            <w:noWrap w:val="0"/>
            <w:vAlign w:val="center"/>
          </w:tcPr>
          <w:p w14:paraId="72E7F082">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100-500万</w:t>
            </w:r>
          </w:p>
        </w:tc>
        <w:tc>
          <w:tcPr>
            <w:tcW w:w="1295" w:type="dxa"/>
            <w:gridSpan w:val="2"/>
            <w:tcBorders>
              <w:top w:val="single" w:color="000000" w:sz="8" w:space="0"/>
              <w:left w:val="single" w:color="000000" w:sz="8" w:space="0"/>
              <w:bottom w:val="single" w:color="000000" w:sz="8" w:space="0"/>
              <w:right w:val="single" w:color="000000" w:sz="8" w:space="0"/>
            </w:tcBorders>
            <w:noWrap w:val="0"/>
            <w:vAlign w:val="center"/>
          </w:tcPr>
          <w:p w14:paraId="132CAF61">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500万以上</w:t>
            </w:r>
          </w:p>
        </w:tc>
        <w:tc>
          <w:tcPr>
            <w:tcW w:w="2976" w:type="dxa"/>
            <w:gridSpan w:val="4"/>
            <w:vMerge w:val="restart"/>
            <w:tcBorders>
              <w:top w:val="single" w:color="000000" w:sz="8" w:space="0"/>
              <w:left w:val="single" w:color="000000" w:sz="8" w:space="0"/>
              <w:bottom w:val="single" w:color="000000" w:sz="8" w:space="0"/>
              <w:right w:val="single" w:color="000000" w:sz="8" w:space="0"/>
            </w:tcBorders>
            <w:noWrap w:val="0"/>
            <w:vAlign w:val="center"/>
          </w:tcPr>
          <w:p w14:paraId="6F87F6F1">
            <w:pPr>
              <w:keepNext w:val="0"/>
              <w:keepLines w:val="0"/>
              <w:widowControl/>
              <w:suppressLineNumbers w:val="0"/>
              <w:jc w:val="left"/>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结算复审只计算效益收费，按差额定率累进计算，再乘以对应折率计算最终复审费用。折率按送审金额划分，送审金额3000万元以下打9折，3000万（含）至6000万的按8折计算，6000万（含）至1亿的按7折计算，1亿（含）以上按6折计算。核减额的计算是相对初审结果作出的，即核减额＝定案金额-初审结果。若出现核增时，效益收费为0，按2000元/宗计算复审费用；</w:t>
            </w:r>
          </w:p>
        </w:tc>
      </w:tr>
      <w:tr w14:paraId="5208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536" w:hRule="atLeast"/>
          <w:jc w:val="center"/>
        </w:trPr>
        <w:tc>
          <w:tcPr>
            <w:tcW w:w="586" w:type="dxa"/>
            <w:vMerge w:val="continue"/>
            <w:tcBorders>
              <w:top w:val="single" w:color="000000" w:sz="8" w:space="0"/>
              <w:left w:val="single" w:color="000000" w:sz="8" w:space="0"/>
              <w:bottom w:val="single" w:color="000000" w:sz="8" w:space="0"/>
              <w:right w:val="single" w:color="000000" w:sz="8" w:space="0"/>
            </w:tcBorders>
            <w:noWrap w:val="0"/>
            <w:vAlign w:val="center"/>
          </w:tcPr>
          <w:p w14:paraId="0BBE9006">
            <w:pPr>
              <w:jc w:val="center"/>
              <w:rPr>
                <w:rFonts w:hint="eastAsia" w:ascii="仿宋" w:hAnsi="仿宋" w:eastAsia="仿宋" w:cs="仿宋"/>
                <w:i w:val="0"/>
                <w:iCs w:val="0"/>
                <w:color w:val="auto"/>
                <w:sz w:val="20"/>
                <w:szCs w:val="20"/>
                <w:highlight w:val="none"/>
                <w:u w:val="none"/>
              </w:rPr>
            </w:pPr>
          </w:p>
        </w:tc>
        <w:tc>
          <w:tcPr>
            <w:tcW w:w="1623" w:type="dxa"/>
            <w:gridSpan w:val="2"/>
            <w:vMerge w:val="continue"/>
            <w:tcBorders>
              <w:top w:val="single" w:color="000000" w:sz="8" w:space="0"/>
              <w:left w:val="single" w:color="000000" w:sz="8" w:space="0"/>
              <w:bottom w:val="single" w:color="000000" w:sz="8" w:space="0"/>
              <w:right w:val="single" w:color="000000" w:sz="8" w:space="0"/>
            </w:tcBorders>
            <w:noWrap w:val="0"/>
            <w:vAlign w:val="center"/>
          </w:tcPr>
          <w:p w14:paraId="3000AD6F">
            <w:pPr>
              <w:jc w:val="center"/>
              <w:rPr>
                <w:rFonts w:hint="eastAsia" w:ascii="仿宋" w:hAnsi="仿宋" w:eastAsia="仿宋" w:cs="仿宋"/>
                <w:i w:val="0"/>
                <w:iCs w:val="0"/>
                <w:color w:val="auto"/>
                <w:sz w:val="20"/>
                <w:szCs w:val="20"/>
                <w:highlight w:val="none"/>
                <w:u w:val="none"/>
              </w:rPr>
            </w:pPr>
          </w:p>
        </w:tc>
        <w:tc>
          <w:tcPr>
            <w:tcW w:w="1671" w:type="dxa"/>
            <w:vMerge w:val="continue"/>
            <w:tcBorders>
              <w:top w:val="single" w:color="000000" w:sz="8" w:space="0"/>
              <w:left w:val="single" w:color="000000" w:sz="8" w:space="0"/>
              <w:bottom w:val="single" w:color="000000" w:sz="8" w:space="0"/>
              <w:right w:val="single" w:color="000000" w:sz="8" w:space="0"/>
            </w:tcBorders>
            <w:noWrap w:val="0"/>
            <w:vAlign w:val="center"/>
          </w:tcPr>
          <w:p w14:paraId="4574AD5E">
            <w:pPr>
              <w:jc w:val="left"/>
              <w:rPr>
                <w:rFonts w:hint="eastAsia" w:ascii="仿宋" w:hAnsi="仿宋" w:eastAsia="仿宋" w:cs="仿宋"/>
                <w:i w:val="0"/>
                <w:iCs w:val="0"/>
                <w:color w:val="auto"/>
                <w:sz w:val="20"/>
                <w:szCs w:val="20"/>
                <w:highlight w:val="none"/>
                <w:u w:val="none"/>
              </w:rPr>
            </w:pPr>
          </w:p>
        </w:tc>
        <w:tc>
          <w:tcPr>
            <w:tcW w:w="6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37AC02D">
            <w:pPr>
              <w:jc w:val="center"/>
              <w:rPr>
                <w:rFonts w:hint="eastAsia" w:ascii="仿宋" w:hAnsi="仿宋" w:eastAsia="仿宋" w:cs="仿宋"/>
                <w:i w:val="0"/>
                <w:iCs w:val="0"/>
                <w:color w:val="auto"/>
                <w:sz w:val="20"/>
                <w:szCs w:val="20"/>
                <w:highlight w:val="none"/>
                <w:u w:val="none"/>
              </w:rPr>
            </w:pPr>
          </w:p>
        </w:tc>
        <w:tc>
          <w:tcPr>
            <w:tcW w:w="1071" w:type="dxa"/>
            <w:tcBorders>
              <w:top w:val="single" w:color="000000" w:sz="8" w:space="0"/>
              <w:left w:val="single" w:color="000000" w:sz="8" w:space="0"/>
              <w:bottom w:val="single" w:color="000000" w:sz="8" w:space="0"/>
              <w:right w:val="single" w:color="000000" w:sz="8" w:space="0"/>
            </w:tcBorders>
            <w:noWrap w:val="0"/>
            <w:vAlign w:val="center"/>
          </w:tcPr>
          <w:p w14:paraId="7F73BE76">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20%</w:t>
            </w:r>
          </w:p>
        </w:tc>
        <w:tc>
          <w:tcPr>
            <w:tcW w:w="1159" w:type="dxa"/>
            <w:gridSpan w:val="2"/>
            <w:tcBorders>
              <w:top w:val="single" w:color="000000" w:sz="8" w:space="0"/>
              <w:left w:val="single" w:color="000000" w:sz="8" w:space="0"/>
              <w:bottom w:val="single" w:color="000000" w:sz="8" w:space="0"/>
              <w:right w:val="single" w:color="000000" w:sz="8" w:space="0"/>
            </w:tcBorders>
            <w:noWrap w:val="0"/>
            <w:vAlign w:val="center"/>
          </w:tcPr>
          <w:p w14:paraId="4422FC7E">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15%</w:t>
            </w:r>
          </w:p>
        </w:tc>
        <w:tc>
          <w:tcPr>
            <w:tcW w:w="1416" w:type="dxa"/>
            <w:gridSpan w:val="3"/>
            <w:tcBorders>
              <w:top w:val="single" w:color="000000" w:sz="8" w:space="0"/>
              <w:left w:val="single" w:color="000000" w:sz="8" w:space="0"/>
              <w:bottom w:val="single" w:color="000000" w:sz="8" w:space="0"/>
              <w:right w:val="single" w:color="000000" w:sz="8" w:space="0"/>
            </w:tcBorders>
            <w:noWrap w:val="0"/>
            <w:vAlign w:val="center"/>
          </w:tcPr>
          <w:p w14:paraId="0D236413">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w:t>
            </w:r>
          </w:p>
        </w:tc>
        <w:tc>
          <w:tcPr>
            <w:tcW w:w="916" w:type="dxa"/>
            <w:tcBorders>
              <w:top w:val="single" w:color="000000" w:sz="8" w:space="0"/>
              <w:left w:val="single" w:color="000000" w:sz="8" w:space="0"/>
              <w:bottom w:val="single" w:color="000000" w:sz="8" w:space="0"/>
              <w:right w:val="single" w:color="000000" w:sz="8" w:space="0"/>
            </w:tcBorders>
            <w:noWrap w:val="0"/>
            <w:vAlign w:val="center"/>
          </w:tcPr>
          <w:p w14:paraId="320A88A7">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w:t>
            </w:r>
          </w:p>
        </w:tc>
        <w:tc>
          <w:tcPr>
            <w:tcW w:w="1295" w:type="dxa"/>
            <w:gridSpan w:val="2"/>
            <w:tcBorders>
              <w:top w:val="single" w:color="000000" w:sz="8" w:space="0"/>
              <w:left w:val="single" w:color="000000" w:sz="8" w:space="0"/>
              <w:bottom w:val="single" w:color="000000" w:sz="8" w:space="0"/>
              <w:right w:val="single" w:color="000000" w:sz="8" w:space="0"/>
            </w:tcBorders>
            <w:noWrap w:val="0"/>
            <w:vAlign w:val="center"/>
          </w:tcPr>
          <w:p w14:paraId="71001172">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w:t>
            </w:r>
          </w:p>
        </w:tc>
        <w:tc>
          <w:tcPr>
            <w:tcW w:w="2976" w:type="dxa"/>
            <w:gridSpan w:val="4"/>
            <w:vMerge w:val="continue"/>
            <w:tcBorders>
              <w:top w:val="single" w:color="000000" w:sz="8" w:space="0"/>
              <w:left w:val="single" w:color="000000" w:sz="8" w:space="0"/>
              <w:bottom w:val="single" w:color="000000" w:sz="8" w:space="0"/>
              <w:right w:val="single" w:color="000000" w:sz="8" w:space="0"/>
            </w:tcBorders>
            <w:noWrap w:val="0"/>
            <w:vAlign w:val="center"/>
          </w:tcPr>
          <w:p w14:paraId="77CB0EB2">
            <w:pPr>
              <w:jc w:val="left"/>
              <w:rPr>
                <w:rFonts w:hint="eastAsia" w:ascii="仿宋" w:hAnsi="仿宋" w:eastAsia="仿宋" w:cs="仿宋"/>
                <w:i w:val="0"/>
                <w:iCs w:val="0"/>
                <w:color w:val="auto"/>
                <w:sz w:val="20"/>
                <w:szCs w:val="20"/>
                <w:highlight w:val="none"/>
                <w:u w:val="none"/>
              </w:rPr>
            </w:pPr>
          </w:p>
        </w:tc>
      </w:tr>
      <w:tr w14:paraId="3BAAD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714" w:hRule="atLeast"/>
          <w:jc w:val="center"/>
        </w:trPr>
        <w:tc>
          <w:tcPr>
            <w:tcW w:w="586" w:type="dxa"/>
            <w:vMerge w:val="restart"/>
            <w:tcBorders>
              <w:top w:val="single" w:color="000000" w:sz="8" w:space="0"/>
              <w:left w:val="single" w:color="000000" w:sz="8" w:space="0"/>
              <w:right w:val="single" w:color="000000" w:sz="8" w:space="0"/>
            </w:tcBorders>
            <w:noWrap w:val="0"/>
            <w:vAlign w:val="center"/>
          </w:tcPr>
          <w:p w14:paraId="633B65A3">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6</w:t>
            </w:r>
          </w:p>
        </w:tc>
        <w:tc>
          <w:tcPr>
            <w:tcW w:w="1623" w:type="dxa"/>
            <w:gridSpan w:val="2"/>
            <w:vMerge w:val="restart"/>
            <w:tcBorders>
              <w:top w:val="single" w:color="000000" w:sz="8" w:space="0"/>
              <w:left w:val="single" w:color="000000" w:sz="8" w:space="0"/>
              <w:right w:val="single" w:color="000000" w:sz="8" w:space="0"/>
            </w:tcBorders>
            <w:noWrap w:val="0"/>
            <w:vAlign w:val="center"/>
          </w:tcPr>
          <w:p w14:paraId="664D9414">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竣工财务决算审核</w:t>
            </w:r>
          </w:p>
        </w:tc>
        <w:tc>
          <w:tcPr>
            <w:tcW w:w="1671" w:type="dxa"/>
            <w:vMerge w:val="restart"/>
            <w:tcBorders>
              <w:top w:val="single" w:color="000000" w:sz="8" w:space="0"/>
              <w:left w:val="single" w:color="000000" w:sz="8" w:space="0"/>
              <w:right w:val="single" w:color="000000" w:sz="8" w:space="0"/>
            </w:tcBorders>
            <w:noWrap w:val="0"/>
            <w:vAlign w:val="center"/>
          </w:tcPr>
          <w:p w14:paraId="47A34FC2">
            <w:pPr>
              <w:keepNext w:val="0"/>
              <w:keepLines w:val="0"/>
              <w:widowControl/>
              <w:suppressLineNumbers w:val="0"/>
              <w:jc w:val="left"/>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按《财政投资项目评审操作规程》、《基本建设财务管理规定》和《财政部关于解释〈基本建设财务管理规定〉执行中有关问题的通知》等要求审核</w:t>
            </w:r>
          </w:p>
        </w:tc>
        <w:tc>
          <w:tcPr>
            <w:tcW w:w="637" w:type="dxa"/>
            <w:vMerge w:val="restart"/>
            <w:tcBorders>
              <w:top w:val="single" w:color="000000" w:sz="8" w:space="0"/>
              <w:left w:val="single" w:color="000000" w:sz="8" w:space="0"/>
              <w:right w:val="single" w:color="000000" w:sz="8" w:space="0"/>
            </w:tcBorders>
            <w:noWrap w:val="0"/>
            <w:vAlign w:val="center"/>
          </w:tcPr>
          <w:p w14:paraId="4C46E515">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审定金额</w:t>
            </w:r>
          </w:p>
        </w:tc>
        <w:tc>
          <w:tcPr>
            <w:tcW w:w="1888" w:type="dxa"/>
            <w:gridSpan w:val="2"/>
            <w:tcBorders>
              <w:top w:val="single" w:color="000000" w:sz="8" w:space="0"/>
              <w:left w:val="single" w:color="000000" w:sz="8" w:space="0"/>
              <w:bottom w:val="single" w:color="auto" w:sz="4" w:space="0"/>
              <w:right w:val="single" w:color="auto" w:sz="4" w:space="0"/>
            </w:tcBorders>
            <w:noWrap w:val="0"/>
            <w:vAlign w:val="center"/>
          </w:tcPr>
          <w:p w14:paraId="3BCCE78F">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3000万（含）以内</w:t>
            </w:r>
          </w:p>
          <w:p w14:paraId="1F60E923">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p>
        </w:tc>
        <w:tc>
          <w:tcPr>
            <w:tcW w:w="1650" w:type="dxa"/>
            <w:gridSpan w:val="3"/>
            <w:tcBorders>
              <w:top w:val="single" w:color="000000" w:sz="8" w:space="0"/>
              <w:left w:val="single" w:color="auto" w:sz="4" w:space="0"/>
              <w:bottom w:val="single" w:color="auto" w:sz="4" w:space="0"/>
              <w:right w:val="single" w:color="auto" w:sz="4" w:space="0"/>
            </w:tcBorders>
            <w:noWrap w:val="0"/>
            <w:vAlign w:val="center"/>
          </w:tcPr>
          <w:p w14:paraId="624938FC">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3000万-5000万（含）</w:t>
            </w:r>
          </w:p>
        </w:tc>
        <w:tc>
          <w:tcPr>
            <w:tcW w:w="1860" w:type="dxa"/>
            <w:gridSpan w:val="3"/>
            <w:tcBorders>
              <w:top w:val="single" w:color="000000" w:sz="8" w:space="0"/>
              <w:left w:val="single" w:color="auto" w:sz="4" w:space="0"/>
              <w:bottom w:val="single" w:color="auto" w:sz="4" w:space="0"/>
              <w:right w:val="single" w:color="auto" w:sz="4" w:space="0"/>
            </w:tcBorders>
            <w:noWrap w:val="0"/>
            <w:vAlign w:val="center"/>
          </w:tcPr>
          <w:p w14:paraId="0F615EF6">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5000万-</w:t>
            </w:r>
            <w:r>
              <w:rPr>
                <w:rFonts w:hint="eastAsia" w:ascii="仿宋" w:hAnsi="仿宋" w:eastAsia="仿宋" w:cs="仿宋"/>
                <w:i w:val="0"/>
                <w:iCs w:val="0"/>
                <w:color w:val="auto"/>
                <w:kern w:val="0"/>
                <w:sz w:val="20"/>
                <w:szCs w:val="20"/>
                <w:highlight w:val="none"/>
                <w:u w:val="none"/>
                <w:lang w:val="en-US" w:eastAsia="zh-CN" w:bidi="ar"/>
              </w:rPr>
              <w:br w:type="textWrapping"/>
            </w:r>
            <w:r>
              <w:rPr>
                <w:rFonts w:hint="eastAsia" w:ascii="仿宋" w:hAnsi="仿宋" w:eastAsia="仿宋" w:cs="仿宋"/>
                <w:i w:val="0"/>
                <w:iCs w:val="0"/>
                <w:color w:val="auto"/>
                <w:kern w:val="0"/>
                <w:sz w:val="20"/>
                <w:szCs w:val="20"/>
                <w:highlight w:val="none"/>
                <w:u w:val="none"/>
                <w:lang w:val="en-US" w:eastAsia="zh-CN" w:bidi="ar"/>
              </w:rPr>
              <w:t>1亿（含）</w:t>
            </w:r>
          </w:p>
        </w:tc>
        <w:tc>
          <w:tcPr>
            <w:tcW w:w="1800" w:type="dxa"/>
            <w:gridSpan w:val="3"/>
            <w:tcBorders>
              <w:top w:val="single" w:color="000000" w:sz="8" w:space="0"/>
              <w:left w:val="single" w:color="auto" w:sz="4" w:space="0"/>
              <w:bottom w:val="single" w:color="auto" w:sz="4" w:space="0"/>
              <w:right w:val="single" w:color="auto" w:sz="4" w:space="0"/>
            </w:tcBorders>
            <w:noWrap w:val="0"/>
            <w:vAlign w:val="center"/>
          </w:tcPr>
          <w:p w14:paraId="45B3F003">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1亿-5亿（含）</w:t>
            </w:r>
          </w:p>
        </w:tc>
        <w:tc>
          <w:tcPr>
            <w:tcW w:w="1635" w:type="dxa"/>
            <w:gridSpan w:val="2"/>
            <w:tcBorders>
              <w:top w:val="single" w:color="000000" w:sz="8" w:space="0"/>
              <w:left w:val="single" w:color="auto" w:sz="4" w:space="0"/>
              <w:bottom w:val="single" w:color="auto" w:sz="4" w:space="0"/>
              <w:right w:val="single" w:color="000000" w:sz="8" w:space="0"/>
            </w:tcBorders>
            <w:noWrap w:val="0"/>
            <w:vAlign w:val="center"/>
          </w:tcPr>
          <w:p w14:paraId="44B761F3">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5亿</w:t>
            </w:r>
          </w:p>
          <w:p w14:paraId="4AAF7F47">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以上</w:t>
            </w:r>
          </w:p>
        </w:tc>
      </w:tr>
      <w:tr w14:paraId="7BDB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55" w:type="dxa"/>
          <w:trHeight w:val="1446" w:hRule="atLeast"/>
          <w:jc w:val="center"/>
        </w:trPr>
        <w:tc>
          <w:tcPr>
            <w:tcW w:w="586" w:type="dxa"/>
            <w:vMerge w:val="continue"/>
            <w:tcBorders>
              <w:left w:val="single" w:color="000000" w:sz="8" w:space="0"/>
              <w:bottom w:val="single" w:color="000000" w:sz="8" w:space="0"/>
              <w:right w:val="single" w:color="000000" w:sz="8" w:space="0"/>
            </w:tcBorders>
            <w:noWrap w:val="0"/>
            <w:vAlign w:val="center"/>
          </w:tcPr>
          <w:p w14:paraId="2A2BDB9F">
            <w:pPr>
              <w:keepNext w:val="0"/>
              <w:keepLines w:val="0"/>
              <w:widowControl/>
              <w:suppressLineNumbers w:val="0"/>
              <w:jc w:val="center"/>
              <w:textAlignment w:val="center"/>
              <w:rPr>
                <w:rFonts w:hint="eastAsia" w:ascii="仿宋" w:hAnsi="仿宋" w:eastAsia="仿宋" w:cs="仿宋"/>
                <w:i w:val="0"/>
                <w:iCs w:val="0"/>
                <w:color w:val="auto"/>
                <w:kern w:val="0"/>
                <w:sz w:val="20"/>
                <w:szCs w:val="20"/>
                <w:highlight w:val="none"/>
                <w:u w:val="none"/>
                <w:lang w:val="en-US" w:eastAsia="zh-CN" w:bidi="ar"/>
              </w:rPr>
            </w:pPr>
          </w:p>
        </w:tc>
        <w:tc>
          <w:tcPr>
            <w:tcW w:w="1623" w:type="dxa"/>
            <w:gridSpan w:val="2"/>
            <w:vMerge w:val="continue"/>
            <w:tcBorders>
              <w:left w:val="single" w:color="000000" w:sz="8" w:space="0"/>
              <w:bottom w:val="single" w:color="000000" w:sz="8" w:space="0"/>
              <w:right w:val="single" w:color="000000" w:sz="8" w:space="0"/>
            </w:tcBorders>
            <w:noWrap w:val="0"/>
            <w:vAlign w:val="center"/>
          </w:tcPr>
          <w:p w14:paraId="669C41D5">
            <w:pPr>
              <w:keepNext w:val="0"/>
              <w:keepLines w:val="0"/>
              <w:widowControl/>
              <w:suppressLineNumbers w:val="0"/>
              <w:jc w:val="center"/>
              <w:textAlignment w:val="center"/>
              <w:rPr>
                <w:rFonts w:hint="eastAsia" w:ascii="仿宋" w:hAnsi="仿宋" w:eastAsia="仿宋" w:cs="仿宋"/>
                <w:i w:val="0"/>
                <w:iCs w:val="0"/>
                <w:color w:val="auto"/>
                <w:kern w:val="0"/>
                <w:sz w:val="20"/>
                <w:szCs w:val="20"/>
                <w:highlight w:val="none"/>
                <w:u w:val="none"/>
                <w:lang w:val="en-US" w:eastAsia="zh-CN" w:bidi="ar"/>
              </w:rPr>
            </w:pPr>
          </w:p>
        </w:tc>
        <w:tc>
          <w:tcPr>
            <w:tcW w:w="1671" w:type="dxa"/>
            <w:vMerge w:val="continue"/>
            <w:tcBorders>
              <w:left w:val="single" w:color="000000" w:sz="8" w:space="0"/>
              <w:bottom w:val="single" w:color="000000" w:sz="8" w:space="0"/>
              <w:right w:val="single" w:color="000000" w:sz="8" w:space="0"/>
            </w:tcBorders>
            <w:noWrap w:val="0"/>
            <w:vAlign w:val="center"/>
          </w:tcPr>
          <w:p w14:paraId="5CE2DE7B">
            <w:pPr>
              <w:keepNext w:val="0"/>
              <w:keepLines w:val="0"/>
              <w:widowControl/>
              <w:suppressLineNumbers w:val="0"/>
              <w:jc w:val="left"/>
              <w:textAlignment w:val="center"/>
              <w:rPr>
                <w:rFonts w:hint="eastAsia" w:ascii="仿宋" w:hAnsi="仿宋" w:eastAsia="仿宋" w:cs="仿宋"/>
                <w:i w:val="0"/>
                <w:iCs w:val="0"/>
                <w:color w:val="auto"/>
                <w:kern w:val="0"/>
                <w:sz w:val="20"/>
                <w:szCs w:val="20"/>
                <w:highlight w:val="none"/>
                <w:u w:val="none"/>
                <w:lang w:val="en-US" w:eastAsia="zh-CN" w:bidi="ar"/>
              </w:rPr>
            </w:pPr>
          </w:p>
        </w:tc>
        <w:tc>
          <w:tcPr>
            <w:tcW w:w="637" w:type="dxa"/>
            <w:vMerge w:val="continue"/>
            <w:tcBorders>
              <w:left w:val="single" w:color="000000" w:sz="8" w:space="0"/>
              <w:bottom w:val="single" w:color="000000" w:sz="8" w:space="0"/>
              <w:right w:val="single" w:color="000000" w:sz="8" w:space="0"/>
            </w:tcBorders>
            <w:noWrap w:val="0"/>
            <w:vAlign w:val="center"/>
          </w:tcPr>
          <w:p w14:paraId="3E56E0F5">
            <w:pPr>
              <w:keepNext w:val="0"/>
              <w:keepLines w:val="0"/>
              <w:widowControl/>
              <w:suppressLineNumbers w:val="0"/>
              <w:jc w:val="center"/>
              <w:textAlignment w:val="center"/>
              <w:rPr>
                <w:rFonts w:hint="eastAsia" w:ascii="仿宋" w:hAnsi="仿宋" w:eastAsia="仿宋" w:cs="仿宋"/>
                <w:i w:val="0"/>
                <w:iCs w:val="0"/>
                <w:color w:val="auto"/>
                <w:kern w:val="0"/>
                <w:sz w:val="20"/>
                <w:szCs w:val="20"/>
                <w:highlight w:val="none"/>
                <w:u w:val="none"/>
                <w:lang w:val="en-US" w:eastAsia="zh-CN" w:bidi="ar"/>
              </w:rPr>
            </w:pPr>
          </w:p>
        </w:tc>
        <w:tc>
          <w:tcPr>
            <w:tcW w:w="1888" w:type="dxa"/>
            <w:gridSpan w:val="2"/>
            <w:tcBorders>
              <w:top w:val="single" w:color="auto" w:sz="4" w:space="0"/>
              <w:left w:val="single" w:color="000000" w:sz="8" w:space="0"/>
              <w:bottom w:val="single" w:color="000000" w:sz="8" w:space="0"/>
              <w:right w:val="single" w:color="auto" w:sz="4" w:space="0"/>
            </w:tcBorders>
            <w:noWrap w:val="0"/>
            <w:vAlign w:val="center"/>
          </w:tcPr>
          <w:p w14:paraId="3C4D12A6">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0.864‰</w:t>
            </w:r>
          </w:p>
        </w:tc>
        <w:tc>
          <w:tcPr>
            <w:tcW w:w="1650" w:type="dxa"/>
            <w:gridSpan w:val="3"/>
            <w:tcBorders>
              <w:top w:val="single" w:color="auto" w:sz="4" w:space="0"/>
              <w:left w:val="single" w:color="auto" w:sz="4" w:space="0"/>
              <w:bottom w:val="single" w:color="000000" w:sz="8" w:space="0"/>
              <w:right w:val="single" w:color="auto" w:sz="4" w:space="0"/>
            </w:tcBorders>
            <w:noWrap w:val="0"/>
            <w:vAlign w:val="center"/>
          </w:tcPr>
          <w:p w14:paraId="2D0FD5B0">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0.576‰</w:t>
            </w:r>
          </w:p>
        </w:tc>
        <w:tc>
          <w:tcPr>
            <w:tcW w:w="1860" w:type="dxa"/>
            <w:gridSpan w:val="3"/>
            <w:tcBorders>
              <w:top w:val="single" w:color="auto" w:sz="4" w:space="0"/>
              <w:left w:val="single" w:color="auto" w:sz="4" w:space="0"/>
              <w:bottom w:val="single" w:color="000000" w:sz="8" w:space="0"/>
              <w:right w:val="single" w:color="auto" w:sz="4" w:space="0"/>
            </w:tcBorders>
            <w:noWrap w:val="0"/>
            <w:vAlign w:val="center"/>
          </w:tcPr>
          <w:p w14:paraId="7F66EBB8">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0.432‰</w:t>
            </w:r>
          </w:p>
        </w:tc>
        <w:tc>
          <w:tcPr>
            <w:tcW w:w="1800" w:type="dxa"/>
            <w:gridSpan w:val="3"/>
            <w:tcBorders>
              <w:top w:val="single" w:color="auto" w:sz="4" w:space="0"/>
              <w:left w:val="single" w:color="auto" w:sz="4" w:space="0"/>
              <w:bottom w:val="single" w:color="000000" w:sz="8" w:space="0"/>
              <w:right w:val="single" w:color="auto" w:sz="4" w:space="0"/>
            </w:tcBorders>
            <w:noWrap w:val="0"/>
            <w:vAlign w:val="center"/>
          </w:tcPr>
          <w:p w14:paraId="60B5048E">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0.288‰</w:t>
            </w:r>
          </w:p>
        </w:tc>
        <w:tc>
          <w:tcPr>
            <w:tcW w:w="1635" w:type="dxa"/>
            <w:gridSpan w:val="2"/>
            <w:tcBorders>
              <w:top w:val="single" w:color="auto" w:sz="4" w:space="0"/>
              <w:left w:val="single" w:color="auto" w:sz="4" w:space="0"/>
              <w:bottom w:val="single" w:color="000000" w:sz="8" w:space="0"/>
              <w:right w:val="single" w:color="000000" w:sz="8" w:space="0"/>
            </w:tcBorders>
            <w:noWrap w:val="0"/>
            <w:vAlign w:val="center"/>
          </w:tcPr>
          <w:p w14:paraId="53818F86">
            <w:pPr>
              <w:keepNext w:val="0"/>
              <w:keepLines w:val="0"/>
              <w:widowControl/>
              <w:suppressLineNumbers w:val="0"/>
              <w:jc w:val="center"/>
              <w:textAlignment w:val="center"/>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0.144‰</w:t>
            </w:r>
          </w:p>
        </w:tc>
      </w:tr>
      <w:tr w14:paraId="68E8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3905" w:type="dxa"/>
            <w:gridSpan w:val="19"/>
            <w:tcBorders>
              <w:top w:val="nil"/>
              <w:left w:val="nil"/>
              <w:bottom w:val="nil"/>
              <w:right w:val="nil"/>
            </w:tcBorders>
            <w:noWrap w:val="0"/>
            <w:vAlign w:val="top"/>
          </w:tcPr>
          <w:p w14:paraId="011246D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注:1、按以上计费标准计算费用后减扣罚费用后为中标人的最终收费；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2、序号第1至6项最终收费不足2000元的按2000元计算；序号第1至6项的计费均按差额定率累进计算。</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3、工程主材若不计入工程造价，则不计入取费基数；征地拆迁费、预备费和送审已明确不需评审的费用不计入取费基数。 </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4、以实际送审金额为准计算审核费。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5、结算初审的审核计费=基本收费+效益收费；审核工程结算时，施工合同约定的下浮额和暂列金，高于合同约定上限的差额以及第三方核减金额不作为核减额计费。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6、预算复审按预算初审计费标准的90%计费；单项竣工财务决算审核费用不超过20万元，决算审核费用超过20万元按20万元计费。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7、公路交通项目以及轨道交通中的区间工程（含地面高架区间）的概算审核、预算审核以及结算单审和双审的基本收费，按上述计费标准的50%计费。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8、弃审补偿标准：</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在审核过程中出现因甲方原因引起退件弃审的情况，对未提交审核初稿，不支付付审核费；对已提交初稿但未进行对数的的工程按协议价的60%支付审核费；对已提交初稿并已进行对数的的工程按协议价的70%支付审核费；对已办理定案手续的工程按协议价的100%支付审核费。本协议经甲乙双方确认后终止履行。若退件弃审由审核方原因引起的，甲方则无需向审核方支付审核费。退件弃审表示该工程审核工作不再继续，审核任务不再由原审核方承担，如弃审后又需要原审核方审核的，则按原收费标准计算审核费，并扣除已支付部分后，支付剩余部分费用。</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9、合同总价包干项目结算工程造价咨询服务费，按以下方式计取：</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1）基本收费：送审金额1亿元以内（含）按本表结算基本收费的30%计取，1亿元以上至3亿（含）按本表结算基本收费的20%计取，3亿至10亿（含）按本表结算基本收费的10%计取，10亿以上部分按本表结算基本收费的5%计取，基本收费上限为30万元。</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（2）效益收费：按本表结算效益收费标准执行。</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10、若项目中设备购置费（含税价）超过1000万元且符合以下条件：1）单价超过10万元的设备；2）设备单价不超过10万元，但同一型号设备总价超过300万元。则符合条件的设备购置费（含税价）按收费标准的50%计算，不符合条件的设备购置费（含税价）按正常收费标准计算。</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11、工程建设其他费用的工程造价咨询服务费按以下方式收费：</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（1）工程建设其他费用单独委托的项目，按标准表的30%计取；</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2）大项目分成若干个项目委托给不同的造价咨询服务单位审核，其中甲单位审核工程建设其他费用和部分建安费审核的情况：甲单位审核以外的建安费对应的工程建设其他费计费基数按30%计取，因此，咨询服务费计费基数=C/A×（0.3A+0.7B）+B，其中A为大项目总建安费，B为甲单位审核建安费，C为工程建设其他费用；</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（3）其余情况按标准表执行。</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12、结算抽查费用参照结算复核费用标准执行。</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 xml:space="preserve">   13、审核过程中如出现某些上述收费标准未能涵盖的特殊情况，审核费用在不高于上述标准的前提下，由双方协商确定。其他未尽事宜参照粤价函[2011]742号文的有关收费标准执行。</w:t>
            </w:r>
          </w:p>
        </w:tc>
      </w:tr>
    </w:tbl>
    <w:p w14:paraId="62877CBD">
      <w:pPr>
        <w:spacing w:line="440" w:lineRule="exact"/>
        <w:outlineLvl w:val="0"/>
        <w:rPr>
          <w:rFonts w:hint="eastAsia" w:ascii="仿宋" w:hAnsi="仿宋" w:eastAsia="仿宋" w:cs="仿宋"/>
          <w:b/>
          <w:bCs/>
          <w:color w:val="auto"/>
          <w:sz w:val="28"/>
          <w:szCs w:val="28"/>
          <w:highlight w:val="none"/>
        </w:rPr>
        <w:sectPr>
          <w:pgSz w:w="16838" w:h="11906" w:orient="landscape"/>
          <w:pgMar w:top="1080" w:right="1440" w:bottom="1080" w:left="1440" w:header="851" w:footer="992" w:gutter="0"/>
          <w:pgNumType w:fmt="decimal"/>
          <w:cols w:space="720" w:num="1"/>
          <w:docGrid w:type="lines" w:linePitch="312" w:charSpace="0"/>
        </w:sectPr>
      </w:pPr>
    </w:p>
    <w:p w14:paraId="5352EEA8">
      <w:pPr>
        <w:spacing w:line="440" w:lineRule="exact"/>
        <w:outlineLvl w:val="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w:t>
      </w: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                 拟派人员名单表</w:t>
      </w:r>
      <w:bookmarkEnd w:id="485"/>
      <w:bookmarkEnd w:id="486"/>
      <w:bookmarkEnd w:id="487"/>
      <w:bookmarkEnd w:id="488"/>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800"/>
        <w:gridCol w:w="1800"/>
        <w:gridCol w:w="1800"/>
        <w:gridCol w:w="1650"/>
      </w:tblGrid>
      <w:tr w14:paraId="412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0" w:type="dxa"/>
            <w:vMerge w:val="restart"/>
            <w:noWrap w:val="0"/>
            <w:vAlign w:val="center"/>
          </w:tcPr>
          <w:p w14:paraId="2CD1B56D">
            <w:pPr>
              <w:jc w:val="center"/>
              <w:rPr>
                <w:rFonts w:hint="eastAsia" w:ascii="仿宋" w:hAnsi="仿宋" w:eastAsia="仿宋" w:cs="仿宋"/>
                <w:b/>
                <w:color w:val="auto"/>
                <w:highlight w:val="none"/>
              </w:rPr>
            </w:pPr>
            <w:r>
              <w:rPr>
                <w:rFonts w:hint="eastAsia" w:ascii="仿宋" w:hAnsi="仿宋" w:eastAsia="仿宋" w:cs="仿宋"/>
                <w:b/>
                <w:color w:val="auto"/>
                <w:highlight w:val="none"/>
              </w:rPr>
              <w:t>职务</w:t>
            </w:r>
          </w:p>
        </w:tc>
        <w:tc>
          <w:tcPr>
            <w:tcW w:w="1080" w:type="dxa"/>
            <w:vMerge w:val="restart"/>
            <w:noWrap w:val="0"/>
            <w:vAlign w:val="center"/>
          </w:tcPr>
          <w:p w14:paraId="6E106E4E">
            <w:pPr>
              <w:jc w:val="center"/>
              <w:rPr>
                <w:rFonts w:hint="eastAsia" w:ascii="仿宋" w:hAnsi="仿宋" w:eastAsia="仿宋" w:cs="仿宋"/>
                <w:b/>
                <w:color w:val="auto"/>
                <w:highlight w:val="none"/>
              </w:rPr>
            </w:pPr>
            <w:r>
              <w:rPr>
                <w:rFonts w:hint="eastAsia" w:ascii="仿宋" w:hAnsi="仿宋" w:eastAsia="仿宋" w:cs="仿宋"/>
                <w:b/>
                <w:color w:val="auto"/>
                <w:highlight w:val="none"/>
              </w:rPr>
              <w:t>姓名</w:t>
            </w:r>
          </w:p>
        </w:tc>
        <w:tc>
          <w:tcPr>
            <w:tcW w:w="1800" w:type="dxa"/>
            <w:vMerge w:val="restart"/>
            <w:noWrap w:val="0"/>
            <w:vAlign w:val="center"/>
          </w:tcPr>
          <w:p w14:paraId="603E0E6B">
            <w:pPr>
              <w:jc w:val="center"/>
              <w:rPr>
                <w:rFonts w:hint="eastAsia" w:ascii="仿宋" w:hAnsi="仿宋" w:eastAsia="仿宋" w:cs="仿宋"/>
                <w:b/>
                <w:color w:val="auto"/>
                <w:highlight w:val="none"/>
              </w:rPr>
            </w:pPr>
            <w:r>
              <w:rPr>
                <w:rFonts w:hint="eastAsia" w:ascii="仿宋" w:hAnsi="仿宋" w:eastAsia="仿宋" w:cs="仿宋"/>
                <w:b/>
                <w:color w:val="auto"/>
                <w:highlight w:val="none"/>
              </w:rPr>
              <w:t>职称</w:t>
            </w:r>
          </w:p>
        </w:tc>
        <w:tc>
          <w:tcPr>
            <w:tcW w:w="5250" w:type="dxa"/>
            <w:gridSpan w:val="3"/>
            <w:noWrap w:val="0"/>
            <w:vAlign w:val="center"/>
          </w:tcPr>
          <w:p w14:paraId="0A8808F5">
            <w:pPr>
              <w:jc w:val="center"/>
              <w:rPr>
                <w:rFonts w:hint="eastAsia" w:ascii="仿宋" w:hAnsi="仿宋" w:eastAsia="仿宋" w:cs="仿宋"/>
                <w:b/>
                <w:color w:val="auto"/>
                <w:highlight w:val="none"/>
              </w:rPr>
            </w:pPr>
            <w:r>
              <w:rPr>
                <w:rFonts w:hint="eastAsia" w:ascii="仿宋" w:hAnsi="仿宋" w:eastAsia="仿宋" w:cs="仿宋"/>
                <w:b/>
                <w:color w:val="auto"/>
                <w:highlight w:val="none"/>
              </w:rPr>
              <w:t>执业或职业资格证明</w:t>
            </w:r>
          </w:p>
        </w:tc>
      </w:tr>
      <w:tr w14:paraId="1667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0" w:type="dxa"/>
            <w:vMerge w:val="continue"/>
            <w:noWrap w:val="0"/>
            <w:vAlign w:val="center"/>
          </w:tcPr>
          <w:p w14:paraId="72A9EF2D">
            <w:pPr>
              <w:jc w:val="center"/>
              <w:rPr>
                <w:rFonts w:hint="eastAsia" w:ascii="仿宋" w:hAnsi="仿宋" w:eastAsia="仿宋" w:cs="仿宋"/>
                <w:b/>
                <w:color w:val="auto"/>
                <w:highlight w:val="none"/>
              </w:rPr>
            </w:pPr>
          </w:p>
        </w:tc>
        <w:tc>
          <w:tcPr>
            <w:tcW w:w="1080" w:type="dxa"/>
            <w:vMerge w:val="continue"/>
            <w:noWrap w:val="0"/>
            <w:vAlign w:val="center"/>
          </w:tcPr>
          <w:p w14:paraId="54F913C1">
            <w:pPr>
              <w:jc w:val="center"/>
              <w:rPr>
                <w:rFonts w:hint="eastAsia" w:ascii="仿宋" w:hAnsi="仿宋" w:eastAsia="仿宋" w:cs="仿宋"/>
                <w:b/>
                <w:color w:val="auto"/>
                <w:highlight w:val="none"/>
              </w:rPr>
            </w:pPr>
          </w:p>
        </w:tc>
        <w:tc>
          <w:tcPr>
            <w:tcW w:w="1800" w:type="dxa"/>
            <w:vMerge w:val="continue"/>
            <w:noWrap w:val="0"/>
            <w:vAlign w:val="center"/>
          </w:tcPr>
          <w:p w14:paraId="44909815">
            <w:pPr>
              <w:jc w:val="center"/>
              <w:rPr>
                <w:rFonts w:hint="eastAsia" w:ascii="仿宋" w:hAnsi="仿宋" w:eastAsia="仿宋" w:cs="仿宋"/>
                <w:b/>
                <w:color w:val="auto"/>
                <w:highlight w:val="none"/>
              </w:rPr>
            </w:pPr>
          </w:p>
        </w:tc>
        <w:tc>
          <w:tcPr>
            <w:tcW w:w="1800" w:type="dxa"/>
            <w:noWrap w:val="0"/>
            <w:vAlign w:val="center"/>
          </w:tcPr>
          <w:p w14:paraId="09C1B088">
            <w:pPr>
              <w:jc w:val="center"/>
              <w:rPr>
                <w:rFonts w:hint="eastAsia" w:ascii="仿宋" w:hAnsi="仿宋" w:eastAsia="仿宋" w:cs="仿宋"/>
                <w:b/>
                <w:color w:val="auto"/>
                <w:highlight w:val="none"/>
              </w:rPr>
            </w:pPr>
            <w:r>
              <w:rPr>
                <w:rFonts w:hint="eastAsia" w:ascii="仿宋" w:hAnsi="仿宋" w:eastAsia="仿宋" w:cs="仿宋"/>
                <w:b/>
                <w:color w:val="auto"/>
                <w:highlight w:val="none"/>
              </w:rPr>
              <w:t>证书名称</w:t>
            </w:r>
          </w:p>
        </w:tc>
        <w:tc>
          <w:tcPr>
            <w:tcW w:w="1800" w:type="dxa"/>
            <w:noWrap w:val="0"/>
            <w:vAlign w:val="center"/>
          </w:tcPr>
          <w:p w14:paraId="76213244">
            <w:pPr>
              <w:jc w:val="center"/>
              <w:rPr>
                <w:rFonts w:hint="eastAsia" w:ascii="仿宋" w:hAnsi="仿宋" w:eastAsia="仿宋" w:cs="仿宋"/>
                <w:b/>
                <w:color w:val="auto"/>
                <w:highlight w:val="none"/>
              </w:rPr>
            </w:pPr>
            <w:r>
              <w:rPr>
                <w:rFonts w:hint="eastAsia" w:ascii="仿宋" w:hAnsi="仿宋" w:eastAsia="仿宋" w:cs="仿宋"/>
                <w:b/>
                <w:color w:val="auto"/>
                <w:highlight w:val="none"/>
              </w:rPr>
              <w:t>证号</w:t>
            </w:r>
          </w:p>
        </w:tc>
        <w:tc>
          <w:tcPr>
            <w:tcW w:w="1650" w:type="dxa"/>
            <w:noWrap w:val="0"/>
            <w:vAlign w:val="center"/>
          </w:tcPr>
          <w:p w14:paraId="3DBFF93E">
            <w:pPr>
              <w:jc w:val="center"/>
              <w:rPr>
                <w:rFonts w:hint="eastAsia" w:ascii="仿宋" w:hAnsi="仿宋" w:eastAsia="仿宋" w:cs="仿宋"/>
                <w:b/>
                <w:color w:val="auto"/>
                <w:highlight w:val="none"/>
              </w:rPr>
            </w:pPr>
            <w:r>
              <w:rPr>
                <w:rFonts w:hint="eastAsia" w:ascii="仿宋" w:hAnsi="仿宋" w:eastAsia="仿宋" w:cs="仿宋"/>
                <w:b/>
                <w:color w:val="auto"/>
                <w:highlight w:val="none"/>
              </w:rPr>
              <w:t>专业</w:t>
            </w:r>
          </w:p>
        </w:tc>
      </w:tr>
      <w:tr w14:paraId="5D4A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1A0A189F">
            <w:pPr>
              <w:jc w:val="center"/>
              <w:rPr>
                <w:rFonts w:hint="eastAsia" w:ascii="仿宋" w:hAnsi="仿宋" w:eastAsia="仿宋" w:cs="仿宋"/>
                <w:b/>
                <w:color w:val="auto"/>
                <w:highlight w:val="none"/>
                <w:lang w:eastAsia="zh-CN"/>
              </w:rPr>
            </w:pPr>
            <w:r>
              <w:rPr>
                <w:rFonts w:hint="eastAsia" w:ascii="仿宋" w:hAnsi="仿宋" w:eastAsia="仿宋" w:cs="仿宋"/>
                <w:b/>
                <w:color w:val="auto"/>
                <w:highlight w:val="none"/>
                <w:lang w:val="en-US" w:eastAsia="zh-CN"/>
              </w:rPr>
              <w:t>项目负责人</w:t>
            </w:r>
          </w:p>
        </w:tc>
        <w:tc>
          <w:tcPr>
            <w:tcW w:w="1080" w:type="dxa"/>
            <w:noWrap w:val="0"/>
            <w:vAlign w:val="center"/>
          </w:tcPr>
          <w:p w14:paraId="1A9ECC95">
            <w:pPr>
              <w:jc w:val="center"/>
              <w:rPr>
                <w:rFonts w:hint="eastAsia" w:ascii="仿宋" w:hAnsi="仿宋" w:eastAsia="仿宋" w:cs="仿宋"/>
                <w:b/>
                <w:color w:val="auto"/>
                <w:highlight w:val="none"/>
              </w:rPr>
            </w:pPr>
          </w:p>
        </w:tc>
        <w:tc>
          <w:tcPr>
            <w:tcW w:w="1800" w:type="dxa"/>
            <w:noWrap w:val="0"/>
            <w:vAlign w:val="center"/>
          </w:tcPr>
          <w:p w14:paraId="6250420B">
            <w:pPr>
              <w:jc w:val="center"/>
              <w:rPr>
                <w:rFonts w:hint="eastAsia" w:ascii="仿宋" w:hAnsi="仿宋" w:eastAsia="仿宋" w:cs="仿宋"/>
                <w:b/>
                <w:color w:val="auto"/>
                <w:highlight w:val="none"/>
              </w:rPr>
            </w:pPr>
          </w:p>
        </w:tc>
        <w:tc>
          <w:tcPr>
            <w:tcW w:w="1800" w:type="dxa"/>
            <w:noWrap w:val="0"/>
            <w:vAlign w:val="center"/>
          </w:tcPr>
          <w:p w14:paraId="447CCD20">
            <w:pPr>
              <w:jc w:val="center"/>
              <w:rPr>
                <w:rFonts w:hint="eastAsia" w:ascii="仿宋" w:hAnsi="仿宋" w:eastAsia="仿宋" w:cs="仿宋"/>
                <w:b/>
                <w:color w:val="auto"/>
                <w:highlight w:val="none"/>
              </w:rPr>
            </w:pPr>
          </w:p>
        </w:tc>
        <w:tc>
          <w:tcPr>
            <w:tcW w:w="1800" w:type="dxa"/>
            <w:noWrap w:val="0"/>
            <w:vAlign w:val="center"/>
          </w:tcPr>
          <w:p w14:paraId="022C183F">
            <w:pPr>
              <w:jc w:val="center"/>
              <w:rPr>
                <w:rFonts w:hint="eastAsia" w:ascii="仿宋" w:hAnsi="仿宋" w:eastAsia="仿宋" w:cs="仿宋"/>
                <w:b/>
                <w:color w:val="auto"/>
                <w:highlight w:val="none"/>
              </w:rPr>
            </w:pPr>
          </w:p>
        </w:tc>
        <w:tc>
          <w:tcPr>
            <w:tcW w:w="1650" w:type="dxa"/>
            <w:noWrap w:val="0"/>
            <w:vAlign w:val="center"/>
          </w:tcPr>
          <w:p w14:paraId="3E8F28C6">
            <w:pPr>
              <w:jc w:val="center"/>
              <w:rPr>
                <w:rFonts w:hint="eastAsia" w:ascii="仿宋" w:hAnsi="仿宋" w:eastAsia="仿宋" w:cs="仿宋"/>
                <w:b/>
                <w:color w:val="auto"/>
                <w:highlight w:val="none"/>
              </w:rPr>
            </w:pPr>
          </w:p>
        </w:tc>
      </w:tr>
      <w:tr w14:paraId="5893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477CCD61">
            <w:pPr>
              <w:jc w:val="center"/>
              <w:rPr>
                <w:rFonts w:hint="eastAsia" w:ascii="仿宋" w:hAnsi="仿宋" w:eastAsia="仿宋" w:cs="仿宋"/>
                <w:b/>
                <w:color w:val="auto"/>
                <w:highlight w:val="none"/>
              </w:rPr>
            </w:pPr>
          </w:p>
        </w:tc>
        <w:tc>
          <w:tcPr>
            <w:tcW w:w="1080" w:type="dxa"/>
            <w:noWrap w:val="0"/>
            <w:vAlign w:val="center"/>
          </w:tcPr>
          <w:p w14:paraId="2C38CE4C">
            <w:pPr>
              <w:jc w:val="center"/>
              <w:rPr>
                <w:rFonts w:hint="eastAsia" w:ascii="仿宋" w:hAnsi="仿宋" w:eastAsia="仿宋" w:cs="仿宋"/>
                <w:b/>
                <w:color w:val="auto"/>
                <w:highlight w:val="none"/>
              </w:rPr>
            </w:pPr>
          </w:p>
        </w:tc>
        <w:tc>
          <w:tcPr>
            <w:tcW w:w="1800" w:type="dxa"/>
            <w:noWrap w:val="0"/>
            <w:vAlign w:val="center"/>
          </w:tcPr>
          <w:p w14:paraId="52138E31">
            <w:pPr>
              <w:jc w:val="center"/>
              <w:rPr>
                <w:rFonts w:hint="eastAsia" w:ascii="仿宋" w:hAnsi="仿宋" w:eastAsia="仿宋" w:cs="仿宋"/>
                <w:b/>
                <w:color w:val="auto"/>
                <w:highlight w:val="none"/>
              </w:rPr>
            </w:pPr>
          </w:p>
        </w:tc>
        <w:tc>
          <w:tcPr>
            <w:tcW w:w="1800" w:type="dxa"/>
            <w:noWrap w:val="0"/>
            <w:vAlign w:val="center"/>
          </w:tcPr>
          <w:p w14:paraId="536D2D57">
            <w:pPr>
              <w:jc w:val="center"/>
              <w:rPr>
                <w:rFonts w:hint="eastAsia" w:ascii="仿宋" w:hAnsi="仿宋" w:eastAsia="仿宋" w:cs="仿宋"/>
                <w:b/>
                <w:color w:val="auto"/>
                <w:highlight w:val="none"/>
              </w:rPr>
            </w:pPr>
          </w:p>
        </w:tc>
        <w:tc>
          <w:tcPr>
            <w:tcW w:w="1800" w:type="dxa"/>
            <w:noWrap w:val="0"/>
            <w:vAlign w:val="center"/>
          </w:tcPr>
          <w:p w14:paraId="01D9CE87">
            <w:pPr>
              <w:jc w:val="center"/>
              <w:rPr>
                <w:rFonts w:hint="eastAsia" w:ascii="仿宋" w:hAnsi="仿宋" w:eastAsia="仿宋" w:cs="仿宋"/>
                <w:b/>
                <w:color w:val="auto"/>
                <w:highlight w:val="none"/>
              </w:rPr>
            </w:pPr>
          </w:p>
        </w:tc>
        <w:tc>
          <w:tcPr>
            <w:tcW w:w="1650" w:type="dxa"/>
            <w:noWrap w:val="0"/>
            <w:vAlign w:val="center"/>
          </w:tcPr>
          <w:p w14:paraId="06733877">
            <w:pPr>
              <w:jc w:val="center"/>
              <w:rPr>
                <w:rFonts w:hint="eastAsia" w:ascii="仿宋" w:hAnsi="仿宋" w:eastAsia="仿宋" w:cs="仿宋"/>
                <w:b/>
                <w:color w:val="auto"/>
                <w:highlight w:val="none"/>
              </w:rPr>
            </w:pPr>
          </w:p>
        </w:tc>
      </w:tr>
      <w:tr w14:paraId="632D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6D6A58B5">
            <w:pPr>
              <w:jc w:val="center"/>
              <w:rPr>
                <w:rFonts w:hint="eastAsia" w:ascii="仿宋" w:hAnsi="仿宋" w:eastAsia="仿宋" w:cs="仿宋"/>
                <w:b/>
                <w:color w:val="auto"/>
                <w:highlight w:val="none"/>
              </w:rPr>
            </w:pPr>
          </w:p>
        </w:tc>
        <w:tc>
          <w:tcPr>
            <w:tcW w:w="1080" w:type="dxa"/>
            <w:noWrap w:val="0"/>
            <w:vAlign w:val="center"/>
          </w:tcPr>
          <w:p w14:paraId="32F8FFD5">
            <w:pPr>
              <w:jc w:val="center"/>
              <w:rPr>
                <w:rFonts w:hint="eastAsia" w:ascii="仿宋" w:hAnsi="仿宋" w:eastAsia="仿宋" w:cs="仿宋"/>
                <w:b/>
                <w:color w:val="auto"/>
                <w:highlight w:val="none"/>
              </w:rPr>
            </w:pPr>
          </w:p>
        </w:tc>
        <w:tc>
          <w:tcPr>
            <w:tcW w:w="1800" w:type="dxa"/>
            <w:noWrap w:val="0"/>
            <w:vAlign w:val="center"/>
          </w:tcPr>
          <w:p w14:paraId="529B9FB5">
            <w:pPr>
              <w:jc w:val="center"/>
              <w:rPr>
                <w:rFonts w:hint="eastAsia" w:ascii="仿宋" w:hAnsi="仿宋" w:eastAsia="仿宋" w:cs="仿宋"/>
                <w:b/>
                <w:color w:val="auto"/>
                <w:highlight w:val="none"/>
              </w:rPr>
            </w:pPr>
          </w:p>
        </w:tc>
        <w:tc>
          <w:tcPr>
            <w:tcW w:w="1800" w:type="dxa"/>
            <w:noWrap w:val="0"/>
            <w:vAlign w:val="center"/>
          </w:tcPr>
          <w:p w14:paraId="2568E717">
            <w:pPr>
              <w:jc w:val="center"/>
              <w:rPr>
                <w:rFonts w:hint="eastAsia" w:ascii="仿宋" w:hAnsi="仿宋" w:eastAsia="仿宋" w:cs="仿宋"/>
                <w:b/>
                <w:color w:val="auto"/>
                <w:highlight w:val="none"/>
              </w:rPr>
            </w:pPr>
          </w:p>
        </w:tc>
        <w:tc>
          <w:tcPr>
            <w:tcW w:w="1800" w:type="dxa"/>
            <w:noWrap w:val="0"/>
            <w:vAlign w:val="center"/>
          </w:tcPr>
          <w:p w14:paraId="7361B3DB">
            <w:pPr>
              <w:jc w:val="center"/>
              <w:rPr>
                <w:rFonts w:hint="eastAsia" w:ascii="仿宋" w:hAnsi="仿宋" w:eastAsia="仿宋" w:cs="仿宋"/>
                <w:b/>
                <w:color w:val="auto"/>
                <w:highlight w:val="none"/>
              </w:rPr>
            </w:pPr>
          </w:p>
        </w:tc>
        <w:tc>
          <w:tcPr>
            <w:tcW w:w="1650" w:type="dxa"/>
            <w:noWrap w:val="0"/>
            <w:vAlign w:val="center"/>
          </w:tcPr>
          <w:p w14:paraId="56EEA855">
            <w:pPr>
              <w:jc w:val="center"/>
              <w:rPr>
                <w:rFonts w:hint="eastAsia" w:ascii="仿宋" w:hAnsi="仿宋" w:eastAsia="仿宋" w:cs="仿宋"/>
                <w:b/>
                <w:color w:val="auto"/>
                <w:highlight w:val="none"/>
              </w:rPr>
            </w:pPr>
          </w:p>
        </w:tc>
      </w:tr>
      <w:tr w14:paraId="72AD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56E68253">
            <w:pPr>
              <w:jc w:val="center"/>
              <w:rPr>
                <w:rFonts w:hint="eastAsia" w:ascii="仿宋" w:hAnsi="仿宋" w:eastAsia="仿宋" w:cs="仿宋"/>
                <w:b/>
                <w:color w:val="auto"/>
                <w:highlight w:val="none"/>
              </w:rPr>
            </w:pPr>
          </w:p>
        </w:tc>
        <w:tc>
          <w:tcPr>
            <w:tcW w:w="1080" w:type="dxa"/>
            <w:noWrap w:val="0"/>
            <w:vAlign w:val="center"/>
          </w:tcPr>
          <w:p w14:paraId="311D73E5">
            <w:pPr>
              <w:jc w:val="center"/>
              <w:rPr>
                <w:rFonts w:hint="eastAsia" w:ascii="仿宋" w:hAnsi="仿宋" w:eastAsia="仿宋" w:cs="仿宋"/>
                <w:b/>
                <w:color w:val="auto"/>
                <w:highlight w:val="none"/>
              </w:rPr>
            </w:pPr>
          </w:p>
        </w:tc>
        <w:tc>
          <w:tcPr>
            <w:tcW w:w="1800" w:type="dxa"/>
            <w:noWrap w:val="0"/>
            <w:vAlign w:val="center"/>
          </w:tcPr>
          <w:p w14:paraId="2B7D8539">
            <w:pPr>
              <w:jc w:val="center"/>
              <w:rPr>
                <w:rFonts w:hint="eastAsia" w:ascii="仿宋" w:hAnsi="仿宋" w:eastAsia="仿宋" w:cs="仿宋"/>
                <w:b/>
                <w:color w:val="auto"/>
                <w:highlight w:val="none"/>
              </w:rPr>
            </w:pPr>
          </w:p>
        </w:tc>
        <w:tc>
          <w:tcPr>
            <w:tcW w:w="1800" w:type="dxa"/>
            <w:noWrap w:val="0"/>
            <w:vAlign w:val="center"/>
          </w:tcPr>
          <w:p w14:paraId="47164BE0">
            <w:pPr>
              <w:jc w:val="center"/>
              <w:rPr>
                <w:rFonts w:hint="eastAsia" w:ascii="仿宋" w:hAnsi="仿宋" w:eastAsia="仿宋" w:cs="仿宋"/>
                <w:b/>
                <w:color w:val="auto"/>
                <w:highlight w:val="none"/>
              </w:rPr>
            </w:pPr>
          </w:p>
        </w:tc>
        <w:tc>
          <w:tcPr>
            <w:tcW w:w="1800" w:type="dxa"/>
            <w:noWrap w:val="0"/>
            <w:vAlign w:val="center"/>
          </w:tcPr>
          <w:p w14:paraId="4E34E03A">
            <w:pPr>
              <w:jc w:val="center"/>
              <w:rPr>
                <w:rFonts w:hint="eastAsia" w:ascii="仿宋" w:hAnsi="仿宋" w:eastAsia="仿宋" w:cs="仿宋"/>
                <w:b/>
                <w:color w:val="auto"/>
                <w:highlight w:val="none"/>
              </w:rPr>
            </w:pPr>
          </w:p>
        </w:tc>
        <w:tc>
          <w:tcPr>
            <w:tcW w:w="1650" w:type="dxa"/>
            <w:noWrap w:val="0"/>
            <w:vAlign w:val="center"/>
          </w:tcPr>
          <w:p w14:paraId="18A19C4C">
            <w:pPr>
              <w:jc w:val="center"/>
              <w:rPr>
                <w:rFonts w:hint="eastAsia" w:ascii="仿宋" w:hAnsi="仿宋" w:eastAsia="仿宋" w:cs="仿宋"/>
                <w:b/>
                <w:color w:val="auto"/>
                <w:highlight w:val="none"/>
              </w:rPr>
            </w:pPr>
          </w:p>
        </w:tc>
      </w:tr>
      <w:tr w14:paraId="10DA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1838B713">
            <w:pPr>
              <w:jc w:val="center"/>
              <w:rPr>
                <w:rFonts w:hint="eastAsia" w:ascii="仿宋" w:hAnsi="仿宋" w:eastAsia="仿宋" w:cs="仿宋"/>
                <w:b/>
                <w:color w:val="auto"/>
                <w:highlight w:val="none"/>
              </w:rPr>
            </w:pPr>
          </w:p>
        </w:tc>
        <w:tc>
          <w:tcPr>
            <w:tcW w:w="1080" w:type="dxa"/>
            <w:noWrap w:val="0"/>
            <w:vAlign w:val="center"/>
          </w:tcPr>
          <w:p w14:paraId="0948B414">
            <w:pPr>
              <w:jc w:val="center"/>
              <w:rPr>
                <w:rFonts w:hint="eastAsia" w:ascii="仿宋" w:hAnsi="仿宋" w:eastAsia="仿宋" w:cs="仿宋"/>
                <w:b/>
                <w:color w:val="auto"/>
                <w:highlight w:val="none"/>
              </w:rPr>
            </w:pPr>
          </w:p>
        </w:tc>
        <w:tc>
          <w:tcPr>
            <w:tcW w:w="1800" w:type="dxa"/>
            <w:noWrap w:val="0"/>
            <w:vAlign w:val="center"/>
          </w:tcPr>
          <w:p w14:paraId="4A2108BF">
            <w:pPr>
              <w:jc w:val="center"/>
              <w:rPr>
                <w:rFonts w:hint="eastAsia" w:ascii="仿宋" w:hAnsi="仿宋" w:eastAsia="仿宋" w:cs="仿宋"/>
                <w:b/>
                <w:color w:val="auto"/>
                <w:highlight w:val="none"/>
              </w:rPr>
            </w:pPr>
          </w:p>
        </w:tc>
        <w:tc>
          <w:tcPr>
            <w:tcW w:w="1800" w:type="dxa"/>
            <w:noWrap w:val="0"/>
            <w:vAlign w:val="center"/>
          </w:tcPr>
          <w:p w14:paraId="08B94F39">
            <w:pPr>
              <w:jc w:val="center"/>
              <w:rPr>
                <w:rFonts w:hint="eastAsia" w:ascii="仿宋" w:hAnsi="仿宋" w:eastAsia="仿宋" w:cs="仿宋"/>
                <w:b/>
                <w:color w:val="auto"/>
                <w:highlight w:val="none"/>
              </w:rPr>
            </w:pPr>
          </w:p>
        </w:tc>
        <w:tc>
          <w:tcPr>
            <w:tcW w:w="1800" w:type="dxa"/>
            <w:noWrap w:val="0"/>
            <w:vAlign w:val="center"/>
          </w:tcPr>
          <w:p w14:paraId="0ACB6596">
            <w:pPr>
              <w:jc w:val="center"/>
              <w:rPr>
                <w:rFonts w:hint="eastAsia" w:ascii="仿宋" w:hAnsi="仿宋" w:eastAsia="仿宋" w:cs="仿宋"/>
                <w:b/>
                <w:color w:val="auto"/>
                <w:highlight w:val="none"/>
              </w:rPr>
            </w:pPr>
          </w:p>
        </w:tc>
        <w:tc>
          <w:tcPr>
            <w:tcW w:w="1650" w:type="dxa"/>
            <w:noWrap w:val="0"/>
            <w:vAlign w:val="center"/>
          </w:tcPr>
          <w:p w14:paraId="500B29AA">
            <w:pPr>
              <w:jc w:val="center"/>
              <w:rPr>
                <w:rFonts w:hint="eastAsia" w:ascii="仿宋" w:hAnsi="仿宋" w:eastAsia="仿宋" w:cs="仿宋"/>
                <w:b/>
                <w:color w:val="auto"/>
                <w:highlight w:val="none"/>
              </w:rPr>
            </w:pPr>
          </w:p>
        </w:tc>
      </w:tr>
      <w:tr w14:paraId="1774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51A1C631">
            <w:pPr>
              <w:jc w:val="center"/>
              <w:rPr>
                <w:rFonts w:hint="eastAsia" w:ascii="仿宋" w:hAnsi="仿宋" w:eastAsia="仿宋" w:cs="仿宋"/>
                <w:b/>
                <w:color w:val="auto"/>
                <w:highlight w:val="none"/>
              </w:rPr>
            </w:pPr>
          </w:p>
        </w:tc>
        <w:tc>
          <w:tcPr>
            <w:tcW w:w="1080" w:type="dxa"/>
            <w:noWrap w:val="0"/>
            <w:vAlign w:val="center"/>
          </w:tcPr>
          <w:p w14:paraId="376F3F58">
            <w:pPr>
              <w:jc w:val="center"/>
              <w:rPr>
                <w:rFonts w:hint="eastAsia" w:ascii="仿宋" w:hAnsi="仿宋" w:eastAsia="仿宋" w:cs="仿宋"/>
                <w:b/>
                <w:color w:val="auto"/>
                <w:highlight w:val="none"/>
              </w:rPr>
            </w:pPr>
          </w:p>
        </w:tc>
        <w:tc>
          <w:tcPr>
            <w:tcW w:w="1800" w:type="dxa"/>
            <w:noWrap w:val="0"/>
            <w:vAlign w:val="center"/>
          </w:tcPr>
          <w:p w14:paraId="1C78618E">
            <w:pPr>
              <w:jc w:val="center"/>
              <w:rPr>
                <w:rFonts w:hint="eastAsia" w:ascii="仿宋" w:hAnsi="仿宋" w:eastAsia="仿宋" w:cs="仿宋"/>
                <w:b/>
                <w:color w:val="auto"/>
                <w:highlight w:val="none"/>
              </w:rPr>
            </w:pPr>
          </w:p>
        </w:tc>
        <w:tc>
          <w:tcPr>
            <w:tcW w:w="1800" w:type="dxa"/>
            <w:noWrap w:val="0"/>
            <w:vAlign w:val="center"/>
          </w:tcPr>
          <w:p w14:paraId="49C9EC70">
            <w:pPr>
              <w:jc w:val="center"/>
              <w:rPr>
                <w:rFonts w:hint="eastAsia" w:ascii="仿宋" w:hAnsi="仿宋" w:eastAsia="仿宋" w:cs="仿宋"/>
                <w:b/>
                <w:color w:val="auto"/>
                <w:highlight w:val="none"/>
              </w:rPr>
            </w:pPr>
          </w:p>
        </w:tc>
        <w:tc>
          <w:tcPr>
            <w:tcW w:w="1800" w:type="dxa"/>
            <w:noWrap w:val="0"/>
            <w:vAlign w:val="center"/>
          </w:tcPr>
          <w:p w14:paraId="2E3193DD">
            <w:pPr>
              <w:jc w:val="center"/>
              <w:rPr>
                <w:rFonts w:hint="eastAsia" w:ascii="仿宋" w:hAnsi="仿宋" w:eastAsia="仿宋" w:cs="仿宋"/>
                <w:b/>
                <w:color w:val="auto"/>
                <w:highlight w:val="none"/>
              </w:rPr>
            </w:pPr>
          </w:p>
        </w:tc>
        <w:tc>
          <w:tcPr>
            <w:tcW w:w="1650" w:type="dxa"/>
            <w:noWrap w:val="0"/>
            <w:vAlign w:val="center"/>
          </w:tcPr>
          <w:p w14:paraId="0E1DE8F8">
            <w:pPr>
              <w:jc w:val="center"/>
              <w:rPr>
                <w:rFonts w:hint="eastAsia" w:ascii="仿宋" w:hAnsi="仿宋" w:eastAsia="仿宋" w:cs="仿宋"/>
                <w:b/>
                <w:color w:val="auto"/>
                <w:highlight w:val="none"/>
              </w:rPr>
            </w:pPr>
          </w:p>
        </w:tc>
      </w:tr>
      <w:tr w14:paraId="5D06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5240A364">
            <w:pPr>
              <w:jc w:val="center"/>
              <w:rPr>
                <w:rFonts w:hint="eastAsia" w:ascii="仿宋" w:hAnsi="仿宋" w:eastAsia="仿宋" w:cs="仿宋"/>
                <w:b/>
                <w:color w:val="auto"/>
                <w:highlight w:val="none"/>
              </w:rPr>
            </w:pPr>
          </w:p>
        </w:tc>
        <w:tc>
          <w:tcPr>
            <w:tcW w:w="1080" w:type="dxa"/>
            <w:noWrap w:val="0"/>
            <w:vAlign w:val="center"/>
          </w:tcPr>
          <w:p w14:paraId="575BA059">
            <w:pPr>
              <w:jc w:val="center"/>
              <w:rPr>
                <w:rFonts w:hint="eastAsia" w:ascii="仿宋" w:hAnsi="仿宋" w:eastAsia="仿宋" w:cs="仿宋"/>
                <w:b/>
                <w:color w:val="auto"/>
                <w:highlight w:val="none"/>
              </w:rPr>
            </w:pPr>
          </w:p>
        </w:tc>
        <w:tc>
          <w:tcPr>
            <w:tcW w:w="1800" w:type="dxa"/>
            <w:noWrap w:val="0"/>
            <w:vAlign w:val="center"/>
          </w:tcPr>
          <w:p w14:paraId="023F8A2B">
            <w:pPr>
              <w:jc w:val="center"/>
              <w:rPr>
                <w:rFonts w:hint="eastAsia" w:ascii="仿宋" w:hAnsi="仿宋" w:eastAsia="仿宋" w:cs="仿宋"/>
                <w:b/>
                <w:color w:val="auto"/>
                <w:highlight w:val="none"/>
              </w:rPr>
            </w:pPr>
          </w:p>
        </w:tc>
        <w:tc>
          <w:tcPr>
            <w:tcW w:w="1800" w:type="dxa"/>
            <w:noWrap w:val="0"/>
            <w:vAlign w:val="center"/>
          </w:tcPr>
          <w:p w14:paraId="600D7A6E">
            <w:pPr>
              <w:jc w:val="center"/>
              <w:rPr>
                <w:rFonts w:hint="eastAsia" w:ascii="仿宋" w:hAnsi="仿宋" w:eastAsia="仿宋" w:cs="仿宋"/>
                <w:b/>
                <w:color w:val="auto"/>
                <w:highlight w:val="none"/>
              </w:rPr>
            </w:pPr>
          </w:p>
        </w:tc>
        <w:tc>
          <w:tcPr>
            <w:tcW w:w="1800" w:type="dxa"/>
            <w:noWrap w:val="0"/>
            <w:vAlign w:val="center"/>
          </w:tcPr>
          <w:p w14:paraId="545A8DF4">
            <w:pPr>
              <w:jc w:val="center"/>
              <w:rPr>
                <w:rFonts w:hint="eastAsia" w:ascii="仿宋" w:hAnsi="仿宋" w:eastAsia="仿宋" w:cs="仿宋"/>
                <w:b/>
                <w:color w:val="auto"/>
                <w:highlight w:val="none"/>
              </w:rPr>
            </w:pPr>
          </w:p>
        </w:tc>
        <w:tc>
          <w:tcPr>
            <w:tcW w:w="1650" w:type="dxa"/>
            <w:noWrap w:val="0"/>
            <w:vAlign w:val="center"/>
          </w:tcPr>
          <w:p w14:paraId="6DBB98B4">
            <w:pPr>
              <w:jc w:val="center"/>
              <w:rPr>
                <w:rFonts w:hint="eastAsia" w:ascii="仿宋" w:hAnsi="仿宋" w:eastAsia="仿宋" w:cs="仿宋"/>
                <w:b/>
                <w:color w:val="auto"/>
                <w:highlight w:val="none"/>
              </w:rPr>
            </w:pPr>
          </w:p>
        </w:tc>
      </w:tr>
      <w:tr w14:paraId="2DFE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779682F5">
            <w:pPr>
              <w:jc w:val="center"/>
              <w:rPr>
                <w:rFonts w:hint="eastAsia" w:ascii="仿宋" w:hAnsi="仿宋" w:eastAsia="仿宋" w:cs="仿宋"/>
                <w:b/>
                <w:color w:val="auto"/>
                <w:highlight w:val="none"/>
              </w:rPr>
            </w:pPr>
          </w:p>
        </w:tc>
        <w:tc>
          <w:tcPr>
            <w:tcW w:w="1080" w:type="dxa"/>
            <w:noWrap w:val="0"/>
            <w:vAlign w:val="center"/>
          </w:tcPr>
          <w:p w14:paraId="2B2829E6">
            <w:pPr>
              <w:jc w:val="center"/>
              <w:rPr>
                <w:rFonts w:hint="eastAsia" w:ascii="仿宋" w:hAnsi="仿宋" w:eastAsia="仿宋" w:cs="仿宋"/>
                <w:b/>
                <w:color w:val="auto"/>
                <w:highlight w:val="none"/>
              </w:rPr>
            </w:pPr>
          </w:p>
        </w:tc>
        <w:tc>
          <w:tcPr>
            <w:tcW w:w="1800" w:type="dxa"/>
            <w:noWrap w:val="0"/>
            <w:vAlign w:val="center"/>
          </w:tcPr>
          <w:p w14:paraId="2FEA6394">
            <w:pPr>
              <w:jc w:val="center"/>
              <w:rPr>
                <w:rFonts w:hint="eastAsia" w:ascii="仿宋" w:hAnsi="仿宋" w:eastAsia="仿宋" w:cs="仿宋"/>
                <w:b/>
                <w:color w:val="auto"/>
                <w:highlight w:val="none"/>
              </w:rPr>
            </w:pPr>
          </w:p>
        </w:tc>
        <w:tc>
          <w:tcPr>
            <w:tcW w:w="1800" w:type="dxa"/>
            <w:noWrap w:val="0"/>
            <w:vAlign w:val="center"/>
          </w:tcPr>
          <w:p w14:paraId="4DFE779A">
            <w:pPr>
              <w:jc w:val="center"/>
              <w:rPr>
                <w:rFonts w:hint="eastAsia" w:ascii="仿宋" w:hAnsi="仿宋" w:eastAsia="仿宋" w:cs="仿宋"/>
                <w:b/>
                <w:color w:val="auto"/>
                <w:highlight w:val="none"/>
              </w:rPr>
            </w:pPr>
          </w:p>
        </w:tc>
        <w:tc>
          <w:tcPr>
            <w:tcW w:w="1800" w:type="dxa"/>
            <w:noWrap w:val="0"/>
            <w:vAlign w:val="center"/>
          </w:tcPr>
          <w:p w14:paraId="4F1B9BD6">
            <w:pPr>
              <w:jc w:val="center"/>
              <w:rPr>
                <w:rFonts w:hint="eastAsia" w:ascii="仿宋" w:hAnsi="仿宋" w:eastAsia="仿宋" w:cs="仿宋"/>
                <w:b/>
                <w:color w:val="auto"/>
                <w:highlight w:val="none"/>
              </w:rPr>
            </w:pPr>
          </w:p>
        </w:tc>
        <w:tc>
          <w:tcPr>
            <w:tcW w:w="1650" w:type="dxa"/>
            <w:noWrap w:val="0"/>
            <w:vAlign w:val="center"/>
          </w:tcPr>
          <w:p w14:paraId="3F02B0FC">
            <w:pPr>
              <w:jc w:val="center"/>
              <w:rPr>
                <w:rFonts w:hint="eastAsia" w:ascii="仿宋" w:hAnsi="仿宋" w:eastAsia="仿宋" w:cs="仿宋"/>
                <w:b/>
                <w:color w:val="auto"/>
                <w:highlight w:val="none"/>
              </w:rPr>
            </w:pPr>
          </w:p>
        </w:tc>
      </w:tr>
      <w:tr w14:paraId="43C5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4FE1FCCE">
            <w:pPr>
              <w:jc w:val="center"/>
              <w:rPr>
                <w:rFonts w:hint="eastAsia" w:ascii="仿宋" w:hAnsi="仿宋" w:eastAsia="仿宋" w:cs="仿宋"/>
                <w:b/>
                <w:color w:val="auto"/>
                <w:highlight w:val="none"/>
              </w:rPr>
            </w:pPr>
          </w:p>
        </w:tc>
        <w:tc>
          <w:tcPr>
            <w:tcW w:w="1080" w:type="dxa"/>
            <w:noWrap w:val="0"/>
            <w:vAlign w:val="center"/>
          </w:tcPr>
          <w:p w14:paraId="62A88BCF">
            <w:pPr>
              <w:jc w:val="center"/>
              <w:rPr>
                <w:rFonts w:hint="eastAsia" w:ascii="仿宋" w:hAnsi="仿宋" w:eastAsia="仿宋" w:cs="仿宋"/>
                <w:b/>
                <w:color w:val="auto"/>
                <w:highlight w:val="none"/>
              </w:rPr>
            </w:pPr>
          </w:p>
        </w:tc>
        <w:tc>
          <w:tcPr>
            <w:tcW w:w="1800" w:type="dxa"/>
            <w:noWrap w:val="0"/>
            <w:vAlign w:val="center"/>
          </w:tcPr>
          <w:p w14:paraId="436E344D">
            <w:pPr>
              <w:jc w:val="center"/>
              <w:rPr>
                <w:rFonts w:hint="eastAsia" w:ascii="仿宋" w:hAnsi="仿宋" w:eastAsia="仿宋" w:cs="仿宋"/>
                <w:b/>
                <w:color w:val="auto"/>
                <w:highlight w:val="none"/>
              </w:rPr>
            </w:pPr>
          </w:p>
        </w:tc>
        <w:tc>
          <w:tcPr>
            <w:tcW w:w="1800" w:type="dxa"/>
            <w:noWrap w:val="0"/>
            <w:vAlign w:val="center"/>
          </w:tcPr>
          <w:p w14:paraId="73CFC8E4">
            <w:pPr>
              <w:jc w:val="center"/>
              <w:rPr>
                <w:rFonts w:hint="eastAsia" w:ascii="仿宋" w:hAnsi="仿宋" w:eastAsia="仿宋" w:cs="仿宋"/>
                <w:b/>
                <w:color w:val="auto"/>
                <w:highlight w:val="none"/>
              </w:rPr>
            </w:pPr>
          </w:p>
        </w:tc>
        <w:tc>
          <w:tcPr>
            <w:tcW w:w="1800" w:type="dxa"/>
            <w:noWrap w:val="0"/>
            <w:vAlign w:val="center"/>
          </w:tcPr>
          <w:p w14:paraId="0353C031">
            <w:pPr>
              <w:jc w:val="center"/>
              <w:rPr>
                <w:rFonts w:hint="eastAsia" w:ascii="仿宋" w:hAnsi="仿宋" w:eastAsia="仿宋" w:cs="仿宋"/>
                <w:b/>
                <w:color w:val="auto"/>
                <w:highlight w:val="none"/>
              </w:rPr>
            </w:pPr>
          </w:p>
        </w:tc>
        <w:tc>
          <w:tcPr>
            <w:tcW w:w="1650" w:type="dxa"/>
            <w:noWrap w:val="0"/>
            <w:vAlign w:val="center"/>
          </w:tcPr>
          <w:p w14:paraId="2DBFC20B">
            <w:pPr>
              <w:jc w:val="center"/>
              <w:rPr>
                <w:rFonts w:hint="eastAsia" w:ascii="仿宋" w:hAnsi="仿宋" w:eastAsia="仿宋" w:cs="仿宋"/>
                <w:b/>
                <w:color w:val="auto"/>
                <w:highlight w:val="none"/>
              </w:rPr>
            </w:pPr>
          </w:p>
        </w:tc>
      </w:tr>
      <w:tr w14:paraId="581F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3459B7CA">
            <w:pPr>
              <w:jc w:val="center"/>
              <w:rPr>
                <w:rFonts w:hint="eastAsia" w:ascii="仿宋" w:hAnsi="仿宋" w:eastAsia="仿宋" w:cs="仿宋"/>
                <w:b/>
                <w:color w:val="auto"/>
                <w:highlight w:val="none"/>
              </w:rPr>
            </w:pPr>
          </w:p>
        </w:tc>
        <w:tc>
          <w:tcPr>
            <w:tcW w:w="1080" w:type="dxa"/>
            <w:noWrap w:val="0"/>
            <w:vAlign w:val="center"/>
          </w:tcPr>
          <w:p w14:paraId="7EC795D6">
            <w:pPr>
              <w:jc w:val="center"/>
              <w:rPr>
                <w:rFonts w:hint="eastAsia" w:ascii="仿宋" w:hAnsi="仿宋" w:eastAsia="仿宋" w:cs="仿宋"/>
                <w:b/>
                <w:color w:val="auto"/>
                <w:highlight w:val="none"/>
              </w:rPr>
            </w:pPr>
          </w:p>
        </w:tc>
        <w:tc>
          <w:tcPr>
            <w:tcW w:w="1800" w:type="dxa"/>
            <w:noWrap w:val="0"/>
            <w:vAlign w:val="center"/>
          </w:tcPr>
          <w:p w14:paraId="1F3AAEA7">
            <w:pPr>
              <w:jc w:val="center"/>
              <w:rPr>
                <w:rFonts w:hint="eastAsia" w:ascii="仿宋" w:hAnsi="仿宋" w:eastAsia="仿宋" w:cs="仿宋"/>
                <w:b/>
                <w:color w:val="auto"/>
                <w:highlight w:val="none"/>
              </w:rPr>
            </w:pPr>
          </w:p>
        </w:tc>
        <w:tc>
          <w:tcPr>
            <w:tcW w:w="1800" w:type="dxa"/>
            <w:noWrap w:val="0"/>
            <w:vAlign w:val="center"/>
          </w:tcPr>
          <w:p w14:paraId="08A7891E">
            <w:pPr>
              <w:jc w:val="center"/>
              <w:rPr>
                <w:rFonts w:hint="eastAsia" w:ascii="仿宋" w:hAnsi="仿宋" w:eastAsia="仿宋" w:cs="仿宋"/>
                <w:b/>
                <w:color w:val="auto"/>
                <w:highlight w:val="none"/>
              </w:rPr>
            </w:pPr>
          </w:p>
        </w:tc>
        <w:tc>
          <w:tcPr>
            <w:tcW w:w="1800" w:type="dxa"/>
            <w:noWrap w:val="0"/>
            <w:vAlign w:val="center"/>
          </w:tcPr>
          <w:p w14:paraId="2C9866AD">
            <w:pPr>
              <w:jc w:val="center"/>
              <w:rPr>
                <w:rFonts w:hint="eastAsia" w:ascii="仿宋" w:hAnsi="仿宋" w:eastAsia="仿宋" w:cs="仿宋"/>
                <w:b/>
                <w:color w:val="auto"/>
                <w:highlight w:val="none"/>
              </w:rPr>
            </w:pPr>
          </w:p>
        </w:tc>
        <w:tc>
          <w:tcPr>
            <w:tcW w:w="1650" w:type="dxa"/>
            <w:noWrap w:val="0"/>
            <w:vAlign w:val="center"/>
          </w:tcPr>
          <w:p w14:paraId="74EB5A66">
            <w:pPr>
              <w:jc w:val="center"/>
              <w:rPr>
                <w:rFonts w:hint="eastAsia" w:ascii="仿宋" w:hAnsi="仿宋" w:eastAsia="仿宋" w:cs="仿宋"/>
                <w:b/>
                <w:color w:val="auto"/>
                <w:highlight w:val="none"/>
              </w:rPr>
            </w:pPr>
          </w:p>
        </w:tc>
      </w:tr>
      <w:tr w14:paraId="705F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5FAB2428">
            <w:pPr>
              <w:jc w:val="center"/>
              <w:rPr>
                <w:rFonts w:hint="eastAsia" w:ascii="仿宋" w:hAnsi="仿宋" w:eastAsia="仿宋" w:cs="仿宋"/>
                <w:b/>
                <w:color w:val="auto"/>
                <w:highlight w:val="none"/>
              </w:rPr>
            </w:pPr>
          </w:p>
        </w:tc>
        <w:tc>
          <w:tcPr>
            <w:tcW w:w="1080" w:type="dxa"/>
            <w:noWrap w:val="0"/>
            <w:vAlign w:val="center"/>
          </w:tcPr>
          <w:p w14:paraId="67C1F0F6">
            <w:pPr>
              <w:jc w:val="center"/>
              <w:rPr>
                <w:rFonts w:hint="eastAsia" w:ascii="仿宋" w:hAnsi="仿宋" w:eastAsia="仿宋" w:cs="仿宋"/>
                <w:b/>
                <w:color w:val="auto"/>
                <w:highlight w:val="none"/>
              </w:rPr>
            </w:pPr>
          </w:p>
        </w:tc>
        <w:tc>
          <w:tcPr>
            <w:tcW w:w="1800" w:type="dxa"/>
            <w:noWrap w:val="0"/>
            <w:vAlign w:val="center"/>
          </w:tcPr>
          <w:p w14:paraId="51F20E61">
            <w:pPr>
              <w:jc w:val="center"/>
              <w:rPr>
                <w:rFonts w:hint="eastAsia" w:ascii="仿宋" w:hAnsi="仿宋" w:eastAsia="仿宋" w:cs="仿宋"/>
                <w:b/>
                <w:color w:val="auto"/>
                <w:highlight w:val="none"/>
              </w:rPr>
            </w:pPr>
          </w:p>
        </w:tc>
        <w:tc>
          <w:tcPr>
            <w:tcW w:w="1800" w:type="dxa"/>
            <w:noWrap w:val="0"/>
            <w:vAlign w:val="center"/>
          </w:tcPr>
          <w:p w14:paraId="2D1768C8">
            <w:pPr>
              <w:jc w:val="center"/>
              <w:rPr>
                <w:rFonts w:hint="eastAsia" w:ascii="仿宋" w:hAnsi="仿宋" w:eastAsia="仿宋" w:cs="仿宋"/>
                <w:b/>
                <w:color w:val="auto"/>
                <w:highlight w:val="none"/>
              </w:rPr>
            </w:pPr>
          </w:p>
        </w:tc>
        <w:tc>
          <w:tcPr>
            <w:tcW w:w="1800" w:type="dxa"/>
            <w:noWrap w:val="0"/>
            <w:vAlign w:val="center"/>
          </w:tcPr>
          <w:p w14:paraId="1F18E68C">
            <w:pPr>
              <w:jc w:val="center"/>
              <w:rPr>
                <w:rFonts w:hint="eastAsia" w:ascii="仿宋" w:hAnsi="仿宋" w:eastAsia="仿宋" w:cs="仿宋"/>
                <w:b/>
                <w:color w:val="auto"/>
                <w:highlight w:val="none"/>
              </w:rPr>
            </w:pPr>
          </w:p>
        </w:tc>
        <w:tc>
          <w:tcPr>
            <w:tcW w:w="1650" w:type="dxa"/>
            <w:noWrap w:val="0"/>
            <w:vAlign w:val="center"/>
          </w:tcPr>
          <w:p w14:paraId="55F7E801">
            <w:pPr>
              <w:jc w:val="center"/>
              <w:rPr>
                <w:rFonts w:hint="eastAsia" w:ascii="仿宋" w:hAnsi="仿宋" w:eastAsia="仿宋" w:cs="仿宋"/>
                <w:b/>
                <w:color w:val="auto"/>
                <w:highlight w:val="none"/>
              </w:rPr>
            </w:pPr>
          </w:p>
        </w:tc>
      </w:tr>
      <w:tr w14:paraId="19DF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80" w:type="dxa"/>
            <w:noWrap w:val="0"/>
            <w:vAlign w:val="center"/>
          </w:tcPr>
          <w:p w14:paraId="738556CF">
            <w:pPr>
              <w:jc w:val="center"/>
              <w:rPr>
                <w:rFonts w:hint="eastAsia" w:ascii="仿宋" w:hAnsi="仿宋" w:eastAsia="仿宋" w:cs="仿宋"/>
                <w:b/>
                <w:color w:val="auto"/>
                <w:highlight w:val="none"/>
              </w:rPr>
            </w:pPr>
          </w:p>
        </w:tc>
        <w:tc>
          <w:tcPr>
            <w:tcW w:w="1080" w:type="dxa"/>
            <w:noWrap w:val="0"/>
            <w:vAlign w:val="center"/>
          </w:tcPr>
          <w:p w14:paraId="4E62A586">
            <w:pPr>
              <w:jc w:val="center"/>
              <w:rPr>
                <w:rFonts w:hint="eastAsia" w:ascii="仿宋" w:hAnsi="仿宋" w:eastAsia="仿宋" w:cs="仿宋"/>
                <w:b/>
                <w:color w:val="auto"/>
                <w:szCs w:val="20"/>
                <w:highlight w:val="none"/>
              </w:rPr>
            </w:pPr>
          </w:p>
        </w:tc>
        <w:tc>
          <w:tcPr>
            <w:tcW w:w="1800" w:type="dxa"/>
            <w:noWrap w:val="0"/>
            <w:vAlign w:val="center"/>
          </w:tcPr>
          <w:p w14:paraId="1C0246AC">
            <w:pPr>
              <w:jc w:val="center"/>
              <w:rPr>
                <w:rFonts w:hint="eastAsia" w:ascii="仿宋" w:hAnsi="仿宋" w:eastAsia="仿宋" w:cs="仿宋"/>
                <w:b/>
                <w:color w:val="auto"/>
                <w:highlight w:val="none"/>
              </w:rPr>
            </w:pPr>
          </w:p>
        </w:tc>
        <w:tc>
          <w:tcPr>
            <w:tcW w:w="1800" w:type="dxa"/>
            <w:noWrap w:val="0"/>
            <w:vAlign w:val="center"/>
          </w:tcPr>
          <w:p w14:paraId="3253B528">
            <w:pPr>
              <w:jc w:val="center"/>
              <w:rPr>
                <w:rFonts w:hint="eastAsia" w:ascii="仿宋" w:hAnsi="仿宋" w:eastAsia="仿宋" w:cs="仿宋"/>
                <w:b/>
                <w:color w:val="auto"/>
                <w:highlight w:val="none"/>
              </w:rPr>
            </w:pPr>
          </w:p>
        </w:tc>
        <w:tc>
          <w:tcPr>
            <w:tcW w:w="1800" w:type="dxa"/>
            <w:noWrap w:val="0"/>
            <w:vAlign w:val="center"/>
          </w:tcPr>
          <w:p w14:paraId="3D73897C">
            <w:pPr>
              <w:jc w:val="center"/>
              <w:rPr>
                <w:rFonts w:hint="eastAsia" w:ascii="仿宋" w:hAnsi="仿宋" w:eastAsia="仿宋" w:cs="仿宋"/>
                <w:b/>
                <w:color w:val="auto"/>
                <w:highlight w:val="none"/>
              </w:rPr>
            </w:pPr>
          </w:p>
        </w:tc>
        <w:tc>
          <w:tcPr>
            <w:tcW w:w="1650" w:type="dxa"/>
            <w:noWrap w:val="0"/>
            <w:vAlign w:val="center"/>
          </w:tcPr>
          <w:p w14:paraId="2A6FF4B7">
            <w:pPr>
              <w:jc w:val="center"/>
              <w:rPr>
                <w:rFonts w:hint="eastAsia" w:ascii="仿宋" w:hAnsi="仿宋" w:eastAsia="仿宋" w:cs="仿宋"/>
                <w:b/>
                <w:color w:val="auto"/>
                <w:highlight w:val="none"/>
              </w:rPr>
            </w:pPr>
          </w:p>
        </w:tc>
      </w:tr>
    </w:tbl>
    <w:p w14:paraId="29D1EB23">
      <w:pPr>
        <w:rPr>
          <w:rFonts w:hint="eastAsia" w:ascii="仿宋" w:hAnsi="仿宋" w:eastAsia="仿宋" w:cs="仿宋"/>
          <w:color w:val="auto"/>
          <w:highlight w:val="none"/>
        </w:rPr>
      </w:pPr>
    </w:p>
    <w:p w14:paraId="0E4C25DA">
      <w:pPr>
        <w:spacing w:line="360" w:lineRule="auto"/>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bookmarkStart w:id="489" w:name="_Toc28331"/>
      <w:bookmarkStart w:id="490" w:name="_Toc29282"/>
      <w:bookmarkStart w:id="491" w:name="_Toc15021"/>
      <w:bookmarkStart w:id="492" w:name="_Toc12360"/>
      <w:bookmarkStart w:id="493" w:name="_Toc1690"/>
      <w:r>
        <w:rPr>
          <w:rFonts w:hint="eastAsia" w:ascii="仿宋" w:hAnsi="仿宋" w:eastAsia="仿宋" w:cs="仿宋"/>
          <w:b/>
          <w:bCs/>
          <w:color w:val="auto"/>
          <w:sz w:val="28"/>
          <w:szCs w:val="28"/>
          <w:highlight w:val="none"/>
        </w:rPr>
        <w:t>附件</w:t>
      </w: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auto"/>
          <w:sz w:val="28"/>
          <w:szCs w:val="28"/>
          <w:highlight w:val="none"/>
        </w:rPr>
        <w:t>：                    廉 政 合 同</w:t>
      </w:r>
      <w:bookmarkEnd w:id="489"/>
      <w:bookmarkEnd w:id="490"/>
      <w:bookmarkEnd w:id="491"/>
      <w:bookmarkEnd w:id="492"/>
      <w:bookmarkEnd w:id="493"/>
    </w:p>
    <w:p w14:paraId="621933B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仿宋" w:hAnsi="仿宋" w:eastAsia="仿宋" w:cs="仿宋"/>
          <w:color w:val="auto"/>
          <w:sz w:val="24"/>
          <w:highlight w:val="none"/>
          <w:lang w:eastAsia="zh-CN"/>
        </w:rPr>
        <w:t>南海文化中心项目</w:t>
      </w:r>
      <w:r>
        <w:rPr>
          <w:rFonts w:hint="eastAsia" w:ascii="仿宋" w:hAnsi="仿宋" w:eastAsia="仿宋" w:cs="仿宋"/>
          <w:color w:val="auto"/>
          <w:sz w:val="24"/>
          <w:highlight w:val="none"/>
        </w:rPr>
        <w:t>的项目法人（</w:t>
      </w:r>
      <w:r>
        <w:rPr>
          <w:rFonts w:hint="eastAsia" w:ascii="仿宋" w:hAnsi="仿宋" w:eastAsia="仿宋" w:cs="仿宋"/>
          <w:color w:val="auto"/>
          <w:sz w:val="24"/>
          <w:highlight w:val="none"/>
          <w:lang w:eastAsia="zh-CN"/>
        </w:rPr>
        <w:t>佛山市南海有为百越文化有限公司</w:t>
      </w:r>
      <w:r>
        <w:rPr>
          <w:rFonts w:hint="eastAsia" w:ascii="仿宋" w:hAnsi="仿宋" w:eastAsia="仿宋" w:cs="仿宋"/>
          <w:color w:val="auto"/>
          <w:sz w:val="24"/>
          <w:highlight w:val="none"/>
        </w:rPr>
        <w:t>，以下简称“委托人”）与该项目的咨询单位（</w:t>
      </w:r>
      <w:r>
        <w:rPr>
          <w:rFonts w:hint="eastAsia" w:ascii="仿宋" w:hAnsi="仿宋" w:eastAsia="仿宋" w:cs="仿宋"/>
          <w:color w:val="auto"/>
          <w:sz w:val="24"/>
          <w:highlight w:val="none"/>
          <w:u w:val="single"/>
          <w:lang w:eastAsia="zh-CN"/>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，以下简称“咨询人”），特订立如下合同。</w:t>
      </w:r>
    </w:p>
    <w:p w14:paraId="290EA5D6">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1. 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和咨询人</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的权利和义务</w:t>
      </w:r>
    </w:p>
    <w:p w14:paraId="65E3044A">
      <w:pPr>
        <w:spacing w:line="360" w:lineRule="auto"/>
        <w:ind w:firstLine="585" w:firstLineChars="257"/>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（1）严格遵守党的政策规定和国家有关法律法规及交通运输部的有关规定。</w:t>
      </w:r>
    </w:p>
    <w:p w14:paraId="0CB027F9">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（2）严格执行合同文件，自觉按合同办事。</w:t>
      </w:r>
    </w:p>
    <w:p w14:paraId="310A7837">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的业务活动坚持公开、公正、诚信、透明的原则（法律认定的商业秘密和合同文件另有规定除外），不得损害国家和集体利益，不得违反工程建设管理规章制度。</w:t>
      </w:r>
    </w:p>
    <w:p w14:paraId="009F7D45">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（4）建立健全廉政制度，开展廉政教育，设立廉政告示牌，公布举报电话，监督并认真查处违法违纪行为。</w:t>
      </w:r>
    </w:p>
    <w:p w14:paraId="59DEE6EC">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（5）发现对方在业务活动中有违反廉政规定的行为，有及时提醒对方纠正的权利和义务。</w:t>
      </w:r>
    </w:p>
    <w:p w14:paraId="72E7125F">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（6）发现对方严重违反本合同义务条款的行为，有向其上级有关部门举报、建议给予处理并要求告知处理结果的权利。</w:t>
      </w:r>
    </w:p>
    <w:p w14:paraId="4A94D37E">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2. 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的义务</w:t>
      </w:r>
    </w:p>
    <w:p w14:paraId="0D74B76D">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（1）委托人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及其工作人员不得索要或接受设计人的礼金、有价证券和贵重物品，不得让咨询人报销任何应由委托人或委托人工作人员个人支付的费用等。</w:t>
      </w:r>
    </w:p>
    <w:p w14:paraId="2AD87347">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（2）委托人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工作人员不得参加咨询人安排的超标准宴请和娱乐活动；不得接受咨询人提供的通信工具、交通工具和高档办公用品等。</w:t>
      </w:r>
    </w:p>
    <w:p w14:paraId="53453C5B">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（3）委托人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及其工作人员不得要求或者接受咨询人为其住房装修、婚丧嫁娶活动、配偶子女的工作安排以及出国出境、旅游等提供方便等。</w:t>
      </w:r>
    </w:p>
    <w:p w14:paraId="43CE2811">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（4）委托人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工作人员及其配偶、子女、亲属不得从事与本合同有关的造价咨询业务等活动。不得以任何理由要求咨询人和相关单位在咨询中使用某种产品、材料和设备。</w:t>
      </w:r>
    </w:p>
    <w:p w14:paraId="66D414EE">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（5）委托人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工作人员要秉公办事，不准营私舞弊，不准利用职权从事各种个人有偿中介活动和安排个人造价咨询队伍。</w:t>
      </w:r>
    </w:p>
    <w:p w14:paraId="52DCA323">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3. 咨询人的义务</w:t>
      </w:r>
    </w:p>
    <w:p w14:paraId="228F7628">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（1）咨询人不得以任何理由向委托人及其工作人员行贿或馈赠礼金、有价证券、贵重礼品。</w:t>
      </w:r>
    </w:p>
    <w:p w14:paraId="0EC0EF13">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（2）咨询人不得以任何名义为委托人及其工作人员报销应由发包人单位或个人支付的任何费用。</w:t>
      </w:r>
    </w:p>
    <w:p w14:paraId="7AB67A9A">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（3）咨询人不得以任何理由安排委托人工作人员参加超标准宴请及娱乐活动。</w:t>
      </w:r>
    </w:p>
    <w:p w14:paraId="39A4850B">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（4）咨询人不得为委托人单位和个人购置或提供通信工具、交通工具和高档办公用品等。</w:t>
      </w:r>
    </w:p>
    <w:p w14:paraId="2EBDE957">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4. 违约责任</w:t>
      </w:r>
    </w:p>
    <w:p w14:paraId="2FE66BCC">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（1）委托人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及其工作人员违反本合同第1、2条，按管理权限，依据有关规定给予党纪、政纪或组织处理；涉嫌犯罪的，移交司法机关追究刑事责任；给咨询人单位造成经济损失的，应予以赔偿。</w:t>
      </w:r>
    </w:p>
    <w:p w14:paraId="4D14DA1E">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（2）咨询人及其工作人员违反本合同第1、3条，按管理权限，依据有关规定给予党纪、政纪或组织处理；给委托人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w:t>
      </w:r>
      <w:r>
        <w:rPr>
          <w:rFonts w:hint="eastAsia" w:ascii="仿宋" w:hAnsi="仿宋" w:eastAsia="仿宋" w:cs="仿宋"/>
          <w:color w:val="auto"/>
          <w:sz w:val="24"/>
          <w:highlight w:val="none"/>
        </w:rPr>
        <w:t>单位造成经济损失的，应予以赔偿；情节严重的，委托人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代建单位</w:t>
      </w:r>
      <w:r>
        <w:rPr>
          <w:rFonts w:hint="eastAsia" w:ascii="仿宋" w:hAnsi="仿宋" w:eastAsia="仿宋" w:cs="仿宋"/>
          <w:color w:val="auto"/>
          <w:sz w:val="24"/>
          <w:highlight w:val="none"/>
        </w:rPr>
        <w:t>建议相关主管部门给予咨询人一至三年内不得进入其主管的市场的处罚。</w:t>
      </w:r>
    </w:p>
    <w:p w14:paraId="7ACFED2B">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5. </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约定：本合同由</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或</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上级单位的纪检监察部门负责监督执行。由委托人或委托人上级单位的纪检监察部门约请咨询人或咨询人上级单位纪检监察部门对本合同执行情况进行检查，提出在本合同规定范围内的裁定意见。</w:t>
      </w:r>
    </w:p>
    <w:p w14:paraId="0F412029">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6. 本合同有效期为合同</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签署之日起至造价咨询合同失效日止。</w:t>
      </w:r>
    </w:p>
    <w:p w14:paraId="29B26CF6">
      <w:pPr>
        <w:spacing w:line="360" w:lineRule="auto"/>
        <w:ind w:firstLine="616" w:firstLineChars="257"/>
        <w:rPr>
          <w:rFonts w:hint="eastAsia" w:ascii="仿宋" w:hAnsi="仿宋" w:eastAsia="仿宋" w:cs="仿宋"/>
          <w:color w:val="auto"/>
          <w:sz w:val="24"/>
          <w:highlight w:val="none"/>
        </w:rPr>
      </w:pPr>
      <w:r>
        <w:rPr>
          <w:rFonts w:hint="eastAsia" w:ascii="仿宋" w:hAnsi="仿宋" w:eastAsia="仿宋" w:cs="仿宋"/>
          <w:color w:val="auto"/>
          <w:sz w:val="24"/>
          <w:highlight w:val="none"/>
        </w:rPr>
        <w:t>7. 本合同作为合同的附件，与勘察设计合同具有同等的法律效力，经合同</w:t>
      </w:r>
      <w:r>
        <w:rPr>
          <w:rFonts w:hint="eastAsia" w:ascii="仿宋" w:hAnsi="仿宋" w:eastAsia="仿宋" w:cs="仿宋"/>
          <w:color w:val="auto"/>
          <w:sz w:val="24"/>
          <w:highlight w:val="none"/>
          <w:lang w:eastAsia="zh-CN"/>
        </w:rPr>
        <w:t>三方</w:t>
      </w:r>
      <w:r>
        <w:rPr>
          <w:rFonts w:hint="eastAsia" w:ascii="仿宋" w:hAnsi="仿宋" w:eastAsia="仿宋" w:cs="仿宋"/>
          <w:color w:val="auto"/>
          <w:sz w:val="24"/>
          <w:highlight w:val="none"/>
        </w:rPr>
        <w:t>签署后立即生效。</w:t>
      </w:r>
    </w:p>
    <w:p w14:paraId="7C7B65EE">
      <w:pPr>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 xml:space="preserve">8. </w:t>
      </w:r>
      <w:r>
        <w:rPr>
          <w:rFonts w:hint="eastAsia" w:ascii="仿宋" w:hAnsi="仿宋" w:eastAsia="仿宋" w:cs="仿宋"/>
          <w:bCs/>
          <w:color w:val="auto"/>
          <w:sz w:val="24"/>
          <w:highlight w:val="none"/>
        </w:rPr>
        <w:t>本合同正本一式</w:t>
      </w:r>
      <w:r>
        <w:rPr>
          <w:rFonts w:hint="eastAsia" w:ascii="仿宋" w:hAnsi="仿宋" w:eastAsia="仿宋" w:cs="仿宋"/>
          <w:bCs/>
          <w:color w:val="auto"/>
          <w:sz w:val="24"/>
          <w:highlight w:val="none"/>
          <w:u w:val="single"/>
        </w:rPr>
        <w:t xml:space="preserve"> 四 </w:t>
      </w:r>
      <w:r>
        <w:rPr>
          <w:rFonts w:hint="eastAsia" w:ascii="仿宋" w:hAnsi="仿宋" w:eastAsia="仿宋" w:cs="仿宋"/>
          <w:bCs/>
          <w:color w:val="auto"/>
          <w:sz w:val="24"/>
          <w:highlight w:val="none"/>
        </w:rPr>
        <w:t>份、副本一式</w:t>
      </w:r>
      <w:r>
        <w:rPr>
          <w:rFonts w:hint="eastAsia" w:ascii="仿宋" w:hAnsi="仿宋" w:eastAsia="仿宋" w:cs="仿宋"/>
          <w:bCs/>
          <w:color w:val="auto"/>
          <w:sz w:val="24"/>
          <w:highlight w:val="none"/>
          <w:u w:val="single"/>
        </w:rPr>
        <w:t xml:space="preserve"> 四 </w:t>
      </w:r>
      <w:r>
        <w:rPr>
          <w:rFonts w:hint="eastAsia" w:ascii="仿宋" w:hAnsi="仿宋" w:eastAsia="仿宋" w:cs="仿宋"/>
          <w:bCs/>
          <w:color w:val="auto"/>
          <w:sz w:val="24"/>
          <w:highlight w:val="none"/>
        </w:rPr>
        <w:t>份，均具有同等法律效力，委托人执正本</w:t>
      </w:r>
      <w:r>
        <w:rPr>
          <w:rFonts w:hint="eastAsia" w:ascii="仿宋" w:hAnsi="仿宋" w:eastAsia="仿宋" w:cs="仿宋"/>
          <w:bCs/>
          <w:color w:val="auto"/>
          <w:sz w:val="24"/>
          <w:highlight w:val="none"/>
          <w:u w:val="single"/>
        </w:rPr>
        <w:t xml:space="preserve"> 二 </w:t>
      </w:r>
      <w:r>
        <w:rPr>
          <w:rFonts w:hint="eastAsia" w:ascii="仿宋" w:hAnsi="仿宋" w:eastAsia="仿宋" w:cs="仿宋"/>
          <w:bCs/>
          <w:color w:val="auto"/>
          <w:sz w:val="24"/>
          <w:highlight w:val="none"/>
        </w:rPr>
        <w:t>份、副本</w:t>
      </w:r>
      <w:r>
        <w:rPr>
          <w:rFonts w:hint="eastAsia" w:ascii="仿宋" w:hAnsi="仿宋" w:eastAsia="仿宋" w:cs="仿宋"/>
          <w:bCs/>
          <w:color w:val="auto"/>
          <w:sz w:val="24"/>
          <w:highlight w:val="none"/>
          <w:u w:val="single"/>
        </w:rPr>
        <w:t xml:space="preserve"> 三 </w:t>
      </w:r>
      <w:r>
        <w:rPr>
          <w:rFonts w:hint="eastAsia" w:ascii="仿宋" w:hAnsi="仿宋" w:eastAsia="仿宋" w:cs="仿宋"/>
          <w:bCs/>
          <w:color w:val="auto"/>
          <w:sz w:val="24"/>
          <w:highlight w:val="none"/>
        </w:rPr>
        <w:t>份，咨询人执正本</w:t>
      </w:r>
      <w:r>
        <w:rPr>
          <w:rFonts w:hint="eastAsia" w:ascii="仿宋" w:hAnsi="仿宋" w:eastAsia="仿宋" w:cs="仿宋"/>
          <w:bCs/>
          <w:color w:val="auto"/>
          <w:sz w:val="24"/>
          <w:highlight w:val="none"/>
          <w:u w:val="single"/>
        </w:rPr>
        <w:t xml:space="preserve"> 二 </w:t>
      </w:r>
      <w:r>
        <w:rPr>
          <w:rFonts w:hint="eastAsia" w:ascii="仿宋" w:hAnsi="仿宋" w:eastAsia="仿宋" w:cs="仿宋"/>
          <w:bCs/>
          <w:color w:val="auto"/>
          <w:sz w:val="24"/>
          <w:highlight w:val="none"/>
        </w:rPr>
        <w:t>份、副本</w:t>
      </w:r>
      <w:r>
        <w:rPr>
          <w:rFonts w:hint="eastAsia" w:ascii="仿宋" w:hAnsi="仿宋" w:eastAsia="仿宋" w:cs="仿宋"/>
          <w:bCs/>
          <w:color w:val="auto"/>
          <w:sz w:val="24"/>
          <w:highlight w:val="none"/>
          <w:u w:val="single"/>
        </w:rPr>
        <w:t xml:space="preserve"> 一 </w:t>
      </w:r>
      <w:r>
        <w:rPr>
          <w:rFonts w:hint="eastAsia" w:ascii="仿宋" w:hAnsi="仿宋" w:eastAsia="仿宋" w:cs="仿宋"/>
          <w:bCs/>
          <w:color w:val="auto"/>
          <w:sz w:val="24"/>
          <w:highlight w:val="none"/>
        </w:rPr>
        <w:t>份。</w:t>
      </w:r>
    </w:p>
    <w:p w14:paraId="43CBBFB1">
      <w:pPr>
        <w:spacing w:line="360" w:lineRule="auto"/>
        <w:rPr>
          <w:rFonts w:hint="eastAsia" w:ascii="仿宋" w:hAnsi="仿宋" w:eastAsia="仿宋" w:cs="仿宋"/>
          <w:b/>
          <w:bCs/>
          <w:color w:val="auto"/>
          <w:sz w:val="24"/>
          <w:highlight w:val="none"/>
        </w:rPr>
      </w:pPr>
    </w:p>
    <w:p w14:paraId="1DA60682">
      <w:pPr>
        <w:spacing w:line="360" w:lineRule="auto"/>
        <w:rPr>
          <w:rFonts w:hint="eastAsia" w:ascii="仿宋" w:hAnsi="仿宋" w:eastAsia="仿宋" w:cs="仿宋"/>
          <w:b/>
          <w:bCs/>
          <w:color w:val="auto"/>
          <w:sz w:val="24"/>
          <w:highlight w:val="none"/>
        </w:rPr>
      </w:pPr>
    </w:p>
    <w:p w14:paraId="4AC55C1F">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br w:type="page"/>
      </w:r>
      <w:r>
        <w:rPr>
          <w:rFonts w:hint="eastAsia" w:ascii="仿宋" w:hAnsi="仿宋" w:eastAsia="仿宋" w:cs="仿宋"/>
          <w:b/>
          <w:bCs/>
          <w:color w:val="auto"/>
          <w:sz w:val="24"/>
          <w:highlight w:val="none"/>
        </w:rPr>
        <w:t>（本页无正文，为合同签署页）</w:t>
      </w:r>
    </w:p>
    <w:p w14:paraId="61CB411A">
      <w:pPr>
        <w:spacing w:line="360" w:lineRule="auto"/>
        <w:rPr>
          <w:rFonts w:hint="eastAsia" w:ascii="仿宋" w:hAnsi="仿宋" w:eastAsia="仿宋" w:cs="仿宋"/>
          <w:b/>
          <w:bCs/>
          <w:color w:val="auto"/>
          <w:sz w:val="24"/>
          <w:highlight w:val="none"/>
        </w:rPr>
      </w:pPr>
    </w:p>
    <w:p w14:paraId="167B8874">
      <w:pPr>
        <w:spacing w:line="360" w:lineRule="auto"/>
        <w:rPr>
          <w:rFonts w:hint="eastAsia" w:ascii="仿宋" w:hAnsi="仿宋" w:eastAsia="仿宋" w:cs="仿宋"/>
          <w:b/>
          <w:bCs/>
          <w:color w:val="auto"/>
          <w:sz w:val="24"/>
          <w:highlight w:val="none"/>
        </w:rPr>
      </w:pPr>
    </w:p>
    <w:p w14:paraId="52F3A3E1">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委托人：</w:t>
      </w:r>
      <w:r>
        <w:rPr>
          <w:rFonts w:hint="eastAsia" w:ascii="仿宋" w:hAnsi="仿宋" w:eastAsia="仿宋" w:cs="仿宋"/>
          <w:b/>
          <w:bCs/>
          <w:color w:val="auto"/>
          <w:sz w:val="24"/>
          <w:highlight w:val="none"/>
          <w:lang w:val="en-US" w:eastAsia="zh-CN"/>
        </w:rPr>
        <w:t>佛山市南海有为百越文化有限公司</w:t>
      </w:r>
      <w:r>
        <w:rPr>
          <w:rFonts w:hint="eastAsia" w:ascii="仿宋" w:hAnsi="仿宋" w:eastAsia="仿宋" w:cs="仿宋"/>
          <w:b/>
          <w:bCs/>
          <w:color w:val="auto"/>
          <w:sz w:val="24"/>
          <w:highlight w:val="none"/>
        </w:rPr>
        <w:t>（盖章）</w:t>
      </w:r>
    </w:p>
    <w:p w14:paraId="23BC6B0B">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3567C58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4D8BA70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或其委托代理人：</w:t>
      </w:r>
    </w:p>
    <w:p w14:paraId="6086E42E">
      <w:pPr>
        <w:spacing w:line="360" w:lineRule="auto"/>
        <w:rPr>
          <w:rFonts w:hint="eastAsia" w:ascii="仿宋" w:hAnsi="仿宋" w:eastAsia="仿宋" w:cs="仿宋"/>
          <w:color w:val="auto"/>
          <w:sz w:val="24"/>
          <w:highlight w:val="none"/>
        </w:rPr>
      </w:pPr>
    </w:p>
    <w:p w14:paraId="26C57638">
      <w:pPr>
        <w:spacing w:line="360" w:lineRule="auto"/>
        <w:rPr>
          <w:rFonts w:hint="eastAsia" w:ascii="仿宋" w:hAnsi="仿宋" w:eastAsia="仿宋" w:cs="仿宋"/>
          <w:color w:val="auto"/>
          <w:sz w:val="24"/>
          <w:highlight w:val="none"/>
        </w:rPr>
      </w:pPr>
    </w:p>
    <w:p w14:paraId="30AF13E3">
      <w:pPr>
        <w:spacing w:line="360" w:lineRule="auto"/>
        <w:rPr>
          <w:rFonts w:hint="eastAsia" w:ascii="仿宋" w:hAnsi="仿宋" w:eastAsia="仿宋" w:cs="仿宋"/>
          <w:b/>
          <w:bCs/>
          <w:color w:val="auto"/>
          <w:sz w:val="24"/>
          <w:highlight w:val="none"/>
        </w:rPr>
      </w:pPr>
    </w:p>
    <w:p w14:paraId="7993D28E">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咨询人：（盖章）</w:t>
      </w:r>
    </w:p>
    <w:p w14:paraId="55FA5A18">
      <w:pPr>
        <w:spacing w:line="360" w:lineRule="auto"/>
        <w:rPr>
          <w:rFonts w:hint="eastAsia" w:ascii="仿宋" w:hAnsi="仿宋" w:eastAsia="仿宋" w:cs="仿宋"/>
          <w:color w:val="auto"/>
          <w:sz w:val="24"/>
          <w:highlight w:val="none"/>
        </w:rPr>
      </w:pPr>
    </w:p>
    <w:p w14:paraId="6ADFE52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17AD6E2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或其委托代理人：</w:t>
      </w:r>
    </w:p>
    <w:p w14:paraId="5D7A97BA">
      <w:pPr>
        <w:spacing w:line="360" w:lineRule="auto"/>
        <w:rPr>
          <w:rFonts w:hint="eastAsia" w:ascii="仿宋" w:hAnsi="仿宋" w:eastAsia="仿宋" w:cs="仿宋"/>
          <w:color w:val="auto"/>
          <w:sz w:val="24"/>
          <w:highlight w:val="none"/>
        </w:rPr>
      </w:pPr>
    </w:p>
    <w:p w14:paraId="3D4632EE">
      <w:pPr>
        <w:spacing w:line="360" w:lineRule="auto"/>
        <w:rPr>
          <w:rFonts w:hint="eastAsia" w:ascii="仿宋" w:hAnsi="仿宋" w:eastAsia="仿宋" w:cs="仿宋"/>
          <w:b/>
          <w:bCs/>
          <w:color w:val="auto"/>
          <w:sz w:val="24"/>
          <w:highlight w:val="none"/>
        </w:rPr>
      </w:pPr>
    </w:p>
    <w:p w14:paraId="774FCA8F">
      <w:pPr>
        <w:spacing w:line="360" w:lineRule="auto"/>
        <w:rPr>
          <w:rFonts w:hint="eastAsia" w:ascii="仿宋" w:hAnsi="仿宋" w:eastAsia="仿宋" w:cs="仿宋"/>
          <w:color w:val="auto"/>
          <w:sz w:val="24"/>
          <w:highlight w:val="none"/>
        </w:rPr>
      </w:pPr>
    </w:p>
    <w:p w14:paraId="7D3A57DD">
      <w:pPr>
        <w:spacing w:line="360" w:lineRule="auto"/>
        <w:rPr>
          <w:rFonts w:hint="eastAsia" w:ascii="仿宋" w:hAnsi="仿宋" w:eastAsia="仿宋" w:cs="仿宋"/>
          <w:color w:val="auto"/>
          <w:sz w:val="24"/>
          <w:highlight w:val="none"/>
        </w:rPr>
      </w:pPr>
      <w:r>
        <w:rPr>
          <w:rFonts w:hint="eastAsia" w:ascii="仿宋" w:hAnsi="仿宋" w:eastAsia="仿宋" w:cs="仿宋"/>
          <w:b/>
          <w:bCs/>
          <w:color w:val="auto"/>
          <w:sz w:val="24"/>
          <w:highlight w:val="none"/>
          <w:lang w:val="en-US" w:eastAsia="zh-CN"/>
        </w:rPr>
        <w:t>代建单位</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佛山市南海区丽雅苑房地产发展有限公司</w:t>
      </w:r>
      <w:r>
        <w:rPr>
          <w:rFonts w:hint="eastAsia" w:ascii="仿宋" w:hAnsi="仿宋" w:eastAsia="仿宋" w:cs="仿宋"/>
          <w:b/>
          <w:bCs/>
          <w:color w:val="auto"/>
          <w:sz w:val="24"/>
          <w:highlight w:val="none"/>
        </w:rPr>
        <w:t>（盖章）</w:t>
      </w:r>
    </w:p>
    <w:p w14:paraId="0560EE3E">
      <w:pPr>
        <w:spacing w:line="360" w:lineRule="auto"/>
        <w:rPr>
          <w:rFonts w:hint="eastAsia" w:ascii="仿宋" w:hAnsi="仿宋" w:eastAsia="仿宋" w:cs="仿宋"/>
          <w:color w:val="auto"/>
          <w:sz w:val="24"/>
          <w:highlight w:val="none"/>
        </w:rPr>
      </w:pPr>
    </w:p>
    <w:p w14:paraId="5403D43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1D9158B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或其委托代理人：</w:t>
      </w:r>
    </w:p>
    <w:p w14:paraId="07AF6F30">
      <w:pPr>
        <w:spacing w:line="360" w:lineRule="auto"/>
        <w:rPr>
          <w:rFonts w:hint="eastAsia" w:ascii="仿宋" w:hAnsi="仿宋" w:eastAsia="仿宋" w:cs="仿宋"/>
          <w:color w:val="auto"/>
          <w:sz w:val="24"/>
          <w:highlight w:val="none"/>
        </w:rPr>
      </w:pPr>
    </w:p>
    <w:p w14:paraId="2D7ED196">
      <w:pPr>
        <w:spacing w:line="440" w:lineRule="exact"/>
        <w:jc w:val="center"/>
        <w:rPr>
          <w:rFonts w:hint="eastAsia" w:ascii="仿宋" w:hAnsi="仿宋" w:eastAsia="仿宋" w:cs="仿宋"/>
          <w:color w:val="auto"/>
          <w:sz w:val="29"/>
          <w:szCs w:val="29"/>
          <w:highlight w:val="none"/>
        </w:rPr>
      </w:pPr>
      <w:r>
        <w:rPr>
          <w:rFonts w:hint="eastAsia" w:ascii="仿宋" w:hAnsi="仿宋" w:eastAsia="仿宋" w:cs="仿宋"/>
          <w:color w:val="auto"/>
          <w:sz w:val="24"/>
          <w:highlight w:val="none"/>
        </w:rPr>
        <w:t xml:space="preserve">                                            时  间：</w:t>
      </w:r>
      <w:r>
        <w:rPr>
          <w:rFonts w:hint="eastAsia" w:ascii="仿宋" w:hAnsi="仿宋" w:eastAsia="仿宋" w:cs="仿宋"/>
          <w:color w:val="auto"/>
          <w:sz w:val="24"/>
          <w:highlight w:val="none"/>
          <w:u w:val="single"/>
          <w:lang w:eastAsia="zh-CN"/>
        </w:rPr>
        <w:t>2026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ABEBDC3">
      <w:pPr>
        <w:rPr>
          <w:rFonts w:hint="eastAsia" w:ascii="仿宋" w:hAnsi="仿宋" w:eastAsia="仿宋" w:cs="仿宋"/>
          <w:b/>
          <w:color w:val="auto"/>
          <w:sz w:val="28"/>
          <w:szCs w:val="28"/>
          <w:highlight w:val="none"/>
        </w:rPr>
      </w:pPr>
      <w:r>
        <w:rPr>
          <w:rFonts w:hint="eastAsia" w:ascii="仿宋" w:hAnsi="仿宋" w:eastAsia="仿宋" w:cs="仿宋"/>
          <w:color w:val="auto"/>
          <w:highlight w:val="none"/>
        </w:rPr>
        <w:br w:type="page"/>
      </w:r>
      <w:r>
        <w:rPr>
          <w:rFonts w:hint="eastAsia" w:ascii="仿宋" w:hAnsi="仿宋" w:eastAsia="仿宋" w:cs="仿宋"/>
          <w:b/>
          <w:color w:val="auto"/>
          <w:sz w:val="28"/>
          <w:szCs w:val="28"/>
          <w:highlight w:val="none"/>
        </w:rPr>
        <w:t>附件</w:t>
      </w:r>
      <w:r>
        <w:rPr>
          <w:rFonts w:hint="eastAsia" w:ascii="仿宋" w:hAnsi="仿宋" w:eastAsia="仿宋" w:cs="仿宋"/>
          <w:b/>
          <w:color w:val="auto"/>
          <w:sz w:val="28"/>
          <w:szCs w:val="28"/>
          <w:highlight w:val="none"/>
          <w:lang w:val="en-US" w:eastAsia="zh-CN"/>
        </w:rPr>
        <w:t>4</w:t>
      </w:r>
      <w:r>
        <w:rPr>
          <w:rFonts w:hint="eastAsia" w:ascii="仿宋" w:hAnsi="仿宋" w:eastAsia="仿宋" w:cs="仿宋"/>
          <w:b/>
          <w:color w:val="auto"/>
          <w:sz w:val="28"/>
          <w:szCs w:val="28"/>
          <w:highlight w:val="none"/>
        </w:rPr>
        <w:t>：                    中标通知书</w:t>
      </w:r>
    </w:p>
    <w:p w14:paraId="2B1D7E04">
      <w:pPr>
        <w:jc w:val="center"/>
        <w:rPr>
          <w:rFonts w:hint="eastAsia" w:ascii="仿宋" w:hAnsi="仿宋" w:eastAsia="仿宋" w:cs="仿宋"/>
          <w:b/>
          <w:bCs/>
          <w:color w:val="auto"/>
          <w:sz w:val="24"/>
          <w:szCs w:val="24"/>
          <w:highlight w:val="none"/>
        </w:rPr>
      </w:pPr>
      <w:bookmarkStart w:id="494" w:name="_Toc419045128"/>
      <w:bookmarkStart w:id="495" w:name="_Toc422322559"/>
    </w:p>
    <w:p w14:paraId="5F16A185">
      <w:pPr>
        <w:jc w:val="center"/>
        <w:rPr>
          <w:rFonts w:hint="eastAsia" w:ascii="仿宋" w:hAnsi="仿宋" w:eastAsia="仿宋" w:cs="仿宋"/>
          <w:b/>
          <w:bCs/>
          <w:color w:val="auto"/>
          <w:sz w:val="24"/>
          <w:szCs w:val="24"/>
          <w:highlight w:val="none"/>
        </w:rPr>
      </w:pPr>
    </w:p>
    <w:p w14:paraId="45FBC682">
      <w:pPr>
        <w:jc w:val="center"/>
        <w:rPr>
          <w:rFonts w:hint="eastAsia" w:ascii="仿宋" w:hAnsi="仿宋" w:eastAsia="仿宋" w:cs="仿宋"/>
          <w:b/>
          <w:bCs/>
          <w:color w:val="auto"/>
          <w:sz w:val="24"/>
          <w:szCs w:val="24"/>
          <w:highlight w:val="none"/>
        </w:rPr>
      </w:pPr>
    </w:p>
    <w:p w14:paraId="6C01ACEC">
      <w:pPr>
        <w:jc w:val="center"/>
        <w:rPr>
          <w:rFonts w:hint="eastAsia" w:ascii="仿宋" w:hAnsi="仿宋" w:eastAsia="仿宋" w:cs="仿宋"/>
          <w:b/>
          <w:bCs/>
          <w:color w:val="auto"/>
          <w:sz w:val="24"/>
          <w:szCs w:val="24"/>
          <w:highlight w:val="none"/>
        </w:rPr>
      </w:pPr>
    </w:p>
    <w:p w14:paraId="368CBB9B">
      <w:pPr>
        <w:jc w:val="center"/>
        <w:rPr>
          <w:rFonts w:hint="eastAsia" w:ascii="仿宋" w:hAnsi="仿宋" w:eastAsia="仿宋" w:cs="仿宋"/>
          <w:b/>
          <w:bCs/>
          <w:color w:val="auto"/>
          <w:sz w:val="24"/>
          <w:szCs w:val="24"/>
          <w:highlight w:val="none"/>
        </w:rPr>
      </w:pPr>
    </w:p>
    <w:p w14:paraId="33C90A20">
      <w:pPr>
        <w:jc w:val="center"/>
        <w:rPr>
          <w:rFonts w:hint="eastAsia" w:ascii="仿宋" w:hAnsi="仿宋" w:eastAsia="仿宋" w:cs="仿宋"/>
          <w:b/>
          <w:bCs/>
          <w:color w:val="auto"/>
          <w:sz w:val="24"/>
          <w:szCs w:val="24"/>
          <w:highlight w:val="none"/>
        </w:rPr>
      </w:pPr>
    </w:p>
    <w:p w14:paraId="73B0BFAC">
      <w:pPr>
        <w:jc w:val="center"/>
        <w:rPr>
          <w:rFonts w:hint="eastAsia" w:ascii="仿宋" w:hAnsi="仿宋" w:eastAsia="仿宋" w:cs="仿宋"/>
          <w:b/>
          <w:bCs/>
          <w:color w:val="auto"/>
          <w:sz w:val="24"/>
          <w:szCs w:val="24"/>
          <w:highlight w:val="none"/>
        </w:rPr>
      </w:pPr>
    </w:p>
    <w:p w14:paraId="2569E061">
      <w:pPr>
        <w:jc w:val="center"/>
        <w:rPr>
          <w:rFonts w:hint="eastAsia" w:ascii="仿宋" w:hAnsi="仿宋" w:eastAsia="仿宋" w:cs="仿宋"/>
          <w:b/>
          <w:bCs/>
          <w:color w:val="auto"/>
          <w:sz w:val="24"/>
          <w:szCs w:val="24"/>
          <w:highlight w:val="none"/>
        </w:rPr>
      </w:pPr>
    </w:p>
    <w:p w14:paraId="6DF7C7DB">
      <w:pPr>
        <w:jc w:val="center"/>
        <w:rPr>
          <w:rFonts w:hint="eastAsia" w:ascii="仿宋" w:hAnsi="仿宋" w:eastAsia="仿宋" w:cs="仿宋"/>
          <w:b/>
          <w:bCs/>
          <w:color w:val="auto"/>
          <w:sz w:val="24"/>
          <w:szCs w:val="24"/>
          <w:highlight w:val="none"/>
        </w:rPr>
      </w:pPr>
    </w:p>
    <w:p w14:paraId="54B7A36D">
      <w:pPr>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附录C　委托人提供资料一览表</w:t>
      </w:r>
      <w:bookmarkEnd w:id="494"/>
      <w:bookmarkEnd w:id="495"/>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如有</w:t>
      </w:r>
      <w:r>
        <w:rPr>
          <w:rFonts w:hint="eastAsia" w:ascii="仿宋" w:hAnsi="仿宋" w:eastAsia="仿宋" w:cs="仿宋"/>
          <w:b/>
          <w:bCs/>
          <w:color w:val="auto"/>
          <w:sz w:val="24"/>
          <w:szCs w:val="24"/>
          <w:highlight w:val="none"/>
          <w:lang w:eastAsia="zh-CN"/>
        </w:rPr>
        <w:t>）</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837"/>
        <w:gridCol w:w="1338"/>
        <w:gridCol w:w="2207"/>
      </w:tblGrid>
      <w:tr w14:paraId="1786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9" w:type="dxa"/>
            <w:noWrap w:val="0"/>
            <w:vAlign w:val="top"/>
          </w:tcPr>
          <w:p w14:paraId="42163901">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名称</w:t>
            </w:r>
          </w:p>
        </w:tc>
        <w:tc>
          <w:tcPr>
            <w:tcW w:w="837" w:type="dxa"/>
            <w:noWrap w:val="0"/>
            <w:vAlign w:val="top"/>
          </w:tcPr>
          <w:p w14:paraId="3058E501">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份数</w:t>
            </w:r>
          </w:p>
        </w:tc>
        <w:tc>
          <w:tcPr>
            <w:tcW w:w="1338" w:type="dxa"/>
            <w:noWrap w:val="0"/>
            <w:vAlign w:val="top"/>
          </w:tcPr>
          <w:p w14:paraId="0F52FC7E">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提供时间</w:t>
            </w:r>
          </w:p>
        </w:tc>
        <w:tc>
          <w:tcPr>
            <w:tcW w:w="2207" w:type="dxa"/>
            <w:noWrap w:val="0"/>
            <w:vAlign w:val="top"/>
          </w:tcPr>
          <w:p w14:paraId="2D463888">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备注</w:t>
            </w:r>
          </w:p>
        </w:tc>
      </w:tr>
      <w:tr w14:paraId="08A8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9" w:type="dxa"/>
            <w:noWrap w:val="0"/>
            <w:vAlign w:val="top"/>
          </w:tcPr>
          <w:p w14:paraId="57FDE5FC">
            <w:pPr>
              <w:pStyle w:val="37"/>
              <w:widowControl w:val="0"/>
              <w:spacing w:line="360" w:lineRule="auto"/>
              <w:jc w:val="center"/>
              <w:rPr>
                <w:rFonts w:hint="eastAsia" w:ascii="仿宋" w:hAnsi="仿宋" w:eastAsia="仿宋" w:cs="仿宋"/>
                <w:color w:val="auto"/>
                <w:highlight w:val="none"/>
              </w:rPr>
            </w:pPr>
          </w:p>
        </w:tc>
        <w:tc>
          <w:tcPr>
            <w:tcW w:w="837" w:type="dxa"/>
            <w:noWrap w:val="0"/>
            <w:vAlign w:val="top"/>
          </w:tcPr>
          <w:p w14:paraId="0F371049">
            <w:pPr>
              <w:widowControl w:val="0"/>
              <w:spacing w:line="360" w:lineRule="auto"/>
              <w:jc w:val="center"/>
              <w:rPr>
                <w:rFonts w:hint="eastAsia" w:ascii="仿宋" w:hAnsi="仿宋" w:eastAsia="仿宋" w:cs="仿宋"/>
                <w:color w:val="auto"/>
                <w:highlight w:val="none"/>
              </w:rPr>
            </w:pPr>
          </w:p>
        </w:tc>
        <w:tc>
          <w:tcPr>
            <w:tcW w:w="1338" w:type="dxa"/>
            <w:noWrap w:val="0"/>
            <w:vAlign w:val="top"/>
          </w:tcPr>
          <w:p w14:paraId="411EBDE4">
            <w:pPr>
              <w:widowControl w:val="0"/>
              <w:spacing w:line="360" w:lineRule="auto"/>
              <w:jc w:val="center"/>
              <w:rPr>
                <w:rFonts w:hint="eastAsia" w:ascii="仿宋" w:hAnsi="仿宋" w:eastAsia="仿宋" w:cs="仿宋"/>
                <w:color w:val="auto"/>
                <w:highlight w:val="none"/>
              </w:rPr>
            </w:pPr>
          </w:p>
        </w:tc>
        <w:tc>
          <w:tcPr>
            <w:tcW w:w="2207" w:type="dxa"/>
            <w:noWrap w:val="0"/>
            <w:vAlign w:val="top"/>
          </w:tcPr>
          <w:p w14:paraId="67AD6766">
            <w:pPr>
              <w:widowControl w:val="0"/>
              <w:spacing w:line="360" w:lineRule="auto"/>
              <w:jc w:val="center"/>
              <w:rPr>
                <w:rFonts w:hint="eastAsia" w:ascii="仿宋" w:hAnsi="仿宋" w:eastAsia="仿宋" w:cs="仿宋"/>
                <w:color w:val="auto"/>
                <w:highlight w:val="none"/>
              </w:rPr>
            </w:pPr>
          </w:p>
        </w:tc>
      </w:tr>
      <w:tr w14:paraId="1147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9" w:type="dxa"/>
            <w:noWrap w:val="0"/>
            <w:vAlign w:val="top"/>
          </w:tcPr>
          <w:p w14:paraId="0BFC3294">
            <w:pPr>
              <w:pStyle w:val="37"/>
              <w:widowControl w:val="0"/>
              <w:spacing w:line="360" w:lineRule="auto"/>
              <w:jc w:val="center"/>
              <w:rPr>
                <w:rFonts w:hint="eastAsia" w:ascii="仿宋" w:hAnsi="仿宋" w:eastAsia="仿宋" w:cs="仿宋"/>
                <w:color w:val="auto"/>
                <w:highlight w:val="none"/>
              </w:rPr>
            </w:pPr>
          </w:p>
        </w:tc>
        <w:tc>
          <w:tcPr>
            <w:tcW w:w="837" w:type="dxa"/>
            <w:noWrap w:val="0"/>
            <w:vAlign w:val="top"/>
          </w:tcPr>
          <w:p w14:paraId="520F4CA3">
            <w:pPr>
              <w:widowControl w:val="0"/>
              <w:spacing w:line="360" w:lineRule="auto"/>
              <w:jc w:val="center"/>
              <w:rPr>
                <w:rFonts w:hint="eastAsia" w:ascii="仿宋" w:hAnsi="仿宋" w:eastAsia="仿宋" w:cs="仿宋"/>
                <w:color w:val="auto"/>
                <w:highlight w:val="none"/>
              </w:rPr>
            </w:pPr>
          </w:p>
        </w:tc>
        <w:tc>
          <w:tcPr>
            <w:tcW w:w="1338" w:type="dxa"/>
            <w:noWrap w:val="0"/>
            <w:vAlign w:val="top"/>
          </w:tcPr>
          <w:p w14:paraId="7520FDE8">
            <w:pPr>
              <w:widowControl w:val="0"/>
              <w:spacing w:line="360" w:lineRule="auto"/>
              <w:jc w:val="center"/>
              <w:rPr>
                <w:rFonts w:hint="eastAsia" w:ascii="仿宋" w:hAnsi="仿宋" w:eastAsia="仿宋" w:cs="仿宋"/>
                <w:color w:val="auto"/>
                <w:highlight w:val="none"/>
              </w:rPr>
            </w:pPr>
          </w:p>
        </w:tc>
        <w:tc>
          <w:tcPr>
            <w:tcW w:w="2207" w:type="dxa"/>
            <w:noWrap w:val="0"/>
            <w:vAlign w:val="top"/>
          </w:tcPr>
          <w:p w14:paraId="525C80B5">
            <w:pPr>
              <w:widowControl w:val="0"/>
              <w:spacing w:line="360" w:lineRule="auto"/>
              <w:jc w:val="center"/>
              <w:rPr>
                <w:rFonts w:hint="eastAsia" w:ascii="仿宋" w:hAnsi="仿宋" w:eastAsia="仿宋" w:cs="仿宋"/>
                <w:color w:val="auto"/>
                <w:highlight w:val="none"/>
              </w:rPr>
            </w:pPr>
          </w:p>
        </w:tc>
      </w:tr>
      <w:tr w14:paraId="701B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59" w:type="dxa"/>
            <w:noWrap w:val="0"/>
            <w:vAlign w:val="top"/>
          </w:tcPr>
          <w:p w14:paraId="3615E0F5">
            <w:pPr>
              <w:pStyle w:val="37"/>
              <w:widowControl w:val="0"/>
              <w:spacing w:line="360" w:lineRule="auto"/>
              <w:jc w:val="center"/>
              <w:rPr>
                <w:rFonts w:hint="eastAsia" w:ascii="仿宋" w:hAnsi="仿宋" w:eastAsia="仿宋" w:cs="仿宋"/>
                <w:color w:val="auto"/>
                <w:highlight w:val="none"/>
              </w:rPr>
            </w:pPr>
          </w:p>
        </w:tc>
        <w:tc>
          <w:tcPr>
            <w:tcW w:w="837" w:type="dxa"/>
            <w:noWrap w:val="0"/>
            <w:vAlign w:val="top"/>
          </w:tcPr>
          <w:p w14:paraId="4EA046CA">
            <w:pPr>
              <w:widowControl w:val="0"/>
              <w:spacing w:line="360" w:lineRule="auto"/>
              <w:jc w:val="center"/>
              <w:rPr>
                <w:rFonts w:hint="eastAsia" w:ascii="仿宋" w:hAnsi="仿宋" w:eastAsia="仿宋" w:cs="仿宋"/>
                <w:color w:val="auto"/>
                <w:highlight w:val="none"/>
              </w:rPr>
            </w:pPr>
          </w:p>
        </w:tc>
        <w:tc>
          <w:tcPr>
            <w:tcW w:w="1338" w:type="dxa"/>
            <w:noWrap w:val="0"/>
            <w:vAlign w:val="top"/>
          </w:tcPr>
          <w:p w14:paraId="2948E565">
            <w:pPr>
              <w:widowControl w:val="0"/>
              <w:spacing w:line="360" w:lineRule="auto"/>
              <w:jc w:val="center"/>
              <w:rPr>
                <w:rFonts w:hint="eastAsia" w:ascii="仿宋" w:hAnsi="仿宋" w:eastAsia="仿宋" w:cs="仿宋"/>
                <w:color w:val="auto"/>
                <w:highlight w:val="none"/>
              </w:rPr>
            </w:pPr>
          </w:p>
        </w:tc>
        <w:tc>
          <w:tcPr>
            <w:tcW w:w="2207" w:type="dxa"/>
            <w:noWrap w:val="0"/>
            <w:vAlign w:val="top"/>
          </w:tcPr>
          <w:p w14:paraId="527BFEA4">
            <w:pPr>
              <w:widowControl w:val="0"/>
              <w:spacing w:line="360" w:lineRule="auto"/>
              <w:jc w:val="center"/>
              <w:rPr>
                <w:rFonts w:hint="eastAsia" w:ascii="仿宋" w:hAnsi="仿宋" w:eastAsia="仿宋" w:cs="仿宋"/>
                <w:color w:val="auto"/>
                <w:highlight w:val="none"/>
              </w:rPr>
            </w:pPr>
          </w:p>
        </w:tc>
      </w:tr>
    </w:tbl>
    <w:p w14:paraId="35F1876C">
      <w:pPr>
        <w:pStyle w:val="3"/>
        <w:spacing w:before="0" w:after="0"/>
        <w:jc w:val="center"/>
        <w:rPr>
          <w:rFonts w:hint="eastAsia" w:ascii="仿宋" w:hAnsi="仿宋" w:eastAsia="仿宋" w:cs="仿宋"/>
          <w:color w:val="auto"/>
          <w:sz w:val="24"/>
          <w:szCs w:val="24"/>
          <w:highlight w:val="none"/>
        </w:rPr>
      </w:pPr>
      <w:bookmarkStart w:id="496" w:name="_Toc419045129"/>
      <w:bookmarkStart w:id="497" w:name="_Toc422322560"/>
    </w:p>
    <w:p w14:paraId="304D7687">
      <w:pPr>
        <w:pStyle w:val="3"/>
        <w:spacing w:before="0" w:after="0"/>
        <w:jc w:val="center"/>
        <w:rPr>
          <w:rFonts w:hint="eastAsia" w:ascii="仿宋" w:hAnsi="仿宋" w:eastAsia="仿宋" w:cs="仿宋"/>
          <w:color w:val="auto"/>
          <w:sz w:val="24"/>
          <w:szCs w:val="24"/>
          <w:highlight w:val="none"/>
        </w:rPr>
      </w:pPr>
    </w:p>
    <w:p w14:paraId="25FA0438">
      <w:pPr>
        <w:pStyle w:val="3"/>
        <w:spacing w:before="0" w:after="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附录D 委托人提供房屋及设备一览表</w:t>
      </w:r>
      <w:bookmarkEnd w:id="496"/>
      <w:bookmarkEnd w:id="497"/>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如有</w:t>
      </w:r>
      <w:r>
        <w:rPr>
          <w:rFonts w:hint="eastAsia" w:ascii="仿宋" w:hAnsi="仿宋" w:eastAsia="仿宋" w:cs="仿宋"/>
          <w:b/>
          <w:bCs/>
          <w:color w:val="auto"/>
          <w:sz w:val="24"/>
          <w:szCs w:val="24"/>
          <w:highlight w:val="none"/>
          <w:lang w:eastAsia="zh-CN"/>
        </w:rPr>
        <w:t>）</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8"/>
        <w:gridCol w:w="887"/>
        <w:gridCol w:w="2368"/>
        <w:gridCol w:w="1837"/>
      </w:tblGrid>
      <w:tr w14:paraId="1E7C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8" w:type="dxa"/>
            <w:noWrap w:val="0"/>
            <w:vAlign w:val="top"/>
          </w:tcPr>
          <w:p w14:paraId="57404E00">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名称</w:t>
            </w:r>
          </w:p>
        </w:tc>
        <w:tc>
          <w:tcPr>
            <w:tcW w:w="887" w:type="dxa"/>
            <w:noWrap w:val="0"/>
            <w:vAlign w:val="top"/>
          </w:tcPr>
          <w:p w14:paraId="47CF3A59">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2368" w:type="dxa"/>
            <w:noWrap w:val="0"/>
            <w:vAlign w:val="top"/>
          </w:tcPr>
          <w:p w14:paraId="07B83F92">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面积、型号及规格</w:t>
            </w:r>
          </w:p>
        </w:tc>
        <w:tc>
          <w:tcPr>
            <w:tcW w:w="1837" w:type="dxa"/>
            <w:noWrap w:val="0"/>
            <w:vAlign w:val="top"/>
          </w:tcPr>
          <w:p w14:paraId="40E9E98B">
            <w:pPr>
              <w:pStyle w:val="37"/>
              <w:widowControl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提供时间</w:t>
            </w:r>
          </w:p>
        </w:tc>
      </w:tr>
      <w:tr w14:paraId="504C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8" w:type="dxa"/>
            <w:noWrap w:val="0"/>
            <w:vAlign w:val="top"/>
          </w:tcPr>
          <w:p w14:paraId="3CB74149">
            <w:pPr>
              <w:pStyle w:val="37"/>
              <w:widowControl w:val="0"/>
              <w:spacing w:line="360" w:lineRule="auto"/>
              <w:jc w:val="both"/>
              <w:rPr>
                <w:rFonts w:hint="eastAsia" w:ascii="仿宋" w:hAnsi="仿宋" w:eastAsia="仿宋" w:cs="仿宋"/>
                <w:color w:val="auto"/>
                <w:highlight w:val="none"/>
              </w:rPr>
            </w:pPr>
          </w:p>
        </w:tc>
        <w:tc>
          <w:tcPr>
            <w:tcW w:w="887" w:type="dxa"/>
            <w:noWrap w:val="0"/>
            <w:vAlign w:val="top"/>
          </w:tcPr>
          <w:p w14:paraId="20A42ED0">
            <w:pPr>
              <w:widowControl w:val="0"/>
              <w:spacing w:line="360" w:lineRule="auto"/>
              <w:jc w:val="both"/>
              <w:rPr>
                <w:rFonts w:hint="eastAsia" w:ascii="仿宋" w:hAnsi="仿宋" w:eastAsia="仿宋" w:cs="仿宋"/>
                <w:color w:val="auto"/>
                <w:highlight w:val="none"/>
              </w:rPr>
            </w:pPr>
          </w:p>
        </w:tc>
        <w:tc>
          <w:tcPr>
            <w:tcW w:w="2368" w:type="dxa"/>
            <w:noWrap w:val="0"/>
            <w:vAlign w:val="top"/>
          </w:tcPr>
          <w:p w14:paraId="27568A66">
            <w:pPr>
              <w:widowControl w:val="0"/>
              <w:spacing w:line="360" w:lineRule="auto"/>
              <w:jc w:val="both"/>
              <w:rPr>
                <w:rFonts w:hint="eastAsia" w:ascii="仿宋" w:hAnsi="仿宋" w:eastAsia="仿宋" w:cs="仿宋"/>
                <w:color w:val="auto"/>
                <w:highlight w:val="none"/>
              </w:rPr>
            </w:pPr>
          </w:p>
        </w:tc>
        <w:tc>
          <w:tcPr>
            <w:tcW w:w="1837" w:type="dxa"/>
            <w:noWrap w:val="0"/>
            <w:vAlign w:val="top"/>
          </w:tcPr>
          <w:p w14:paraId="1483E654">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r>
      <w:tr w14:paraId="79B6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8" w:type="dxa"/>
            <w:noWrap w:val="0"/>
            <w:vAlign w:val="top"/>
          </w:tcPr>
          <w:p w14:paraId="762AE5FF">
            <w:pPr>
              <w:pStyle w:val="37"/>
              <w:widowControl w:val="0"/>
              <w:spacing w:line="360" w:lineRule="auto"/>
              <w:jc w:val="both"/>
              <w:rPr>
                <w:rFonts w:hint="eastAsia" w:ascii="仿宋" w:hAnsi="仿宋" w:eastAsia="仿宋" w:cs="仿宋"/>
                <w:color w:val="auto"/>
                <w:highlight w:val="none"/>
              </w:rPr>
            </w:pPr>
          </w:p>
        </w:tc>
        <w:tc>
          <w:tcPr>
            <w:tcW w:w="887" w:type="dxa"/>
            <w:noWrap w:val="0"/>
            <w:vAlign w:val="top"/>
          </w:tcPr>
          <w:p w14:paraId="33B3FAAC">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c>
          <w:tcPr>
            <w:tcW w:w="2368" w:type="dxa"/>
            <w:noWrap w:val="0"/>
            <w:vAlign w:val="top"/>
          </w:tcPr>
          <w:p w14:paraId="6A217D52">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c>
          <w:tcPr>
            <w:tcW w:w="1837" w:type="dxa"/>
            <w:noWrap w:val="0"/>
            <w:vAlign w:val="top"/>
          </w:tcPr>
          <w:p w14:paraId="2FAD6F0E">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r>
      <w:tr w14:paraId="5C55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8" w:type="dxa"/>
            <w:noWrap w:val="0"/>
            <w:vAlign w:val="top"/>
          </w:tcPr>
          <w:p w14:paraId="0FCCD5B9">
            <w:pPr>
              <w:pStyle w:val="37"/>
              <w:widowControl w:val="0"/>
              <w:spacing w:line="360" w:lineRule="auto"/>
              <w:jc w:val="both"/>
              <w:rPr>
                <w:rFonts w:hint="eastAsia" w:ascii="仿宋" w:hAnsi="仿宋" w:eastAsia="仿宋" w:cs="仿宋"/>
                <w:color w:val="auto"/>
                <w:highlight w:val="none"/>
              </w:rPr>
            </w:pPr>
          </w:p>
        </w:tc>
        <w:tc>
          <w:tcPr>
            <w:tcW w:w="887" w:type="dxa"/>
            <w:noWrap w:val="0"/>
            <w:vAlign w:val="top"/>
          </w:tcPr>
          <w:p w14:paraId="1DD3DD66">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c>
          <w:tcPr>
            <w:tcW w:w="2368" w:type="dxa"/>
            <w:noWrap w:val="0"/>
            <w:vAlign w:val="top"/>
          </w:tcPr>
          <w:p w14:paraId="422571E2">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c>
          <w:tcPr>
            <w:tcW w:w="1837" w:type="dxa"/>
            <w:noWrap w:val="0"/>
            <w:vAlign w:val="top"/>
          </w:tcPr>
          <w:p w14:paraId="1C5B759A">
            <w:pPr>
              <w:widowControl w:val="0"/>
              <w:spacing w:line="360" w:lineRule="auto"/>
              <w:jc w:val="both"/>
              <w:rPr>
                <w:rFonts w:hint="eastAsia" w:ascii="仿宋" w:hAnsi="仿宋" w:eastAsia="仿宋" w:cs="仿宋"/>
                <w:color w:val="auto"/>
                <w:highlight w:val="none"/>
              </w:rPr>
            </w:pPr>
            <w:r>
              <w:rPr>
                <w:rFonts w:hint="eastAsia" w:ascii="仿宋" w:hAnsi="仿宋" w:eastAsia="仿宋" w:cs="仿宋"/>
                <w:color w:val="auto"/>
                <w:highlight w:val="none"/>
              </w:rPr>
              <w:t>　</w:t>
            </w:r>
          </w:p>
        </w:tc>
      </w:tr>
    </w:tbl>
    <w:p w14:paraId="50AC6BB2">
      <w:pPr>
        <w:pStyle w:val="2"/>
        <w:rPr>
          <w:rFonts w:hint="eastAsia"/>
          <w:color w:val="auto"/>
          <w:highlight w:val="none"/>
        </w:rPr>
      </w:pPr>
    </w:p>
    <w:p w14:paraId="1D75B73B">
      <w:pPr>
        <w:rPr>
          <w:rFonts w:hint="eastAsia" w:ascii="仿宋" w:hAnsi="仿宋" w:eastAsia="仿宋" w:cs="仿宋"/>
          <w:color w:val="auto"/>
          <w:highlight w:val="none"/>
        </w:rPr>
      </w:pPr>
    </w:p>
    <w:p w14:paraId="4488610F">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070D47E7">
      <w:pPr>
        <w:rPr>
          <w:rFonts w:hint="eastAsia" w:ascii="仿宋" w:hAnsi="仿宋" w:eastAsia="仿宋" w:cs="仿宋"/>
          <w:color w:val="auto"/>
          <w:highlight w:val="none"/>
        </w:rPr>
      </w:pPr>
      <w:bookmarkStart w:id="498" w:name="_Toc4473"/>
    </w:p>
    <w:p w14:paraId="3E0E736E">
      <w:pPr>
        <w:pStyle w:val="173"/>
        <w:bidi w:val="0"/>
        <w:rPr>
          <w:rFonts w:hint="eastAsia" w:ascii="仿宋" w:hAnsi="仿宋" w:eastAsia="仿宋" w:cs="仿宋"/>
          <w:highlight w:val="none"/>
        </w:rPr>
      </w:pPr>
    </w:p>
    <w:p w14:paraId="4913AAB8">
      <w:pPr>
        <w:pStyle w:val="173"/>
        <w:bidi w:val="0"/>
        <w:rPr>
          <w:rFonts w:hint="eastAsia" w:ascii="仿宋" w:hAnsi="仿宋" w:eastAsia="仿宋" w:cs="仿宋"/>
          <w:highlight w:val="none"/>
        </w:rPr>
      </w:pPr>
    </w:p>
    <w:p w14:paraId="2C25D5C6">
      <w:pPr>
        <w:pStyle w:val="173"/>
        <w:bidi w:val="0"/>
        <w:rPr>
          <w:rFonts w:hint="eastAsia" w:ascii="仿宋" w:hAnsi="仿宋" w:eastAsia="仿宋" w:cs="仿宋"/>
          <w:highlight w:val="none"/>
        </w:rPr>
      </w:pPr>
    </w:p>
    <w:p w14:paraId="7532ACD5">
      <w:pPr>
        <w:pStyle w:val="173"/>
        <w:bidi w:val="0"/>
        <w:rPr>
          <w:rFonts w:hint="eastAsia" w:ascii="仿宋" w:hAnsi="仿宋" w:eastAsia="仿宋" w:cs="仿宋"/>
          <w:highlight w:val="none"/>
        </w:rPr>
      </w:pPr>
    </w:p>
    <w:p w14:paraId="31652E85">
      <w:pPr>
        <w:pStyle w:val="173"/>
        <w:bidi w:val="0"/>
        <w:rPr>
          <w:rFonts w:hint="eastAsia" w:ascii="仿宋" w:hAnsi="仿宋" w:eastAsia="仿宋" w:cs="仿宋"/>
          <w:highlight w:val="none"/>
        </w:rPr>
      </w:pPr>
    </w:p>
    <w:p w14:paraId="494F7E91">
      <w:pPr>
        <w:pStyle w:val="173"/>
        <w:bidi w:val="0"/>
        <w:rPr>
          <w:rFonts w:hint="eastAsia" w:ascii="仿宋" w:hAnsi="仿宋" w:eastAsia="仿宋" w:cs="仿宋"/>
          <w:color w:val="auto"/>
          <w:highlight w:val="none"/>
          <w:shd w:val="clear" w:color="FFFFFF" w:fill="D9D9D9"/>
        </w:rPr>
        <w:sectPr>
          <w:headerReference r:id="rId9" w:type="first"/>
          <w:footerReference r:id="rId11" w:type="first"/>
          <w:headerReference r:id="rId8" w:type="default"/>
          <w:footerReference r:id="rId10" w:type="default"/>
          <w:pgSz w:w="11906" w:h="16838"/>
          <w:pgMar w:top="1440" w:right="1080" w:bottom="1440" w:left="1080" w:header="851" w:footer="992" w:gutter="0"/>
          <w:pgNumType w:fmt="decimal"/>
          <w:cols w:space="720" w:num="1"/>
          <w:titlePg/>
          <w:docGrid w:linePitch="462" w:charSpace="0"/>
        </w:sectPr>
      </w:pPr>
      <w:r>
        <w:rPr>
          <w:rFonts w:hint="eastAsia" w:ascii="仿宋" w:hAnsi="仿宋" w:eastAsia="仿宋" w:cs="仿宋"/>
          <w:highlight w:val="none"/>
        </w:rPr>
        <w:t>第五部分　投标文件格式</w:t>
      </w:r>
      <w:bookmarkEnd w:id="498"/>
    </w:p>
    <w:p w14:paraId="015D4B59">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44AAA9B2">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52C7BF63">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r>
        <w:rPr>
          <w:rFonts w:hint="eastAsia" w:ascii="仿宋" w:hAnsi="仿宋" w:eastAsia="仿宋" w:cs="仿宋"/>
          <w:b/>
          <w:color w:val="auto"/>
          <w:spacing w:val="100"/>
          <w:w w:val="110"/>
          <w:kern w:val="0"/>
          <w:sz w:val="44"/>
          <w:szCs w:val="44"/>
          <w:highlight w:val="none"/>
        </w:rPr>
        <w:t>资格审查文件</w:t>
      </w:r>
    </w:p>
    <w:p w14:paraId="6F6B5C03">
      <w:pPr>
        <w:rPr>
          <w:rFonts w:hint="eastAsia" w:ascii="仿宋" w:hAnsi="仿宋" w:eastAsia="仿宋" w:cs="仿宋"/>
          <w:color w:val="auto"/>
          <w:highlight w:val="none"/>
        </w:rPr>
      </w:pPr>
    </w:p>
    <w:p w14:paraId="43935178">
      <w:pPr>
        <w:pStyle w:val="17"/>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（正本/副本）</w:t>
      </w:r>
    </w:p>
    <w:p w14:paraId="1C5554DC">
      <w:pPr>
        <w:pStyle w:val="17"/>
        <w:spacing w:line="360" w:lineRule="auto"/>
        <w:rPr>
          <w:rFonts w:hint="eastAsia" w:ascii="仿宋" w:hAnsi="仿宋" w:eastAsia="仿宋" w:cs="仿宋"/>
          <w:b/>
          <w:color w:val="auto"/>
          <w:sz w:val="28"/>
          <w:szCs w:val="28"/>
          <w:highlight w:val="none"/>
        </w:rPr>
      </w:pPr>
    </w:p>
    <w:p w14:paraId="7F9BA380">
      <w:pPr>
        <w:pStyle w:val="17"/>
        <w:spacing w:line="360" w:lineRule="auto"/>
        <w:rPr>
          <w:rFonts w:hint="eastAsia" w:ascii="仿宋" w:hAnsi="仿宋" w:eastAsia="仿宋" w:cs="仿宋"/>
          <w:b/>
          <w:color w:val="auto"/>
          <w:sz w:val="28"/>
          <w:szCs w:val="28"/>
          <w:highlight w:val="none"/>
        </w:rPr>
      </w:pPr>
    </w:p>
    <w:p w14:paraId="06E0AF54">
      <w:pPr>
        <w:pStyle w:val="17"/>
        <w:spacing w:line="360" w:lineRule="auto"/>
        <w:rPr>
          <w:rFonts w:hint="eastAsia" w:ascii="仿宋" w:hAnsi="仿宋" w:eastAsia="仿宋" w:cs="仿宋"/>
          <w:b/>
          <w:color w:val="auto"/>
          <w:sz w:val="28"/>
          <w:szCs w:val="28"/>
          <w:highlight w:val="none"/>
        </w:rPr>
      </w:pPr>
    </w:p>
    <w:p w14:paraId="7731BBEE">
      <w:pPr>
        <w:pStyle w:val="17"/>
        <w:spacing w:line="360" w:lineRule="auto"/>
        <w:rPr>
          <w:rFonts w:hint="eastAsia" w:ascii="仿宋" w:hAnsi="仿宋" w:eastAsia="仿宋" w:cs="仿宋"/>
          <w:b/>
          <w:color w:val="auto"/>
          <w:sz w:val="28"/>
          <w:szCs w:val="28"/>
          <w:highlight w:val="none"/>
        </w:rPr>
      </w:pPr>
    </w:p>
    <w:p w14:paraId="0580692F">
      <w:pPr>
        <w:pStyle w:val="17"/>
        <w:spacing w:line="360" w:lineRule="auto"/>
        <w:ind w:firstLine="1501" w:firstLineChars="534"/>
        <w:rPr>
          <w:rFonts w:hint="eastAsia" w:ascii="仿宋" w:hAnsi="仿宋" w:eastAsia="仿宋" w:cs="仿宋"/>
          <w:b/>
          <w:color w:val="auto"/>
          <w:sz w:val="28"/>
          <w:szCs w:val="28"/>
          <w:highlight w:val="none"/>
          <w:u w:val="single"/>
        </w:rPr>
      </w:pPr>
      <w:bookmarkStart w:id="499" w:name="_Toc4861_WPSOffice_Level1"/>
      <w:bookmarkStart w:id="500" w:name="_Toc23190_WPSOffice_Level1"/>
      <w:r>
        <w:rPr>
          <w:rFonts w:hint="eastAsia" w:ascii="仿宋" w:hAnsi="仿宋" w:eastAsia="仿宋" w:cs="仿宋"/>
          <w:b/>
          <w:color w:val="auto"/>
          <w:sz w:val="28"/>
          <w:szCs w:val="28"/>
          <w:highlight w:val="none"/>
        </w:rPr>
        <w:t>采购项目编号：</w:t>
      </w:r>
      <w:bookmarkEnd w:id="499"/>
      <w:bookmarkEnd w:id="500"/>
      <w:r>
        <w:rPr>
          <w:rFonts w:hint="eastAsia" w:ascii="仿宋" w:hAnsi="仿宋" w:eastAsia="仿宋" w:cs="仿宋"/>
          <w:b/>
          <w:color w:val="auto"/>
          <w:sz w:val="28"/>
          <w:szCs w:val="28"/>
          <w:highlight w:val="none"/>
          <w:u w:val="single"/>
        </w:rPr>
        <w:t xml:space="preserve">              </w:t>
      </w:r>
    </w:p>
    <w:p w14:paraId="736815B1">
      <w:pPr>
        <w:pStyle w:val="17"/>
        <w:spacing w:line="360" w:lineRule="auto"/>
        <w:ind w:firstLine="1661" w:firstLineChars="591"/>
        <w:rPr>
          <w:rFonts w:hint="eastAsia" w:ascii="仿宋" w:hAnsi="仿宋" w:eastAsia="仿宋" w:cs="仿宋"/>
          <w:b/>
          <w:color w:val="auto"/>
          <w:sz w:val="28"/>
          <w:szCs w:val="28"/>
          <w:highlight w:val="none"/>
        </w:rPr>
      </w:pPr>
    </w:p>
    <w:p w14:paraId="059C4D82">
      <w:pPr>
        <w:pStyle w:val="17"/>
        <w:spacing w:line="360" w:lineRule="auto"/>
        <w:ind w:left="3357" w:leftChars="699" w:hanging="1889" w:hangingChars="672"/>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采购项目名称：</w:t>
      </w:r>
      <w:r>
        <w:rPr>
          <w:rFonts w:hint="eastAsia" w:ascii="仿宋" w:hAnsi="仿宋" w:eastAsia="仿宋" w:cs="仿宋"/>
          <w:b/>
          <w:color w:val="auto"/>
          <w:sz w:val="28"/>
          <w:szCs w:val="28"/>
          <w:highlight w:val="none"/>
          <w:u w:val="single"/>
        </w:rPr>
        <w:t xml:space="preserve">               </w:t>
      </w:r>
    </w:p>
    <w:p w14:paraId="581B50E8">
      <w:pPr>
        <w:pStyle w:val="17"/>
        <w:spacing w:line="360" w:lineRule="auto"/>
        <w:rPr>
          <w:rFonts w:hint="eastAsia" w:ascii="仿宋" w:hAnsi="仿宋" w:eastAsia="仿宋" w:cs="仿宋"/>
          <w:b/>
          <w:color w:val="auto"/>
          <w:sz w:val="28"/>
          <w:szCs w:val="28"/>
          <w:highlight w:val="none"/>
        </w:rPr>
      </w:pPr>
    </w:p>
    <w:p w14:paraId="16F579E8">
      <w:pPr>
        <w:pStyle w:val="17"/>
        <w:spacing w:line="360" w:lineRule="auto"/>
        <w:ind w:firstLine="1521" w:firstLineChars="541"/>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投标人名称：</w:t>
      </w:r>
      <w:r>
        <w:rPr>
          <w:rFonts w:hint="eastAsia" w:ascii="仿宋" w:hAnsi="仿宋" w:eastAsia="仿宋" w:cs="仿宋"/>
          <w:b/>
          <w:color w:val="auto"/>
          <w:sz w:val="28"/>
          <w:szCs w:val="28"/>
          <w:highlight w:val="none"/>
          <w:u w:val="single"/>
        </w:rPr>
        <w:t xml:space="preserve">                </w:t>
      </w:r>
    </w:p>
    <w:p w14:paraId="05F1A661">
      <w:pPr>
        <w:rPr>
          <w:rFonts w:hint="eastAsia" w:ascii="仿宋" w:hAnsi="仿宋" w:eastAsia="仿宋" w:cs="仿宋"/>
          <w:color w:val="auto"/>
          <w:highlight w:val="none"/>
        </w:rPr>
      </w:pPr>
    </w:p>
    <w:p w14:paraId="2438C355">
      <w:pPr>
        <w:autoSpaceDE w:val="0"/>
        <w:autoSpaceDN w:val="0"/>
        <w:spacing w:line="360" w:lineRule="auto"/>
        <w:ind w:firstLine="1521" w:firstLineChars="541"/>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日期：</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年</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月</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日</w:t>
      </w:r>
    </w:p>
    <w:p w14:paraId="4E3EC6D4">
      <w:pPr>
        <w:adjustRightInd w:val="0"/>
        <w:snapToGrid w:val="0"/>
        <w:spacing w:line="360" w:lineRule="auto"/>
        <w:jc w:val="center"/>
        <w:outlineLvl w:val="3"/>
        <w:rPr>
          <w:rFonts w:hint="eastAsia" w:ascii="仿宋" w:hAnsi="仿宋" w:eastAsia="仿宋" w:cs="仿宋"/>
          <w:b/>
          <w:color w:val="auto"/>
          <w:sz w:val="28"/>
          <w:szCs w:val="28"/>
          <w:highlight w:val="none"/>
        </w:rPr>
      </w:pPr>
    </w:p>
    <w:p w14:paraId="0BEB3565">
      <w:pPr>
        <w:adjustRightInd w:val="0"/>
        <w:snapToGrid w:val="0"/>
        <w:spacing w:line="360" w:lineRule="auto"/>
        <w:jc w:val="center"/>
        <w:outlineLvl w:val="3"/>
        <w:rPr>
          <w:rFonts w:hint="eastAsia" w:ascii="仿宋" w:hAnsi="仿宋" w:eastAsia="仿宋" w:cs="仿宋"/>
          <w:b/>
          <w:color w:val="auto"/>
          <w:sz w:val="28"/>
          <w:szCs w:val="28"/>
          <w:highlight w:val="none"/>
        </w:rPr>
      </w:pPr>
    </w:p>
    <w:p w14:paraId="6C889A79">
      <w:pPr>
        <w:adjustRightInd w:val="0"/>
        <w:snapToGrid w:val="0"/>
        <w:spacing w:line="360" w:lineRule="auto"/>
        <w:ind w:firstLine="422" w:firstLineChars="200"/>
        <w:jc w:val="left"/>
        <w:outlineLvl w:val="3"/>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注：资格审查时，以《投标文件—资格审查部分》的资料内容为评审依据，《投标文件—资格审查部分》中所提供的资料不符合资格审查要求的，视为不通过资格审查。投标人应仔细检查所提交的资料，因资料错放或缺失等所造成的不良后果，由投标人自行承担。</w:t>
      </w:r>
    </w:p>
    <w:p w14:paraId="47369C22">
      <w:pPr>
        <w:adjustRightInd w:val="0"/>
        <w:snapToGrid w:val="0"/>
        <w:spacing w:line="360" w:lineRule="auto"/>
        <w:ind w:firstLine="562" w:firstLineChars="200"/>
        <w:jc w:val="center"/>
        <w:outlineLvl w:val="3"/>
        <w:rPr>
          <w:rFonts w:hint="eastAsia" w:ascii="仿宋" w:hAnsi="仿宋" w:eastAsia="仿宋" w:cs="仿宋"/>
          <w:color w:val="auto"/>
          <w:sz w:val="25"/>
          <w:szCs w:val="21"/>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30"/>
          <w:szCs w:val="30"/>
          <w:highlight w:val="none"/>
          <w:lang w:val="en-US" w:eastAsia="zh-CN"/>
        </w:rPr>
        <w:t>一、</w:t>
      </w:r>
      <w:r>
        <w:rPr>
          <w:rFonts w:hint="eastAsia" w:ascii="仿宋" w:hAnsi="仿宋" w:eastAsia="仿宋" w:cs="仿宋"/>
          <w:b/>
          <w:color w:val="auto"/>
          <w:kern w:val="0"/>
          <w:sz w:val="30"/>
          <w:szCs w:val="30"/>
          <w:highlight w:val="none"/>
        </w:rPr>
        <w:t>关于资格的声明函</w:t>
      </w:r>
    </w:p>
    <w:p w14:paraId="390F5BC6">
      <w:pPr>
        <w:spacing w:line="360" w:lineRule="auto"/>
        <w:jc w:val="left"/>
        <w:rPr>
          <w:rFonts w:hint="eastAsia" w:ascii="仿宋" w:hAnsi="仿宋" w:eastAsia="仿宋" w:cs="仿宋"/>
          <w:color w:val="auto"/>
          <w:sz w:val="25"/>
          <w:szCs w:val="21"/>
          <w:highlight w:val="none"/>
        </w:rPr>
      </w:pPr>
      <w:r>
        <w:rPr>
          <w:rFonts w:hint="eastAsia" w:ascii="仿宋" w:hAnsi="仿宋" w:eastAsia="仿宋" w:cs="仿宋"/>
          <w:color w:val="auto"/>
          <w:sz w:val="25"/>
          <w:szCs w:val="21"/>
          <w:highlight w:val="none"/>
        </w:rPr>
        <w:t>致</w:t>
      </w:r>
      <w:r>
        <w:rPr>
          <w:rFonts w:hint="eastAsia" w:ascii="仿宋" w:hAnsi="仿宋" w:eastAsia="仿宋" w:cs="仿宋"/>
          <w:color w:val="auto"/>
          <w:sz w:val="25"/>
          <w:szCs w:val="21"/>
          <w:highlight w:val="none"/>
          <w:lang w:eastAsia="zh-CN"/>
        </w:rPr>
        <w:t>佛山市南海有为百越文化有限公司</w:t>
      </w:r>
      <w:r>
        <w:rPr>
          <w:rFonts w:hint="eastAsia" w:ascii="仿宋" w:hAnsi="仿宋" w:eastAsia="仿宋" w:cs="仿宋"/>
          <w:color w:val="auto"/>
          <w:sz w:val="25"/>
          <w:szCs w:val="21"/>
          <w:highlight w:val="none"/>
        </w:rPr>
        <w:t xml:space="preserve">： </w:t>
      </w:r>
    </w:p>
    <w:p w14:paraId="7AFD9B12">
      <w:pPr>
        <w:spacing w:line="360" w:lineRule="auto"/>
        <w:ind w:firstLine="500" w:firstLineChars="200"/>
        <w:rPr>
          <w:rFonts w:hint="eastAsia" w:ascii="仿宋" w:hAnsi="仿宋" w:eastAsia="仿宋" w:cs="仿宋"/>
          <w:color w:val="auto"/>
          <w:sz w:val="25"/>
          <w:szCs w:val="21"/>
          <w:highlight w:val="none"/>
        </w:rPr>
      </w:pPr>
      <w:r>
        <w:rPr>
          <w:rFonts w:hint="eastAsia" w:ascii="仿宋" w:hAnsi="仿宋" w:eastAsia="仿宋" w:cs="仿宋"/>
          <w:color w:val="auto"/>
          <w:sz w:val="25"/>
          <w:szCs w:val="21"/>
          <w:highlight w:val="none"/>
        </w:rPr>
        <w:t>关于贵方</w:t>
      </w:r>
      <w:r>
        <w:rPr>
          <w:rFonts w:hint="eastAsia" w:ascii="仿宋" w:hAnsi="仿宋" w:eastAsia="仿宋" w:cs="仿宋"/>
          <w:color w:val="auto"/>
          <w:sz w:val="25"/>
          <w:szCs w:val="21"/>
          <w:highlight w:val="none"/>
          <w:u w:val="single"/>
          <w:lang w:eastAsia="zh-CN"/>
        </w:rPr>
        <w:t>南海文化中心项目结算单审和双审初审服务</w:t>
      </w:r>
      <w:r>
        <w:rPr>
          <w:rFonts w:hint="eastAsia" w:ascii="仿宋" w:hAnsi="仿宋" w:eastAsia="仿宋" w:cs="仿宋"/>
          <w:color w:val="auto"/>
          <w:sz w:val="25"/>
          <w:szCs w:val="21"/>
          <w:highlight w:val="none"/>
        </w:rPr>
        <w:t>投标邀请，本签字人愿意参加投标，如有欺诈、隐瞒事实违法行为，愿接受相关部门的依法处理。</w:t>
      </w:r>
    </w:p>
    <w:p w14:paraId="280669B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一、我方对相关要求作以下承诺：</w:t>
      </w:r>
    </w:p>
    <w:p w14:paraId="25290B9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1.本签字人确认资格文件中的说明是真实的、准确的。</w:t>
      </w:r>
    </w:p>
    <w:p w14:paraId="5B3F374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w:t>
      </w:r>
      <w:r>
        <w:rPr>
          <w:rFonts w:hint="eastAsia" w:ascii="仿宋" w:hAnsi="仿宋" w:eastAsia="仿宋" w:cs="仿宋"/>
          <w:color w:val="auto"/>
          <w:sz w:val="24"/>
          <w:highlight w:val="none"/>
          <w:lang w:val="en-US" w:eastAsia="zh-CN"/>
        </w:rPr>
        <w:t>具有</w:t>
      </w:r>
      <w:r>
        <w:rPr>
          <w:rFonts w:hint="eastAsia" w:ascii="仿宋" w:hAnsi="仿宋" w:eastAsia="仿宋" w:cs="仿宋"/>
          <w:color w:val="auto"/>
          <w:sz w:val="24"/>
          <w:highlight w:val="none"/>
        </w:rPr>
        <w:t>独立承担民事责任的能力；</w:t>
      </w:r>
    </w:p>
    <w:p w14:paraId="25E2E98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w:t>
      </w:r>
      <w:r>
        <w:rPr>
          <w:rFonts w:hint="eastAsia" w:ascii="仿宋" w:hAnsi="仿宋" w:eastAsia="仿宋" w:cs="仿宋"/>
          <w:color w:val="auto"/>
          <w:sz w:val="24"/>
          <w:highlight w:val="none"/>
          <w:lang w:val="en-US" w:eastAsia="zh-CN"/>
        </w:rPr>
        <w:t>具有</w:t>
      </w:r>
      <w:r>
        <w:rPr>
          <w:rFonts w:hint="eastAsia" w:ascii="仿宋" w:hAnsi="仿宋" w:eastAsia="仿宋" w:cs="仿宋"/>
          <w:color w:val="auto"/>
          <w:sz w:val="24"/>
          <w:highlight w:val="none"/>
        </w:rPr>
        <w:t>良好的商业信誉和健全的财务会计制度；</w:t>
      </w:r>
    </w:p>
    <w:p w14:paraId="7A536D0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w:t>
      </w:r>
      <w:r>
        <w:rPr>
          <w:rFonts w:hint="eastAsia" w:ascii="仿宋" w:hAnsi="仿宋" w:eastAsia="仿宋" w:cs="仿宋"/>
          <w:color w:val="auto"/>
          <w:sz w:val="24"/>
          <w:highlight w:val="none"/>
          <w:lang w:val="en-US" w:eastAsia="zh-CN"/>
        </w:rPr>
        <w:t>具有</w:t>
      </w:r>
      <w:r>
        <w:rPr>
          <w:rFonts w:hint="eastAsia" w:ascii="仿宋" w:hAnsi="仿宋" w:eastAsia="仿宋" w:cs="仿宋"/>
          <w:color w:val="auto"/>
          <w:sz w:val="24"/>
          <w:highlight w:val="none"/>
        </w:rPr>
        <w:t>履行合同所必需的设备和专业技术能力；</w:t>
      </w:r>
    </w:p>
    <w:p w14:paraId="1760FEB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w:t>
      </w:r>
      <w:r>
        <w:rPr>
          <w:rFonts w:hint="eastAsia" w:ascii="仿宋" w:hAnsi="仿宋" w:eastAsia="仿宋" w:cs="仿宋"/>
          <w:color w:val="auto"/>
          <w:sz w:val="24"/>
          <w:highlight w:val="none"/>
          <w:lang w:val="en-US" w:eastAsia="zh-CN"/>
        </w:rPr>
        <w:t>有</w:t>
      </w:r>
      <w:r>
        <w:rPr>
          <w:rFonts w:hint="eastAsia" w:ascii="仿宋" w:hAnsi="仿宋" w:eastAsia="仿宋" w:cs="仿宋"/>
          <w:color w:val="auto"/>
          <w:sz w:val="24"/>
          <w:highlight w:val="none"/>
        </w:rPr>
        <w:t>依法缴纳税收和社会保障资金的良好记录；</w:t>
      </w:r>
    </w:p>
    <w:p w14:paraId="5F2E442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6.我方参加采购活动前三年内，在经营活动中</w:t>
      </w:r>
      <w:r>
        <w:rPr>
          <w:rFonts w:hint="eastAsia" w:ascii="仿宋" w:hAnsi="仿宋" w:eastAsia="仿宋" w:cs="仿宋"/>
          <w:color w:val="auto"/>
          <w:sz w:val="24"/>
          <w:highlight w:val="none"/>
          <w:lang w:val="en-US" w:eastAsia="zh-CN"/>
        </w:rPr>
        <w:t>无</w:t>
      </w:r>
      <w:r>
        <w:rPr>
          <w:rFonts w:hint="eastAsia" w:ascii="仿宋" w:hAnsi="仿宋" w:eastAsia="仿宋" w:cs="仿宋"/>
          <w:color w:val="auto"/>
          <w:sz w:val="24"/>
          <w:highlight w:val="none"/>
        </w:rPr>
        <w:t>重大违法记录；</w:t>
      </w:r>
    </w:p>
    <w:p w14:paraId="5C85040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.我方</w:t>
      </w:r>
      <w:r>
        <w:rPr>
          <w:rFonts w:hint="eastAsia" w:ascii="仿宋" w:hAnsi="仿宋" w:eastAsia="仿宋" w:cs="仿宋"/>
          <w:color w:val="auto"/>
          <w:sz w:val="24"/>
          <w:highlight w:val="none"/>
          <w:lang w:val="en-US" w:eastAsia="zh-CN"/>
        </w:rPr>
        <w:t>没有</w:t>
      </w:r>
      <w:r>
        <w:rPr>
          <w:rFonts w:hint="eastAsia" w:ascii="仿宋" w:hAnsi="仿宋" w:eastAsia="仿宋" w:cs="仿宋"/>
          <w:color w:val="auto"/>
          <w:sz w:val="24"/>
          <w:highlight w:val="none"/>
        </w:rPr>
        <w:t>被列入“信用中国”网站（www.creditchina.gov.cn）“失信被执行人或重大税收违法失信主体”记录名单。</w:t>
      </w:r>
    </w:p>
    <w:p w14:paraId="779585A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.我方</w:t>
      </w:r>
      <w:r>
        <w:rPr>
          <w:rFonts w:hint="eastAsia" w:ascii="仿宋" w:hAnsi="仿宋" w:eastAsia="仿宋" w:cs="仿宋"/>
          <w:color w:val="auto"/>
          <w:sz w:val="24"/>
          <w:highlight w:val="none"/>
          <w:lang w:val="en-US" w:eastAsia="zh-CN"/>
        </w:rPr>
        <w:t>不存在</w:t>
      </w:r>
      <w:r>
        <w:rPr>
          <w:rFonts w:hint="eastAsia" w:ascii="仿宋" w:hAnsi="仿宋" w:eastAsia="仿宋" w:cs="仿宋"/>
          <w:color w:val="auto"/>
          <w:sz w:val="24"/>
          <w:highlight w:val="none"/>
        </w:rPr>
        <w:t>单位负责人为同一人或者存在直接控股、管理关系的不同供应商，不得同时参加本采购项目投标</w:t>
      </w:r>
      <w:r>
        <w:rPr>
          <w:rFonts w:hint="eastAsia" w:ascii="仿宋" w:hAnsi="仿宋" w:eastAsia="仿宋" w:cs="仿宋"/>
          <w:color w:val="auto"/>
          <w:sz w:val="24"/>
          <w:highlight w:val="none"/>
          <w:lang w:val="en-US" w:eastAsia="zh-CN"/>
        </w:rPr>
        <w:t>的情形</w:t>
      </w:r>
      <w:r>
        <w:rPr>
          <w:rFonts w:hint="eastAsia" w:ascii="仿宋" w:hAnsi="仿宋" w:eastAsia="仿宋" w:cs="仿宋"/>
          <w:color w:val="auto"/>
          <w:sz w:val="24"/>
          <w:highlight w:val="none"/>
        </w:rPr>
        <w:t>。</w:t>
      </w:r>
    </w:p>
    <w:p w14:paraId="4F36BEA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我方</w:t>
      </w:r>
      <w:r>
        <w:rPr>
          <w:rFonts w:hint="eastAsia" w:ascii="仿宋" w:hAnsi="仿宋" w:eastAsia="仿宋" w:cs="仿宋"/>
          <w:color w:val="auto"/>
          <w:sz w:val="24"/>
          <w:highlight w:val="none"/>
          <w:lang w:val="en-US" w:eastAsia="zh-CN"/>
        </w:rPr>
        <w:t>不是</w:t>
      </w:r>
      <w:r>
        <w:rPr>
          <w:rFonts w:hint="eastAsia" w:ascii="仿宋" w:hAnsi="仿宋" w:eastAsia="仿宋" w:cs="仿宋"/>
          <w:color w:val="auto"/>
          <w:sz w:val="24"/>
          <w:highlight w:val="none"/>
        </w:rPr>
        <w:t>为采购项目提供整体设计、规范编制或者项目管理、监理、检测等服务的</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w:t>
      </w:r>
    </w:p>
    <w:p w14:paraId="27A9CC01">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10.我方不是“南海文化中心项目”的实施单位（包括勘察、设计、设计咨询、施工图审查、施工、监理等单位）。</w:t>
      </w:r>
    </w:p>
    <w:p w14:paraId="518113A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11.我方未参与过“南海文化中心项目”其他阶段造价咨询服务（包括预算编制、预算审核、全过程造价咨询等）；</w:t>
      </w:r>
    </w:p>
    <w:p w14:paraId="51403784">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12.我方符合法律、行政法规规定的其他条件。</w:t>
      </w:r>
    </w:p>
    <w:p w14:paraId="04C2E529">
      <w:pPr>
        <w:spacing w:line="360" w:lineRule="auto"/>
        <w:ind w:firstLine="480" w:firstLineChars="200"/>
        <w:rPr>
          <w:rFonts w:hint="eastAsia" w:ascii="仿宋" w:hAnsi="仿宋" w:eastAsia="仿宋" w:cs="仿宋"/>
          <w:color w:val="auto"/>
          <w:sz w:val="25"/>
          <w:szCs w:val="21"/>
          <w:highlight w:val="none"/>
        </w:rPr>
      </w:pPr>
      <w:r>
        <w:rPr>
          <w:rFonts w:hint="eastAsia" w:ascii="仿宋" w:hAnsi="仿宋" w:eastAsia="仿宋" w:cs="仿宋"/>
          <w:color w:val="auto"/>
          <w:sz w:val="24"/>
          <w:highlight w:val="none"/>
        </w:rPr>
        <w:t>二、我方按下表要求在本表后附所需资格证明资料(注：复印件/打印件均加盖投标人公章)，并承诺所提交资料和说明是准确和真实的。</w:t>
      </w:r>
      <w:r>
        <w:rPr>
          <w:rFonts w:hint="eastAsia" w:ascii="仿宋" w:hAnsi="仿宋" w:eastAsia="仿宋" w:cs="仿宋"/>
          <w:color w:val="auto"/>
          <w:sz w:val="25"/>
          <w:szCs w:val="21"/>
          <w:highlight w:val="none"/>
        </w:rPr>
        <w:t xml:space="preserve"> </w:t>
      </w:r>
    </w:p>
    <w:tbl>
      <w:tblPr>
        <w:tblStyle w:val="41"/>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8114"/>
        <w:gridCol w:w="992"/>
      </w:tblGrid>
      <w:tr w14:paraId="758A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6C007E4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8114" w:type="dxa"/>
            <w:vAlign w:val="center"/>
          </w:tcPr>
          <w:p w14:paraId="1FE7C75E">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必须提交的资料</w:t>
            </w:r>
          </w:p>
        </w:tc>
        <w:tc>
          <w:tcPr>
            <w:tcW w:w="992" w:type="dxa"/>
            <w:vAlign w:val="center"/>
          </w:tcPr>
          <w:p w14:paraId="62D5B6CE">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资料所在页码</w:t>
            </w:r>
          </w:p>
        </w:tc>
      </w:tr>
      <w:tr w14:paraId="07E3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70" w:type="dxa"/>
            <w:vAlign w:val="center"/>
          </w:tcPr>
          <w:p w14:paraId="65BDC35D">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8114" w:type="dxa"/>
            <w:vAlign w:val="center"/>
          </w:tcPr>
          <w:p w14:paraId="29B291CE">
            <w:pPr>
              <w:widowControl/>
              <w:spacing w:line="360" w:lineRule="auto"/>
              <w:rPr>
                <w:rFonts w:hint="eastAsia" w:ascii="仿宋" w:hAnsi="仿宋" w:eastAsia="仿宋" w:cs="仿宋"/>
                <w:color w:val="auto"/>
                <w:kern w:val="0"/>
                <w:sz w:val="24"/>
                <w:highlight w:val="none"/>
                <w:lang w:eastAsia="zh-CN"/>
              </w:rPr>
            </w:pPr>
            <w:r>
              <w:rPr>
                <w:rFonts w:hint="eastAsia" w:ascii="仿宋" w:hAnsi="仿宋" w:eastAsia="仿宋" w:cs="仿宋"/>
                <w:color w:val="auto"/>
                <w:sz w:val="24"/>
                <w:highlight w:val="none"/>
              </w:rPr>
              <w:t>具有独立承担民事责任的能力</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提供</w:t>
            </w:r>
            <w:r>
              <w:rPr>
                <w:rFonts w:hint="eastAsia" w:ascii="仿宋" w:hAnsi="仿宋" w:eastAsia="仿宋" w:cs="仿宋"/>
                <w:color w:val="auto"/>
                <w:kern w:val="0"/>
                <w:sz w:val="24"/>
                <w:highlight w:val="none"/>
              </w:rPr>
              <w:t>营业执照副本，或事业单位法人证书等证明文件的复印件。</w:t>
            </w:r>
          </w:p>
        </w:tc>
        <w:tc>
          <w:tcPr>
            <w:tcW w:w="992" w:type="dxa"/>
            <w:vAlign w:val="center"/>
          </w:tcPr>
          <w:p w14:paraId="1A0B4026">
            <w:pPr>
              <w:widowControl/>
              <w:spacing w:line="360" w:lineRule="auto"/>
              <w:jc w:val="center"/>
              <w:rPr>
                <w:rFonts w:hint="eastAsia" w:ascii="仿宋" w:hAnsi="仿宋" w:eastAsia="仿宋" w:cs="仿宋"/>
                <w:color w:val="auto"/>
                <w:kern w:val="0"/>
                <w:sz w:val="24"/>
                <w:highlight w:val="none"/>
              </w:rPr>
            </w:pPr>
          </w:p>
        </w:tc>
      </w:tr>
      <w:tr w14:paraId="56E8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670" w:type="dxa"/>
            <w:vAlign w:val="center"/>
          </w:tcPr>
          <w:p w14:paraId="3B147EFC">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w:t>
            </w:r>
          </w:p>
        </w:tc>
        <w:tc>
          <w:tcPr>
            <w:tcW w:w="8114" w:type="dxa"/>
            <w:vAlign w:val="top"/>
          </w:tcPr>
          <w:p w14:paraId="615CE8E2">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具有良好的商业信誉和健全的财务会计制度，</w:t>
            </w:r>
            <w:r>
              <w:rPr>
                <w:rFonts w:hint="eastAsia" w:ascii="仿宋" w:hAnsi="仿宋" w:eastAsia="仿宋" w:cs="仿宋"/>
                <w:color w:val="auto"/>
                <w:kern w:val="0"/>
                <w:sz w:val="24"/>
                <w:highlight w:val="none"/>
              </w:rPr>
              <w:t>提供下列材料之一即可：</w:t>
            </w:r>
          </w:p>
          <w:p w14:paraId="7B1DF76E">
            <w:pPr>
              <w:widowControl/>
              <w:spacing w:line="360" w:lineRule="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经审计</w:t>
            </w:r>
            <w:r>
              <w:rPr>
                <w:rFonts w:hint="eastAsia" w:ascii="仿宋" w:hAnsi="仿宋" w:eastAsia="仿宋" w:cs="仿宋"/>
                <w:color w:val="auto"/>
                <w:kern w:val="0"/>
                <w:sz w:val="24"/>
                <w:highlight w:val="none"/>
                <w:lang w:val="en-US" w:eastAsia="zh-CN"/>
              </w:rPr>
              <w:t>2024年度或2025年度</w:t>
            </w:r>
            <w:r>
              <w:rPr>
                <w:rFonts w:hint="eastAsia" w:ascii="仿宋" w:hAnsi="仿宋" w:eastAsia="仿宋" w:cs="仿宋"/>
                <w:color w:val="auto"/>
                <w:kern w:val="0"/>
                <w:sz w:val="24"/>
                <w:highlight w:val="none"/>
              </w:rPr>
              <w:t>的财务报告</w:t>
            </w:r>
            <w:r>
              <w:rPr>
                <w:rFonts w:hint="eastAsia" w:ascii="仿宋" w:hAnsi="仿宋" w:eastAsia="仿宋" w:cs="仿宋"/>
                <w:color w:val="auto"/>
                <w:kern w:val="0"/>
                <w:sz w:val="24"/>
                <w:highlight w:val="none"/>
                <w:lang w:val="en-US" w:eastAsia="zh-CN"/>
              </w:rPr>
              <w:t>复印件</w:t>
            </w:r>
            <w:r>
              <w:rPr>
                <w:rFonts w:hint="eastAsia" w:ascii="仿宋" w:hAnsi="仿宋" w:eastAsia="仿宋" w:cs="仿宋"/>
                <w:color w:val="auto"/>
                <w:kern w:val="0"/>
                <w:sz w:val="24"/>
                <w:highlight w:val="none"/>
              </w:rPr>
              <w:t>(要求：由第三方会计师事务所出具并加盖其公章，且能反映审计结论)；如为</w:t>
            </w:r>
            <w:r>
              <w:rPr>
                <w:rFonts w:hint="eastAsia" w:ascii="仿宋" w:hAnsi="仿宋" w:eastAsia="仿宋" w:cs="仿宋"/>
                <w:b/>
                <w:bCs/>
                <w:color w:val="auto"/>
                <w:kern w:val="0"/>
                <w:sz w:val="24"/>
                <w:highlight w:val="none"/>
                <w:lang w:val="en-US" w:eastAsia="zh-CN"/>
              </w:rPr>
              <w:t>2026年</w:t>
            </w:r>
            <w:r>
              <w:rPr>
                <w:rFonts w:hint="eastAsia" w:ascii="仿宋" w:hAnsi="仿宋" w:eastAsia="仿宋" w:cs="仿宋"/>
                <w:color w:val="auto"/>
                <w:kern w:val="0"/>
                <w:sz w:val="24"/>
                <w:highlight w:val="none"/>
              </w:rPr>
              <w:t>新成立的公司，应提供成立至投标截止时间止任意一个月</w:t>
            </w:r>
            <w:r>
              <w:rPr>
                <w:rFonts w:hint="eastAsia" w:ascii="仿宋" w:hAnsi="仿宋" w:eastAsia="仿宋" w:cs="仿宋"/>
                <w:color w:val="auto"/>
                <w:kern w:val="0"/>
                <w:sz w:val="24"/>
                <w:highlight w:val="none"/>
                <w:lang w:val="en-US" w:eastAsia="zh-CN"/>
              </w:rPr>
              <w:t>或季度</w:t>
            </w:r>
            <w:r>
              <w:rPr>
                <w:rFonts w:hint="eastAsia" w:ascii="仿宋" w:hAnsi="仿宋" w:eastAsia="仿宋" w:cs="仿宋"/>
                <w:color w:val="auto"/>
                <w:kern w:val="0"/>
                <w:sz w:val="24"/>
                <w:highlight w:val="none"/>
              </w:rPr>
              <w:t>的公司财务状况报告</w:t>
            </w:r>
            <w:r>
              <w:rPr>
                <w:rFonts w:hint="eastAsia" w:ascii="仿宋" w:hAnsi="仿宋" w:eastAsia="仿宋" w:cs="仿宋"/>
                <w:color w:val="auto"/>
                <w:kern w:val="0"/>
                <w:sz w:val="24"/>
                <w:highlight w:val="none"/>
                <w:lang w:val="en-US" w:eastAsia="zh-CN"/>
              </w:rPr>
              <w:t>或财务报表复印件</w:t>
            </w:r>
            <w:r>
              <w:rPr>
                <w:rFonts w:hint="eastAsia" w:ascii="仿宋" w:hAnsi="仿宋" w:eastAsia="仿宋" w:cs="仿宋"/>
                <w:color w:val="auto"/>
                <w:kern w:val="0"/>
                <w:sz w:val="24"/>
                <w:highlight w:val="none"/>
                <w:lang w:eastAsia="zh-CN"/>
              </w:rPr>
              <w:t>。</w:t>
            </w:r>
          </w:p>
          <w:p w14:paraId="675B8442">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基本开户银行出具的资信证明</w:t>
            </w:r>
            <w:r>
              <w:rPr>
                <w:rFonts w:hint="eastAsia" w:ascii="仿宋" w:hAnsi="仿宋" w:eastAsia="仿宋" w:cs="仿宋"/>
                <w:color w:val="auto"/>
                <w:kern w:val="0"/>
                <w:sz w:val="24"/>
                <w:highlight w:val="none"/>
                <w:lang w:val="en-US" w:eastAsia="zh-CN"/>
              </w:rPr>
              <w:t>复印件</w:t>
            </w:r>
            <w:r>
              <w:rPr>
                <w:rFonts w:hint="eastAsia" w:ascii="仿宋" w:hAnsi="仿宋" w:eastAsia="仿宋" w:cs="仿宋"/>
                <w:color w:val="auto"/>
                <w:kern w:val="0"/>
                <w:sz w:val="24"/>
                <w:highlight w:val="none"/>
              </w:rPr>
              <w:t>（要求：投标截止之日前6个月内出具且在有效期内的，能够清晰反映供应商的商业信誉情况，如成立时间不足6个月的，按成立时间提供，如资信证明不能体现基本开户账户的，应另附开户许可证）。</w:t>
            </w:r>
          </w:p>
          <w:p w14:paraId="3DA90E78">
            <w:pPr>
              <w:widowControl/>
              <w:spacing w:line="360" w:lineRule="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（3）提供《采购供应商资格信用承诺函》。</w:t>
            </w:r>
          </w:p>
        </w:tc>
        <w:tc>
          <w:tcPr>
            <w:tcW w:w="992" w:type="dxa"/>
            <w:vAlign w:val="center"/>
          </w:tcPr>
          <w:p w14:paraId="67321B40">
            <w:pPr>
              <w:widowControl/>
              <w:spacing w:line="360" w:lineRule="auto"/>
              <w:jc w:val="center"/>
              <w:rPr>
                <w:rFonts w:hint="eastAsia" w:ascii="仿宋" w:hAnsi="仿宋" w:eastAsia="仿宋" w:cs="仿宋"/>
                <w:color w:val="auto"/>
                <w:kern w:val="0"/>
                <w:sz w:val="24"/>
                <w:highlight w:val="none"/>
              </w:rPr>
            </w:pPr>
          </w:p>
        </w:tc>
      </w:tr>
      <w:tr w14:paraId="7994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70" w:type="dxa"/>
            <w:vAlign w:val="center"/>
          </w:tcPr>
          <w:p w14:paraId="5803E046">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w:t>
            </w:r>
          </w:p>
        </w:tc>
        <w:tc>
          <w:tcPr>
            <w:tcW w:w="8114" w:type="dxa"/>
            <w:vAlign w:val="center"/>
          </w:tcPr>
          <w:p w14:paraId="201D8FFD">
            <w:pPr>
              <w:widowControl/>
              <w:spacing w:line="360" w:lineRule="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具有履行合同所必需的设备和专业技术能力（提供《关于资格的声明函》。</w:t>
            </w:r>
          </w:p>
        </w:tc>
        <w:tc>
          <w:tcPr>
            <w:tcW w:w="992" w:type="dxa"/>
            <w:vAlign w:val="center"/>
          </w:tcPr>
          <w:p w14:paraId="445803CE">
            <w:pPr>
              <w:widowControl/>
              <w:spacing w:line="360" w:lineRule="auto"/>
              <w:jc w:val="center"/>
              <w:rPr>
                <w:rFonts w:hint="eastAsia" w:ascii="仿宋" w:hAnsi="仿宋" w:eastAsia="仿宋" w:cs="仿宋"/>
                <w:color w:val="auto"/>
                <w:kern w:val="0"/>
                <w:sz w:val="24"/>
                <w:highlight w:val="none"/>
              </w:rPr>
            </w:pPr>
          </w:p>
        </w:tc>
      </w:tr>
      <w:tr w14:paraId="0967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04A791B3">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8114" w:type="dxa"/>
            <w:vAlign w:val="center"/>
          </w:tcPr>
          <w:p w14:paraId="559FFB6B">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有</w:t>
            </w:r>
            <w:r>
              <w:rPr>
                <w:rFonts w:hint="eastAsia" w:ascii="仿宋" w:hAnsi="仿宋" w:eastAsia="仿宋" w:cs="仿宋"/>
                <w:color w:val="auto"/>
                <w:kern w:val="0"/>
                <w:sz w:val="24"/>
                <w:highlight w:val="none"/>
              </w:rPr>
              <w:t>依法缴纳税收和社会保障资金的良好记录</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提供下列材料之一即可：</w:t>
            </w:r>
          </w:p>
          <w:p w14:paraId="3BD0ED9A">
            <w:pPr>
              <w:widowControl/>
              <w:spacing w:line="360" w:lineRule="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（1）投标人近期（自本项目招标公告发出之日起往前顺推6个月，即2025年8月至2026年1月）</w:t>
            </w:r>
            <w:r>
              <w:rPr>
                <w:rFonts w:hint="eastAsia" w:ascii="仿宋" w:hAnsi="仿宋" w:eastAsia="仿宋" w:cs="仿宋"/>
                <w:color w:val="auto"/>
                <w:kern w:val="0"/>
                <w:sz w:val="24"/>
                <w:highlight w:val="none"/>
              </w:rPr>
              <w:t>内任1</w:t>
            </w:r>
            <w:r>
              <w:rPr>
                <w:rFonts w:hint="eastAsia" w:ascii="仿宋" w:hAnsi="仿宋" w:eastAsia="仿宋" w:cs="仿宋"/>
                <w:color w:val="auto"/>
                <w:kern w:val="0"/>
                <w:sz w:val="24"/>
                <w:highlight w:val="none"/>
                <w:lang w:val="en-US" w:eastAsia="zh-CN"/>
              </w:rPr>
              <w:t>个</w:t>
            </w:r>
            <w:r>
              <w:rPr>
                <w:rFonts w:hint="eastAsia" w:ascii="仿宋" w:hAnsi="仿宋" w:eastAsia="仿宋" w:cs="仿宋"/>
                <w:color w:val="auto"/>
                <w:kern w:val="0"/>
                <w:sz w:val="24"/>
                <w:highlight w:val="none"/>
              </w:rPr>
              <w:t>月份缴纳税收和</w:t>
            </w:r>
            <w:r>
              <w:rPr>
                <w:rFonts w:hint="eastAsia" w:ascii="仿宋" w:hAnsi="仿宋" w:eastAsia="仿宋" w:cs="仿宋"/>
                <w:color w:val="auto"/>
                <w:kern w:val="0"/>
                <w:sz w:val="24"/>
                <w:highlight w:val="none"/>
                <w:lang w:val="en-US" w:eastAsia="zh-CN"/>
              </w:rPr>
              <w:t>社会保障资金</w:t>
            </w:r>
            <w:r>
              <w:rPr>
                <w:rFonts w:hint="eastAsia" w:ascii="仿宋" w:hAnsi="仿宋" w:eastAsia="仿宋" w:cs="仿宋"/>
                <w:color w:val="auto"/>
                <w:kern w:val="0"/>
                <w:sz w:val="24"/>
                <w:highlight w:val="none"/>
              </w:rPr>
              <w:t>的凭证复印件</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如依法免税或不需要缴纳社会保障资金的，应提供相应文件证明</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w:t>
            </w:r>
          </w:p>
          <w:p w14:paraId="614EDB67">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（2）提供《采购供应商资格信用承诺函》。</w:t>
            </w:r>
          </w:p>
        </w:tc>
        <w:tc>
          <w:tcPr>
            <w:tcW w:w="992" w:type="dxa"/>
            <w:vAlign w:val="center"/>
          </w:tcPr>
          <w:p w14:paraId="4661A92E">
            <w:pPr>
              <w:widowControl/>
              <w:spacing w:line="360" w:lineRule="auto"/>
              <w:jc w:val="center"/>
              <w:rPr>
                <w:rFonts w:hint="eastAsia" w:ascii="仿宋" w:hAnsi="仿宋" w:eastAsia="仿宋" w:cs="仿宋"/>
                <w:color w:val="auto"/>
                <w:kern w:val="0"/>
                <w:sz w:val="24"/>
                <w:highlight w:val="none"/>
              </w:rPr>
            </w:pPr>
          </w:p>
        </w:tc>
      </w:tr>
      <w:tr w14:paraId="76FD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411231A5">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8114" w:type="dxa"/>
            <w:vAlign w:val="center"/>
          </w:tcPr>
          <w:p w14:paraId="31AE23AD">
            <w:pPr>
              <w:widowControl/>
              <w:spacing w:line="360" w:lineRule="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参加采购活动前三年内，在经营活动中</w:t>
            </w:r>
            <w:r>
              <w:rPr>
                <w:rFonts w:hint="eastAsia" w:ascii="仿宋" w:hAnsi="仿宋" w:eastAsia="仿宋" w:cs="仿宋"/>
                <w:color w:val="auto"/>
                <w:kern w:val="0"/>
                <w:sz w:val="24"/>
                <w:highlight w:val="none"/>
                <w:lang w:val="en-US" w:eastAsia="zh-CN"/>
              </w:rPr>
              <w:t>无</w:t>
            </w:r>
            <w:r>
              <w:rPr>
                <w:rFonts w:hint="eastAsia" w:ascii="仿宋" w:hAnsi="仿宋" w:eastAsia="仿宋" w:cs="仿宋"/>
                <w:color w:val="auto"/>
                <w:kern w:val="0"/>
                <w:sz w:val="24"/>
                <w:highlight w:val="none"/>
              </w:rPr>
              <w:t>重大违法记录。</w:t>
            </w:r>
            <w:r>
              <w:rPr>
                <w:rFonts w:hint="eastAsia" w:ascii="仿宋" w:hAnsi="仿宋" w:eastAsia="仿宋" w:cs="仿宋"/>
                <w:color w:val="auto"/>
                <w:kern w:val="0"/>
                <w:sz w:val="24"/>
                <w:highlight w:val="none"/>
                <w:lang w:eastAsia="zh-CN"/>
              </w:rPr>
              <w:t>此处的重大违法记录，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采购供应商资格信用承诺函》）</w:t>
            </w:r>
          </w:p>
        </w:tc>
        <w:tc>
          <w:tcPr>
            <w:tcW w:w="992" w:type="dxa"/>
            <w:vAlign w:val="center"/>
          </w:tcPr>
          <w:p w14:paraId="3470CD5F">
            <w:pPr>
              <w:widowControl/>
              <w:spacing w:line="360" w:lineRule="auto"/>
              <w:jc w:val="center"/>
              <w:rPr>
                <w:rFonts w:hint="eastAsia" w:ascii="仿宋" w:hAnsi="仿宋" w:eastAsia="仿宋" w:cs="仿宋"/>
                <w:color w:val="auto"/>
                <w:kern w:val="0"/>
                <w:sz w:val="24"/>
                <w:highlight w:val="none"/>
              </w:rPr>
            </w:pPr>
          </w:p>
        </w:tc>
      </w:tr>
      <w:tr w14:paraId="56ED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70" w:type="dxa"/>
            <w:vAlign w:val="center"/>
          </w:tcPr>
          <w:p w14:paraId="2247957E">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6</w:t>
            </w:r>
          </w:p>
        </w:tc>
        <w:tc>
          <w:tcPr>
            <w:tcW w:w="8114" w:type="dxa"/>
            <w:vAlign w:val="center"/>
          </w:tcPr>
          <w:p w14:paraId="7959EA00">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应未被列入“信用中国”网站（www.creditchina.gov.cn）“失信被执行人或重大税收违法失信主体”记录名单。（以资格审查期间查询投标人在“信用中国”网站相关主体信用记录结果为准。如相关失信记录已失效，投标人需在资格审查资料中附相关证明资料。）</w:t>
            </w:r>
          </w:p>
        </w:tc>
        <w:tc>
          <w:tcPr>
            <w:tcW w:w="992" w:type="dxa"/>
            <w:vAlign w:val="center"/>
          </w:tcPr>
          <w:p w14:paraId="65F2C251">
            <w:pPr>
              <w:widowControl/>
              <w:spacing w:line="360" w:lineRule="auto"/>
              <w:jc w:val="center"/>
              <w:rPr>
                <w:rFonts w:hint="eastAsia" w:ascii="仿宋" w:hAnsi="仿宋" w:eastAsia="仿宋" w:cs="仿宋"/>
                <w:color w:val="auto"/>
                <w:kern w:val="0"/>
                <w:sz w:val="24"/>
                <w:highlight w:val="none"/>
              </w:rPr>
            </w:pPr>
          </w:p>
        </w:tc>
      </w:tr>
      <w:tr w14:paraId="018E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7CAA127B">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7</w:t>
            </w:r>
          </w:p>
        </w:tc>
        <w:tc>
          <w:tcPr>
            <w:tcW w:w="8114" w:type="dxa"/>
            <w:vAlign w:val="center"/>
          </w:tcPr>
          <w:p w14:paraId="7FFE1934">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单位负责人为同一人或者存在直接控股、管理关系的不同</w:t>
            </w:r>
            <w:r>
              <w:rPr>
                <w:rFonts w:hint="eastAsia" w:ascii="仿宋" w:hAnsi="仿宋" w:eastAsia="仿宋" w:cs="仿宋"/>
                <w:color w:val="auto"/>
                <w:kern w:val="0"/>
                <w:sz w:val="24"/>
                <w:highlight w:val="none"/>
                <w:lang w:val="en-US" w:eastAsia="zh-CN"/>
              </w:rPr>
              <w:t>供应商</w:t>
            </w:r>
            <w:r>
              <w:rPr>
                <w:rFonts w:hint="eastAsia" w:ascii="仿宋" w:hAnsi="仿宋" w:eastAsia="仿宋" w:cs="仿宋"/>
                <w:color w:val="auto"/>
                <w:kern w:val="0"/>
                <w:sz w:val="24"/>
                <w:highlight w:val="none"/>
              </w:rPr>
              <w:t>，不得同时参加本采购项目投标。</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提供《关于资格的声明函》</w:t>
            </w:r>
            <w:r>
              <w:rPr>
                <w:rFonts w:hint="eastAsia" w:ascii="仿宋" w:hAnsi="仿宋" w:eastAsia="仿宋" w:cs="仿宋"/>
                <w:color w:val="auto"/>
                <w:kern w:val="0"/>
                <w:sz w:val="24"/>
                <w:highlight w:val="none"/>
                <w:lang w:eastAsia="zh-CN"/>
              </w:rPr>
              <w:t>）</w:t>
            </w:r>
          </w:p>
        </w:tc>
        <w:tc>
          <w:tcPr>
            <w:tcW w:w="992" w:type="dxa"/>
            <w:vAlign w:val="center"/>
          </w:tcPr>
          <w:p w14:paraId="702F4649">
            <w:pPr>
              <w:widowControl/>
              <w:spacing w:line="360" w:lineRule="auto"/>
              <w:jc w:val="center"/>
              <w:rPr>
                <w:rFonts w:hint="eastAsia" w:ascii="仿宋" w:hAnsi="仿宋" w:eastAsia="仿宋" w:cs="仿宋"/>
                <w:color w:val="auto"/>
                <w:kern w:val="0"/>
                <w:sz w:val="24"/>
                <w:highlight w:val="none"/>
              </w:rPr>
            </w:pPr>
          </w:p>
        </w:tc>
      </w:tr>
      <w:tr w14:paraId="2EAF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12F54E2F">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8</w:t>
            </w:r>
          </w:p>
        </w:tc>
        <w:tc>
          <w:tcPr>
            <w:tcW w:w="8114" w:type="dxa"/>
            <w:vAlign w:val="center"/>
          </w:tcPr>
          <w:p w14:paraId="582AF22C">
            <w:pPr>
              <w:widowControl/>
              <w:spacing w:line="360" w:lineRule="auto"/>
              <w:rPr>
                <w:rFonts w:hint="eastAsia" w:ascii="仿宋" w:hAnsi="仿宋" w:eastAsia="仿宋" w:cs="仿宋"/>
                <w:color w:val="auto"/>
                <w:kern w:val="0"/>
                <w:sz w:val="24"/>
                <w:highlight w:val="none"/>
                <w:lang w:eastAsia="zh-CN"/>
              </w:rPr>
            </w:pPr>
            <w:r>
              <w:rPr>
                <w:rFonts w:hint="eastAsia" w:ascii="仿宋" w:hAnsi="仿宋" w:eastAsia="仿宋" w:cs="仿宋"/>
                <w:color w:val="auto"/>
                <w:sz w:val="24"/>
                <w:highlight w:val="none"/>
              </w:rPr>
              <w:t>为采购项目提供整体设计、规范编制或者项目管理、监理、检测等服务的</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，不得再参加该采购项目的其他采购活动。</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提供《关于资格的声明函》</w:t>
            </w:r>
            <w:r>
              <w:rPr>
                <w:rFonts w:hint="eastAsia" w:ascii="仿宋" w:hAnsi="仿宋" w:eastAsia="仿宋" w:cs="仿宋"/>
                <w:color w:val="auto"/>
                <w:kern w:val="0"/>
                <w:sz w:val="24"/>
                <w:highlight w:val="none"/>
                <w:lang w:eastAsia="zh-CN"/>
              </w:rPr>
              <w:t>）</w:t>
            </w:r>
          </w:p>
        </w:tc>
        <w:tc>
          <w:tcPr>
            <w:tcW w:w="992" w:type="dxa"/>
            <w:vAlign w:val="center"/>
          </w:tcPr>
          <w:p w14:paraId="6C49FE45">
            <w:pPr>
              <w:widowControl/>
              <w:spacing w:line="360" w:lineRule="auto"/>
              <w:jc w:val="center"/>
              <w:rPr>
                <w:rFonts w:hint="eastAsia" w:ascii="仿宋" w:hAnsi="仿宋" w:eastAsia="仿宋" w:cs="仿宋"/>
                <w:color w:val="auto"/>
                <w:kern w:val="0"/>
                <w:sz w:val="24"/>
                <w:highlight w:val="none"/>
              </w:rPr>
            </w:pPr>
          </w:p>
        </w:tc>
      </w:tr>
      <w:tr w14:paraId="5FBC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6E71FC3B">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9</w:t>
            </w:r>
          </w:p>
        </w:tc>
        <w:tc>
          <w:tcPr>
            <w:tcW w:w="8114" w:type="dxa"/>
            <w:vAlign w:val="center"/>
          </w:tcPr>
          <w:p w14:paraId="642CBABE">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投标人为“南海文化中心项目”的实施单位的（包括勘察、设计、设计咨询、施工图审查、施工、监理等单位），不得参加本采购项目投标。</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提供《关于资格的声明函》，若投标人属于相关实施单位的，即视为不符合资格要求。</w:t>
            </w:r>
            <w:r>
              <w:rPr>
                <w:rFonts w:hint="eastAsia" w:ascii="仿宋" w:hAnsi="仿宋" w:eastAsia="仿宋" w:cs="仿宋"/>
                <w:color w:val="auto"/>
                <w:kern w:val="0"/>
                <w:sz w:val="24"/>
                <w:highlight w:val="none"/>
                <w:lang w:eastAsia="zh-CN"/>
              </w:rPr>
              <w:t>）</w:t>
            </w:r>
          </w:p>
        </w:tc>
        <w:tc>
          <w:tcPr>
            <w:tcW w:w="992" w:type="dxa"/>
            <w:vAlign w:val="center"/>
          </w:tcPr>
          <w:p w14:paraId="3237750F">
            <w:pPr>
              <w:widowControl/>
              <w:spacing w:line="360" w:lineRule="auto"/>
              <w:jc w:val="center"/>
              <w:rPr>
                <w:rFonts w:hint="eastAsia" w:ascii="仿宋" w:hAnsi="仿宋" w:eastAsia="仿宋" w:cs="仿宋"/>
                <w:color w:val="auto"/>
                <w:kern w:val="0"/>
                <w:sz w:val="24"/>
                <w:highlight w:val="none"/>
              </w:rPr>
            </w:pPr>
          </w:p>
        </w:tc>
      </w:tr>
      <w:tr w14:paraId="153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0191D3AB">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10</w:t>
            </w:r>
          </w:p>
        </w:tc>
        <w:tc>
          <w:tcPr>
            <w:tcW w:w="8114" w:type="dxa"/>
            <w:vAlign w:val="center"/>
          </w:tcPr>
          <w:p w14:paraId="6CE0933A">
            <w:pPr>
              <w:widowControl/>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投标人参与过“南海文化中心项目”其他阶段造价咨询服务的（包括预算编制、预算审核、全过程造价咨询等），不得参加本采购项目投标。</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提供《关于资格的声明函》，若投标人参与过其他阶段造价咨询服务的，即视为不符合资格要求。</w:t>
            </w:r>
            <w:r>
              <w:rPr>
                <w:rFonts w:hint="eastAsia" w:ascii="仿宋" w:hAnsi="仿宋" w:eastAsia="仿宋" w:cs="仿宋"/>
                <w:color w:val="auto"/>
                <w:kern w:val="0"/>
                <w:sz w:val="24"/>
                <w:highlight w:val="none"/>
                <w:lang w:eastAsia="zh-CN"/>
              </w:rPr>
              <w:t>）</w:t>
            </w:r>
          </w:p>
        </w:tc>
        <w:tc>
          <w:tcPr>
            <w:tcW w:w="992" w:type="dxa"/>
            <w:vAlign w:val="center"/>
          </w:tcPr>
          <w:p w14:paraId="27045DAE">
            <w:pPr>
              <w:widowControl/>
              <w:spacing w:line="360" w:lineRule="auto"/>
              <w:jc w:val="center"/>
              <w:rPr>
                <w:rFonts w:hint="eastAsia" w:ascii="仿宋" w:hAnsi="仿宋" w:eastAsia="仿宋" w:cs="仿宋"/>
                <w:color w:val="auto"/>
                <w:kern w:val="0"/>
                <w:sz w:val="24"/>
                <w:highlight w:val="none"/>
              </w:rPr>
            </w:pPr>
          </w:p>
        </w:tc>
      </w:tr>
      <w:tr w14:paraId="4489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70" w:type="dxa"/>
            <w:vAlign w:val="center"/>
          </w:tcPr>
          <w:p w14:paraId="2AFCED21">
            <w:pPr>
              <w:widowControl/>
              <w:spacing w:line="360" w:lineRule="auto"/>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11</w:t>
            </w:r>
          </w:p>
        </w:tc>
        <w:tc>
          <w:tcPr>
            <w:tcW w:w="8114" w:type="dxa"/>
            <w:vAlign w:val="center"/>
          </w:tcPr>
          <w:p w14:paraId="559E46D0">
            <w:pPr>
              <w:pStyle w:val="37"/>
              <w:widowControl/>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符合法律、行政法规规定的其他条件。（</w:t>
            </w:r>
            <w:r>
              <w:rPr>
                <w:rFonts w:hint="eastAsia" w:ascii="仿宋" w:hAnsi="仿宋" w:eastAsia="仿宋" w:cs="仿宋"/>
                <w:color w:val="auto"/>
                <w:kern w:val="0"/>
                <w:sz w:val="24"/>
                <w:highlight w:val="none"/>
                <w:lang w:val="en-US" w:eastAsia="zh-CN"/>
              </w:rPr>
              <w:t>提供《关于资格的声明函》）</w:t>
            </w:r>
          </w:p>
        </w:tc>
        <w:tc>
          <w:tcPr>
            <w:tcW w:w="992" w:type="dxa"/>
            <w:vAlign w:val="center"/>
          </w:tcPr>
          <w:p w14:paraId="78D44E92">
            <w:pPr>
              <w:widowControl/>
              <w:spacing w:line="360" w:lineRule="auto"/>
              <w:jc w:val="center"/>
              <w:rPr>
                <w:rFonts w:hint="eastAsia" w:ascii="仿宋" w:hAnsi="仿宋" w:eastAsia="仿宋" w:cs="仿宋"/>
                <w:color w:val="auto"/>
                <w:kern w:val="0"/>
                <w:sz w:val="24"/>
                <w:highlight w:val="none"/>
              </w:rPr>
            </w:pPr>
          </w:p>
        </w:tc>
      </w:tr>
      <w:tr w14:paraId="2871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70" w:type="dxa"/>
            <w:vAlign w:val="center"/>
          </w:tcPr>
          <w:p w14:paraId="1699594A">
            <w:pPr>
              <w:widowControl/>
              <w:spacing w:line="360" w:lineRule="auto"/>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12</w:t>
            </w:r>
          </w:p>
        </w:tc>
        <w:tc>
          <w:tcPr>
            <w:tcW w:w="8114" w:type="dxa"/>
            <w:vAlign w:val="center"/>
          </w:tcPr>
          <w:p w14:paraId="3F1692B1">
            <w:pPr>
              <w:pStyle w:val="37"/>
              <w:widowControl/>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本项目不接受联合体投标。</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以联合体身份提交投标文件参与投标的，即视为不符合资格要求</w:t>
            </w:r>
            <w:r>
              <w:rPr>
                <w:rFonts w:hint="eastAsia" w:ascii="仿宋" w:hAnsi="仿宋" w:eastAsia="仿宋" w:cs="仿宋"/>
                <w:color w:val="auto"/>
                <w:kern w:val="0"/>
                <w:sz w:val="24"/>
                <w:highlight w:val="none"/>
                <w:lang w:eastAsia="zh-CN"/>
              </w:rPr>
              <w:t>）</w:t>
            </w:r>
          </w:p>
        </w:tc>
        <w:tc>
          <w:tcPr>
            <w:tcW w:w="992" w:type="dxa"/>
            <w:vAlign w:val="center"/>
          </w:tcPr>
          <w:p w14:paraId="437E3AA5">
            <w:pPr>
              <w:widowControl/>
              <w:spacing w:line="360" w:lineRule="auto"/>
              <w:jc w:val="center"/>
              <w:rPr>
                <w:rFonts w:hint="eastAsia" w:ascii="仿宋" w:hAnsi="仿宋" w:eastAsia="仿宋" w:cs="仿宋"/>
                <w:color w:val="auto"/>
                <w:kern w:val="0"/>
                <w:sz w:val="24"/>
                <w:highlight w:val="none"/>
              </w:rPr>
            </w:pPr>
          </w:p>
        </w:tc>
      </w:tr>
    </w:tbl>
    <w:p w14:paraId="029BD0D6">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投标人法定代表人/负责人（或法定代表人/负责人授权代表）签字</w:t>
      </w:r>
      <w:r>
        <w:rPr>
          <w:rFonts w:hint="eastAsia" w:ascii="仿宋" w:hAnsi="仿宋" w:eastAsia="仿宋" w:cs="仿宋"/>
          <w:color w:val="auto"/>
          <w:sz w:val="24"/>
          <w:highlight w:val="none"/>
          <w:lang w:val="en-US" w:eastAsia="zh-CN"/>
        </w:rPr>
        <w:t>或盖章</w:t>
      </w:r>
      <w:r>
        <w:rPr>
          <w:rFonts w:hint="eastAsia" w:ascii="仿宋" w:hAnsi="仿宋" w:eastAsia="仿宋" w:cs="仿宋"/>
          <w:color w:val="auto"/>
          <w:sz w:val="24"/>
          <w:highlight w:val="none"/>
        </w:rPr>
        <w:t xml:space="preserve">： </w:t>
      </w:r>
    </w:p>
    <w:p w14:paraId="6DFDB86B">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投标人名称(加盖公章)： </w:t>
      </w:r>
    </w:p>
    <w:p w14:paraId="63BDB551">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578B1F0">
      <w:pPr>
        <w:spacing w:line="240" w:lineRule="auto"/>
        <w:jc w:val="left"/>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lang w:eastAsia="zh-CN"/>
        </w:rPr>
        <w:br w:type="page"/>
      </w:r>
    </w:p>
    <w:p w14:paraId="398A37D1">
      <w:pPr>
        <w:spacing w:line="360" w:lineRule="auto"/>
        <w:jc w:val="center"/>
        <w:rPr>
          <w:rFonts w:hint="eastAsia" w:ascii="仿宋" w:hAnsi="仿宋" w:eastAsia="仿宋" w:cs="仿宋"/>
          <w:b/>
          <w:bCs/>
          <w:color w:val="auto"/>
          <w:sz w:val="44"/>
          <w:szCs w:val="44"/>
          <w:highlight w:val="none"/>
          <w:lang w:eastAsia="zh-CN"/>
        </w:rPr>
      </w:pPr>
      <w:r>
        <w:rPr>
          <w:rFonts w:hint="eastAsia" w:ascii="仿宋" w:hAnsi="仿宋" w:eastAsia="仿宋" w:cs="仿宋"/>
          <w:b/>
          <w:bCs/>
          <w:color w:val="auto"/>
          <w:sz w:val="30"/>
          <w:szCs w:val="30"/>
          <w:highlight w:val="none"/>
          <w:lang w:val="en-US" w:eastAsia="zh-CN"/>
        </w:rPr>
        <w:t>二、</w:t>
      </w:r>
      <w:r>
        <w:rPr>
          <w:rFonts w:hint="eastAsia" w:ascii="仿宋" w:hAnsi="仿宋" w:eastAsia="仿宋" w:cs="仿宋"/>
          <w:b/>
          <w:bCs/>
          <w:color w:val="auto"/>
          <w:sz w:val="30"/>
          <w:szCs w:val="30"/>
          <w:highlight w:val="none"/>
          <w:lang w:eastAsia="zh-CN"/>
        </w:rPr>
        <w:t>采购供应商资格信用承诺函</w:t>
      </w:r>
    </w:p>
    <w:p w14:paraId="2173B176">
      <w:pPr>
        <w:spacing w:line="360" w:lineRule="auto"/>
        <w:rPr>
          <w:rFonts w:hint="eastAsia" w:ascii="仿宋" w:hAnsi="仿宋" w:eastAsia="仿宋" w:cs="仿宋"/>
          <w:color w:val="auto"/>
          <w:sz w:val="32"/>
          <w:szCs w:val="32"/>
          <w:highlight w:val="none"/>
          <w:lang w:eastAsia="zh-CN"/>
        </w:rPr>
      </w:pPr>
    </w:p>
    <w:p w14:paraId="26DDADB7">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致：佛山市南海有为百越文化有限公司、</w:t>
      </w:r>
      <w:r>
        <w:rPr>
          <w:rFonts w:hint="eastAsia" w:ascii="仿宋" w:hAnsi="仿宋" w:eastAsia="仿宋" w:cs="仿宋"/>
          <w:color w:val="auto"/>
          <w:sz w:val="24"/>
          <w:szCs w:val="24"/>
          <w:highlight w:val="none"/>
          <w:lang w:val="en-US" w:eastAsia="zh-CN"/>
        </w:rPr>
        <w:t>佛山市海纳建设工程咨询有限公司</w:t>
      </w:r>
    </w:p>
    <w:p w14:paraId="039BA6BF">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我方参与</w:t>
      </w:r>
      <w:r>
        <w:rPr>
          <w:rFonts w:hint="eastAsia" w:ascii="仿宋" w:hAnsi="仿宋" w:eastAsia="仿宋" w:cs="仿宋"/>
          <w:color w:val="auto"/>
          <w:sz w:val="24"/>
          <w:szCs w:val="24"/>
          <w:highlight w:val="none"/>
          <w:u w:val="single"/>
          <w:lang w:val="en-US" w:eastAsia="zh-CN"/>
        </w:rPr>
        <w:t>南海文化中心项目结算单审和双审初审服务（项目编号：          ）</w:t>
      </w:r>
      <w:r>
        <w:rPr>
          <w:rFonts w:hint="eastAsia" w:ascii="仿宋" w:hAnsi="仿宋" w:eastAsia="仿宋" w:cs="仿宋"/>
          <w:color w:val="auto"/>
          <w:sz w:val="24"/>
          <w:szCs w:val="24"/>
          <w:highlight w:val="none"/>
          <w:lang w:eastAsia="zh-CN"/>
        </w:rPr>
        <w:t>的采购活动，现承诺如下：</w:t>
      </w:r>
    </w:p>
    <w:p w14:paraId="1357EB30">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1.我方具有良好的商业信誉和健全的财务会计制度；</w:t>
      </w:r>
    </w:p>
    <w:p w14:paraId="7FC18FC2">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2.我方有依法缴纳税收和社会保障资金；</w:t>
      </w:r>
    </w:p>
    <w:p w14:paraId="3A49D3BD">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3.我方参加采购活动前三年内，在经营活动中无重大违法记录。</w:t>
      </w:r>
    </w:p>
    <w:p w14:paraId="19B70D7A">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若我方以上承诺不实，自愿承担提供虚假材料谋取中标、成交的法律责任。</w:t>
      </w:r>
    </w:p>
    <w:p w14:paraId="798D4A34">
      <w:pPr>
        <w:spacing w:line="360" w:lineRule="auto"/>
        <w:ind w:firstLine="480" w:firstLineChars="200"/>
        <w:rPr>
          <w:rFonts w:hint="eastAsia" w:ascii="仿宋" w:hAnsi="仿宋" w:eastAsia="仿宋" w:cs="仿宋"/>
          <w:color w:val="auto"/>
          <w:sz w:val="24"/>
          <w:szCs w:val="24"/>
          <w:highlight w:val="none"/>
          <w:lang w:eastAsia="zh-CN"/>
        </w:rPr>
      </w:pPr>
    </w:p>
    <w:p w14:paraId="410B3040">
      <w:pPr>
        <w:spacing w:line="360" w:lineRule="auto"/>
        <w:ind w:firstLine="960" w:firstLineChars="4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承诺</w:t>
      </w:r>
      <w:r>
        <w:rPr>
          <w:rFonts w:hint="eastAsia" w:ascii="仿宋" w:hAnsi="仿宋" w:eastAsia="仿宋" w:cs="仿宋"/>
          <w:color w:val="auto"/>
          <w:sz w:val="24"/>
          <w:szCs w:val="24"/>
          <w:highlight w:val="none"/>
          <w:lang w:val="en-US" w:eastAsia="zh-CN"/>
        </w:rPr>
        <w:t>供应商（投标人）</w:t>
      </w:r>
      <w:r>
        <w:rPr>
          <w:rFonts w:hint="eastAsia" w:ascii="仿宋" w:hAnsi="仿宋" w:eastAsia="仿宋" w:cs="仿宋"/>
          <w:color w:val="auto"/>
          <w:sz w:val="24"/>
          <w:szCs w:val="24"/>
          <w:highlight w:val="none"/>
          <w:lang w:eastAsia="zh-CN"/>
        </w:rPr>
        <w:t>（全称并加盖公章）：</w:t>
      </w:r>
      <w:r>
        <w:rPr>
          <w:rFonts w:hint="eastAsia" w:ascii="仿宋" w:hAnsi="仿宋" w:eastAsia="仿宋" w:cs="仿宋"/>
          <w:color w:val="auto"/>
          <w:sz w:val="24"/>
          <w:szCs w:val="24"/>
          <w:highlight w:val="none"/>
          <w:u w:val="single"/>
          <w:lang w:val="en-US" w:eastAsia="zh-CN"/>
        </w:rPr>
        <w:t xml:space="preserve">               </w:t>
      </w:r>
    </w:p>
    <w:p w14:paraId="62E2ADB0">
      <w:pPr>
        <w:spacing w:line="360" w:lineRule="auto"/>
        <w:ind w:firstLine="960" w:firstLineChars="4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日期：</w:t>
      </w:r>
      <w:r>
        <w:rPr>
          <w:rFonts w:hint="eastAsia" w:ascii="仿宋" w:hAnsi="仿宋" w:eastAsia="仿宋" w:cs="仿宋"/>
          <w:color w:val="auto"/>
          <w:sz w:val="24"/>
          <w:szCs w:val="24"/>
          <w:highlight w:val="none"/>
          <w:u w:val="single"/>
          <w:lang w:val="en-US" w:eastAsia="zh-CN"/>
        </w:rPr>
        <w:t xml:space="preserve">                                      </w:t>
      </w:r>
    </w:p>
    <w:p w14:paraId="204B88DB">
      <w:pPr>
        <w:spacing w:line="360" w:lineRule="auto"/>
        <w:rPr>
          <w:rFonts w:hint="eastAsia" w:ascii="仿宋" w:hAnsi="仿宋" w:eastAsia="仿宋" w:cs="仿宋"/>
          <w:color w:val="auto"/>
          <w:sz w:val="24"/>
          <w:szCs w:val="24"/>
          <w:highlight w:val="none"/>
          <w:u w:val="none"/>
          <w:lang w:val="en-US" w:eastAsia="zh-CN"/>
        </w:rPr>
      </w:pPr>
    </w:p>
    <w:p w14:paraId="01D7B59E">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none"/>
          <w:lang w:val="en-US" w:eastAsia="zh-CN"/>
        </w:rPr>
        <w:t>说明：投标人可自行选择是否提供本承诺函，若不提供本承诺函，应按</w:t>
      </w:r>
      <w:r>
        <w:rPr>
          <w:rFonts w:hint="eastAsia" w:ascii="仿宋" w:hAnsi="仿宋" w:eastAsia="仿宋" w:cs="仿宋"/>
          <w:color w:val="auto"/>
          <w:sz w:val="24"/>
          <w:szCs w:val="24"/>
          <w:highlight w:val="none"/>
          <w:lang w:eastAsia="zh-CN"/>
        </w:rPr>
        <w:t>采购文件资格要求提供相应的证明材料。</w:t>
      </w:r>
    </w:p>
    <w:p w14:paraId="00A3801B">
      <w:pPr>
        <w:spacing w:line="240" w:lineRule="auto"/>
        <w:ind w:firstLine="0" w:firstLineChars="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br w:type="page"/>
      </w:r>
    </w:p>
    <w:p w14:paraId="2C54B418">
      <w:pPr>
        <w:spacing w:line="360" w:lineRule="auto"/>
        <w:jc w:val="center"/>
        <w:rPr>
          <w:rFonts w:hint="eastAsia" w:ascii="仿宋" w:hAnsi="仿宋" w:eastAsia="仿宋" w:cs="仿宋"/>
          <w:b/>
          <w:bCs/>
          <w:color w:val="auto"/>
          <w:sz w:val="30"/>
          <w:szCs w:val="30"/>
          <w:highlight w:val="none"/>
          <w:lang w:val="en-US" w:eastAsia="en-US"/>
        </w:rPr>
      </w:pPr>
      <w:r>
        <w:rPr>
          <w:rFonts w:hint="eastAsia" w:ascii="仿宋" w:hAnsi="仿宋" w:eastAsia="仿宋" w:cs="仿宋"/>
          <w:b/>
          <w:bCs/>
          <w:color w:val="auto"/>
          <w:sz w:val="30"/>
          <w:szCs w:val="30"/>
          <w:highlight w:val="none"/>
          <w:lang w:val="en-US" w:eastAsia="zh-CN"/>
        </w:rPr>
        <w:t>三、</w:t>
      </w:r>
      <w:r>
        <w:rPr>
          <w:rFonts w:hint="eastAsia" w:ascii="仿宋" w:hAnsi="仿宋" w:eastAsia="仿宋" w:cs="仿宋"/>
          <w:b/>
          <w:bCs/>
          <w:color w:val="auto"/>
          <w:sz w:val="30"/>
          <w:szCs w:val="30"/>
          <w:highlight w:val="none"/>
          <w:lang w:val="en-US" w:eastAsia="en-US"/>
        </w:rPr>
        <w:t>其他资格</w:t>
      </w:r>
      <w:r>
        <w:rPr>
          <w:rFonts w:hint="eastAsia" w:ascii="仿宋" w:hAnsi="仿宋" w:eastAsia="仿宋" w:cs="仿宋"/>
          <w:b/>
          <w:bCs/>
          <w:color w:val="auto"/>
          <w:sz w:val="30"/>
          <w:szCs w:val="30"/>
          <w:highlight w:val="none"/>
          <w:lang w:val="en-US" w:eastAsia="zh-CN"/>
        </w:rPr>
        <w:t>证明</w:t>
      </w:r>
      <w:r>
        <w:rPr>
          <w:rFonts w:hint="eastAsia" w:ascii="仿宋" w:hAnsi="仿宋" w:eastAsia="仿宋" w:cs="仿宋"/>
          <w:b/>
          <w:bCs/>
          <w:color w:val="auto"/>
          <w:sz w:val="30"/>
          <w:szCs w:val="30"/>
          <w:highlight w:val="none"/>
          <w:lang w:val="en-US" w:eastAsia="en-US"/>
        </w:rPr>
        <w:t>文件</w:t>
      </w:r>
    </w:p>
    <w:p w14:paraId="58C8178F">
      <w:pPr>
        <w:widowControl/>
        <w:kinsoku w:val="0"/>
        <w:autoSpaceDE w:val="0"/>
        <w:autoSpaceDN w:val="0"/>
        <w:adjustRightInd w:val="0"/>
        <w:snapToGrid w:val="0"/>
        <w:spacing w:line="395" w:lineRule="auto"/>
        <w:jc w:val="left"/>
        <w:textAlignment w:val="baseline"/>
        <w:rPr>
          <w:rFonts w:hint="eastAsia" w:ascii="仿宋" w:hAnsi="仿宋" w:eastAsia="仿宋" w:cs="仿宋"/>
          <w:snapToGrid w:val="0"/>
          <w:color w:val="auto"/>
          <w:kern w:val="0"/>
          <w:sz w:val="21"/>
          <w:szCs w:val="21"/>
          <w:highlight w:val="none"/>
          <w:lang w:eastAsia="en-US"/>
        </w:rPr>
      </w:pPr>
    </w:p>
    <w:p w14:paraId="1CE66813">
      <w:pPr>
        <w:rPr>
          <w:rFonts w:hint="eastAsia" w:ascii="仿宋" w:hAnsi="仿宋" w:eastAsia="仿宋" w:cs="仿宋"/>
          <w:snapToGrid w:val="0"/>
          <w:color w:val="auto"/>
          <w:spacing w:val="-1"/>
          <w:kern w:val="0"/>
          <w:sz w:val="24"/>
          <w:szCs w:val="24"/>
          <w:highlight w:val="none"/>
          <w:lang w:val="en-US" w:eastAsia="zh-CN" w:bidi="ar-SA"/>
        </w:rPr>
      </w:pPr>
      <w:r>
        <w:rPr>
          <w:rFonts w:ascii="仿宋" w:hAnsi="仿宋" w:eastAsia="仿宋" w:cs="仿宋"/>
          <w:snapToGrid w:val="0"/>
          <w:color w:val="auto"/>
          <w:kern w:val="0"/>
          <w:sz w:val="24"/>
          <w:szCs w:val="24"/>
          <w:highlight w:val="none"/>
          <w:lang w:val="en-US" w:eastAsia="en-US" w:bidi="ar-SA"/>
        </w:rPr>
        <w:t>投标人认为必要的，需要提供的其他证明文</w:t>
      </w:r>
      <w:r>
        <w:rPr>
          <w:rFonts w:ascii="仿宋" w:hAnsi="仿宋" w:eastAsia="仿宋" w:cs="仿宋"/>
          <w:snapToGrid w:val="0"/>
          <w:color w:val="auto"/>
          <w:spacing w:val="-1"/>
          <w:kern w:val="0"/>
          <w:sz w:val="24"/>
          <w:szCs w:val="24"/>
          <w:highlight w:val="none"/>
          <w:lang w:val="en-US" w:eastAsia="en-US" w:bidi="ar-SA"/>
        </w:rPr>
        <w:t>件或产品图片、文字说明等其他资料</w:t>
      </w:r>
      <w:r>
        <w:rPr>
          <w:rFonts w:hint="eastAsia" w:ascii="仿宋" w:hAnsi="仿宋" w:eastAsia="仿宋" w:cs="仿宋"/>
          <w:snapToGrid w:val="0"/>
          <w:color w:val="auto"/>
          <w:spacing w:val="-1"/>
          <w:kern w:val="0"/>
          <w:sz w:val="24"/>
          <w:szCs w:val="24"/>
          <w:highlight w:val="none"/>
          <w:lang w:val="en-US" w:eastAsia="zh-CN" w:bidi="ar-SA"/>
        </w:rPr>
        <w:t>。</w:t>
      </w:r>
    </w:p>
    <w:p w14:paraId="4925748A">
      <w:pPr>
        <w:spacing w:line="360" w:lineRule="auto"/>
        <w:ind w:firstLine="480" w:firstLineChars="200"/>
        <w:rPr>
          <w:rFonts w:hint="eastAsia" w:ascii="仿宋" w:hAnsi="仿宋" w:eastAsia="仿宋" w:cs="仿宋"/>
          <w:color w:val="auto"/>
          <w:sz w:val="24"/>
          <w:szCs w:val="24"/>
          <w:highlight w:val="none"/>
          <w:lang w:eastAsia="zh-CN"/>
        </w:rPr>
      </w:pPr>
    </w:p>
    <w:p w14:paraId="22FC233E">
      <w:pPr>
        <w:spacing w:line="240" w:lineRule="auto"/>
        <w:ind w:firstLine="0" w:firstLineChars="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br w:type="page"/>
      </w:r>
    </w:p>
    <w:p w14:paraId="017210FC">
      <w:pPr>
        <w:rPr>
          <w:rFonts w:hint="eastAsia" w:ascii="仿宋" w:hAnsi="仿宋" w:eastAsia="仿宋" w:cs="仿宋"/>
          <w:color w:val="auto"/>
          <w:highlight w:val="none"/>
        </w:rPr>
      </w:pPr>
    </w:p>
    <w:p w14:paraId="67C2597E">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3A4C4E66">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16AAEA54">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2298F0D8">
      <w:pPr>
        <w:pStyle w:val="17"/>
        <w:tabs>
          <w:tab w:val="left" w:pos="1260"/>
        </w:tabs>
        <w:spacing w:line="360" w:lineRule="auto"/>
        <w:jc w:val="center"/>
        <w:rPr>
          <w:rFonts w:hint="eastAsia" w:ascii="仿宋" w:hAnsi="仿宋" w:eastAsia="仿宋" w:cs="仿宋"/>
          <w:b/>
          <w:color w:val="auto"/>
          <w:spacing w:val="100"/>
          <w:w w:val="110"/>
          <w:sz w:val="44"/>
          <w:szCs w:val="44"/>
          <w:highlight w:val="none"/>
        </w:rPr>
      </w:pPr>
      <w:r>
        <w:rPr>
          <w:rFonts w:hint="eastAsia" w:ascii="仿宋" w:hAnsi="仿宋" w:eastAsia="仿宋" w:cs="仿宋"/>
          <w:b/>
          <w:color w:val="auto"/>
          <w:spacing w:val="100"/>
          <w:w w:val="110"/>
          <w:kern w:val="0"/>
          <w:sz w:val="44"/>
          <w:szCs w:val="44"/>
          <w:highlight w:val="none"/>
        </w:rPr>
        <w:t>投标文件</w:t>
      </w:r>
    </w:p>
    <w:p w14:paraId="16011BB1">
      <w:pPr>
        <w:pStyle w:val="17"/>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（正本/副本）</w:t>
      </w:r>
    </w:p>
    <w:p w14:paraId="739A2A12">
      <w:pPr>
        <w:pStyle w:val="17"/>
        <w:spacing w:line="360" w:lineRule="auto"/>
        <w:rPr>
          <w:rFonts w:hint="eastAsia" w:ascii="仿宋" w:hAnsi="仿宋" w:eastAsia="仿宋" w:cs="仿宋"/>
          <w:b/>
          <w:color w:val="auto"/>
          <w:sz w:val="28"/>
          <w:szCs w:val="28"/>
          <w:highlight w:val="none"/>
        </w:rPr>
      </w:pPr>
    </w:p>
    <w:p w14:paraId="2B8541D9">
      <w:pPr>
        <w:pStyle w:val="17"/>
        <w:spacing w:line="360" w:lineRule="auto"/>
        <w:rPr>
          <w:rFonts w:hint="eastAsia" w:ascii="仿宋" w:hAnsi="仿宋" w:eastAsia="仿宋" w:cs="仿宋"/>
          <w:b/>
          <w:color w:val="auto"/>
          <w:sz w:val="28"/>
          <w:szCs w:val="28"/>
          <w:highlight w:val="none"/>
        </w:rPr>
      </w:pPr>
    </w:p>
    <w:p w14:paraId="2154EB3A">
      <w:pPr>
        <w:pStyle w:val="17"/>
        <w:spacing w:line="360" w:lineRule="auto"/>
        <w:rPr>
          <w:rFonts w:hint="eastAsia" w:ascii="仿宋" w:hAnsi="仿宋" w:eastAsia="仿宋" w:cs="仿宋"/>
          <w:b/>
          <w:color w:val="auto"/>
          <w:sz w:val="28"/>
          <w:szCs w:val="28"/>
          <w:highlight w:val="none"/>
        </w:rPr>
      </w:pPr>
    </w:p>
    <w:p w14:paraId="45EA5387">
      <w:pPr>
        <w:pStyle w:val="17"/>
        <w:spacing w:line="360" w:lineRule="auto"/>
        <w:rPr>
          <w:rFonts w:hint="eastAsia" w:ascii="仿宋" w:hAnsi="仿宋" w:eastAsia="仿宋" w:cs="仿宋"/>
          <w:b/>
          <w:color w:val="auto"/>
          <w:sz w:val="28"/>
          <w:szCs w:val="28"/>
          <w:highlight w:val="none"/>
        </w:rPr>
      </w:pPr>
    </w:p>
    <w:p w14:paraId="334AB1E3">
      <w:pPr>
        <w:pStyle w:val="17"/>
        <w:spacing w:line="360" w:lineRule="auto"/>
        <w:rPr>
          <w:rFonts w:hint="eastAsia" w:ascii="仿宋" w:hAnsi="仿宋" w:eastAsia="仿宋" w:cs="仿宋"/>
          <w:b/>
          <w:color w:val="auto"/>
          <w:sz w:val="28"/>
          <w:szCs w:val="28"/>
          <w:highlight w:val="none"/>
        </w:rPr>
      </w:pPr>
    </w:p>
    <w:p w14:paraId="0C745416">
      <w:pPr>
        <w:pStyle w:val="17"/>
        <w:spacing w:line="360" w:lineRule="auto"/>
        <w:ind w:firstLine="1501" w:firstLineChars="534"/>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采购项目编号：</w:t>
      </w:r>
      <w:r>
        <w:rPr>
          <w:rFonts w:hint="eastAsia" w:ascii="仿宋" w:hAnsi="仿宋" w:eastAsia="仿宋" w:cs="仿宋"/>
          <w:b/>
          <w:color w:val="auto"/>
          <w:sz w:val="28"/>
          <w:szCs w:val="28"/>
          <w:highlight w:val="none"/>
          <w:u w:val="single"/>
        </w:rPr>
        <w:t xml:space="preserve">              </w:t>
      </w:r>
    </w:p>
    <w:p w14:paraId="6C81C623">
      <w:pPr>
        <w:pStyle w:val="17"/>
        <w:spacing w:line="360" w:lineRule="auto"/>
        <w:ind w:firstLine="1661" w:firstLineChars="591"/>
        <w:rPr>
          <w:rFonts w:hint="eastAsia" w:ascii="仿宋" w:hAnsi="仿宋" w:eastAsia="仿宋" w:cs="仿宋"/>
          <w:b/>
          <w:color w:val="auto"/>
          <w:sz w:val="28"/>
          <w:szCs w:val="28"/>
          <w:highlight w:val="none"/>
        </w:rPr>
      </w:pPr>
    </w:p>
    <w:p w14:paraId="7303E967">
      <w:pPr>
        <w:pStyle w:val="17"/>
        <w:spacing w:line="360" w:lineRule="auto"/>
        <w:ind w:left="3357" w:leftChars="699" w:hanging="1889" w:hangingChars="672"/>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采购项目名称：</w:t>
      </w:r>
      <w:r>
        <w:rPr>
          <w:rFonts w:hint="eastAsia" w:ascii="仿宋" w:hAnsi="仿宋" w:eastAsia="仿宋" w:cs="仿宋"/>
          <w:b/>
          <w:color w:val="auto"/>
          <w:sz w:val="28"/>
          <w:szCs w:val="28"/>
          <w:highlight w:val="none"/>
          <w:u w:val="single"/>
        </w:rPr>
        <w:t xml:space="preserve">               </w:t>
      </w:r>
    </w:p>
    <w:p w14:paraId="40BDEFE9">
      <w:pPr>
        <w:pStyle w:val="17"/>
        <w:spacing w:line="360" w:lineRule="auto"/>
        <w:ind w:firstLine="1521" w:firstLineChars="541"/>
        <w:rPr>
          <w:rFonts w:hint="eastAsia" w:ascii="仿宋" w:hAnsi="仿宋" w:eastAsia="仿宋" w:cs="仿宋"/>
          <w:b/>
          <w:color w:val="auto"/>
          <w:sz w:val="28"/>
          <w:szCs w:val="28"/>
          <w:highlight w:val="none"/>
        </w:rPr>
      </w:pPr>
    </w:p>
    <w:p w14:paraId="2D997D50">
      <w:pPr>
        <w:pStyle w:val="17"/>
        <w:spacing w:line="360" w:lineRule="auto"/>
        <w:ind w:firstLine="1521" w:firstLineChars="541"/>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投标人名称：</w:t>
      </w:r>
      <w:r>
        <w:rPr>
          <w:rFonts w:hint="eastAsia" w:ascii="仿宋" w:hAnsi="仿宋" w:eastAsia="仿宋" w:cs="仿宋"/>
          <w:b/>
          <w:color w:val="auto"/>
          <w:sz w:val="28"/>
          <w:szCs w:val="28"/>
          <w:highlight w:val="none"/>
          <w:u w:val="single"/>
        </w:rPr>
        <w:t xml:space="preserve">                </w:t>
      </w:r>
    </w:p>
    <w:p w14:paraId="4B5FAD33">
      <w:pPr>
        <w:autoSpaceDE w:val="0"/>
        <w:autoSpaceDN w:val="0"/>
        <w:spacing w:line="360" w:lineRule="auto"/>
        <w:ind w:firstLine="1521" w:firstLineChars="541"/>
        <w:rPr>
          <w:rFonts w:hint="eastAsia" w:ascii="仿宋" w:hAnsi="仿宋" w:eastAsia="仿宋" w:cs="仿宋"/>
          <w:b/>
          <w:color w:val="auto"/>
          <w:sz w:val="28"/>
          <w:szCs w:val="28"/>
          <w:highlight w:val="none"/>
        </w:rPr>
      </w:pPr>
    </w:p>
    <w:p w14:paraId="623FBC81">
      <w:pPr>
        <w:autoSpaceDE w:val="0"/>
        <w:autoSpaceDN w:val="0"/>
        <w:spacing w:line="360" w:lineRule="auto"/>
        <w:ind w:firstLine="1521" w:firstLineChars="541"/>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日期：</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年</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月</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日</w:t>
      </w:r>
    </w:p>
    <w:p w14:paraId="49D26BE0">
      <w:pPr>
        <w:spacing w:line="360" w:lineRule="auto"/>
        <w:ind w:firstLine="570"/>
        <w:rPr>
          <w:rFonts w:hint="eastAsia" w:ascii="仿宋" w:hAnsi="仿宋" w:eastAsia="仿宋" w:cs="仿宋"/>
          <w:color w:val="auto"/>
          <w:sz w:val="28"/>
          <w:szCs w:val="28"/>
          <w:highlight w:val="none"/>
        </w:rPr>
      </w:pPr>
    </w:p>
    <w:p w14:paraId="24A26F4F">
      <w:pPr>
        <w:spacing w:line="360" w:lineRule="auto"/>
        <w:ind w:firstLine="570"/>
        <w:rPr>
          <w:rFonts w:hint="eastAsia" w:ascii="仿宋" w:hAnsi="仿宋" w:eastAsia="仿宋" w:cs="仿宋"/>
          <w:color w:val="auto"/>
          <w:sz w:val="28"/>
          <w:szCs w:val="28"/>
          <w:highlight w:val="none"/>
        </w:rPr>
      </w:pPr>
    </w:p>
    <w:p w14:paraId="297CDDD9">
      <w:pPr>
        <w:spacing w:line="360" w:lineRule="auto"/>
        <w:ind w:firstLine="570"/>
        <w:rPr>
          <w:rFonts w:hint="eastAsia" w:ascii="仿宋" w:hAnsi="仿宋" w:eastAsia="仿宋" w:cs="仿宋"/>
          <w:color w:val="auto"/>
          <w:sz w:val="28"/>
          <w:szCs w:val="28"/>
          <w:highlight w:val="none"/>
        </w:rPr>
      </w:pPr>
    </w:p>
    <w:p w14:paraId="171278A1">
      <w:pPr>
        <w:spacing w:line="360" w:lineRule="auto"/>
        <w:ind w:firstLine="570"/>
        <w:rPr>
          <w:rFonts w:hint="eastAsia" w:ascii="仿宋" w:hAnsi="仿宋" w:eastAsia="仿宋" w:cs="仿宋"/>
          <w:color w:val="auto"/>
          <w:sz w:val="28"/>
          <w:szCs w:val="28"/>
          <w:highlight w:val="none"/>
        </w:rPr>
      </w:pPr>
    </w:p>
    <w:p w14:paraId="1446E159">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24"/>
          <w:highlight w:val="none"/>
        </w:rPr>
        <w:br w:type="page"/>
      </w:r>
      <w:bookmarkStart w:id="501" w:name="_Toc289519365"/>
      <w:r>
        <w:rPr>
          <w:rFonts w:hint="eastAsia" w:ascii="仿宋" w:hAnsi="仿宋" w:eastAsia="仿宋" w:cs="仿宋"/>
          <w:b/>
          <w:bCs/>
          <w:color w:val="auto"/>
          <w:sz w:val="30"/>
          <w:szCs w:val="30"/>
          <w:highlight w:val="none"/>
          <w:lang w:val="en-US" w:eastAsia="zh-CN"/>
        </w:rPr>
        <w:t>一、符合性自查表</w:t>
      </w:r>
      <w:bookmarkEnd w:id="501"/>
    </w:p>
    <w:tbl>
      <w:tblPr>
        <w:tblStyle w:val="41"/>
        <w:tblW w:w="95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652"/>
        <w:gridCol w:w="3384"/>
        <w:gridCol w:w="1813"/>
        <w:gridCol w:w="2214"/>
      </w:tblGrid>
      <w:tr w14:paraId="15FBE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147" w:type="dxa"/>
            <w:gridSpan w:val="2"/>
            <w:tcBorders>
              <w:top w:val="single" w:color="auto" w:sz="8" w:space="0"/>
            </w:tcBorders>
            <w:vAlign w:val="center"/>
          </w:tcPr>
          <w:p w14:paraId="2A9A1CEC">
            <w:pPr>
              <w:spacing w:before="120" w:beforeLines="50" w:after="120" w:afterLines="50"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评审内容</w:t>
            </w:r>
          </w:p>
        </w:tc>
        <w:tc>
          <w:tcPr>
            <w:tcW w:w="3384" w:type="dxa"/>
            <w:tcBorders>
              <w:top w:val="single" w:color="auto" w:sz="8" w:space="0"/>
            </w:tcBorders>
            <w:vAlign w:val="center"/>
          </w:tcPr>
          <w:p w14:paraId="1ACEE7E9">
            <w:pPr>
              <w:spacing w:before="120" w:beforeLines="50" w:after="120" w:afterLines="50"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采购文件要求</w:t>
            </w:r>
          </w:p>
        </w:tc>
        <w:tc>
          <w:tcPr>
            <w:tcW w:w="1813" w:type="dxa"/>
            <w:tcBorders>
              <w:top w:val="single" w:color="auto" w:sz="8" w:space="0"/>
            </w:tcBorders>
            <w:vAlign w:val="center"/>
          </w:tcPr>
          <w:p w14:paraId="6DD20782">
            <w:pPr>
              <w:spacing w:before="120" w:beforeLines="50" w:after="120" w:afterLines="50"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自查结论</w:t>
            </w:r>
          </w:p>
        </w:tc>
        <w:tc>
          <w:tcPr>
            <w:tcW w:w="2214" w:type="dxa"/>
            <w:tcBorders>
              <w:top w:val="single" w:color="auto" w:sz="8" w:space="0"/>
            </w:tcBorders>
            <w:vAlign w:val="center"/>
          </w:tcPr>
          <w:p w14:paraId="2A5D8E80">
            <w:pPr>
              <w:spacing w:before="120" w:beforeLines="50" w:after="120" w:afterLines="50"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证明资料</w:t>
            </w:r>
          </w:p>
        </w:tc>
      </w:tr>
      <w:tr w14:paraId="06182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495" w:type="dxa"/>
            <w:vMerge w:val="restart"/>
            <w:vAlign w:val="center"/>
          </w:tcPr>
          <w:p w14:paraId="63F5C426">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符合性检查</w:t>
            </w:r>
          </w:p>
        </w:tc>
        <w:tc>
          <w:tcPr>
            <w:tcW w:w="1652" w:type="dxa"/>
            <w:vAlign w:val="center"/>
          </w:tcPr>
          <w:p w14:paraId="3E8A25BC">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投标函</w:t>
            </w:r>
          </w:p>
        </w:tc>
        <w:tc>
          <w:tcPr>
            <w:tcW w:w="3384" w:type="dxa"/>
            <w:vAlign w:val="center"/>
          </w:tcPr>
          <w:p w14:paraId="4A6ACA16">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按对应格式文件填写、签署、盖章(原件)</w:t>
            </w:r>
          </w:p>
        </w:tc>
        <w:tc>
          <w:tcPr>
            <w:tcW w:w="1813" w:type="dxa"/>
            <w:vAlign w:val="center"/>
          </w:tcPr>
          <w:p w14:paraId="6410E437">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vAlign w:val="center"/>
          </w:tcPr>
          <w:p w14:paraId="761741F8">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见投标文件第</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页</w:t>
            </w:r>
          </w:p>
        </w:tc>
      </w:tr>
      <w:tr w14:paraId="5EDDEA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95" w:type="dxa"/>
            <w:vMerge w:val="continue"/>
            <w:vAlign w:val="center"/>
          </w:tcPr>
          <w:p w14:paraId="03F4ABCB">
            <w:pPr>
              <w:spacing w:before="120" w:beforeLines="50" w:after="120" w:afterLines="50" w:line="360" w:lineRule="auto"/>
              <w:jc w:val="center"/>
              <w:rPr>
                <w:rFonts w:hint="eastAsia" w:ascii="仿宋" w:hAnsi="仿宋" w:eastAsia="仿宋" w:cs="仿宋"/>
                <w:color w:val="auto"/>
                <w:szCs w:val="21"/>
                <w:highlight w:val="none"/>
              </w:rPr>
            </w:pPr>
          </w:p>
        </w:tc>
        <w:tc>
          <w:tcPr>
            <w:tcW w:w="1652" w:type="dxa"/>
            <w:vAlign w:val="center"/>
          </w:tcPr>
          <w:p w14:paraId="54888771">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法定代表人/负责人资格证明书</w:t>
            </w:r>
            <w:r>
              <w:rPr>
                <w:rFonts w:hint="eastAsia" w:ascii="仿宋" w:hAnsi="仿宋" w:eastAsia="仿宋" w:cs="仿宋"/>
                <w:color w:val="auto"/>
                <w:szCs w:val="21"/>
                <w:highlight w:val="none"/>
                <w:lang w:val="en-US" w:eastAsia="zh-CN"/>
              </w:rPr>
              <w:t>以及法定代表人/负责人授权委托书（如有）</w:t>
            </w:r>
          </w:p>
        </w:tc>
        <w:tc>
          <w:tcPr>
            <w:tcW w:w="3384" w:type="dxa"/>
            <w:vAlign w:val="center"/>
          </w:tcPr>
          <w:p w14:paraId="2E049FA7">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按对应格式文件签署、盖章(原件)</w:t>
            </w:r>
          </w:p>
        </w:tc>
        <w:tc>
          <w:tcPr>
            <w:tcW w:w="1813" w:type="dxa"/>
            <w:vAlign w:val="center"/>
          </w:tcPr>
          <w:p w14:paraId="62CC16C8">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vAlign w:val="center"/>
          </w:tcPr>
          <w:p w14:paraId="26C2A3A1">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见投标文件第</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页</w:t>
            </w:r>
          </w:p>
        </w:tc>
      </w:tr>
      <w:tr w14:paraId="15F08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95" w:type="dxa"/>
            <w:vMerge w:val="continue"/>
            <w:vAlign w:val="center"/>
          </w:tcPr>
          <w:p w14:paraId="4AF9F925">
            <w:pPr>
              <w:spacing w:before="120" w:beforeLines="50" w:after="120" w:afterLines="50" w:line="360" w:lineRule="auto"/>
              <w:jc w:val="center"/>
              <w:rPr>
                <w:rFonts w:hint="eastAsia" w:ascii="仿宋" w:hAnsi="仿宋" w:eastAsia="仿宋" w:cs="仿宋"/>
                <w:color w:val="auto"/>
                <w:szCs w:val="21"/>
                <w:highlight w:val="none"/>
              </w:rPr>
            </w:pPr>
          </w:p>
        </w:tc>
        <w:tc>
          <w:tcPr>
            <w:tcW w:w="1652" w:type="dxa"/>
            <w:vAlign w:val="center"/>
          </w:tcPr>
          <w:p w14:paraId="2A2C71F4">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投标</w:t>
            </w:r>
            <w:r>
              <w:rPr>
                <w:rFonts w:hint="eastAsia" w:ascii="仿宋" w:hAnsi="仿宋" w:eastAsia="仿宋" w:cs="仿宋"/>
                <w:color w:val="auto"/>
                <w:szCs w:val="21"/>
                <w:highlight w:val="none"/>
              </w:rPr>
              <w:t>保证金</w:t>
            </w:r>
          </w:p>
        </w:tc>
        <w:tc>
          <w:tcPr>
            <w:tcW w:w="3384" w:type="dxa"/>
            <w:vAlign w:val="center"/>
          </w:tcPr>
          <w:p w14:paraId="1A6C28CC">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金额、内容、有效期符合采购文件规定</w:t>
            </w:r>
          </w:p>
        </w:tc>
        <w:tc>
          <w:tcPr>
            <w:tcW w:w="1813" w:type="dxa"/>
            <w:vAlign w:val="center"/>
          </w:tcPr>
          <w:p w14:paraId="53B08465">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vAlign w:val="center"/>
          </w:tcPr>
          <w:p w14:paraId="28C777CE">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r>
      <w:tr w14:paraId="0BC00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95" w:type="dxa"/>
            <w:vMerge w:val="continue"/>
            <w:vAlign w:val="center"/>
          </w:tcPr>
          <w:p w14:paraId="3974A707">
            <w:pPr>
              <w:spacing w:before="120" w:beforeLines="50" w:after="120" w:afterLines="50" w:line="360" w:lineRule="auto"/>
              <w:jc w:val="center"/>
              <w:rPr>
                <w:rFonts w:hint="eastAsia" w:ascii="仿宋" w:hAnsi="仿宋" w:eastAsia="仿宋" w:cs="仿宋"/>
                <w:color w:val="auto"/>
                <w:szCs w:val="21"/>
                <w:highlight w:val="none"/>
              </w:rPr>
            </w:pPr>
          </w:p>
        </w:tc>
        <w:tc>
          <w:tcPr>
            <w:tcW w:w="1652" w:type="dxa"/>
            <w:vAlign w:val="center"/>
          </w:tcPr>
          <w:p w14:paraId="427B9B0E">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技术要求</w:t>
            </w:r>
          </w:p>
        </w:tc>
        <w:tc>
          <w:tcPr>
            <w:tcW w:w="3384" w:type="dxa"/>
            <w:vAlign w:val="center"/>
          </w:tcPr>
          <w:p w14:paraId="1680588A">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实质性响应采购文件中的技术要求的不可负偏离条款</w:t>
            </w:r>
          </w:p>
        </w:tc>
        <w:tc>
          <w:tcPr>
            <w:tcW w:w="1813" w:type="dxa"/>
            <w:vAlign w:val="center"/>
          </w:tcPr>
          <w:p w14:paraId="4899CC34">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vAlign w:val="center"/>
          </w:tcPr>
          <w:p w14:paraId="5FECD36F">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见投标文件第</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页</w:t>
            </w:r>
          </w:p>
        </w:tc>
      </w:tr>
      <w:tr w14:paraId="258BE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95" w:type="dxa"/>
            <w:vMerge w:val="continue"/>
            <w:vAlign w:val="center"/>
          </w:tcPr>
          <w:p w14:paraId="32CF7BAE">
            <w:pPr>
              <w:spacing w:before="120" w:beforeLines="50" w:after="120" w:afterLines="50" w:line="360" w:lineRule="auto"/>
              <w:jc w:val="center"/>
              <w:rPr>
                <w:rFonts w:hint="eastAsia" w:ascii="仿宋" w:hAnsi="仿宋" w:eastAsia="仿宋" w:cs="仿宋"/>
                <w:color w:val="auto"/>
                <w:szCs w:val="21"/>
                <w:highlight w:val="none"/>
              </w:rPr>
            </w:pPr>
          </w:p>
        </w:tc>
        <w:tc>
          <w:tcPr>
            <w:tcW w:w="1652" w:type="dxa"/>
            <w:vAlign w:val="center"/>
          </w:tcPr>
          <w:p w14:paraId="3CFA3698">
            <w:pPr>
              <w:spacing w:before="120" w:beforeLines="50" w:after="120" w:afterLines="50" w:line="360" w:lineRule="auto"/>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商务</w:t>
            </w:r>
            <w:r>
              <w:rPr>
                <w:rFonts w:hint="eastAsia" w:ascii="仿宋" w:hAnsi="仿宋" w:eastAsia="仿宋" w:cs="仿宋"/>
                <w:color w:val="auto"/>
                <w:szCs w:val="21"/>
                <w:highlight w:val="none"/>
              </w:rPr>
              <w:t>要求</w:t>
            </w:r>
          </w:p>
        </w:tc>
        <w:tc>
          <w:tcPr>
            <w:tcW w:w="3384" w:type="dxa"/>
            <w:vAlign w:val="center"/>
          </w:tcPr>
          <w:p w14:paraId="78B0ACBA">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实质性响应采购文件中的</w:t>
            </w:r>
            <w:r>
              <w:rPr>
                <w:rFonts w:hint="eastAsia" w:ascii="仿宋" w:hAnsi="仿宋" w:eastAsia="仿宋" w:cs="仿宋"/>
                <w:color w:val="auto"/>
                <w:szCs w:val="21"/>
                <w:highlight w:val="none"/>
                <w:lang w:val="en-US" w:eastAsia="zh-CN"/>
              </w:rPr>
              <w:t>商务</w:t>
            </w:r>
            <w:r>
              <w:rPr>
                <w:rFonts w:hint="eastAsia" w:ascii="仿宋" w:hAnsi="仿宋" w:eastAsia="仿宋" w:cs="仿宋"/>
                <w:color w:val="auto"/>
                <w:szCs w:val="21"/>
                <w:highlight w:val="none"/>
              </w:rPr>
              <w:t>要求的不可负偏离条款</w:t>
            </w:r>
          </w:p>
        </w:tc>
        <w:tc>
          <w:tcPr>
            <w:tcW w:w="1813" w:type="dxa"/>
            <w:vAlign w:val="center"/>
          </w:tcPr>
          <w:p w14:paraId="3C6EFE37">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vAlign w:val="center"/>
          </w:tcPr>
          <w:p w14:paraId="32F8B1A9">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见投标文件第</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页</w:t>
            </w:r>
          </w:p>
        </w:tc>
      </w:tr>
      <w:tr w14:paraId="48C32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95" w:type="dxa"/>
            <w:vMerge w:val="continue"/>
            <w:vAlign w:val="center"/>
          </w:tcPr>
          <w:p w14:paraId="38BE86E2">
            <w:pPr>
              <w:spacing w:before="120" w:beforeLines="50" w:after="120" w:afterLines="50" w:line="360" w:lineRule="auto"/>
              <w:jc w:val="center"/>
              <w:rPr>
                <w:rFonts w:hint="eastAsia" w:ascii="仿宋" w:hAnsi="仿宋" w:eastAsia="仿宋" w:cs="仿宋"/>
                <w:color w:val="auto"/>
                <w:szCs w:val="21"/>
                <w:highlight w:val="none"/>
              </w:rPr>
            </w:pPr>
          </w:p>
        </w:tc>
        <w:tc>
          <w:tcPr>
            <w:tcW w:w="1652" w:type="dxa"/>
            <w:vAlign w:val="center"/>
          </w:tcPr>
          <w:p w14:paraId="797EC387">
            <w:pPr>
              <w:spacing w:before="120" w:beforeLines="50" w:after="120" w:afterLines="50"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报价要求</w:t>
            </w:r>
          </w:p>
        </w:tc>
        <w:tc>
          <w:tcPr>
            <w:tcW w:w="3384" w:type="dxa"/>
            <w:vAlign w:val="center"/>
          </w:tcPr>
          <w:p w14:paraId="3E6D10C0">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本项目只允许投标人有一个投标方案，每个投标人只能有一个报价。投标报价不得超过</w:t>
            </w:r>
            <w:r>
              <w:rPr>
                <w:rFonts w:hint="eastAsia" w:ascii="仿宋" w:hAnsi="仿宋" w:eastAsia="仿宋" w:cs="仿宋"/>
                <w:color w:val="auto"/>
                <w:szCs w:val="21"/>
                <w:highlight w:val="none"/>
                <w:lang w:eastAsia="zh-CN"/>
              </w:rPr>
              <w:t>采购文件</w:t>
            </w:r>
            <w:r>
              <w:rPr>
                <w:rFonts w:hint="eastAsia" w:ascii="仿宋" w:hAnsi="仿宋" w:eastAsia="仿宋" w:cs="仿宋"/>
                <w:color w:val="auto"/>
                <w:szCs w:val="21"/>
                <w:highlight w:val="none"/>
              </w:rPr>
              <w:t>中规定的最高限价。</w:t>
            </w:r>
          </w:p>
        </w:tc>
        <w:tc>
          <w:tcPr>
            <w:tcW w:w="1813" w:type="dxa"/>
            <w:vAlign w:val="center"/>
          </w:tcPr>
          <w:p w14:paraId="008983C4">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vAlign w:val="center"/>
          </w:tcPr>
          <w:p w14:paraId="54B0A54A">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见投标文件第</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页</w:t>
            </w:r>
          </w:p>
        </w:tc>
      </w:tr>
      <w:tr w14:paraId="1A347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95" w:type="dxa"/>
            <w:vMerge w:val="continue"/>
            <w:tcBorders>
              <w:bottom w:val="single" w:color="auto" w:sz="8" w:space="0"/>
            </w:tcBorders>
            <w:vAlign w:val="center"/>
          </w:tcPr>
          <w:p w14:paraId="1BBE3CD3">
            <w:pPr>
              <w:spacing w:before="120" w:beforeLines="50" w:after="120" w:afterLines="50" w:line="360" w:lineRule="auto"/>
              <w:jc w:val="center"/>
              <w:rPr>
                <w:rFonts w:hint="eastAsia" w:ascii="仿宋" w:hAnsi="仿宋" w:eastAsia="仿宋" w:cs="仿宋"/>
                <w:color w:val="auto"/>
                <w:szCs w:val="21"/>
                <w:highlight w:val="none"/>
              </w:rPr>
            </w:pPr>
          </w:p>
        </w:tc>
        <w:tc>
          <w:tcPr>
            <w:tcW w:w="1652" w:type="dxa"/>
            <w:tcBorders>
              <w:bottom w:val="single" w:color="auto" w:sz="8" w:space="0"/>
            </w:tcBorders>
            <w:vAlign w:val="center"/>
          </w:tcPr>
          <w:p w14:paraId="4C5CFB15">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3384" w:type="dxa"/>
            <w:tcBorders>
              <w:bottom w:val="single" w:color="auto" w:sz="8" w:space="0"/>
            </w:tcBorders>
            <w:vAlign w:val="center"/>
          </w:tcPr>
          <w:p w14:paraId="527DDCCE">
            <w:pPr>
              <w:spacing w:before="120" w:beforeLines="50" w:after="120" w:afterLines="50" w:line="360" w:lineRule="auto"/>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法律、法规和</w:t>
            </w:r>
            <w:r>
              <w:rPr>
                <w:rFonts w:hint="eastAsia" w:ascii="仿宋" w:hAnsi="仿宋" w:eastAsia="仿宋" w:cs="仿宋"/>
                <w:color w:val="auto"/>
                <w:szCs w:val="21"/>
                <w:highlight w:val="none"/>
                <w:lang w:eastAsia="zh-CN"/>
              </w:rPr>
              <w:t>采购文件</w:t>
            </w:r>
            <w:r>
              <w:rPr>
                <w:rFonts w:hint="eastAsia" w:ascii="仿宋" w:hAnsi="仿宋" w:eastAsia="仿宋" w:cs="仿宋"/>
                <w:color w:val="auto"/>
                <w:szCs w:val="21"/>
                <w:highlight w:val="none"/>
              </w:rPr>
              <w:t>规定的其他无效情形。</w:t>
            </w:r>
          </w:p>
        </w:tc>
        <w:tc>
          <w:tcPr>
            <w:tcW w:w="1813" w:type="dxa"/>
            <w:tcBorders>
              <w:bottom w:val="single" w:color="auto" w:sz="8" w:space="0"/>
            </w:tcBorders>
            <w:vAlign w:val="center"/>
          </w:tcPr>
          <w:p w14:paraId="4E0D0192">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□通过□不通过</w:t>
            </w:r>
          </w:p>
        </w:tc>
        <w:tc>
          <w:tcPr>
            <w:tcW w:w="2214" w:type="dxa"/>
            <w:tcBorders>
              <w:bottom w:val="single" w:color="auto" w:sz="8" w:space="0"/>
            </w:tcBorders>
            <w:vAlign w:val="center"/>
          </w:tcPr>
          <w:p w14:paraId="6C0737E8">
            <w:pPr>
              <w:spacing w:before="120" w:beforeLines="5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r>
    </w:tbl>
    <w:p w14:paraId="43B8EDC4">
      <w:pPr>
        <w:jc w:val="left"/>
        <w:rPr>
          <w:rFonts w:hint="eastAsia" w:ascii="仿宋" w:hAnsi="仿宋" w:eastAsia="仿宋" w:cs="仿宋"/>
          <w:color w:val="auto"/>
          <w:highlight w:val="none"/>
        </w:rPr>
      </w:pPr>
      <w:r>
        <w:rPr>
          <w:rFonts w:hint="eastAsia" w:ascii="仿宋" w:hAnsi="仿宋" w:eastAsia="仿宋" w:cs="仿宋"/>
          <w:color w:val="auto"/>
          <w:highlight w:val="none"/>
        </w:rPr>
        <w:t>备注：以上材料将作为投标人合格性和有效性审核的重要内容之一，投标人必须严格按照要求在投标文件中对应如实提供，在对应的□打“</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eq \o\ac(□,</w:instrText>
      </w:r>
      <w:r>
        <w:rPr>
          <w:rFonts w:hint="eastAsia" w:ascii="仿宋" w:hAnsi="仿宋" w:eastAsia="仿宋" w:cs="仿宋"/>
          <w:color w:val="auto"/>
          <w:position w:val="2"/>
          <w:highlight w:val="none"/>
        </w:rPr>
        <w:instrText xml:space="preserve">√</w:instrText>
      </w:r>
      <w:r>
        <w:rPr>
          <w:rFonts w:hint="eastAsia" w:ascii="仿宋" w:hAnsi="仿宋" w:eastAsia="仿宋" w:cs="仿宋"/>
          <w:color w:val="auto"/>
          <w:highlight w:val="none"/>
        </w:rPr>
        <w:instrText xml:space="preserve">)</w:instrTex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w:t>
      </w:r>
    </w:p>
    <w:p w14:paraId="5F745493">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24"/>
          <w:highlight w:val="none"/>
        </w:rPr>
        <w:br w:type="page"/>
      </w:r>
      <w:r>
        <w:rPr>
          <w:rFonts w:hint="eastAsia" w:ascii="仿宋" w:hAnsi="仿宋" w:eastAsia="仿宋" w:cs="仿宋"/>
          <w:b/>
          <w:bCs/>
          <w:color w:val="auto"/>
          <w:sz w:val="30"/>
          <w:szCs w:val="30"/>
          <w:highlight w:val="none"/>
          <w:lang w:val="en-US" w:eastAsia="zh-CN"/>
        </w:rPr>
        <w:t>二、技术部分自评表</w:t>
      </w:r>
    </w:p>
    <w:tbl>
      <w:tblPr>
        <w:tblStyle w:val="41"/>
        <w:tblW w:w="96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79"/>
        <w:gridCol w:w="1256"/>
        <w:gridCol w:w="3300"/>
        <w:gridCol w:w="866"/>
        <w:gridCol w:w="921"/>
        <w:gridCol w:w="2166"/>
      </w:tblGrid>
      <w:tr w14:paraId="32F10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blHeader/>
          <w:jc w:val="center"/>
        </w:trPr>
        <w:tc>
          <w:tcPr>
            <w:tcW w:w="1179" w:type="dxa"/>
            <w:tcBorders>
              <w:top w:val="single" w:color="auto" w:sz="4" w:space="0"/>
              <w:left w:val="single" w:color="auto" w:sz="4" w:space="0"/>
              <w:bottom w:val="single" w:color="auto" w:sz="4" w:space="0"/>
              <w:right w:val="single" w:color="auto" w:sz="4" w:space="0"/>
            </w:tcBorders>
            <w:vAlign w:val="center"/>
          </w:tcPr>
          <w:p w14:paraId="37E35460">
            <w:pPr>
              <w:spacing w:line="360" w:lineRule="auto"/>
              <w:ind w:left="374" w:leftChars="-22" w:right="-108" w:hanging="420"/>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lang w:val="en-GB"/>
              </w:rPr>
              <w:t>评审内容</w:t>
            </w:r>
          </w:p>
        </w:tc>
        <w:tc>
          <w:tcPr>
            <w:tcW w:w="1256" w:type="dxa"/>
            <w:tcBorders>
              <w:top w:val="single" w:color="auto" w:sz="4" w:space="0"/>
              <w:left w:val="single" w:color="auto" w:sz="4" w:space="0"/>
              <w:bottom w:val="single" w:color="auto" w:sz="4" w:space="0"/>
              <w:right w:val="single" w:color="auto" w:sz="4" w:space="0"/>
            </w:tcBorders>
            <w:vAlign w:val="center"/>
          </w:tcPr>
          <w:p w14:paraId="356352F4">
            <w:pPr>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rPr>
              <w:t>内容</w:t>
            </w:r>
          </w:p>
        </w:tc>
        <w:tc>
          <w:tcPr>
            <w:tcW w:w="3300" w:type="dxa"/>
            <w:tcBorders>
              <w:top w:val="single" w:color="auto" w:sz="4" w:space="0"/>
              <w:left w:val="single" w:color="auto" w:sz="4" w:space="0"/>
              <w:bottom w:val="single" w:color="auto" w:sz="4" w:space="0"/>
              <w:right w:val="single" w:color="auto" w:sz="4" w:space="0"/>
            </w:tcBorders>
            <w:vAlign w:val="center"/>
          </w:tcPr>
          <w:p w14:paraId="34D8A5D7">
            <w:pPr>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rPr>
              <w:t>评 审 因 素</w:t>
            </w:r>
          </w:p>
        </w:tc>
        <w:tc>
          <w:tcPr>
            <w:tcW w:w="866" w:type="dxa"/>
            <w:tcBorders>
              <w:top w:val="single" w:color="auto" w:sz="4" w:space="0"/>
              <w:left w:val="single" w:color="auto" w:sz="4" w:space="0"/>
              <w:bottom w:val="single" w:color="auto" w:sz="4" w:space="0"/>
              <w:right w:val="single" w:color="auto" w:sz="4" w:space="0"/>
            </w:tcBorders>
            <w:vAlign w:val="center"/>
          </w:tcPr>
          <w:p w14:paraId="59EAD890">
            <w:pPr>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rPr>
              <w:t>单项满分</w:t>
            </w:r>
          </w:p>
        </w:tc>
        <w:tc>
          <w:tcPr>
            <w:tcW w:w="921" w:type="dxa"/>
            <w:tcBorders>
              <w:top w:val="single" w:color="auto" w:sz="4" w:space="0"/>
              <w:left w:val="single" w:color="auto" w:sz="4" w:space="0"/>
              <w:bottom w:val="single" w:color="auto" w:sz="4" w:space="0"/>
              <w:right w:val="single" w:color="auto" w:sz="4" w:space="0"/>
            </w:tcBorders>
            <w:vAlign w:val="center"/>
          </w:tcPr>
          <w:p w14:paraId="3F4D0266">
            <w:pPr>
              <w:spacing w:line="360" w:lineRule="auto"/>
              <w:ind w:right="-108"/>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lang w:val="en-GB"/>
              </w:rPr>
              <w:t>自评分</w:t>
            </w:r>
          </w:p>
        </w:tc>
        <w:tc>
          <w:tcPr>
            <w:tcW w:w="2166" w:type="dxa"/>
            <w:tcBorders>
              <w:top w:val="single" w:color="auto" w:sz="4" w:space="0"/>
              <w:left w:val="single" w:color="auto" w:sz="4" w:space="0"/>
              <w:bottom w:val="single" w:color="auto" w:sz="4" w:space="0"/>
              <w:right w:val="single" w:color="auto" w:sz="4" w:space="0"/>
            </w:tcBorders>
            <w:vAlign w:val="center"/>
          </w:tcPr>
          <w:p w14:paraId="778D037E">
            <w:pPr>
              <w:spacing w:line="360" w:lineRule="auto"/>
              <w:ind w:right="-108"/>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lang w:val="en-GB"/>
              </w:rPr>
              <w:t>证明文件</w:t>
            </w:r>
          </w:p>
        </w:tc>
      </w:tr>
      <w:tr w14:paraId="1F094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restart"/>
            <w:tcBorders>
              <w:left w:val="single" w:color="auto" w:sz="4" w:space="0"/>
              <w:right w:val="single" w:color="auto" w:sz="4" w:space="0"/>
            </w:tcBorders>
            <w:vAlign w:val="center"/>
          </w:tcPr>
          <w:p w14:paraId="2BE2A3C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技术</w:t>
            </w:r>
            <w:r>
              <w:rPr>
                <w:rFonts w:hint="eastAsia" w:ascii="仿宋" w:hAnsi="仿宋" w:eastAsia="仿宋" w:cs="仿宋"/>
                <w:color w:val="auto"/>
                <w:sz w:val="24"/>
                <w:highlight w:val="none"/>
              </w:rPr>
              <w:t>部分得分</w:t>
            </w:r>
          </w:p>
          <w:p w14:paraId="6FB6A6A8">
            <w:pPr>
              <w:widowControl/>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分）</w:t>
            </w:r>
          </w:p>
        </w:tc>
        <w:tc>
          <w:tcPr>
            <w:tcW w:w="1256" w:type="dxa"/>
            <w:tcBorders>
              <w:top w:val="single" w:color="auto" w:sz="4" w:space="0"/>
              <w:left w:val="single" w:color="auto" w:sz="4" w:space="0"/>
              <w:bottom w:val="single" w:color="auto" w:sz="4" w:space="0"/>
              <w:right w:val="single" w:color="auto" w:sz="4" w:space="0"/>
            </w:tcBorders>
            <w:vAlign w:val="center"/>
          </w:tcPr>
          <w:p w14:paraId="221850D5">
            <w:pPr>
              <w:tabs>
                <w:tab w:val="left" w:pos="972"/>
              </w:tabs>
              <w:rPr>
                <w:rFonts w:hint="eastAsia" w:ascii="仿宋" w:hAnsi="仿宋" w:eastAsia="仿宋" w:cs="仿宋"/>
                <w:color w:val="auto"/>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14:paraId="7BC27A35">
            <w:pPr>
              <w:tabs>
                <w:tab w:val="left" w:pos="972"/>
              </w:tabs>
              <w:rPr>
                <w:rFonts w:hint="eastAsia" w:ascii="仿宋" w:hAnsi="仿宋" w:eastAsia="仿宋" w:cs="仿宋"/>
                <w:color w:val="auto"/>
                <w:sz w:val="24"/>
                <w:highlight w:val="none"/>
              </w:rPr>
            </w:pPr>
          </w:p>
        </w:tc>
        <w:tc>
          <w:tcPr>
            <w:tcW w:w="866" w:type="dxa"/>
            <w:tcBorders>
              <w:top w:val="single" w:color="auto" w:sz="4" w:space="0"/>
              <w:left w:val="single" w:color="auto" w:sz="4" w:space="0"/>
              <w:right w:val="single" w:color="auto" w:sz="4" w:space="0"/>
            </w:tcBorders>
            <w:vAlign w:val="center"/>
          </w:tcPr>
          <w:p w14:paraId="6ED3AA8B">
            <w:pPr>
              <w:tabs>
                <w:tab w:val="left" w:pos="972"/>
              </w:tabs>
              <w:jc w:val="center"/>
              <w:rPr>
                <w:rFonts w:hint="eastAsia" w:ascii="仿宋" w:hAnsi="仿宋" w:eastAsia="仿宋" w:cs="仿宋"/>
                <w:color w:val="auto"/>
                <w:sz w:val="24"/>
                <w:highlight w:val="none"/>
              </w:rPr>
            </w:pPr>
          </w:p>
        </w:tc>
        <w:tc>
          <w:tcPr>
            <w:tcW w:w="921" w:type="dxa"/>
            <w:tcBorders>
              <w:top w:val="single" w:color="auto" w:sz="4" w:space="0"/>
              <w:left w:val="single" w:color="auto" w:sz="4" w:space="0"/>
              <w:right w:val="single" w:color="auto" w:sz="4" w:space="0"/>
            </w:tcBorders>
            <w:vAlign w:val="center"/>
          </w:tcPr>
          <w:p w14:paraId="3BA0CB06">
            <w:pPr>
              <w:spacing w:line="360" w:lineRule="auto"/>
              <w:jc w:val="center"/>
              <w:rPr>
                <w:rFonts w:hint="eastAsia" w:ascii="仿宋" w:hAnsi="仿宋" w:eastAsia="仿宋" w:cs="仿宋"/>
                <w:color w:val="auto"/>
                <w:kern w:val="0"/>
                <w:sz w:val="24"/>
                <w:highlight w:val="none"/>
              </w:rPr>
            </w:pPr>
          </w:p>
        </w:tc>
        <w:tc>
          <w:tcPr>
            <w:tcW w:w="2166" w:type="dxa"/>
            <w:tcBorders>
              <w:top w:val="single" w:color="auto" w:sz="4" w:space="0"/>
              <w:left w:val="single" w:color="auto" w:sz="4" w:space="0"/>
              <w:right w:val="single" w:color="auto" w:sz="4" w:space="0"/>
            </w:tcBorders>
            <w:vAlign w:val="center"/>
          </w:tcPr>
          <w:p w14:paraId="7FAA4AE9">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65107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14:paraId="362C6617">
            <w:pPr>
              <w:spacing w:line="360" w:lineRule="auto"/>
              <w:jc w:val="center"/>
              <w:rPr>
                <w:rFonts w:hint="eastAsia" w:ascii="仿宋" w:hAnsi="仿宋" w:eastAsia="仿宋" w:cs="仿宋"/>
                <w:color w:val="auto"/>
                <w:sz w:val="24"/>
                <w:highlight w:val="none"/>
              </w:rPr>
            </w:pPr>
          </w:p>
        </w:tc>
        <w:tc>
          <w:tcPr>
            <w:tcW w:w="1256" w:type="dxa"/>
            <w:tcBorders>
              <w:top w:val="single" w:color="auto" w:sz="4" w:space="0"/>
              <w:left w:val="single" w:color="auto" w:sz="4" w:space="0"/>
              <w:right w:val="single" w:color="auto" w:sz="4" w:space="0"/>
            </w:tcBorders>
            <w:vAlign w:val="center"/>
          </w:tcPr>
          <w:p w14:paraId="56B5628C">
            <w:pPr>
              <w:tabs>
                <w:tab w:val="left" w:pos="972"/>
              </w:tabs>
              <w:rPr>
                <w:rFonts w:hint="eastAsia" w:ascii="仿宋" w:hAnsi="仿宋" w:eastAsia="仿宋" w:cs="仿宋"/>
                <w:color w:val="auto"/>
                <w:sz w:val="24"/>
                <w:highlight w:val="none"/>
              </w:rPr>
            </w:pPr>
          </w:p>
        </w:tc>
        <w:tc>
          <w:tcPr>
            <w:tcW w:w="3300" w:type="dxa"/>
            <w:tcBorders>
              <w:top w:val="single" w:color="auto" w:sz="4" w:space="0"/>
              <w:left w:val="single" w:color="auto" w:sz="4" w:space="0"/>
              <w:right w:val="single" w:color="auto" w:sz="4" w:space="0"/>
            </w:tcBorders>
            <w:vAlign w:val="center"/>
          </w:tcPr>
          <w:p w14:paraId="645BCB32">
            <w:pPr>
              <w:tabs>
                <w:tab w:val="left" w:pos="972"/>
              </w:tabs>
              <w:rPr>
                <w:rFonts w:hint="eastAsia" w:ascii="仿宋" w:hAnsi="仿宋" w:eastAsia="仿宋" w:cs="仿宋"/>
                <w:color w:val="auto"/>
                <w:kern w:val="0"/>
                <w:sz w:val="24"/>
                <w:highlight w:val="none"/>
              </w:rPr>
            </w:pPr>
          </w:p>
        </w:tc>
        <w:tc>
          <w:tcPr>
            <w:tcW w:w="866" w:type="dxa"/>
            <w:tcBorders>
              <w:top w:val="single" w:color="auto" w:sz="4" w:space="0"/>
              <w:left w:val="single" w:color="auto" w:sz="4" w:space="0"/>
              <w:right w:val="single" w:color="auto" w:sz="4" w:space="0"/>
            </w:tcBorders>
            <w:vAlign w:val="center"/>
          </w:tcPr>
          <w:p w14:paraId="59707F2B">
            <w:pPr>
              <w:jc w:val="center"/>
              <w:rPr>
                <w:rFonts w:hint="eastAsia" w:ascii="仿宋" w:hAnsi="仿宋" w:eastAsia="仿宋" w:cs="仿宋"/>
                <w:color w:val="auto"/>
                <w:kern w:val="0"/>
                <w:sz w:val="24"/>
                <w:highlight w:val="none"/>
              </w:rPr>
            </w:pPr>
          </w:p>
        </w:tc>
        <w:tc>
          <w:tcPr>
            <w:tcW w:w="921" w:type="dxa"/>
            <w:tcBorders>
              <w:top w:val="single" w:color="auto" w:sz="4" w:space="0"/>
              <w:left w:val="single" w:color="auto" w:sz="4" w:space="0"/>
              <w:right w:val="single" w:color="auto" w:sz="4" w:space="0"/>
            </w:tcBorders>
            <w:vAlign w:val="center"/>
          </w:tcPr>
          <w:p w14:paraId="18484952">
            <w:pPr>
              <w:spacing w:line="360" w:lineRule="auto"/>
              <w:jc w:val="center"/>
              <w:rPr>
                <w:rFonts w:hint="eastAsia" w:ascii="仿宋" w:hAnsi="仿宋" w:eastAsia="仿宋" w:cs="仿宋"/>
                <w:color w:val="auto"/>
                <w:kern w:val="0"/>
                <w:sz w:val="24"/>
                <w:highlight w:val="none"/>
              </w:rPr>
            </w:pPr>
          </w:p>
        </w:tc>
        <w:tc>
          <w:tcPr>
            <w:tcW w:w="2166" w:type="dxa"/>
            <w:tcBorders>
              <w:top w:val="single" w:color="auto" w:sz="4" w:space="0"/>
              <w:left w:val="single" w:color="auto" w:sz="4" w:space="0"/>
              <w:right w:val="single" w:color="auto" w:sz="4" w:space="0"/>
            </w:tcBorders>
            <w:vAlign w:val="center"/>
          </w:tcPr>
          <w:p w14:paraId="1C012883">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51686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14:paraId="2E4D4C88">
            <w:pPr>
              <w:spacing w:line="360" w:lineRule="auto"/>
              <w:jc w:val="center"/>
              <w:rPr>
                <w:rFonts w:hint="eastAsia" w:ascii="仿宋" w:hAnsi="仿宋" w:eastAsia="仿宋" w:cs="仿宋"/>
                <w:color w:val="auto"/>
                <w:sz w:val="24"/>
                <w:highlight w:val="none"/>
              </w:rPr>
            </w:pPr>
          </w:p>
        </w:tc>
        <w:tc>
          <w:tcPr>
            <w:tcW w:w="1256" w:type="dxa"/>
            <w:tcBorders>
              <w:top w:val="single" w:color="auto" w:sz="4" w:space="0"/>
              <w:left w:val="single" w:color="auto" w:sz="4" w:space="0"/>
              <w:right w:val="single" w:color="auto" w:sz="4" w:space="0"/>
            </w:tcBorders>
            <w:vAlign w:val="center"/>
          </w:tcPr>
          <w:p w14:paraId="648E4909">
            <w:pPr>
              <w:tabs>
                <w:tab w:val="left" w:pos="972"/>
              </w:tabs>
              <w:rPr>
                <w:rFonts w:hint="eastAsia" w:ascii="仿宋" w:hAnsi="仿宋" w:eastAsia="仿宋" w:cs="仿宋"/>
                <w:color w:val="auto"/>
                <w:sz w:val="24"/>
                <w:highlight w:val="none"/>
              </w:rPr>
            </w:pPr>
          </w:p>
        </w:tc>
        <w:tc>
          <w:tcPr>
            <w:tcW w:w="3300" w:type="dxa"/>
            <w:tcBorders>
              <w:top w:val="single" w:color="auto" w:sz="4" w:space="0"/>
              <w:left w:val="single" w:color="auto" w:sz="4" w:space="0"/>
              <w:right w:val="single" w:color="auto" w:sz="4" w:space="0"/>
            </w:tcBorders>
            <w:vAlign w:val="center"/>
          </w:tcPr>
          <w:p w14:paraId="624D764A">
            <w:pPr>
              <w:tabs>
                <w:tab w:val="left" w:pos="972"/>
              </w:tabs>
              <w:rPr>
                <w:rFonts w:hint="eastAsia" w:ascii="仿宋" w:hAnsi="仿宋" w:eastAsia="仿宋" w:cs="仿宋"/>
                <w:color w:val="auto"/>
                <w:kern w:val="0"/>
                <w:sz w:val="24"/>
                <w:highlight w:val="none"/>
              </w:rPr>
            </w:pPr>
          </w:p>
        </w:tc>
        <w:tc>
          <w:tcPr>
            <w:tcW w:w="866" w:type="dxa"/>
            <w:tcBorders>
              <w:top w:val="single" w:color="auto" w:sz="4" w:space="0"/>
              <w:left w:val="single" w:color="auto" w:sz="4" w:space="0"/>
              <w:right w:val="single" w:color="auto" w:sz="4" w:space="0"/>
            </w:tcBorders>
            <w:vAlign w:val="center"/>
          </w:tcPr>
          <w:p w14:paraId="1022F044">
            <w:pPr>
              <w:jc w:val="center"/>
              <w:rPr>
                <w:rFonts w:hint="eastAsia" w:ascii="仿宋" w:hAnsi="仿宋" w:eastAsia="仿宋" w:cs="仿宋"/>
                <w:color w:val="auto"/>
                <w:sz w:val="24"/>
                <w:highlight w:val="none"/>
              </w:rPr>
            </w:pPr>
          </w:p>
        </w:tc>
        <w:tc>
          <w:tcPr>
            <w:tcW w:w="921" w:type="dxa"/>
            <w:tcBorders>
              <w:top w:val="single" w:color="auto" w:sz="4" w:space="0"/>
              <w:left w:val="single" w:color="auto" w:sz="4" w:space="0"/>
              <w:right w:val="single" w:color="auto" w:sz="4" w:space="0"/>
            </w:tcBorders>
            <w:vAlign w:val="center"/>
          </w:tcPr>
          <w:p w14:paraId="7632A7D7">
            <w:pPr>
              <w:spacing w:line="360" w:lineRule="auto"/>
              <w:jc w:val="center"/>
              <w:rPr>
                <w:rFonts w:hint="eastAsia" w:ascii="仿宋" w:hAnsi="仿宋" w:eastAsia="仿宋" w:cs="仿宋"/>
                <w:color w:val="auto"/>
                <w:sz w:val="24"/>
                <w:highlight w:val="none"/>
              </w:rPr>
            </w:pPr>
          </w:p>
        </w:tc>
        <w:tc>
          <w:tcPr>
            <w:tcW w:w="2166" w:type="dxa"/>
            <w:tcBorders>
              <w:top w:val="single" w:color="auto" w:sz="4" w:space="0"/>
              <w:left w:val="single" w:color="auto" w:sz="4" w:space="0"/>
              <w:right w:val="single" w:color="auto" w:sz="4" w:space="0"/>
            </w:tcBorders>
            <w:vAlign w:val="center"/>
          </w:tcPr>
          <w:p w14:paraId="28E37D3A">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4CC726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14:paraId="67D9D929">
            <w:pPr>
              <w:widowControl/>
              <w:spacing w:line="360" w:lineRule="auto"/>
              <w:jc w:val="center"/>
              <w:rPr>
                <w:rFonts w:hint="eastAsia"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6DCF1E95">
            <w:pPr>
              <w:snapToGrid w:val="0"/>
              <w:spacing w:after="156"/>
              <w:rPr>
                <w:rFonts w:hint="eastAsia" w:ascii="仿宋" w:hAnsi="仿宋" w:eastAsia="仿宋" w:cs="仿宋"/>
                <w:color w:val="auto"/>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14:paraId="1ECA7A32">
            <w:pPr>
              <w:tabs>
                <w:tab w:val="left" w:pos="972"/>
              </w:tabs>
              <w:rPr>
                <w:rFonts w:hint="eastAsia" w:ascii="仿宋" w:hAnsi="仿宋" w:eastAsia="仿宋" w:cs="仿宋"/>
                <w:color w:val="auto"/>
                <w:kern w:val="0"/>
                <w:sz w:val="24"/>
                <w:highlight w:val="none"/>
              </w:rPr>
            </w:pPr>
          </w:p>
        </w:tc>
        <w:tc>
          <w:tcPr>
            <w:tcW w:w="866" w:type="dxa"/>
            <w:tcBorders>
              <w:top w:val="single" w:color="auto" w:sz="4" w:space="0"/>
              <w:left w:val="single" w:color="auto" w:sz="4" w:space="0"/>
              <w:bottom w:val="single" w:color="auto" w:sz="4" w:space="0"/>
              <w:right w:val="single" w:color="auto" w:sz="4" w:space="0"/>
            </w:tcBorders>
            <w:vAlign w:val="center"/>
          </w:tcPr>
          <w:p w14:paraId="0C7D8C87">
            <w:pPr>
              <w:jc w:val="center"/>
              <w:rPr>
                <w:rFonts w:hint="eastAsia" w:ascii="仿宋" w:hAnsi="仿宋" w:eastAsia="仿宋" w:cs="仿宋"/>
                <w:color w:val="auto"/>
                <w:kern w:val="0"/>
                <w:sz w:val="24"/>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14:paraId="07D5D569">
            <w:pPr>
              <w:spacing w:line="360" w:lineRule="auto"/>
              <w:jc w:val="center"/>
              <w:rPr>
                <w:rFonts w:hint="eastAsia" w:ascii="仿宋" w:hAnsi="仿宋" w:eastAsia="仿宋" w:cs="仿宋"/>
                <w:color w:val="auto"/>
                <w:kern w:val="0"/>
                <w:sz w:val="24"/>
                <w:highlight w:val="none"/>
              </w:rPr>
            </w:pPr>
          </w:p>
        </w:tc>
        <w:tc>
          <w:tcPr>
            <w:tcW w:w="2166" w:type="dxa"/>
            <w:tcBorders>
              <w:top w:val="single" w:color="auto" w:sz="4" w:space="0"/>
              <w:left w:val="single" w:color="auto" w:sz="4" w:space="0"/>
              <w:bottom w:val="single" w:color="auto" w:sz="4" w:space="0"/>
              <w:right w:val="single" w:color="auto" w:sz="4" w:space="0"/>
            </w:tcBorders>
            <w:vAlign w:val="center"/>
          </w:tcPr>
          <w:p w14:paraId="402E2909">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232AA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14:paraId="7D3B8CA1">
            <w:pPr>
              <w:widowControl/>
              <w:spacing w:line="360" w:lineRule="auto"/>
              <w:jc w:val="center"/>
              <w:rPr>
                <w:rFonts w:hint="eastAsia"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3BAF9F63">
            <w:pPr>
              <w:snapToGrid w:val="0"/>
              <w:spacing w:after="156"/>
              <w:rPr>
                <w:rFonts w:hint="eastAsia" w:ascii="仿宋" w:hAnsi="仿宋" w:eastAsia="仿宋" w:cs="仿宋"/>
                <w:color w:val="auto"/>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14:paraId="6CAF44E2">
            <w:pPr>
              <w:tabs>
                <w:tab w:val="left" w:pos="972"/>
              </w:tabs>
              <w:rPr>
                <w:rFonts w:hint="eastAsia" w:ascii="仿宋" w:hAnsi="仿宋" w:eastAsia="仿宋" w:cs="仿宋"/>
                <w:color w:val="auto"/>
                <w:sz w:val="24"/>
                <w:highlight w:val="none"/>
              </w:rPr>
            </w:pPr>
          </w:p>
        </w:tc>
        <w:tc>
          <w:tcPr>
            <w:tcW w:w="866" w:type="dxa"/>
            <w:tcBorders>
              <w:top w:val="single" w:color="auto" w:sz="4" w:space="0"/>
              <w:left w:val="single" w:color="auto" w:sz="4" w:space="0"/>
              <w:bottom w:val="single" w:color="auto" w:sz="4" w:space="0"/>
              <w:right w:val="single" w:color="auto" w:sz="4" w:space="0"/>
            </w:tcBorders>
            <w:vAlign w:val="center"/>
          </w:tcPr>
          <w:p w14:paraId="2A745309">
            <w:pPr>
              <w:jc w:val="center"/>
              <w:rPr>
                <w:rFonts w:hint="eastAsia" w:ascii="仿宋" w:hAnsi="仿宋" w:eastAsia="仿宋" w:cs="仿宋"/>
                <w:color w:val="auto"/>
                <w:kern w:val="0"/>
                <w:sz w:val="24"/>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14:paraId="2E7785F7">
            <w:pPr>
              <w:spacing w:line="360" w:lineRule="auto"/>
              <w:jc w:val="center"/>
              <w:rPr>
                <w:rFonts w:hint="eastAsia" w:ascii="仿宋" w:hAnsi="仿宋" w:eastAsia="仿宋" w:cs="仿宋"/>
                <w:color w:val="auto"/>
                <w:kern w:val="0"/>
                <w:sz w:val="24"/>
                <w:highlight w:val="none"/>
              </w:rPr>
            </w:pPr>
          </w:p>
        </w:tc>
        <w:tc>
          <w:tcPr>
            <w:tcW w:w="2166" w:type="dxa"/>
            <w:tcBorders>
              <w:top w:val="single" w:color="auto" w:sz="4" w:space="0"/>
              <w:left w:val="single" w:color="auto" w:sz="4" w:space="0"/>
              <w:bottom w:val="single" w:color="auto" w:sz="4" w:space="0"/>
              <w:right w:val="single" w:color="auto" w:sz="4" w:space="0"/>
            </w:tcBorders>
            <w:vAlign w:val="center"/>
          </w:tcPr>
          <w:p w14:paraId="520CB676">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1C2E6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179" w:type="dxa"/>
            <w:vMerge w:val="continue"/>
            <w:tcBorders>
              <w:left w:val="single" w:color="auto" w:sz="4" w:space="0"/>
              <w:right w:val="single" w:color="auto" w:sz="4" w:space="0"/>
            </w:tcBorders>
            <w:vAlign w:val="center"/>
          </w:tcPr>
          <w:p w14:paraId="4E777C94">
            <w:pPr>
              <w:widowControl/>
              <w:spacing w:line="360" w:lineRule="auto"/>
              <w:jc w:val="center"/>
              <w:rPr>
                <w:rFonts w:hint="eastAsia"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5D226D45">
            <w:pPr>
              <w:snapToGrid w:val="0"/>
              <w:spacing w:after="156"/>
              <w:rPr>
                <w:rFonts w:hint="eastAsia" w:ascii="仿宋" w:hAnsi="仿宋" w:eastAsia="仿宋" w:cs="仿宋"/>
                <w:color w:val="auto"/>
                <w:sz w:val="24"/>
                <w:highlight w:val="none"/>
              </w:rPr>
            </w:pPr>
          </w:p>
        </w:tc>
        <w:tc>
          <w:tcPr>
            <w:tcW w:w="3300" w:type="dxa"/>
            <w:tcBorders>
              <w:top w:val="single" w:color="auto" w:sz="4" w:space="0"/>
              <w:left w:val="single" w:color="auto" w:sz="4" w:space="0"/>
              <w:bottom w:val="single" w:color="auto" w:sz="4" w:space="0"/>
              <w:right w:val="single" w:color="auto" w:sz="4" w:space="0"/>
            </w:tcBorders>
            <w:vAlign w:val="center"/>
          </w:tcPr>
          <w:p w14:paraId="0C08C75C">
            <w:pPr>
              <w:tabs>
                <w:tab w:val="left" w:pos="972"/>
              </w:tabs>
              <w:rPr>
                <w:rFonts w:hint="eastAsia" w:ascii="仿宋" w:hAnsi="仿宋" w:eastAsia="仿宋" w:cs="仿宋"/>
                <w:color w:val="auto"/>
                <w:sz w:val="24"/>
                <w:highlight w:val="none"/>
              </w:rPr>
            </w:pPr>
          </w:p>
        </w:tc>
        <w:tc>
          <w:tcPr>
            <w:tcW w:w="866" w:type="dxa"/>
            <w:tcBorders>
              <w:top w:val="single" w:color="auto" w:sz="4" w:space="0"/>
              <w:left w:val="single" w:color="auto" w:sz="4" w:space="0"/>
              <w:bottom w:val="single" w:color="auto" w:sz="4" w:space="0"/>
              <w:right w:val="single" w:color="auto" w:sz="4" w:space="0"/>
            </w:tcBorders>
            <w:vAlign w:val="center"/>
          </w:tcPr>
          <w:p w14:paraId="28DBE2AD">
            <w:pPr>
              <w:jc w:val="center"/>
              <w:rPr>
                <w:rFonts w:hint="eastAsia" w:ascii="仿宋" w:hAnsi="仿宋" w:eastAsia="仿宋" w:cs="仿宋"/>
                <w:color w:val="auto"/>
                <w:kern w:val="0"/>
                <w:sz w:val="24"/>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14:paraId="180440DA">
            <w:pPr>
              <w:spacing w:line="360" w:lineRule="auto"/>
              <w:jc w:val="center"/>
              <w:rPr>
                <w:rFonts w:hint="eastAsia" w:ascii="仿宋" w:hAnsi="仿宋" w:eastAsia="仿宋" w:cs="仿宋"/>
                <w:color w:val="auto"/>
                <w:kern w:val="0"/>
                <w:sz w:val="24"/>
                <w:highlight w:val="none"/>
              </w:rPr>
            </w:pPr>
          </w:p>
        </w:tc>
        <w:tc>
          <w:tcPr>
            <w:tcW w:w="2166" w:type="dxa"/>
            <w:tcBorders>
              <w:top w:val="single" w:color="auto" w:sz="4" w:space="0"/>
              <w:left w:val="single" w:color="auto" w:sz="4" w:space="0"/>
              <w:bottom w:val="single" w:color="auto" w:sz="4" w:space="0"/>
              <w:right w:val="single" w:color="auto" w:sz="4" w:space="0"/>
            </w:tcBorders>
            <w:vAlign w:val="center"/>
          </w:tcPr>
          <w:p w14:paraId="628646FC">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bl>
    <w:p w14:paraId="2A445332">
      <w:pPr>
        <w:snapToGrid w:val="0"/>
        <w:spacing w:line="360" w:lineRule="auto"/>
        <w:rPr>
          <w:rFonts w:hint="eastAsia" w:ascii="仿宋" w:hAnsi="仿宋" w:eastAsia="仿宋" w:cs="仿宋"/>
          <w:bCs/>
          <w:color w:val="auto"/>
          <w:sz w:val="24"/>
          <w:highlight w:val="none"/>
        </w:rPr>
      </w:pPr>
    </w:p>
    <w:p w14:paraId="59A86183">
      <w:pPr>
        <w:snapToGrid w:val="0"/>
        <w:spacing w:line="360" w:lineRule="auto"/>
        <w:rPr>
          <w:rFonts w:hint="eastAsia" w:ascii="仿宋" w:hAnsi="仿宋" w:eastAsia="仿宋" w:cs="仿宋"/>
          <w:bCs/>
          <w:color w:val="auto"/>
          <w:sz w:val="24"/>
          <w:highlight w:val="none"/>
        </w:rPr>
      </w:pPr>
    </w:p>
    <w:p w14:paraId="73B2708A">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三、商务部分自评表</w:t>
      </w:r>
    </w:p>
    <w:tbl>
      <w:tblPr>
        <w:tblStyle w:val="41"/>
        <w:tblW w:w="96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2"/>
        <w:gridCol w:w="1186"/>
        <w:gridCol w:w="3317"/>
        <w:gridCol w:w="874"/>
        <w:gridCol w:w="900"/>
        <w:gridCol w:w="2193"/>
      </w:tblGrid>
      <w:tr w14:paraId="52707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1222" w:type="dxa"/>
            <w:tcBorders>
              <w:top w:val="single" w:color="auto" w:sz="4" w:space="0"/>
              <w:left w:val="single" w:color="auto" w:sz="4" w:space="0"/>
              <w:bottom w:val="single" w:color="auto" w:sz="4" w:space="0"/>
              <w:right w:val="single" w:color="auto" w:sz="4" w:space="0"/>
            </w:tcBorders>
            <w:vAlign w:val="center"/>
          </w:tcPr>
          <w:p w14:paraId="737DFBD8">
            <w:pPr>
              <w:spacing w:line="360" w:lineRule="auto"/>
              <w:ind w:left="374" w:leftChars="-22" w:right="-108" w:hanging="420"/>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lang w:val="en-GB"/>
              </w:rPr>
              <w:t>评审内容</w:t>
            </w:r>
          </w:p>
        </w:tc>
        <w:tc>
          <w:tcPr>
            <w:tcW w:w="1186" w:type="dxa"/>
            <w:tcBorders>
              <w:top w:val="single" w:color="auto" w:sz="4" w:space="0"/>
              <w:left w:val="single" w:color="auto" w:sz="4" w:space="0"/>
              <w:bottom w:val="single" w:color="auto" w:sz="4" w:space="0"/>
              <w:right w:val="single" w:color="auto" w:sz="4" w:space="0"/>
            </w:tcBorders>
            <w:vAlign w:val="center"/>
          </w:tcPr>
          <w:p w14:paraId="7D07EAFA">
            <w:pPr>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rPr>
              <w:t>内容</w:t>
            </w:r>
          </w:p>
        </w:tc>
        <w:tc>
          <w:tcPr>
            <w:tcW w:w="3317" w:type="dxa"/>
            <w:tcBorders>
              <w:top w:val="single" w:color="auto" w:sz="4" w:space="0"/>
              <w:left w:val="single" w:color="auto" w:sz="4" w:space="0"/>
              <w:bottom w:val="single" w:color="auto" w:sz="4" w:space="0"/>
              <w:right w:val="single" w:color="auto" w:sz="4" w:space="0"/>
            </w:tcBorders>
            <w:vAlign w:val="center"/>
          </w:tcPr>
          <w:p w14:paraId="37E14C2E">
            <w:pPr>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rPr>
              <w:t>评 审 因 素</w:t>
            </w:r>
          </w:p>
        </w:tc>
        <w:tc>
          <w:tcPr>
            <w:tcW w:w="874" w:type="dxa"/>
            <w:tcBorders>
              <w:top w:val="single" w:color="auto" w:sz="4" w:space="0"/>
              <w:left w:val="single" w:color="auto" w:sz="4" w:space="0"/>
              <w:bottom w:val="single" w:color="auto" w:sz="4" w:space="0"/>
              <w:right w:val="single" w:color="auto" w:sz="4" w:space="0"/>
            </w:tcBorders>
            <w:vAlign w:val="center"/>
          </w:tcPr>
          <w:p w14:paraId="202BAA7B">
            <w:pPr>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rPr>
              <w:t>单项满分</w:t>
            </w:r>
          </w:p>
        </w:tc>
        <w:tc>
          <w:tcPr>
            <w:tcW w:w="900" w:type="dxa"/>
            <w:tcBorders>
              <w:top w:val="single" w:color="auto" w:sz="4" w:space="0"/>
              <w:left w:val="single" w:color="auto" w:sz="4" w:space="0"/>
              <w:bottom w:val="single" w:color="auto" w:sz="4" w:space="0"/>
              <w:right w:val="single" w:color="auto" w:sz="4" w:space="0"/>
            </w:tcBorders>
            <w:vAlign w:val="center"/>
          </w:tcPr>
          <w:p w14:paraId="43EC4235">
            <w:pPr>
              <w:spacing w:line="360" w:lineRule="auto"/>
              <w:ind w:right="-108"/>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lang w:val="en-GB"/>
              </w:rPr>
              <w:t>自评分</w:t>
            </w:r>
          </w:p>
        </w:tc>
        <w:tc>
          <w:tcPr>
            <w:tcW w:w="2193" w:type="dxa"/>
            <w:tcBorders>
              <w:top w:val="single" w:color="auto" w:sz="4" w:space="0"/>
              <w:left w:val="single" w:color="auto" w:sz="4" w:space="0"/>
              <w:bottom w:val="single" w:color="auto" w:sz="4" w:space="0"/>
              <w:right w:val="single" w:color="auto" w:sz="4" w:space="0"/>
            </w:tcBorders>
            <w:vAlign w:val="center"/>
          </w:tcPr>
          <w:p w14:paraId="4F6E8168">
            <w:pPr>
              <w:spacing w:line="360" w:lineRule="auto"/>
              <w:ind w:right="-108"/>
              <w:jc w:val="center"/>
              <w:rPr>
                <w:rFonts w:hint="eastAsia" w:ascii="仿宋" w:hAnsi="仿宋" w:eastAsia="仿宋" w:cs="仿宋"/>
                <w:b/>
                <w:color w:val="auto"/>
                <w:sz w:val="24"/>
                <w:highlight w:val="none"/>
                <w:lang w:val="en-GB"/>
              </w:rPr>
            </w:pPr>
            <w:r>
              <w:rPr>
                <w:rFonts w:hint="eastAsia" w:ascii="仿宋" w:hAnsi="仿宋" w:eastAsia="仿宋" w:cs="仿宋"/>
                <w:b/>
                <w:color w:val="auto"/>
                <w:sz w:val="24"/>
                <w:highlight w:val="none"/>
                <w:lang w:val="en-GB"/>
              </w:rPr>
              <w:t>证明文件</w:t>
            </w:r>
          </w:p>
        </w:tc>
      </w:tr>
      <w:tr w14:paraId="6F42FA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restart"/>
            <w:tcBorders>
              <w:top w:val="single" w:color="auto" w:sz="4" w:space="0"/>
              <w:left w:val="single" w:color="auto" w:sz="4" w:space="0"/>
              <w:right w:val="single" w:color="auto" w:sz="4" w:space="0"/>
            </w:tcBorders>
            <w:vAlign w:val="center"/>
          </w:tcPr>
          <w:p w14:paraId="7BF16EF4">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商务部分得分</w:t>
            </w:r>
          </w:p>
          <w:p w14:paraId="480F86D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分）</w:t>
            </w:r>
          </w:p>
        </w:tc>
        <w:tc>
          <w:tcPr>
            <w:tcW w:w="1186" w:type="dxa"/>
            <w:tcBorders>
              <w:top w:val="single" w:color="auto" w:sz="4" w:space="0"/>
              <w:left w:val="single" w:color="auto" w:sz="4" w:space="0"/>
              <w:right w:val="single" w:color="auto" w:sz="4" w:space="0"/>
            </w:tcBorders>
            <w:vAlign w:val="center"/>
          </w:tcPr>
          <w:p w14:paraId="405DAE24">
            <w:pPr>
              <w:widowControl/>
              <w:jc w:val="center"/>
              <w:rPr>
                <w:rFonts w:hint="eastAsia" w:ascii="仿宋" w:hAnsi="仿宋" w:eastAsia="仿宋" w:cs="仿宋"/>
                <w:color w:val="auto"/>
                <w:kern w:val="0"/>
                <w:sz w:val="24"/>
                <w:highlight w:val="none"/>
              </w:rPr>
            </w:pPr>
          </w:p>
        </w:tc>
        <w:tc>
          <w:tcPr>
            <w:tcW w:w="3317" w:type="dxa"/>
            <w:tcBorders>
              <w:top w:val="single" w:color="auto" w:sz="4" w:space="0"/>
              <w:left w:val="single" w:color="auto" w:sz="4" w:space="0"/>
              <w:bottom w:val="single" w:color="auto" w:sz="4" w:space="0"/>
              <w:right w:val="single" w:color="auto" w:sz="4" w:space="0"/>
            </w:tcBorders>
            <w:vAlign w:val="center"/>
          </w:tcPr>
          <w:p w14:paraId="35F7304B">
            <w:pPr>
              <w:widowControl/>
              <w:rPr>
                <w:rFonts w:hint="eastAsia" w:ascii="仿宋" w:hAnsi="仿宋" w:eastAsia="仿宋" w:cs="仿宋"/>
                <w:color w:val="auto"/>
                <w:kern w:val="0"/>
                <w:sz w:val="24"/>
                <w:highlight w:val="none"/>
              </w:rPr>
            </w:pPr>
          </w:p>
        </w:tc>
        <w:tc>
          <w:tcPr>
            <w:tcW w:w="874" w:type="dxa"/>
            <w:tcBorders>
              <w:top w:val="single" w:color="auto" w:sz="4" w:space="0"/>
              <w:left w:val="single" w:color="auto" w:sz="4" w:space="0"/>
              <w:right w:val="single" w:color="auto" w:sz="4" w:space="0"/>
            </w:tcBorders>
            <w:vAlign w:val="center"/>
          </w:tcPr>
          <w:p w14:paraId="2F8C8498">
            <w:pPr>
              <w:jc w:val="center"/>
              <w:rPr>
                <w:rFonts w:hint="eastAsia" w:ascii="仿宋" w:hAnsi="仿宋" w:eastAsia="仿宋" w:cs="仿宋"/>
                <w:color w:val="auto"/>
                <w:kern w:val="0"/>
                <w:sz w:val="24"/>
                <w:highlight w:val="none"/>
              </w:rPr>
            </w:pPr>
          </w:p>
        </w:tc>
        <w:tc>
          <w:tcPr>
            <w:tcW w:w="900" w:type="dxa"/>
            <w:tcBorders>
              <w:top w:val="single" w:color="auto" w:sz="4" w:space="0"/>
              <w:left w:val="single" w:color="auto" w:sz="4" w:space="0"/>
              <w:right w:val="single" w:color="auto" w:sz="4" w:space="0"/>
            </w:tcBorders>
            <w:vAlign w:val="center"/>
          </w:tcPr>
          <w:p w14:paraId="38EAA343">
            <w:pPr>
              <w:spacing w:line="360" w:lineRule="auto"/>
              <w:jc w:val="center"/>
              <w:rPr>
                <w:rFonts w:hint="eastAsia" w:ascii="仿宋" w:hAnsi="仿宋" w:eastAsia="仿宋" w:cs="仿宋"/>
                <w:color w:val="auto"/>
                <w:kern w:val="0"/>
                <w:sz w:val="24"/>
                <w:highlight w:val="none"/>
              </w:rPr>
            </w:pPr>
          </w:p>
        </w:tc>
        <w:tc>
          <w:tcPr>
            <w:tcW w:w="2193" w:type="dxa"/>
            <w:tcBorders>
              <w:top w:val="single" w:color="auto" w:sz="4" w:space="0"/>
              <w:left w:val="single" w:color="auto" w:sz="4" w:space="0"/>
              <w:right w:val="single" w:color="auto" w:sz="4" w:space="0"/>
            </w:tcBorders>
            <w:vAlign w:val="center"/>
          </w:tcPr>
          <w:p w14:paraId="75BA8861">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24AFC2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14:paraId="000B8252">
            <w:pPr>
              <w:spacing w:line="360" w:lineRule="auto"/>
              <w:jc w:val="center"/>
              <w:rPr>
                <w:rFonts w:hint="eastAsia" w:ascii="仿宋" w:hAnsi="仿宋" w:eastAsia="仿宋" w:cs="仿宋"/>
                <w:color w:val="auto"/>
                <w:sz w:val="24"/>
                <w:highlight w:val="none"/>
              </w:rPr>
            </w:pPr>
          </w:p>
        </w:tc>
        <w:tc>
          <w:tcPr>
            <w:tcW w:w="1186" w:type="dxa"/>
            <w:tcBorders>
              <w:top w:val="single" w:color="auto" w:sz="4" w:space="0"/>
              <w:left w:val="single" w:color="auto" w:sz="4" w:space="0"/>
              <w:right w:val="single" w:color="auto" w:sz="4" w:space="0"/>
            </w:tcBorders>
            <w:vAlign w:val="center"/>
          </w:tcPr>
          <w:p w14:paraId="41B67C34">
            <w:pPr>
              <w:widowControl/>
              <w:jc w:val="center"/>
              <w:rPr>
                <w:rFonts w:hint="eastAsia" w:ascii="仿宋" w:hAnsi="仿宋" w:eastAsia="仿宋" w:cs="仿宋"/>
                <w:color w:val="auto"/>
                <w:kern w:val="0"/>
                <w:sz w:val="24"/>
                <w:highlight w:val="none"/>
              </w:rPr>
            </w:pPr>
          </w:p>
        </w:tc>
        <w:tc>
          <w:tcPr>
            <w:tcW w:w="3317" w:type="dxa"/>
            <w:tcBorders>
              <w:top w:val="single" w:color="auto" w:sz="4" w:space="0"/>
              <w:left w:val="single" w:color="auto" w:sz="4" w:space="0"/>
              <w:right w:val="single" w:color="auto" w:sz="4" w:space="0"/>
            </w:tcBorders>
            <w:vAlign w:val="center"/>
          </w:tcPr>
          <w:p w14:paraId="4392D219">
            <w:pPr>
              <w:rPr>
                <w:rFonts w:hint="eastAsia" w:ascii="仿宋" w:hAnsi="仿宋" w:eastAsia="仿宋" w:cs="仿宋"/>
                <w:b/>
                <w:color w:val="auto"/>
                <w:kern w:val="0"/>
                <w:sz w:val="24"/>
                <w:highlight w:val="none"/>
              </w:rPr>
            </w:pPr>
          </w:p>
        </w:tc>
        <w:tc>
          <w:tcPr>
            <w:tcW w:w="874" w:type="dxa"/>
            <w:tcBorders>
              <w:top w:val="single" w:color="auto" w:sz="4" w:space="0"/>
              <w:left w:val="single" w:color="auto" w:sz="4" w:space="0"/>
              <w:right w:val="single" w:color="auto" w:sz="4" w:space="0"/>
            </w:tcBorders>
            <w:vAlign w:val="center"/>
          </w:tcPr>
          <w:p w14:paraId="0A0D9B12">
            <w:pPr>
              <w:widowControl/>
              <w:jc w:val="center"/>
              <w:rPr>
                <w:rFonts w:hint="eastAsia" w:ascii="仿宋" w:hAnsi="仿宋" w:eastAsia="仿宋" w:cs="仿宋"/>
                <w:color w:val="auto"/>
                <w:kern w:val="0"/>
                <w:sz w:val="24"/>
                <w:highlight w:val="none"/>
              </w:rPr>
            </w:pPr>
          </w:p>
        </w:tc>
        <w:tc>
          <w:tcPr>
            <w:tcW w:w="900" w:type="dxa"/>
            <w:tcBorders>
              <w:top w:val="single" w:color="auto" w:sz="4" w:space="0"/>
              <w:left w:val="single" w:color="auto" w:sz="4" w:space="0"/>
              <w:right w:val="single" w:color="auto" w:sz="4" w:space="0"/>
            </w:tcBorders>
            <w:vAlign w:val="center"/>
          </w:tcPr>
          <w:p w14:paraId="4F92830C">
            <w:pPr>
              <w:widowControl/>
              <w:spacing w:line="360" w:lineRule="auto"/>
              <w:jc w:val="center"/>
              <w:rPr>
                <w:rFonts w:hint="eastAsia" w:ascii="仿宋" w:hAnsi="仿宋" w:eastAsia="仿宋" w:cs="仿宋"/>
                <w:color w:val="auto"/>
                <w:kern w:val="0"/>
                <w:sz w:val="24"/>
                <w:highlight w:val="none"/>
              </w:rPr>
            </w:pPr>
          </w:p>
        </w:tc>
        <w:tc>
          <w:tcPr>
            <w:tcW w:w="2193" w:type="dxa"/>
            <w:tcBorders>
              <w:top w:val="single" w:color="auto" w:sz="4" w:space="0"/>
              <w:left w:val="single" w:color="auto" w:sz="4" w:space="0"/>
              <w:right w:val="single" w:color="auto" w:sz="4" w:space="0"/>
            </w:tcBorders>
            <w:vAlign w:val="center"/>
          </w:tcPr>
          <w:p w14:paraId="0FF795E8">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34825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14:paraId="7D8F23DA">
            <w:pPr>
              <w:spacing w:line="360" w:lineRule="auto"/>
              <w:jc w:val="center"/>
              <w:rPr>
                <w:rFonts w:hint="eastAsia" w:ascii="仿宋" w:hAnsi="仿宋" w:eastAsia="仿宋" w:cs="仿宋"/>
                <w:color w:val="auto"/>
                <w:sz w:val="24"/>
                <w:highlight w:val="none"/>
              </w:rPr>
            </w:pPr>
          </w:p>
        </w:tc>
        <w:tc>
          <w:tcPr>
            <w:tcW w:w="1186" w:type="dxa"/>
            <w:tcBorders>
              <w:top w:val="single" w:color="auto" w:sz="4" w:space="0"/>
              <w:left w:val="single" w:color="auto" w:sz="4" w:space="0"/>
              <w:right w:val="single" w:color="auto" w:sz="4" w:space="0"/>
            </w:tcBorders>
            <w:vAlign w:val="center"/>
          </w:tcPr>
          <w:p w14:paraId="2D3CC640">
            <w:pPr>
              <w:widowControl/>
              <w:rPr>
                <w:rFonts w:hint="eastAsia" w:ascii="仿宋" w:hAnsi="仿宋" w:eastAsia="仿宋" w:cs="仿宋"/>
                <w:color w:val="auto"/>
                <w:kern w:val="0"/>
                <w:sz w:val="24"/>
                <w:highlight w:val="none"/>
              </w:rPr>
            </w:pPr>
          </w:p>
        </w:tc>
        <w:tc>
          <w:tcPr>
            <w:tcW w:w="3317" w:type="dxa"/>
            <w:tcBorders>
              <w:top w:val="single" w:color="auto" w:sz="4" w:space="0"/>
              <w:left w:val="single" w:color="auto" w:sz="4" w:space="0"/>
              <w:right w:val="single" w:color="auto" w:sz="4" w:space="0"/>
            </w:tcBorders>
            <w:vAlign w:val="center"/>
          </w:tcPr>
          <w:p w14:paraId="6A14167D">
            <w:pPr>
              <w:rPr>
                <w:rFonts w:hint="eastAsia" w:ascii="仿宋" w:hAnsi="仿宋" w:eastAsia="仿宋" w:cs="仿宋"/>
                <w:color w:val="auto"/>
                <w:kern w:val="0"/>
                <w:sz w:val="24"/>
                <w:highlight w:val="none"/>
              </w:rPr>
            </w:pPr>
          </w:p>
        </w:tc>
        <w:tc>
          <w:tcPr>
            <w:tcW w:w="874" w:type="dxa"/>
            <w:tcBorders>
              <w:top w:val="single" w:color="auto" w:sz="4" w:space="0"/>
              <w:left w:val="single" w:color="auto" w:sz="4" w:space="0"/>
              <w:right w:val="single" w:color="auto" w:sz="4" w:space="0"/>
            </w:tcBorders>
            <w:vAlign w:val="center"/>
          </w:tcPr>
          <w:p w14:paraId="051A1BE5">
            <w:pPr>
              <w:widowControl/>
              <w:jc w:val="center"/>
              <w:rPr>
                <w:rFonts w:hint="eastAsia" w:ascii="仿宋" w:hAnsi="仿宋" w:eastAsia="仿宋" w:cs="仿宋"/>
                <w:color w:val="auto"/>
                <w:kern w:val="0"/>
                <w:sz w:val="24"/>
                <w:highlight w:val="none"/>
              </w:rPr>
            </w:pPr>
          </w:p>
        </w:tc>
        <w:tc>
          <w:tcPr>
            <w:tcW w:w="900" w:type="dxa"/>
            <w:tcBorders>
              <w:top w:val="single" w:color="auto" w:sz="4" w:space="0"/>
              <w:left w:val="single" w:color="auto" w:sz="4" w:space="0"/>
              <w:right w:val="single" w:color="auto" w:sz="4" w:space="0"/>
            </w:tcBorders>
            <w:vAlign w:val="center"/>
          </w:tcPr>
          <w:p w14:paraId="5C7D6314">
            <w:pPr>
              <w:widowControl/>
              <w:spacing w:line="360" w:lineRule="auto"/>
              <w:jc w:val="center"/>
              <w:rPr>
                <w:rFonts w:hint="eastAsia" w:ascii="仿宋" w:hAnsi="仿宋" w:eastAsia="仿宋" w:cs="仿宋"/>
                <w:color w:val="auto"/>
                <w:kern w:val="0"/>
                <w:sz w:val="24"/>
                <w:highlight w:val="none"/>
              </w:rPr>
            </w:pPr>
          </w:p>
        </w:tc>
        <w:tc>
          <w:tcPr>
            <w:tcW w:w="2193" w:type="dxa"/>
            <w:tcBorders>
              <w:top w:val="single" w:color="auto" w:sz="4" w:space="0"/>
              <w:left w:val="single" w:color="auto" w:sz="4" w:space="0"/>
              <w:right w:val="single" w:color="auto" w:sz="4" w:space="0"/>
            </w:tcBorders>
            <w:vAlign w:val="center"/>
          </w:tcPr>
          <w:p w14:paraId="47594100">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7287E1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14:paraId="4E1B2970">
            <w:pPr>
              <w:widowControl/>
              <w:spacing w:line="360" w:lineRule="auto"/>
              <w:jc w:val="center"/>
              <w:rPr>
                <w:rFonts w:hint="eastAsia" w:ascii="仿宋" w:hAnsi="仿宋" w:eastAsia="仿宋" w:cs="仿宋"/>
                <w:color w:val="auto"/>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23D31AE0">
            <w:pPr>
              <w:widowControl/>
              <w:rPr>
                <w:rFonts w:hint="eastAsia" w:ascii="仿宋" w:hAnsi="仿宋" w:eastAsia="仿宋" w:cs="仿宋"/>
                <w:color w:val="auto"/>
                <w:kern w:val="0"/>
                <w:sz w:val="24"/>
                <w:highlight w:val="none"/>
              </w:rPr>
            </w:pPr>
          </w:p>
        </w:tc>
        <w:tc>
          <w:tcPr>
            <w:tcW w:w="3317" w:type="dxa"/>
            <w:tcBorders>
              <w:top w:val="single" w:color="auto" w:sz="4" w:space="0"/>
              <w:left w:val="single" w:color="auto" w:sz="4" w:space="0"/>
              <w:bottom w:val="single" w:color="auto" w:sz="4" w:space="0"/>
              <w:right w:val="single" w:color="auto" w:sz="4" w:space="0"/>
            </w:tcBorders>
            <w:vAlign w:val="center"/>
          </w:tcPr>
          <w:p w14:paraId="1365BD68">
            <w:pPr>
              <w:widowControl/>
              <w:rPr>
                <w:rFonts w:hint="eastAsia" w:ascii="仿宋" w:hAnsi="仿宋" w:eastAsia="仿宋" w:cs="仿宋"/>
                <w:color w:val="auto"/>
                <w:sz w:val="24"/>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14:paraId="4DF27F4D">
            <w:pPr>
              <w:widowControl/>
              <w:jc w:val="center"/>
              <w:rPr>
                <w:rFonts w:hint="eastAsia" w:ascii="仿宋" w:hAnsi="仿宋" w:eastAsia="仿宋" w:cs="仿宋"/>
                <w:color w:val="auto"/>
                <w:kern w:val="0"/>
                <w:sz w:val="24"/>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57082381">
            <w:pPr>
              <w:widowControl/>
              <w:spacing w:line="360" w:lineRule="auto"/>
              <w:jc w:val="center"/>
              <w:rPr>
                <w:rFonts w:hint="eastAsia" w:ascii="仿宋" w:hAnsi="仿宋" w:eastAsia="仿宋" w:cs="仿宋"/>
                <w:color w:val="auto"/>
                <w:kern w:val="0"/>
                <w:sz w:val="24"/>
                <w:highlight w:val="none"/>
              </w:rPr>
            </w:pPr>
          </w:p>
        </w:tc>
        <w:tc>
          <w:tcPr>
            <w:tcW w:w="2193" w:type="dxa"/>
            <w:tcBorders>
              <w:top w:val="single" w:color="auto" w:sz="4" w:space="0"/>
              <w:left w:val="single" w:color="auto" w:sz="4" w:space="0"/>
              <w:bottom w:val="single" w:color="auto" w:sz="4" w:space="0"/>
              <w:right w:val="single" w:color="auto" w:sz="4" w:space="0"/>
            </w:tcBorders>
            <w:vAlign w:val="center"/>
          </w:tcPr>
          <w:p w14:paraId="7E068B90">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r w14:paraId="62AC3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2" w:type="dxa"/>
            <w:vMerge w:val="continue"/>
            <w:tcBorders>
              <w:left w:val="single" w:color="auto" w:sz="4" w:space="0"/>
              <w:right w:val="single" w:color="auto" w:sz="4" w:space="0"/>
            </w:tcBorders>
            <w:vAlign w:val="center"/>
          </w:tcPr>
          <w:p w14:paraId="5288E2F0">
            <w:pPr>
              <w:widowControl/>
              <w:spacing w:line="360" w:lineRule="auto"/>
              <w:jc w:val="center"/>
              <w:rPr>
                <w:rFonts w:hint="eastAsia" w:ascii="仿宋" w:hAnsi="仿宋" w:eastAsia="仿宋" w:cs="仿宋"/>
                <w:color w:val="auto"/>
                <w:sz w:val="24"/>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2B7E772F">
            <w:pPr>
              <w:snapToGrid w:val="0"/>
              <w:spacing w:after="156"/>
              <w:rPr>
                <w:rFonts w:hint="eastAsia" w:ascii="仿宋" w:hAnsi="仿宋" w:eastAsia="仿宋" w:cs="仿宋"/>
                <w:color w:val="auto"/>
                <w:sz w:val="24"/>
                <w:highlight w:val="none"/>
              </w:rPr>
            </w:pPr>
          </w:p>
        </w:tc>
        <w:tc>
          <w:tcPr>
            <w:tcW w:w="3317" w:type="dxa"/>
            <w:tcBorders>
              <w:top w:val="single" w:color="auto" w:sz="4" w:space="0"/>
              <w:left w:val="single" w:color="auto" w:sz="4" w:space="0"/>
              <w:bottom w:val="single" w:color="auto" w:sz="4" w:space="0"/>
              <w:right w:val="single" w:color="auto" w:sz="4" w:space="0"/>
            </w:tcBorders>
            <w:vAlign w:val="center"/>
          </w:tcPr>
          <w:p w14:paraId="2FE20543">
            <w:pPr>
              <w:snapToGrid w:val="0"/>
              <w:spacing w:after="156"/>
              <w:rPr>
                <w:rFonts w:hint="eastAsia" w:ascii="仿宋" w:hAnsi="仿宋" w:eastAsia="仿宋" w:cs="仿宋"/>
                <w:color w:val="auto"/>
                <w:sz w:val="24"/>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14:paraId="1BF7D6E7">
            <w:pPr>
              <w:widowControl/>
              <w:jc w:val="center"/>
              <w:rPr>
                <w:rFonts w:hint="eastAsia" w:ascii="仿宋" w:hAnsi="仿宋" w:eastAsia="仿宋" w:cs="仿宋"/>
                <w:color w:val="auto"/>
                <w:kern w:val="0"/>
                <w:sz w:val="24"/>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2040B2A1">
            <w:pPr>
              <w:widowControl/>
              <w:spacing w:line="360" w:lineRule="auto"/>
              <w:jc w:val="center"/>
              <w:rPr>
                <w:rFonts w:hint="eastAsia" w:ascii="仿宋" w:hAnsi="仿宋" w:eastAsia="仿宋" w:cs="仿宋"/>
                <w:color w:val="auto"/>
                <w:kern w:val="0"/>
                <w:sz w:val="24"/>
                <w:highlight w:val="none"/>
              </w:rPr>
            </w:pPr>
          </w:p>
        </w:tc>
        <w:tc>
          <w:tcPr>
            <w:tcW w:w="2193" w:type="dxa"/>
            <w:tcBorders>
              <w:top w:val="single" w:color="auto" w:sz="4" w:space="0"/>
              <w:left w:val="single" w:color="auto" w:sz="4" w:space="0"/>
              <w:bottom w:val="single" w:color="auto" w:sz="4" w:space="0"/>
              <w:right w:val="single" w:color="auto" w:sz="4" w:space="0"/>
            </w:tcBorders>
            <w:vAlign w:val="center"/>
          </w:tcPr>
          <w:p w14:paraId="465C4620">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见投标文件第 页</w:t>
            </w:r>
          </w:p>
        </w:tc>
      </w:tr>
    </w:tbl>
    <w:p w14:paraId="22C89CE5">
      <w:pPr>
        <w:rPr>
          <w:rFonts w:hint="eastAsia" w:ascii="仿宋" w:hAnsi="仿宋" w:eastAsia="仿宋" w:cs="仿宋"/>
          <w:b/>
          <w:bCs/>
          <w:color w:val="auto"/>
          <w:sz w:val="24"/>
          <w:highlight w:val="none"/>
        </w:rPr>
      </w:pPr>
    </w:p>
    <w:p w14:paraId="185DD0E8">
      <w:p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br w:type="page"/>
      </w:r>
    </w:p>
    <w:p w14:paraId="3D15D44F">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四、投标资料目录</w:t>
      </w:r>
    </w:p>
    <w:tbl>
      <w:tblPr>
        <w:tblStyle w:val="41"/>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6468"/>
        <w:gridCol w:w="2565"/>
      </w:tblGrid>
      <w:tr w14:paraId="3110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727" w:type="dxa"/>
            <w:vAlign w:val="center"/>
          </w:tcPr>
          <w:p w14:paraId="184FDC34">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6468" w:type="dxa"/>
            <w:vAlign w:val="center"/>
          </w:tcPr>
          <w:p w14:paraId="5C6FDFC9">
            <w:pPr>
              <w:pStyle w:val="78"/>
              <w:jc w:val="center"/>
              <w:rPr>
                <w:rFonts w:hint="eastAsia" w:ascii="仿宋" w:hAnsi="仿宋" w:eastAsia="仿宋" w:cs="仿宋"/>
                <w:b/>
                <w:bCs/>
                <w:color w:val="auto"/>
                <w:kern w:val="2"/>
                <w:szCs w:val="24"/>
                <w:highlight w:val="none"/>
              </w:rPr>
            </w:pPr>
            <w:r>
              <w:rPr>
                <w:rFonts w:hint="eastAsia" w:ascii="仿宋" w:hAnsi="仿宋" w:eastAsia="仿宋" w:cs="仿宋"/>
                <w:b/>
                <w:bCs/>
                <w:color w:val="auto"/>
                <w:kern w:val="2"/>
                <w:szCs w:val="24"/>
                <w:highlight w:val="none"/>
              </w:rPr>
              <w:t>投标内容</w:t>
            </w:r>
          </w:p>
        </w:tc>
        <w:tc>
          <w:tcPr>
            <w:tcW w:w="2565" w:type="dxa"/>
            <w:vAlign w:val="center"/>
          </w:tcPr>
          <w:p w14:paraId="036FFCB9">
            <w:pPr>
              <w:pStyle w:val="78"/>
              <w:jc w:val="center"/>
              <w:rPr>
                <w:rFonts w:hint="eastAsia" w:ascii="仿宋" w:hAnsi="仿宋" w:eastAsia="仿宋" w:cs="仿宋"/>
                <w:b/>
                <w:bCs/>
                <w:color w:val="auto"/>
                <w:kern w:val="2"/>
                <w:szCs w:val="24"/>
                <w:highlight w:val="none"/>
              </w:rPr>
            </w:pPr>
            <w:r>
              <w:rPr>
                <w:rFonts w:hint="eastAsia" w:ascii="仿宋" w:hAnsi="仿宋" w:eastAsia="仿宋" w:cs="仿宋"/>
                <w:b/>
                <w:bCs/>
                <w:color w:val="auto"/>
                <w:kern w:val="2"/>
                <w:szCs w:val="24"/>
                <w:highlight w:val="none"/>
              </w:rPr>
              <w:t>资料所在页码</w:t>
            </w:r>
          </w:p>
        </w:tc>
      </w:tr>
      <w:tr w14:paraId="25C4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7A17FA0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6468" w:type="dxa"/>
            <w:vAlign w:val="center"/>
          </w:tcPr>
          <w:p w14:paraId="707BA0D8">
            <w:pPr>
              <w:ind w:left="40" w:leftChars="19"/>
              <w:jc w:val="center"/>
              <w:rPr>
                <w:rFonts w:hint="eastAsia" w:ascii="仿宋" w:hAnsi="仿宋" w:eastAsia="仿宋" w:cs="仿宋"/>
                <w:color w:val="auto"/>
                <w:sz w:val="24"/>
                <w:highlight w:val="none"/>
              </w:rPr>
            </w:pPr>
          </w:p>
        </w:tc>
        <w:tc>
          <w:tcPr>
            <w:tcW w:w="2565" w:type="dxa"/>
            <w:vAlign w:val="center"/>
          </w:tcPr>
          <w:p w14:paraId="7D77696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3531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1C8AD080">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6468" w:type="dxa"/>
            <w:vAlign w:val="center"/>
          </w:tcPr>
          <w:p w14:paraId="238AEA6B">
            <w:pPr>
              <w:ind w:left="40" w:leftChars="19"/>
              <w:jc w:val="center"/>
              <w:rPr>
                <w:rFonts w:hint="eastAsia" w:ascii="仿宋" w:hAnsi="仿宋" w:eastAsia="仿宋" w:cs="仿宋"/>
                <w:color w:val="auto"/>
                <w:sz w:val="24"/>
                <w:highlight w:val="none"/>
              </w:rPr>
            </w:pPr>
          </w:p>
        </w:tc>
        <w:tc>
          <w:tcPr>
            <w:tcW w:w="2565" w:type="dxa"/>
            <w:vAlign w:val="center"/>
          </w:tcPr>
          <w:p w14:paraId="79F0410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21A2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3B91FFB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6468" w:type="dxa"/>
            <w:vAlign w:val="center"/>
          </w:tcPr>
          <w:p w14:paraId="2533C901">
            <w:pPr>
              <w:ind w:left="40" w:leftChars="19"/>
              <w:jc w:val="center"/>
              <w:rPr>
                <w:rFonts w:hint="eastAsia" w:ascii="仿宋" w:hAnsi="仿宋" w:eastAsia="仿宋" w:cs="仿宋"/>
                <w:color w:val="auto"/>
                <w:sz w:val="24"/>
                <w:highlight w:val="none"/>
              </w:rPr>
            </w:pPr>
          </w:p>
        </w:tc>
        <w:tc>
          <w:tcPr>
            <w:tcW w:w="2565" w:type="dxa"/>
            <w:vAlign w:val="center"/>
          </w:tcPr>
          <w:p w14:paraId="6461F7A2">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725C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7BAE8DE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6468" w:type="dxa"/>
            <w:vAlign w:val="center"/>
          </w:tcPr>
          <w:p w14:paraId="1FAC3ACB">
            <w:pPr>
              <w:ind w:left="40" w:leftChars="19"/>
              <w:jc w:val="center"/>
              <w:rPr>
                <w:rFonts w:hint="eastAsia" w:ascii="仿宋" w:hAnsi="仿宋" w:eastAsia="仿宋" w:cs="仿宋"/>
                <w:color w:val="auto"/>
                <w:sz w:val="24"/>
                <w:highlight w:val="none"/>
              </w:rPr>
            </w:pPr>
          </w:p>
        </w:tc>
        <w:tc>
          <w:tcPr>
            <w:tcW w:w="2565" w:type="dxa"/>
            <w:vAlign w:val="center"/>
          </w:tcPr>
          <w:p w14:paraId="419D1F0F">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3A25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7C45C715">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6468" w:type="dxa"/>
            <w:vAlign w:val="center"/>
          </w:tcPr>
          <w:p w14:paraId="31F53609">
            <w:pPr>
              <w:ind w:left="40" w:leftChars="19"/>
              <w:jc w:val="center"/>
              <w:rPr>
                <w:rFonts w:hint="eastAsia" w:ascii="仿宋" w:hAnsi="仿宋" w:eastAsia="仿宋" w:cs="仿宋"/>
                <w:color w:val="auto"/>
                <w:sz w:val="24"/>
                <w:highlight w:val="none"/>
              </w:rPr>
            </w:pPr>
          </w:p>
        </w:tc>
        <w:tc>
          <w:tcPr>
            <w:tcW w:w="2565" w:type="dxa"/>
            <w:vAlign w:val="center"/>
          </w:tcPr>
          <w:p w14:paraId="7ECCC54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5BDD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70765F4A">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6468" w:type="dxa"/>
            <w:vAlign w:val="center"/>
          </w:tcPr>
          <w:p w14:paraId="4E7057D2">
            <w:pPr>
              <w:ind w:left="40" w:leftChars="19"/>
              <w:jc w:val="center"/>
              <w:rPr>
                <w:rFonts w:hint="eastAsia" w:ascii="仿宋" w:hAnsi="仿宋" w:eastAsia="仿宋" w:cs="仿宋"/>
                <w:color w:val="auto"/>
                <w:sz w:val="24"/>
                <w:highlight w:val="none"/>
              </w:rPr>
            </w:pPr>
          </w:p>
        </w:tc>
        <w:tc>
          <w:tcPr>
            <w:tcW w:w="2565" w:type="dxa"/>
            <w:vAlign w:val="center"/>
          </w:tcPr>
          <w:p w14:paraId="798C7C4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327A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27" w:type="dxa"/>
            <w:vAlign w:val="center"/>
          </w:tcPr>
          <w:p w14:paraId="229D40E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6468" w:type="dxa"/>
            <w:vAlign w:val="center"/>
          </w:tcPr>
          <w:p w14:paraId="2340E1E6">
            <w:pPr>
              <w:ind w:left="40" w:leftChars="19"/>
              <w:jc w:val="center"/>
              <w:rPr>
                <w:rFonts w:hint="eastAsia" w:ascii="仿宋" w:hAnsi="仿宋" w:eastAsia="仿宋" w:cs="仿宋"/>
                <w:color w:val="auto"/>
                <w:sz w:val="24"/>
                <w:highlight w:val="none"/>
              </w:rPr>
            </w:pPr>
          </w:p>
        </w:tc>
        <w:tc>
          <w:tcPr>
            <w:tcW w:w="2565" w:type="dxa"/>
            <w:vAlign w:val="center"/>
          </w:tcPr>
          <w:p w14:paraId="6FE64BEC">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1EEC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535A677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6468" w:type="dxa"/>
            <w:vAlign w:val="center"/>
          </w:tcPr>
          <w:p w14:paraId="52C1E7E1">
            <w:pPr>
              <w:ind w:left="40" w:leftChars="19"/>
              <w:jc w:val="center"/>
              <w:rPr>
                <w:rFonts w:hint="eastAsia" w:ascii="仿宋" w:hAnsi="仿宋" w:eastAsia="仿宋" w:cs="仿宋"/>
                <w:color w:val="auto"/>
                <w:sz w:val="24"/>
                <w:highlight w:val="none"/>
              </w:rPr>
            </w:pPr>
          </w:p>
        </w:tc>
        <w:tc>
          <w:tcPr>
            <w:tcW w:w="2565" w:type="dxa"/>
            <w:vAlign w:val="center"/>
          </w:tcPr>
          <w:p w14:paraId="57F27978">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见投标文件第 页</w:t>
            </w:r>
          </w:p>
        </w:tc>
      </w:tr>
      <w:tr w14:paraId="7C78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090BD55B">
            <w:pPr>
              <w:spacing w:line="360" w:lineRule="auto"/>
              <w:jc w:val="center"/>
              <w:rPr>
                <w:rFonts w:hint="eastAsia" w:ascii="仿宋" w:hAnsi="仿宋" w:eastAsia="仿宋" w:cs="仿宋"/>
                <w:color w:val="auto"/>
                <w:sz w:val="24"/>
                <w:highlight w:val="none"/>
              </w:rPr>
            </w:pPr>
          </w:p>
        </w:tc>
        <w:tc>
          <w:tcPr>
            <w:tcW w:w="6468" w:type="dxa"/>
            <w:vAlign w:val="center"/>
          </w:tcPr>
          <w:p w14:paraId="6E7544E5">
            <w:pPr>
              <w:ind w:left="40" w:leftChars="19"/>
              <w:jc w:val="center"/>
              <w:rPr>
                <w:rFonts w:hint="eastAsia" w:ascii="仿宋" w:hAnsi="仿宋" w:eastAsia="仿宋" w:cs="仿宋"/>
                <w:color w:val="auto"/>
                <w:sz w:val="24"/>
                <w:highlight w:val="none"/>
              </w:rPr>
            </w:pPr>
          </w:p>
        </w:tc>
        <w:tc>
          <w:tcPr>
            <w:tcW w:w="2565" w:type="dxa"/>
            <w:vAlign w:val="center"/>
          </w:tcPr>
          <w:p w14:paraId="4A1B4513">
            <w:pPr>
              <w:spacing w:line="360" w:lineRule="auto"/>
              <w:jc w:val="center"/>
              <w:rPr>
                <w:rFonts w:hint="eastAsia" w:ascii="仿宋" w:hAnsi="仿宋" w:eastAsia="仿宋" w:cs="仿宋"/>
                <w:color w:val="auto"/>
                <w:sz w:val="24"/>
                <w:highlight w:val="none"/>
              </w:rPr>
            </w:pPr>
          </w:p>
        </w:tc>
      </w:tr>
      <w:tr w14:paraId="309D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32B48AA1">
            <w:pPr>
              <w:spacing w:line="360" w:lineRule="auto"/>
              <w:jc w:val="center"/>
              <w:rPr>
                <w:rFonts w:hint="eastAsia" w:ascii="仿宋" w:hAnsi="仿宋" w:eastAsia="仿宋" w:cs="仿宋"/>
                <w:color w:val="auto"/>
                <w:sz w:val="24"/>
                <w:highlight w:val="none"/>
              </w:rPr>
            </w:pPr>
          </w:p>
        </w:tc>
        <w:tc>
          <w:tcPr>
            <w:tcW w:w="6468" w:type="dxa"/>
            <w:vAlign w:val="center"/>
          </w:tcPr>
          <w:p w14:paraId="072FDA86">
            <w:pPr>
              <w:ind w:left="40" w:leftChars="19"/>
              <w:jc w:val="center"/>
              <w:rPr>
                <w:rFonts w:hint="eastAsia" w:ascii="仿宋" w:hAnsi="仿宋" w:eastAsia="仿宋" w:cs="仿宋"/>
                <w:color w:val="auto"/>
                <w:sz w:val="24"/>
                <w:highlight w:val="none"/>
              </w:rPr>
            </w:pPr>
          </w:p>
        </w:tc>
        <w:tc>
          <w:tcPr>
            <w:tcW w:w="2565" w:type="dxa"/>
            <w:vAlign w:val="center"/>
          </w:tcPr>
          <w:p w14:paraId="06AB74C8">
            <w:pPr>
              <w:spacing w:line="360" w:lineRule="auto"/>
              <w:jc w:val="center"/>
              <w:rPr>
                <w:rFonts w:hint="eastAsia" w:ascii="仿宋" w:hAnsi="仿宋" w:eastAsia="仿宋" w:cs="仿宋"/>
                <w:color w:val="auto"/>
                <w:sz w:val="24"/>
                <w:highlight w:val="none"/>
              </w:rPr>
            </w:pPr>
          </w:p>
        </w:tc>
      </w:tr>
      <w:tr w14:paraId="09DE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27" w:type="dxa"/>
            <w:vAlign w:val="center"/>
          </w:tcPr>
          <w:p w14:paraId="637D234E">
            <w:pPr>
              <w:spacing w:line="360" w:lineRule="auto"/>
              <w:jc w:val="center"/>
              <w:rPr>
                <w:rFonts w:hint="eastAsia" w:ascii="仿宋" w:hAnsi="仿宋" w:eastAsia="仿宋" w:cs="仿宋"/>
                <w:color w:val="auto"/>
                <w:sz w:val="24"/>
                <w:highlight w:val="none"/>
              </w:rPr>
            </w:pPr>
          </w:p>
        </w:tc>
        <w:tc>
          <w:tcPr>
            <w:tcW w:w="6468" w:type="dxa"/>
            <w:vAlign w:val="center"/>
          </w:tcPr>
          <w:p w14:paraId="6E285C29">
            <w:pPr>
              <w:ind w:left="40" w:leftChars="19"/>
              <w:jc w:val="center"/>
              <w:rPr>
                <w:rFonts w:hint="eastAsia" w:ascii="仿宋" w:hAnsi="仿宋" w:eastAsia="仿宋" w:cs="仿宋"/>
                <w:color w:val="auto"/>
                <w:sz w:val="24"/>
                <w:highlight w:val="none"/>
              </w:rPr>
            </w:pPr>
          </w:p>
        </w:tc>
        <w:tc>
          <w:tcPr>
            <w:tcW w:w="2565" w:type="dxa"/>
            <w:vAlign w:val="center"/>
          </w:tcPr>
          <w:p w14:paraId="32550A81">
            <w:pPr>
              <w:spacing w:line="360" w:lineRule="auto"/>
              <w:jc w:val="center"/>
              <w:rPr>
                <w:rFonts w:hint="eastAsia" w:ascii="仿宋" w:hAnsi="仿宋" w:eastAsia="仿宋" w:cs="仿宋"/>
                <w:color w:val="auto"/>
                <w:sz w:val="24"/>
                <w:highlight w:val="none"/>
              </w:rPr>
            </w:pPr>
          </w:p>
        </w:tc>
      </w:tr>
      <w:tr w14:paraId="0ACC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27" w:type="dxa"/>
            <w:vAlign w:val="center"/>
          </w:tcPr>
          <w:p w14:paraId="039DD302">
            <w:pPr>
              <w:spacing w:line="360" w:lineRule="auto"/>
              <w:jc w:val="center"/>
              <w:rPr>
                <w:rFonts w:hint="eastAsia" w:ascii="仿宋" w:hAnsi="仿宋" w:eastAsia="仿宋" w:cs="仿宋"/>
                <w:color w:val="auto"/>
                <w:sz w:val="24"/>
                <w:highlight w:val="none"/>
              </w:rPr>
            </w:pPr>
          </w:p>
        </w:tc>
        <w:tc>
          <w:tcPr>
            <w:tcW w:w="6468" w:type="dxa"/>
            <w:vAlign w:val="center"/>
          </w:tcPr>
          <w:p w14:paraId="73EFFE92">
            <w:pPr>
              <w:ind w:left="40" w:leftChars="19"/>
              <w:jc w:val="center"/>
              <w:rPr>
                <w:rFonts w:hint="eastAsia" w:ascii="仿宋" w:hAnsi="仿宋" w:eastAsia="仿宋" w:cs="仿宋"/>
                <w:color w:val="auto"/>
                <w:sz w:val="24"/>
                <w:highlight w:val="none"/>
              </w:rPr>
            </w:pPr>
          </w:p>
        </w:tc>
        <w:tc>
          <w:tcPr>
            <w:tcW w:w="2565" w:type="dxa"/>
            <w:vAlign w:val="center"/>
          </w:tcPr>
          <w:p w14:paraId="52A7E24E">
            <w:pPr>
              <w:spacing w:line="360" w:lineRule="auto"/>
              <w:jc w:val="center"/>
              <w:rPr>
                <w:rFonts w:hint="eastAsia" w:ascii="仿宋" w:hAnsi="仿宋" w:eastAsia="仿宋" w:cs="仿宋"/>
                <w:color w:val="auto"/>
                <w:sz w:val="24"/>
                <w:highlight w:val="none"/>
              </w:rPr>
            </w:pPr>
          </w:p>
        </w:tc>
      </w:tr>
      <w:tr w14:paraId="77B2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27" w:type="dxa"/>
            <w:vAlign w:val="center"/>
          </w:tcPr>
          <w:p w14:paraId="172C73FF">
            <w:pPr>
              <w:spacing w:line="360" w:lineRule="auto"/>
              <w:jc w:val="center"/>
              <w:rPr>
                <w:rFonts w:hint="eastAsia" w:ascii="仿宋" w:hAnsi="仿宋" w:eastAsia="仿宋" w:cs="仿宋"/>
                <w:color w:val="auto"/>
                <w:sz w:val="24"/>
                <w:highlight w:val="none"/>
              </w:rPr>
            </w:pPr>
          </w:p>
        </w:tc>
        <w:tc>
          <w:tcPr>
            <w:tcW w:w="6468" w:type="dxa"/>
            <w:vAlign w:val="center"/>
          </w:tcPr>
          <w:p w14:paraId="0C6D20F0">
            <w:pPr>
              <w:ind w:left="40" w:leftChars="19"/>
              <w:jc w:val="center"/>
              <w:rPr>
                <w:rFonts w:hint="eastAsia" w:ascii="仿宋" w:hAnsi="仿宋" w:eastAsia="仿宋" w:cs="仿宋"/>
                <w:color w:val="auto"/>
                <w:sz w:val="24"/>
                <w:highlight w:val="none"/>
              </w:rPr>
            </w:pPr>
          </w:p>
        </w:tc>
        <w:tc>
          <w:tcPr>
            <w:tcW w:w="2565" w:type="dxa"/>
            <w:vAlign w:val="center"/>
          </w:tcPr>
          <w:p w14:paraId="05641D22">
            <w:pPr>
              <w:spacing w:line="360" w:lineRule="auto"/>
              <w:jc w:val="center"/>
              <w:rPr>
                <w:rFonts w:hint="eastAsia" w:ascii="仿宋" w:hAnsi="仿宋" w:eastAsia="仿宋" w:cs="仿宋"/>
                <w:color w:val="auto"/>
                <w:sz w:val="24"/>
                <w:highlight w:val="none"/>
              </w:rPr>
            </w:pPr>
          </w:p>
        </w:tc>
      </w:tr>
    </w:tbl>
    <w:p w14:paraId="170E1E9F">
      <w:pPr>
        <w:rPr>
          <w:rFonts w:hint="eastAsia" w:ascii="仿宋" w:hAnsi="仿宋" w:eastAsia="仿宋" w:cs="仿宋"/>
          <w:color w:val="auto"/>
          <w:sz w:val="24"/>
          <w:highlight w:val="none"/>
        </w:rPr>
      </w:pPr>
    </w:p>
    <w:p w14:paraId="2B79CD1D">
      <w:pPr>
        <w:rPr>
          <w:rFonts w:hint="eastAsia" w:ascii="仿宋" w:hAnsi="仿宋" w:eastAsia="仿宋" w:cs="仿宋"/>
          <w:color w:val="auto"/>
          <w:sz w:val="24"/>
          <w:highlight w:val="none"/>
        </w:rPr>
      </w:pPr>
    </w:p>
    <w:p w14:paraId="213E402B">
      <w:pPr>
        <w:spacing w:line="360" w:lineRule="auto"/>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注：投标人可根据评审项目自行设定表格，本表格只作参考。</w:t>
      </w:r>
    </w:p>
    <w:p w14:paraId="1381D5F5">
      <w:pPr>
        <w:jc w:val="left"/>
        <w:rPr>
          <w:rFonts w:hint="eastAsia" w:ascii="仿宋" w:hAnsi="仿宋" w:eastAsia="仿宋" w:cs="仿宋"/>
          <w:color w:val="auto"/>
          <w:highlight w:val="none"/>
        </w:rPr>
      </w:pPr>
      <w:r>
        <w:rPr>
          <w:rFonts w:hint="eastAsia" w:ascii="仿宋" w:hAnsi="仿宋" w:eastAsia="仿宋" w:cs="仿宋"/>
          <w:color w:val="auto"/>
          <w:sz w:val="28"/>
          <w:szCs w:val="28"/>
          <w:highlight w:val="none"/>
        </w:rPr>
        <w:br w:type="page"/>
      </w:r>
      <w:bookmarkStart w:id="502" w:name="_Toc289519366"/>
    </w:p>
    <w:p w14:paraId="3DE481FB">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五、开标一览表</w:t>
      </w:r>
    </w:p>
    <w:p w14:paraId="01532F16">
      <w:pPr>
        <w:adjustRightInd w:val="0"/>
        <w:snapToGrid w:val="0"/>
        <w:spacing w:line="360" w:lineRule="auto"/>
        <w:rPr>
          <w:rFonts w:hint="eastAsia" w:ascii="仿宋" w:hAnsi="仿宋" w:eastAsia="仿宋" w:cs="仿宋"/>
          <w:color w:val="auto"/>
          <w:sz w:val="24"/>
          <w:highlight w:val="none"/>
        </w:rPr>
      </w:pPr>
    </w:p>
    <w:p w14:paraId="7E5711F7">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采购项目编号： </w:t>
      </w:r>
    </w:p>
    <w:p w14:paraId="392CAE7A">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采购项目名称: </w:t>
      </w:r>
    </w:p>
    <w:tbl>
      <w:tblPr>
        <w:tblStyle w:val="42"/>
        <w:tblW w:w="8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315"/>
        <w:gridCol w:w="5579"/>
      </w:tblGrid>
      <w:tr w14:paraId="236C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747" w:type="dxa"/>
            <w:vAlign w:val="center"/>
          </w:tcPr>
          <w:p w14:paraId="323931EE">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序号</w:t>
            </w:r>
          </w:p>
        </w:tc>
        <w:tc>
          <w:tcPr>
            <w:tcW w:w="2315" w:type="dxa"/>
            <w:vAlign w:val="center"/>
          </w:tcPr>
          <w:p w14:paraId="6EFF2269">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采购项目内容</w:t>
            </w:r>
          </w:p>
        </w:tc>
        <w:tc>
          <w:tcPr>
            <w:tcW w:w="5579" w:type="dxa"/>
            <w:vAlign w:val="center"/>
          </w:tcPr>
          <w:p w14:paraId="59944B1A">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投标报价</w:t>
            </w:r>
          </w:p>
        </w:tc>
      </w:tr>
      <w:tr w14:paraId="458F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47" w:type="dxa"/>
            <w:vMerge w:val="restart"/>
            <w:vAlign w:val="center"/>
          </w:tcPr>
          <w:p w14:paraId="4C0A7FE5">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2315" w:type="dxa"/>
            <w:vMerge w:val="restart"/>
            <w:vAlign w:val="center"/>
          </w:tcPr>
          <w:p w14:paraId="04E87328">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南海文化中心项目结算单审和双审初审服务</w:t>
            </w:r>
          </w:p>
        </w:tc>
        <w:tc>
          <w:tcPr>
            <w:tcW w:w="5579" w:type="dxa"/>
            <w:vAlign w:val="center"/>
          </w:tcPr>
          <w:p w14:paraId="3FE67133">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none"/>
                <w:lang w:val="en-US" w:eastAsia="zh-CN"/>
              </w:rPr>
              <w:t>投标折率</w:t>
            </w:r>
            <w:r>
              <w:rPr>
                <w:rFonts w:hint="eastAsia" w:ascii="仿宋" w:hAnsi="仿宋" w:eastAsia="仿宋" w:cs="仿宋"/>
                <w:color w:val="auto"/>
                <w:sz w:val="24"/>
                <w:szCs w:val="24"/>
                <w:highlight w:val="none"/>
                <w:lang w:val="en-US" w:eastAsia="zh-CN"/>
              </w:rPr>
              <w:t>（大写）：</w:t>
            </w:r>
            <w:r>
              <w:rPr>
                <w:rFonts w:hint="eastAsia" w:ascii="仿宋" w:hAnsi="仿宋" w:eastAsia="仿宋" w:cs="仿宋"/>
                <w:color w:val="auto"/>
                <w:sz w:val="24"/>
                <w:szCs w:val="24"/>
                <w:highlight w:val="none"/>
                <w:u w:val="single"/>
                <w:lang w:val="en-US" w:eastAsia="zh-CN"/>
              </w:rPr>
              <w:t xml:space="preserve">百分之      </w:t>
            </w:r>
          </w:p>
          <w:p w14:paraId="3C596743">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jc w:val="left"/>
              <w:textAlignment w:val="auto"/>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lang w:val="en-US" w:eastAsia="zh-CN"/>
              </w:rPr>
              <w:t>投标折率</w:t>
            </w:r>
            <w:r>
              <w:rPr>
                <w:rFonts w:hint="eastAsia" w:ascii="仿宋" w:hAnsi="仿宋" w:eastAsia="仿宋" w:cs="仿宋"/>
                <w:color w:val="auto"/>
                <w:sz w:val="24"/>
                <w:szCs w:val="24"/>
                <w:highlight w:val="none"/>
                <w:lang w:val="en-US" w:eastAsia="zh-CN"/>
              </w:rPr>
              <w:t>（小写）：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tc>
      </w:tr>
      <w:tr w14:paraId="1F61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1" w:type="dxa"/>
            <w:gridSpan w:val="3"/>
            <w:vAlign w:val="center"/>
          </w:tcPr>
          <w:p w14:paraId="32AFC803">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注：1.投标折率最高投标限价：65.00%。投标折率精确至小数点后2位，若投标折率的小数点后第1位和第2位数字均为0，或者小数点后的第2位数字为0的，可以省略。</w:t>
            </w:r>
          </w:p>
          <w:p w14:paraId="394DFE3E">
            <w:pPr>
              <w:keepNext w:val="0"/>
              <w:keepLines w:val="0"/>
              <w:pageBreakBefore w:val="0"/>
              <w:widowControl w:val="0"/>
              <w:numPr>
                <w:ilvl w:val="0"/>
                <w:numId w:val="0"/>
              </w:numPr>
              <w:tabs>
                <w:tab w:val="left" w:pos="441"/>
              </w:tabs>
              <w:kinsoku/>
              <w:wordWrap/>
              <w:overflowPunct/>
              <w:topLinePunct w:val="0"/>
              <w:autoSpaceDE/>
              <w:autoSpaceDN/>
              <w:bidi w:val="0"/>
              <w:adjustRightInd w:val="0"/>
              <w:snapToGrid w:val="0"/>
              <w:spacing w:line="440" w:lineRule="exact"/>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2.投标人的投标报价不得低于其成本价或高于最高投标限价，否则该投标文件为无效投标。</w:t>
            </w:r>
          </w:p>
        </w:tc>
      </w:tr>
    </w:tbl>
    <w:p w14:paraId="0D7C4689">
      <w:pPr>
        <w:adjustRightInd w:val="0"/>
        <w:snapToGrid w:val="0"/>
        <w:spacing w:line="360" w:lineRule="auto"/>
        <w:rPr>
          <w:rFonts w:hint="eastAsia" w:ascii="仿宋" w:hAnsi="仿宋" w:eastAsia="仿宋" w:cs="仿宋"/>
          <w:color w:val="auto"/>
          <w:sz w:val="24"/>
          <w:highlight w:val="none"/>
        </w:rPr>
      </w:pPr>
    </w:p>
    <w:p w14:paraId="4A044016">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注：1.投标报价大写金额用中文汉字，如壹、贰、叁、肆、伍、陆、柒、捌、玖、拾、佰、仟、万、亿、元、角、分、零、整（正）等。</w:t>
      </w:r>
    </w:p>
    <w:p w14:paraId="6F420F8A">
      <w:pPr>
        <w:adjustRightInd w:val="0"/>
        <w:snapToGrid w:val="0"/>
        <w:spacing w:line="360" w:lineRule="auto"/>
        <w:rPr>
          <w:rFonts w:hint="eastAsia" w:ascii="仿宋" w:hAnsi="仿宋" w:eastAsia="仿宋" w:cs="仿宋"/>
          <w:color w:val="auto"/>
          <w:sz w:val="24"/>
          <w:highlight w:val="none"/>
        </w:rPr>
      </w:pPr>
      <w:bookmarkStart w:id="503" w:name="_Toc26692_WPSOffice_Level1"/>
      <w:bookmarkStart w:id="504" w:name="_Toc22527_WPSOffice_Level1"/>
      <w:r>
        <w:rPr>
          <w:rFonts w:hint="eastAsia" w:ascii="仿宋" w:hAnsi="仿宋" w:eastAsia="仿宋" w:cs="仿宋"/>
          <w:color w:val="auto"/>
          <w:sz w:val="24"/>
          <w:highlight w:val="none"/>
        </w:rPr>
        <w:t>2.投标报价小写金额的小数点后保留两位有效数。</w:t>
      </w:r>
      <w:bookmarkEnd w:id="503"/>
      <w:bookmarkEnd w:id="504"/>
    </w:p>
    <w:p w14:paraId="71DF44F4">
      <w:pPr>
        <w:adjustRightInd w:val="0"/>
        <w:snapToGrid w:val="0"/>
        <w:spacing w:line="360" w:lineRule="auto"/>
        <w:rPr>
          <w:rFonts w:hint="eastAsia" w:ascii="仿宋" w:hAnsi="仿宋" w:eastAsia="仿宋" w:cs="仿宋"/>
          <w:color w:val="auto"/>
          <w:sz w:val="24"/>
          <w:highlight w:val="none"/>
        </w:rPr>
      </w:pPr>
      <w:bookmarkStart w:id="505" w:name="_Toc19130_WPSOffice_Level1"/>
      <w:bookmarkStart w:id="506" w:name="_Toc19112_WPSOffice_Level1"/>
      <w:r>
        <w:rPr>
          <w:rFonts w:hint="eastAsia" w:ascii="仿宋" w:hAnsi="仿宋" w:eastAsia="仿宋" w:cs="仿宋"/>
          <w:color w:val="auto"/>
          <w:sz w:val="24"/>
          <w:highlight w:val="none"/>
        </w:rPr>
        <w:t>3.投标人须按要求填写所有信息，不得随意更改本表格式。</w:t>
      </w:r>
      <w:bookmarkEnd w:id="505"/>
      <w:bookmarkEnd w:id="506"/>
    </w:p>
    <w:p w14:paraId="36BCCC07">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4.本表除了附在投标文件中外，还须另外多制作一份，单独密封提交。</w:t>
      </w:r>
    </w:p>
    <w:p w14:paraId="0D49B463">
      <w:pPr>
        <w:adjustRightInd w:val="0"/>
        <w:snapToGrid w:val="0"/>
        <w:spacing w:line="360" w:lineRule="auto"/>
        <w:rPr>
          <w:rFonts w:hint="eastAsia" w:ascii="仿宋" w:hAnsi="仿宋" w:eastAsia="仿宋" w:cs="仿宋"/>
          <w:color w:val="auto"/>
          <w:sz w:val="24"/>
          <w:highlight w:val="none"/>
        </w:rPr>
      </w:pPr>
    </w:p>
    <w:p w14:paraId="5BC4D028">
      <w:pPr>
        <w:adjustRightInd w:val="0"/>
        <w:snapToGrid w:val="0"/>
        <w:spacing w:line="360" w:lineRule="auto"/>
        <w:rPr>
          <w:rFonts w:hint="eastAsia" w:ascii="仿宋" w:hAnsi="仿宋" w:eastAsia="仿宋" w:cs="仿宋"/>
          <w:color w:val="auto"/>
          <w:sz w:val="24"/>
          <w:highlight w:val="none"/>
        </w:rPr>
      </w:pPr>
    </w:p>
    <w:p w14:paraId="14EB546F">
      <w:pPr>
        <w:adjustRightInd w:val="0"/>
        <w:snapToGrid w:val="0"/>
        <w:spacing w:line="360" w:lineRule="auto"/>
        <w:rPr>
          <w:rFonts w:hint="eastAsia" w:ascii="仿宋" w:hAnsi="仿宋" w:eastAsia="仿宋" w:cs="仿宋"/>
          <w:color w:val="auto"/>
          <w:sz w:val="24"/>
          <w:highlight w:val="none"/>
        </w:rPr>
      </w:pPr>
    </w:p>
    <w:p w14:paraId="454D52F9">
      <w:pPr>
        <w:adjustRightInd w:val="0"/>
        <w:snapToGrid w:val="0"/>
        <w:spacing w:line="360" w:lineRule="auto"/>
        <w:rPr>
          <w:rFonts w:hint="eastAsia" w:ascii="仿宋" w:hAnsi="仿宋" w:eastAsia="仿宋" w:cs="仿宋"/>
          <w:color w:val="auto"/>
          <w:sz w:val="24"/>
          <w:highlight w:val="none"/>
        </w:rPr>
      </w:pPr>
      <w:bookmarkStart w:id="507" w:name="OLE_LINK24"/>
      <w:r>
        <w:rPr>
          <w:rFonts w:hint="eastAsia" w:ascii="仿宋" w:hAnsi="仿宋" w:eastAsia="仿宋" w:cs="仿宋"/>
          <w:color w:val="auto"/>
          <w:sz w:val="24"/>
          <w:highlight w:val="none"/>
        </w:rPr>
        <w:t>投标人法定代表人/负责人（或法定代表人/负责人授权代表）签字</w:t>
      </w:r>
      <w:bookmarkEnd w:id="507"/>
      <w:r>
        <w:rPr>
          <w:rFonts w:hint="eastAsia" w:ascii="仿宋" w:hAnsi="仿宋" w:eastAsia="仿宋" w:cs="仿宋"/>
          <w:color w:val="auto"/>
          <w:sz w:val="24"/>
          <w:highlight w:val="none"/>
          <w:lang w:val="en-US" w:eastAsia="zh-CN"/>
        </w:rPr>
        <w:t>或盖章</w:t>
      </w:r>
      <w:r>
        <w:rPr>
          <w:rFonts w:hint="eastAsia" w:ascii="仿宋" w:hAnsi="仿宋" w:eastAsia="仿宋" w:cs="仿宋"/>
          <w:color w:val="auto"/>
          <w:sz w:val="24"/>
          <w:highlight w:val="none"/>
        </w:rPr>
        <w:t xml:space="preserve">： </w:t>
      </w:r>
    </w:p>
    <w:p w14:paraId="215008FF">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投标人名称(加盖公章)： </w:t>
      </w:r>
    </w:p>
    <w:p w14:paraId="653A04EE">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166942AE">
      <w:pPr>
        <w:spacing w:line="360" w:lineRule="auto"/>
        <w:ind w:firstLine="570"/>
        <w:rPr>
          <w:rFonts w:hint="eastAsia" w:ascii="仿宋" w:hAnsi="仿宋" w:eastAsia="仿宋" w:cs="仿宋"/>
          <w:color w:val="auto"/>
          <w:highlight w:val="none"/>
        </w:rPr>
      </w:pPr>
    </w:p>
    <w:bookmarkEnd w:id="502"/>
    <w:p w14:paraId="29871DE3">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color w:val="auto"/>
          <w:highlight w:val="none"/>
        </w:rPr>
        <w:br w:type="page"/>
      </w:r>
      <w:bookmarkStart w:id="508" w:name="_Toc21954_WPSOffice_Level1"/>
      <w:bookmarkStart w:id="509" w:name="_Toc4240_WPSOffice_Level1"/>
      <w:r>
        <w:rPr>
          <w:rFonts w:hint="eastAsia" w:ascii="仿宋" w:hAnsi="仿宋" w:eastAsia="仿宋" w:cs="仿宋"/>
          <w:b/>
          <w:bCs/>
          <w:color w:val="auto"/>
          <w:sz w:val="30"/>
          <w:szCs w:val="30"/>
          <w:highlight w:val="none"/>
          <w:lang w:val="en-US" w:eastAsia="zh-CN"/>
        </w:rPr>
        <w:t>六、投标函</w:t>
      </w:r>
      <w:bookmarkEnd w:id="508"/>
      <w:bookmarkEnd w:id="509"/>
    </w:p>
    <w:p w14:paraId="74435116">
      <w:pPr>
        <w:pStyle w:val="49"/>
        <w:rPr>
          <w:rFonts w:hint="eastAsia" w:ascii="仿宋" w:hAnsi="仿宋" w:eastAsia="仿宋" w:cs="仿宋"/>
          <w:color w:val="auto"/>
          <w:highlight w:val="none"/>
        </w:rPr>
      </w:pPr>
    </w:p>
    <w:p w14:paraId="3B69CA87">
      <w:pPr>
        <w:adjustRightInd w:val="0"/>
        <w:snapToGrid w:val="0"/>
        <w:spacing w:line="360" w:lineRule="auto"/>
        <w:ind w:firstLine="120" w:firstLineChars="50"/>
        <w:rPr>
          <w:rFonts w:hint="eastAsia" w:ascii="仿宋" w:hAnsi="仿宋" w:eastAsia="仿宋" w:cs="仿宋"/>
          <w:b/>
          <w:bCs/>
          <w:color w:val="auto"/>
          <w:sz w:val="24"/>
          <w:highlight w:val="none"/>
          <w:u w:val="none"/>
        </w:rPr>
      </w:pPr>
      <w:r>
        <w:rPr>
          <w:rFonts w:hint="eastAsia" w:ascii="仿宋" w:hAnsi="仿宋" w:eastAsia="仿宋" w:cs="仿宋"/>
          <w:b/>
          <w:bCs/>
          <w:color w:val="auto"/>
          <w:sz w:val="24"/>
          <w:highlight w:val="none"/>
          <w:u w:val="none"/>
          <w:lang w:eastAsia="zh-CN"/>
        </w:rPr>
        <w:t>佛山市南海有为百越文化有限公司</w:t>
      </w:r>
      <w:r>
        <w:rPr>
          <w:rFonts w:hint="eastAsia" w:ascii="仿宋" w:hAnsi="仿宋" w:eastAsia="仿宋" w:cs="仿宋"/>
          <w:b/>
          <w:bCs/>
          <w:color w:val="auto"/>
          <w:sz w:val="24"/>
          <w:highlight w:val="none"/>
          <w:u w:val="none"/>
        </w:rPr>
        <w:t xml:space="preserve">： </w:t>
      </w:r>
    </w:p>
    <w:p w14:paraId="6E9DD771">
      <w:pPr>
        <w:autoSpaceDE w:val="0"/>
        <w:autoSpaceDN w:val="0"/>
        <w:adjustRightInd w:val="0"/>
        <w:spacing w:line="360" w:lineRule="auto"/>
        <w:ind w:right="26" w:firstLine="480" w:firstLineChars="200"/>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4"/>
          <w:highlight w:val="none"/>
        </w:rPr>
        <w:t>依据贵方</w:t>
      </w:r>
      <w:r>
        <w:rPr>
          <w:rFonts w:hint="eastAsia" w:ascii="仿宋" w:hAnsi="仿宋" w:eastAsia="仿宋" w:cs="仿宋"/>
          <w:color w:val="auto"/>
          <w:sz w:val="24"/>
          <w:highlight w:val="none"/>
          <w:u w:val="single"/>
          <w:lang w:eastAsia="zh-CN"/>
        </w:rPr>
        <w:t>南海文化中心项目结算单审和双审初审服务</w:t>
      </w:r>
      <w:r>
        <w:rPr>
          <w:rFonts w:hint="eastAsia" w:ascii="仿宋" w:hAnsi="仿宋" w:eastAsia="仿宋" w:cs="仿宋"/>
          <w:color w:val="auto"/>
          <w:kern w:val="0"/>
          <w:sz w:val="24"/>
          <w:highlight w:val="none"/>
        </w:rPr>
        <w:t>的投标邀请，</w:t>
      </w:r>
      <w:r>
        <w:rPr>
          <w:rFonts w:hint="eastAsia" w:ascii="仿宋" w:hAnsi="仿宋" w:eastAsia="仿宋" w:cs="仿宋"/>
          <w:color w:val="auto"/>
          <w:kern w:val="0"/>
          <w:sz w:val="22"/>
          <w:szCs w:val="22"/>
          <w:highlight w:val="none"/>
        </w:rPr>
        <w:t>我方代表</w:t>
      </w:r>
      <w:r>
        <w:rPr>
          <w:rFonts w:hint="eastAsia" w:ascii="仿宋" w:hAnsi="仿宋" w:eastAsia="仿宋" w:cs="仿宋"/>
          <w:color w:val="auto"/>
          <w:sz w:val="22"/>
          <w:szCs w:val="22"/>
          <w:highlight w:val="none"/>
          <w:u w:val="single"/>
        </w:rPr>
        <w:t>（姓名、职务）</w:t>
      </w:r>
      <w:r>
        <w:rPr>
          <w:rFonts w:hint="eastAsia" w:ascii="仿宋" w:hAnsi="仿宋" w:eastAsia="仿宋" w:cs="仿宋"/>
          <w:color w:val="auto"/>
          <w:kern w:val="0"/>
          <w:sz w:val="22"/>
          <w:szCs w:val="22"/>
          <w:highlight w:val="none"/>
        </w:rPr>
        <w:t>经正式授权并代表</w:t>
      </w:r>
      <w:r>
        <w:rPr>
          <w:rFonts w:hint="eastAsia" w:ascii="仿宋" w:hAnsi="仿宋" w:eastAsia="仿宋" w:cs="仿宋"/>
          <w:color w:val="auto"/>
          <w:sz w:val="22"/>
          <w:szCs w:val="22"/>
          <w:highlight w:val="none"/>
          <w:u w:val="single"/>
        </w:rPr>
        <w:t>（投标人名称、地址）</w:t>
      </w:r>
      <w:r>
        <w:rPr>
          <w:rFonts w:hint="eastAsia" w:ascii="仿宋" w:hAnsi="仿宋" w:eastAsia="仿宋" w:cs="仿宋"/>
          <w:color w:val="auto"/>
          <w:kern w:val="0"/>
          <w:sz w:val="22"/>
          <w:szCs w:val="22"/>
          <w:highlight w:val="none"/>
        </w:rPr>
        <w:t>提交资格审查资料正本一份、副本四份，投标文件正本一份，副本四份，开标一览表一份，投标文件电子版一份。</w:t>
      </w:r>
    </w:p>
    <w:p w14:paraId="24C89B29">
      <w:pPr>
        <w:autoSpaceDE w:val="0"/>
        <w:autoSpaceDN w:val="0"/>
        <w:adjustRightInd w:val="0"/>
        <w:spacing w:line="360" w:lineRule="auto"/>
        <w:ind w:right="246"/>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在此，我方声明如下：</w:t>
      </w:r>
    </w:p>
    <w:p w14:paraId="1971A523">
      <w:pPr>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1.同意并接受采购文件的各项要求，遵守采购文件中的各项规定，按采购文件的要求提供报价。</w:t>
      </w:r>
    </w:p>
    <w:p w14:paraId="6949C80A">
      <w:pPr>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2.投标有效期为从提交投标文件的截止之日起90天，中标人的投标有效期延续到合同终止日。</w:t>
      </w:r>
    </w:p>
    <w:p w14:paraId="7F2815F0">
      <w:pPr>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3.我方已经详细地阅读了全部采购文件及其附件，包括澄清及参考文件(如果有的话)。我方已完全清晰理解采购文件的要求，不存在任何含糊不清和误解之处，同意放弃对这些文件所提出的异议和质疑的权利。</w:t>
      </w:r>
    </w:p>
    <w:p w14:paraId="6993A912">
      <w:pPr>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4.我方已毫无保留地向贵方提供一切所需的证明材料。</w:t>
      </w:r>
    </w:p>
    <w:p w14:paraId="5D87ADCD">
      <w:pPr>
        <w:spacing w:line="360" w:lineRule="auto"/>
        <w:ind w:firstLine="413" w:firstLineChars="188"/>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5.我方承诺在本次投标文件中提供的一切文件，无论是原件还是复印件均为真实和准确的，绝无任何虚假、伪造和夸大的成份，否则，愿承担相应的后果和法律责任。</w:t>
      </w:r>
    </w:p>
    <w:p w14:paraId="1B8CA79E">
      <w:pPr>
        <w:spacing w:line="360" w:lineRule="auto"/>
        <w:ind w:firstLine="442" w:firstLineChars="201"/>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6.我方完全服从和尊重评委会所作的评定结果，同时清楚理解到报价最低并非意味着必定获得中标资格。</w:t>
      </w:r>
    </w:p>
    <w:p w14:paraId="60A4D99F">
      <w:pPr>
        <w:spacing w:line="360" w:lineRule="auto"/>
        <w:ind w:firstLine="442" w:firstLineChars="201"/>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7.我方同意按采购文件规定缴纳中标服务费</w:t>
      </w:r>
      <w:r>
        <w:rPr>
          <w:rFonts w:hint="eastAsia" w:ascii="仿宋" w:hAnsi="仿宋" w:eastAsia="仿宋" w:cs="仿宋"/>
          <w:color w:val="auto"/>
          <w:sz w:val="22"/>
          <w:szCs w:val="22"/>
          <w:highlight w:val="none"/>
          <w:lang w:val="en-US" w:eastAsia="zh-CN"/>
        </w:rPr>
        <w:t>及组织交易</w:t>
      </w:r>
      <w:r>
        <w:rPr>
          <w:rFonts w:hint="eastAsia" w:ascii="仿宋" w:hAnsi="仿宋" w:eastAsia="仿宋" w:cs="仿宋"/>
          <w:color w:val="auto"/>
          <w:sz w:val="22"/>
          <w:szCs w:val="22"/>
          <w:highlight w:val="none"/>
        </w:rPr>
        <w:t>服务费。</w:t>
      </w:r>
    </w:p>
    <w:p w14:paraId="73813A62">
      <w:pPr>
        <w:autoSpaceDE w:val="0"/>
        <w:autoSpaceDN w:val="0"/>
        <w:adjustRightInd w:val="0"/>
        <w:spacing w:line="360" w:lineRule="auto"/>
        <w:ind w:right="246"/>
        <w:rPr>
          <w:rFonts w:hint="eastAsia" w:ascii="仿宋" w:hAnsi="仿宋" w:eastAsia="仿宋" w:cs="仿宋"/>
          <w:color w:val="auto"/>
          <w:kern w:val="0"/>
          <w:sz w:val="22"/>
          <w:szCs w:val="22"/>
          <w:highlight w:val="none"/>
        </w:rPr>
      </w:pPr>
    </w:p>
    <w:p w14:paraId="6EBB9DBA">
      <w:pPr>
        <w:autoSpaceDE w:val="0"/>
        <w:autoSpaceDN w:val="0"/>
        <w:adjustRightInd w:val="0"/>
        <w:spacing w:line="360" w:lineRule="auto"/>
        <w:ind w:right="246"/>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rPr>
        <w:t>投标人</w:t>
      </w:r>
      <w:r>
        <w:rPr>
          <w:rFonts w:hint="eastAsia" w:ascii="仿宋" w:hAnsi="仿宋" w:eastAsia="仿宋" w:cs="仿宋"/>
          <w:color w:val="auto"/>
          <w:sz w:val="22"/>
          <w:szCs w:val="22"/>
          <w:highlight w:val="none"/>
        </w:rPr>
        <w:t>名称(加盖公章)：</w:t>
      </w:r>
      <w:r>
        <w:rPr>
          <w:rFonts w:hint="eastAsia" w:ascii="仿宋" w:hAnsi="仿宋" w:eastAsia="仿宋" w:cs="仿宋"/>
          <w:color w:val="auto"/>
          <w:sz w:val="22"/>
          <w:szCs w:val="22"/>
          <w:highlight w:val="none"/>
          <w:u w:val="single"/>
        </w:rPr>
        <w:t xml:space="preserve">              </w:t>
      </w:r>
    </w:p>
    <w:p w14:paraId="580B04F5">
      <w:pPr>
        <w:autoSpaceDE w:val="0"/>
        <w:autoSpaceDN w:val="0"/>
        <w:adjustRightInd w:val="0"/>
        <w:spacing w:line="360" w:lineRule="auto"/>
        <w:ind w:right="246"/>
        <w:rPr>
          <w:rFonts w:hint="eastAsia" w:ascii="仿宋" w:hAnsi="仿宋" w:eastAsia="仿宋" w:cs="仿宋"/>
          <w:color w:val="auto"/>
          <w:sz w:val="22"/>
          <w:szCs w:val="22"/>
          <w:highlight w:val="none"/>
          <w:u w:val="single"/>
        </w:rPr>
      </w:pPr>
      <w:r>
        <w:rPr>
          <w:rFonts w:hint="eastAsia" w:ascii="仿宋" w:hAnsi="仿宋" w:eastAsia="仿宋" w:cs="仿宋"/>
          <w:color w:val="auto"/>
          <w:kern w:val="0"/>
          <w:sz w:val="22"/>
          <w:szCs w:val="22"/>
          <w:highlight w:val="none"/>
        </w:rPr>
        <w:t>投标人法定代表人/负责人（或法定代表人/负责人授权代表）签字</w:t>
      </w:r>
      <w:r>
        <w:rPr>
          <w:rFonts w:hint="eastAsia" w:ascii="仿宋" w:hAnsi="仿宋" w:eastAsia="仿宋" w:cs="仿宋"/>
          <w:color w:val="auto"/>
          <w:kern w:val="0"/>
          <w:sz w:val="22"/>
          <w:szCs w:val="22"/>
          <w:highlight w:val="none"/>
          <w:lang w:val="en-US" w:eastAsia="zh-CN"/>
        </w:rPr>
        <w:t>或盖章</w:t>
      </w: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u w:val="single"/>
        </w:rPr>
        <w:t xml:space="preserve">             </w:t>
      </w:r>
    </w:p>
    <w:p w14:paraId="0C9BCBE3">
      <w:pPr>
        <w:autoSpaceDE w:val="0"/>
        <w:autoSpaceDN w:val="0"/>
        <w:adjustRightInd w:val="0"/>
        <w:spacing w:line="360" w:lineRule="auto"/>
        <w:ind w:right="246"/>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地址：</w:t>
      </w:r>
      <w:r>
        <w:rPr>
          <w:rFonts w:hint="eastAsia" w:ascii="仿宋" w:hAnsi="仿宋" w:eastAsia="仿宋" w:cs="仿宋"/>
          <w:color w:val="auto"/>
          <w:kern w:val="0"/>
          <w:sz w:val="22"/>
          <w:szCs w:val="22"/>
          <w:highlight w:val="none"/>
          <w:u w:val="single"/>
        </w:rPr>
        <w:t xml:space="preserve">             </w:t>
      </w:r>
      <w:r>
        <w:rPr>
          <w:rFonts w:hint="eastAsia" w:ascii="仿宋" w:hAnsi="仿宋" w:eastAsia="仿宋" w:cs="仿宋"/>
          <w:color w:val="auto"/>
          <w:kern w:val="0"/>
          <w:sz w:val="22"/>
          <w:szCs w:val="22"/>
          <w:highlight w:val="none"/>
        </w:rPr>
        <w:t xml:space="preserve">    </w:t>
      </w:r>
    </w:p>
    <w:p w14:paraId="254DB8B0">
      <w:pPr>
        <w:autoSpaceDE w:val="0"/>
        <w:autoSpaceDN w:val="0"/>
        <w:adjustRightInd w:val="0"/>
        <w:spacing w:line="360" w:lineRule="auto"/>
        <w:ind w:right="246"/>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电话：</w:t>
      </w:r>
      <w:r>
        <w:rPr>
          <w:rFonts w:hint="eastAsia" w:ascii="仿宋" w:hAnsi="仿宋" w:eastAsia="仿宋" w:cs="仿宋"/>
          <w:color w:val="auto"/>
          <w:kern w:val="0"/>
          <w:sz w:val="22"/>
          <w:szCs w:val="22"/>
          <w:highlight w:val="none"/>
          <w:u w:val="single"/>
        </w:rPr>
        <w:t xml:space="preserve">              </w:t>
      </w:r>
      <w:r>
        <w:rPr>
          <w:rFonts w:hint="eastAsia" w:ascii="仿宋" w:hAnsi="仿宋" w:eastAsia="仿宋" w:cs="仿宋"/>
          <w:color w:val="auto"/>
          <w:kern w:val="0"/>
          <w:sz w:val="22"/>
          <w:szCs w:val="22"/>
          <w:highlight w:val="none"/>
        </w:rPr>
        <w:t>传真：</w:t>
      </w:r>
      <w:r>
        <w:rPr>
          <w:rFonts w:hint="eastAsia" w:ascii="仿宋" w:hAnsi="仿宋" w:eastAsia="仿宋" w:cs="仿宋"/>
          <w:color w:val="auto"/>
          <w:kern w:val="0"/>
          <w:sz w:val="22"/>
          <w:szCs w:val="22"/>
          <w:highlight w:val="none"/>
          <w:u w:val="single"/>
        </w:rPr>
        <w:t xml:space="preserve">              </w:t>
      </w:r>
      <w:r>
        <w:rPr>
          <w:rFonts w:hint="eastAsia" w:ascii="仿宋" w:hAnsi="仿宋" w:eastAsia="仿宋" w:cs="仿宋"/>
          <w:color w:val="auto"/>
          <w:kern w:val="0"/>
          <w:sz w:val="22"/>
          <w:szCs w:val="22"/>
          <w:highlight w:val="none"/>
        </w:rPr>
        <w:t xml:space="preserve">   电子邮件：</w:t>
      </w:r>
      <w:r>
        <w:rPr>
          <w:rFonts w:hint="eastAsia" w:ascii="仿宋" w:hAnsi="仿宋" w:eastAsia="仿宋" w:cs="仿宋"/>
          <w:color w:val="auto"/>
          <w:kern w:val="0"/>
          <w:sz w:val="22"/>
          <w:szCs w:val="22"/>
          <w:highlight w:val="none"/>
          <w:u w:val="single"/>
        </w:rPr>
        <w:t xml:space="preserve">         </w:t>
      </w:r>
    </w:p>
    <w:p w14:paraId="6EA45811">
      <w:pPr>
        <w:adjustRightInd w:val="0"/>
        <w:snapToGrid w:val="0"/>
        <w:spacing w:line="360" w:lineRule="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rPr>
        <w:t>开户银行：</w:t>
      </w:r>
      <w:r>
        <w:rPr>
          <w:rFonts w:hint="eastAsia" w:ascii="仿宋" w:hAnsi="仿宋" w:eastAsia="仿宋" w:cs="仿宋"/>
          <w:color w:val="auto"/>
          <w:sz w:val="22"/>
          <w:szCs w:val="22"/>
          <w:highlight w:val="none"/>
          <w:u w:val="single"/>
        </w:rPr>
        <w:t xml:space="preserve">         </w:t>
      </w:r>
    </w:p>
    <w:p w14:paraId="7C25103C">
      <w:pPr>
        <w:tabs>
          <w:tab w:val="left" w:pos="5250"/>
        </w:tabs>
        <w:autoSpaceDE w:val="0"/>
        <w:autoSpaceDN w:val="0"/>
        <w:spacing w:line="360" w:lineRule="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账号</w:t>
      </w: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u w:val="single"/>
        </w:rPr>
        <w:t xml:space="preserve">             </w:t>
      </w:r>
    </w:p>
    <w:p w14:paraId="6756D888">
      <w:pPr>
        <w:adjustRightInd w:val="0"/>
        <w:snapToGrid w:val="0"/>
        <w:spacing w:line="360" w:lineRule="auto"/>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p>
    <w:p w14:paraId="4FE10F40">
      <w:pPr>
        <w:spacing w:line="24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722A4A6B">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七、法定代表人/负责人资格证明书</w:t>
      </w:r>
    </w:p>
    <w:p w14:paraId="404C860A">
      <w:pPr>
        <w:spacing w:line="500" w:lineRule="exact"/>
        <w:jc w:val="center"/>
        <w:rPr>
          <w:rFonts w:hint="eastAsia" w:ascii="仿宋" w:hAnsi="仿宋" w:eastAsia="仿宋" w:cs="仿宋"/>
          <w:b/>
          <w:color w:val="auto"/>
          <w:sz w:val="24"/>
          <w:highlight w:val="none"/>
        </w:rPr>
      </w:pPr>
    </w:p>
    <w:p w14:paraId="70321DE6">
      <w:pPr>
        <w:adjustRightInd w:val="0"/>
        <w:snapToGrid w:val="0"/>
        <w:spacing w:line="500" w:lineRule="exact"/>
        <w:ind w:firstLine="120" w:firstLineChars="50"/>
        <w:rPr>
          <w:rFonts w:hint="eastAsia" w:ascii="仿宋" w:hAnsi="仿宋" w:eastAsia="仿宋" w:cs="仿宋"/>
          <w:b/>
          <w:bCs/>
          <w:color w:val="auto"/>
          <w:sz w:val="24"/>
          <w:szCs w:val="21"/>
          <w:highlight w:val="none"/>
          <w:u w:val="none"/>
        </w:rPr>
      </w:pPr>
      <w:r>
        <w:rPr>
          <w:rFonts w:hint="eastAsia" w:ascii="仿宋" w:hAnsi="仿宋" w:eastAsia="仿宋" w:cs="仿宋"/>
          <w:b/>
          <w:bCs/>
          <w:color w:val="auto"/>
          <w:sz w:val="24"/>
          <w:highlight w:val="none"/>
        </w:rPr>
        <w:t>致</w:t>
      </w:r>
      <w:r>
        <w:rPr>
          <w:rFonts w:hint="eastAsia" w:ascii="仿宋" w:hAnsi="仿宋" w:eastAsia="仿宋" w:cs="仿宋"/>
          <w:b/>
          <w:bCs/>
          <w:color w:val="auto"/>
          <w:sz w:val="24"/>
          <w:highlight w:val="none"/>
          <w:u w:val="single"/>
          <w:lang w:eastAsia="zh-CN"/>
        </w:rPr>
        <w:t>佛山市南海有为百越文化有限公司</w:t>
      </w:r>
      <w:r>
        <w:rPr>
          <w:rFonts w:hint="eastAsia" w:ascii="仿宋" w:hAnsi="仿宋" w:eastAsia="仿宋" w:cs="仿宋"/>
          <w:b/>
          <w:bCs/>
          <w:color w:val="auto"/>
          <w:sz w:val="24"/>
          <w:highlight w:val="none"/>
          <w:u w:val="none"/>
        </w:rPr>
        <w:t xml:space="preserve">： </w:t>
      </w:r>
    </w:p>
    <w:p w14:paraId="3714FA8A">
      <w:pPr>
        <w:adjustRightInd w:val="0"/>
        <w:snapToGrid w:val="0"/>
        <w:spacing w:line="500" w:lineRule="exact"/>
        <w:ind w:firstLine="105" w:firstLineChars="50"/>
        <w:rPr>
          <w:rFonts w:hint="eastAsia" w:ascii="仿宋" w:hAnsi="仿宋" w:eastAsia="仿宋" w:cs="仿宋"/>
          <w:color w:val="auto"/>
          <w:szCs w:val="21"/>
          <w:highlight w:val="none"/>
        </w:rPr>
      </w:pPr>
    </w:p>
    <w:p w14:paraId="1045E978">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6"/>
          <w:szCs w:val="28"/>
          <w:highlight w:val="none"/>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同志，现任我单位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职务，为法定代表人/负责人，特此证明。</w:t>
      </w:r>
    </w:p>
    <w:p w14:paraId="7EF384DA">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签发日期：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单位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（盖章）</w:t>
      </w:r>
    </w:p>
    <w:p w14:paraId="3DE81200">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附：</w:t>
      </w:r>
    </w:p>
    <w:p w14:paraId="52B55B6C">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法定代表人/负责人的性别：            年龄：           </w:t>
      </w:r>
    </w:p>
    <w:p w14:paraId="4F1D9A6C">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p>
    <w:p w14:paraId="4FE0D56A">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p w14:paraId="7A360EAC">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营业执照号码：        经济性质：</w:t>
      </w:r>
    </w:p>
    <w:p w14:paraId="6B68FF00">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主营（产）：</w:t>
      </w:r>
    </w:p>
    <w:p w14:paraId="66D7B7D0">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兼营（产）：</w:t>
      </w:r>
    </w:p>
    <w:p w14:paraId="51E8A5FB">
      <w:pPr>
        <w:spacing w:line="500" w:lineRule="exact"/>
        <w:rPr>
          <w:rFonts w:hint="eastAsia" w:ascii="仿宋" w:hAnsi="仿宋" w:eastAsia="仿宋" w:cs="仿宋"/>
          <w:color w:val="auto"/>
          <w:sz w:val="24"/>
          <w:highlight w:val="none"/>
        </w:rPr>
      </w:pPr>
    </w:p>
    <w:p w14:paraId="143067EE">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说明：1.法定代表人/负责人为企业事业单位、国家机关、社会团体的主要行政负责人。</w:t>
      </w:r>
    </w:p>
    <w:p w14:paraId="7A21FCCB">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2.内容必须填写真实、清楚、涂改无效，不得转让、买卖。</w:t>
      </w:r>
    </w:p>
    <w:p w14:paraId="350AEF9B">
      <w:pPr>
        <w:spacing w:line="500" w:lineRule="exact"/>
        <w:ind w:firstLine="723" w:firstLineChars="3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val="en-US" w:eastAsia="zh-CN"/>
        </w:rPr>
        <w:t>本</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法定代表人/负责人资格证明书</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szCs w:val="24"/>
          <w:highlight w:val="none"/>
          <w:lang w:val="en-US" w:eastAsia="zh-CN"/>
        </w:rPr>
        <w:t>须附上法定代表人/负责人的身份证复印件</w:t>
      </w:r>
      <w:r>
        <w:rPr>
          <w:rFonts w:hint="eastAsia" w:ascii="仿宋" w:hAnsi="仿宋" w:eastAsia="仿宋" w:cs="仿宋"/>
          <w:b/>
          <w:bCs/>
          <w:color w:val="auto"/>
          <w:sz w:val="24"/>
          <w:highlight w:val="none"/>
        </w:rPr>
        <w:t>。</w:t>
      </w:r>
    </w:p>
    <w:p w14:paraId="1D7624AD">
      <w:pPr>
        <w:spacing w:line="500" w:lineRule="exact"/>
        <w:ind w:firstLine="723" w:firstLineChars="300"/>
        <w:rPr>
          <w:rFonts w:hint="eastAsia" w:ascii="仿宋" w:hAnsi="仿宋" w:eastAsia="仿宋" w:cs="仿宋"/>
          <w:b/>
          <w:bCs/>
          <w:color w:val="auto"/>
          <w:sz w:val="24"/>
          <w:highlight w:val="none"/>
        </w:rPr>
      </w:pPr>
    </w:p>
    <w:p w14:paraId="7E1F9BD4">
      <w:pPr>
        <w:spacing w:line="500" w:lineRule="exact"/>
        <w:rPr>
          <w:rFonts w:hint="eastAsia" w:ascii="仿宋" w:hAnsi="仿宋" w:eastAsia="仿宋" w:cs="仿宋"/>
          <w:b/>
          <w:color w:val="auto"/>
          <w:sz w:val="28"/>
          <w:szCs w:val="28"/>
          <w:highlight w:val="none"/>
        </w:rPr>
      </w:pPr>
    </w:p>
    <w:p w14:paraId="0FD533A3">
      <w:pPr>
        <w:spacing w:line="500" w:lineRule="exact"/>
        <w:rPr>
          <w:rFonts w:hint="eastAsia" w:ascii="仿宋" w:hAnsi="仿宋" w:eastAsia="仿宋" w:cs="仿宋"/>
          <w:b/>
          <w:color w:val="auto"/>
          <w:sz w:val="28"/>
          <w:szCs w:val="28"/>
          <w:highlight w:val="none"/>
        </w:rPr>
      </w:pPr>
    </w:p>
    <w:p w14:paraId="0EC4BDAD">
      <w:pPr>
        <w:spacing w:line="500" w:lineRule="exact"/>
        <w:rPr>
          <w:rFonts w:hint="eastAsia" w:ascii="仿宋" w:hAnsi="仿宋" w:eastAsia="仿宋" w:cs="仿宋"/>
          <w:b/>
          <w:color w:val="auto"/>
          <w:sz w:val="28"/>
          <w:szCs w:val="28"/>
          <w:highlight w:val="none"/>
        </w:rPr>
      </w:pPr>
    </w:p>
    <w:p w14:paraId="70E1F8E7">
      <w:pPr>
        <w:spacing w:line="500" w:lineRule="exact"/>
        <w:rPr>
          <w:rFonts w:hint="eastAsia" w:ascii="仿宋" w:hAnsi="仿宋" w:eastAsia="仿宋" w:cs="仿宋"/>
          <w:b/>
          <w:color w:val="auto"/>
          <w:sz w:val="28"/>
          <w:szCs w:val="28"/>
          <w:highlight w:val="none"/>
        </w:rPr>
      </w:pPr>
    </w:p>
    <w:p w14:paraId="7F55F013">
      <w:pPr>
        <w:spacing w:line="500" w:lineRule="exact"/>
        <w:rPr>
          <w:rFonts w:hint="eastAsia" w:ascii="仿宋" w:hAnsi="仿宋" w:eastAsia="仿宋" w:cs="仿宋"/>
          <w:b/>
          <w:color w:val="auto"/>
          <w:sz w:val="28"/>
          <w:szCs w:val="28"/>
          <w:highlight w:val="none"/>
        </w:rPr>
      </w:pPr>
    </w:p>
    <w:p w14:paraId="1343191F">
      <w:pPr>
        <w:spacing w:line="500" w:lineRule="exact"/>
        <w:rPr>
          <w:rFonts w:hint="eastAsia" w:ascii="仿宋" w:hAnsi="仿宋" w:eastAsia="仿宋" w:cs="仿宋"/>
          <w:b/>
          <w:color w:val="auto"/>
          <w:sz w:val="28"/>
          <w:szCs w:val="28"/>
          <w:highlight w:val="none"/>
        </w:rPr>
      </w:pPr>
    </w:p>
    <w:p w14:paraId="56FACAE2">
      <w:pPr>
        <w:tabs>
          <w:tab w:val="left" w:pos="654"/>
          <w:tab w:val="left" w:pos="1734"/>
          <w:tab w:val="left" w:pos="2814"/>
          <w:tab w:val="left" w:pos="3894"/>
          <w:tab w:val="left" w:pos="5334"/>
          <w:tab w:val="left" w:pos="6414"/>
          <w:tab w:val="left" w:pos="7254"/>
          <w:tab w:val="left" w:pos="8574"/>
          <w:tab w:val="left" w:pos="9654"/>
        </w:tabs>
        <w:spacing w:line="500" w:lineRule="exact"/>
        <w:jc w:val="center"/>
        <w:rPr>
          <w:rFonts w:hint="eastAsia" w:ascii="仿宋" w:hAnsi="仿宋" w:eastAsia="仿宋" w:cs="仿宋"/>
          <w:b/>
          <w:color w:val="auto"/>
          <w:sz w:val="24"/>
          <w:highlight w:val="none"/>
        </w:rPr>
      </w:pPr>
    </w:p>
    <w:p w14:paraId="3F0C3718">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4"/>
          <w:highlight w:val="none"/>
        </w:rPr>
        <w:br w:type="page"/>
      </w:r>
      <w:r>
        <w:rPr>
          <w:rFonts w:hint="eastAsia" w:ascii="仿宋" w:hAnsi="仿宋" w:eastAsia="仿宋" w:cs="仿宋"/>
          <w:b/>
          <w:bCs/>
          <w:color w:val="auto"/>
          <w:sz w:val="30"/>
          <w:szCs w:val="30"/>
          <w:highlight w:val="none"/>
          <w:lang w:val="en-US" w:eastAsia="zh-CN"/>
        </w:rPr>
        <w:t>八、法定代表人/负责人授权委托书</w:t>
      </w:r>
    </w:p>
    <w:p w14:paraId="568FE282">
      <w:pPr>
        <w:tabs>
          <w:tab w:val="left" w:pos="654"/>
          <w:tab w:val="left" w:pos="1734"/>
          <w:tab w:val="left" w:pos="2814"/>
          <w:tab w:val="left" w:pos="3894"/>
          <w:tab w:val="left" w:pos="5334"/>
          <w:tab w:val="left" w:pos="6414"/>
          <w:tab w:val="left" w:pos="7254"/>
          <w:tab w:val="left" w:pos="8574"/>
          <w:tab w:val="left" w:pos="9654"/>
        </w:tabs>
        <w:spacing w:line="500" w:lineRule="exact"/>
        <w:jc w:val="center"/>
        <w:rPr>
          <w:rFonts w:hint="eastAsia" w:ascii="仿宋" w:hAnsi="仿宋" w:eastAsia="仿宋" w:cs="仿宋"/>
          <w:b/>
          <w:color w:val="auto"/>
          <w:sz w:val="24"/>
          <w:highlight w:val="none"/>
        </w:rPr>
      </w:pPr>
    </w:p>
    <w:p w14:paraId="5FC7A3B7">
      <w:pPr>
        <w:adjustRightInd w:val="0"/>
        <w:snapToGrid w:val="0"/>
        <w:spacing w:line="500" w:lineRule="exact"/>
        <w:ind w:firstLine="120" w:firstLineChars="50"/>
        <w:rPr>
          <w:rFonts w:hint="eastAsia" w:ascii="仿宋" w:hAnsi="仿宋" w:eastAsia="仿宋" w:cs="仿宋"/>
          <w:b/>
          <w:bCs/>
          <w:color w:val="auto"/>
          <w:sz w:val="24"/>
          <w:szCs w:val="21"/>
          <w:highlight w:val="none"/>
          <w:u w:val="none"/>
        </w:rPr>
      </w:pPr>
      <w:r>
        <w:rPr>
          <w:rFonts w:hint="eastAsia" w:ascii="仿宋" w:hAnsi="仿宋" w:eastAsia="仿宋" w:cs="仿宋"/>
          <w:b/>
          <w:bCs/>
          <w:color w:val="auto"/>
          <w:sz w:val="24"/>
          <w:highlight w:val="none"/>
        </w:rPr>
        <w:t>致</w:t>
      </w:r>
      <w:r>
        <w:rPr>
          <w:rFonts w:hint="eastAsia" w:ascii="仿宋" w:hAnsi="仿宋" w:eastAsia="仿宋" w:cs="仿宋"/>
          <w:b/>
          <w:bCs/>
          <w:color w:val="auto"/>
          <w:sz w:val="24"/>
          <w:highlight w:val="none"/>
          <w:u w:val="single"/>
          <w:lang w:eastAsia="zh-CN"/>
        </w:rPr>
        <w:t>佛山市南海有为百越文化有限公司</w:t>
      </w:r>
      <w:r>
        <w:rPr>
          <w:rFonts w:hint="eastAsia" w:ascii="仿宋" w:hAnsi="仿宋" w:eastAsia="仿宋" w:cs="仿宋"/>
          <w:b/>
          <w:bCs/>
          <w:color w:val="auto"/>
          <w:sz w:val="24"/>
          <w:highlight w:val="none"/>
          <w:u w:val="none"/>
        </w:rPr>
        <w:t xml:space="preserve">： </w:t>
      </w:r>
    </w:p>
    <w:p w14:paraId="4F06864D">
      <w:pPr>
        <w:spacing w:line="500" w:lineRule="exact"/>
        <w:ind w:firstLine="480" w:firstLineChars="200"/>
        <w:rPr>
          <w:rFonts w:hint="eastAsia" w:ascii="仿宋" w:hAnsi="仿宋" w:eastAsia="仿宋" w:cs="仿宋"/>
          <w:color w:val="auto"/>
          <w:sz w:val="24"/>
          <w:highlight w:val="none"/>
        </w:rPr>
      </w:pPr>
    </w:p>
    <w:p w14:paraId="67AB4A7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同志，为我方签订经济合同及办理其他事务代理人，其权限是：全权代表本公司参与</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lang w:val="en-US" w:eastAsia="zh-CN"/>
        </w:rPr>
        <w:t xml:space="preserve"> （采购项目名称）</w:t>
      </w:r>
      <w:r>
        <w:rPr>
          <w:rFonts w:hint="eastAsia" w:ascii="仿宋" w:hAnsi="仿宋" w:eastAsia="仿宋" w:cs="仿宋"/>
          <w:color w:val="auto"/>
          <w:sz w:val="24"/>
          <w:highlight w:val="none"/>
        </w:rPr>
        <w:t>采购项目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采购项目编号：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的投标响应，负责提供与签署确认一切文书资料，以及向贵方递交的任何补充承诺。</w:t>
      </w:r>
    </w:p>
    <w:p w14:paraId="54FC3F87">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授权单位：</w:t>
      </w:r>
      <w:r>
        <w:rPr>
          <w:rFonts w:hint="eastAsia" w:ascii="仿宋" w:hAnsi="仿宋" w:eastAsia="仿宋" w:cs="仿宋"/>
          <w:color w:val="auto"/>
          <w:sz w:val="24"/>
          <w:highlight w:val="none"/>
          <w:u w:val="single"/>
        </w:rPr>
        <w:t xml:space="preserve">          （盖章）     </w:t>
      </w:r>
      <w:r>
        <w:rPr>
          <w:rFonts w:hint="eastAsia" w:ascii="仿宋" w:hAnsi="仿宋" w:eastAsia="仿宋" w:cs="仿宋"/>
          <w:color w:val="auto"/>
          <w:sz w:val="24"/>
          <w:highlight w:val="none"/>
        </w:rPr>
        <w:t xml:space="preserve">    </w:t>
      </w:r>
    </w:p>
    <w:p w14:paraId="4B420959">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法定代表人/负责人：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（签</w:t>
      </w:r>
      <w:r>
        <w:rPr>
          <w:rFonts w:hint="eastAsia" w:ascii="仿宋" w:hAnsi="仿宋" w:eastAsia="仿宋" w:cs="仿宋"/>
          <w:color w:val="auto"/>
          <w:sz w:val="24"/>
          <w:highlight w:val="none"/>
          <w:lang w:val="en-US" w:eastAsia="zh-CN"/>
        </w:rPr>
        <w:t>字</w:t>
      </w:r>
      <w:r>
        <w:rPr>
          <w:rFonts w:hint="eastAsia" w:ascii="仿宋" w:hAnsi="仿宋" w:eastAsia="仿宋" w:cs="仿宋"/>
          <w:color w:val="auto"/>
          <w:sz w:val="24"/>
          <w:highlight w:val="none"/>
        </w:rPr>
        <w:t>或盖章）</w:t>
      </w:r>
    </w:p>
    <w:p w14:paraId="57DF659A">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签发日期：</w:t>
      </w:r>
    </w:p>
    <w:p w14:paraId="5B0199CD">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附：</w:t>
      </w:r>
    </w:p>
    <w:p w14:paraId="34A18FFE">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法定代表人/负责人授权代表的性别：        年龄：       职务：         </w:t>
      </w:r>
    </w:p>
    <w:p w14:paraId="5ED874F3">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p>
    <w:p w14:paraId="0CBA4F9F">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联系电话(手机号码)：</w:t>
      </w:r>
    </w:p>
    <w:p w14:paraId="3302D337">
      <w:pPr>
        <w:spacing w:line="500" w:lineRule="exact"/>
        <w:ind w:firstLine="240" w:firstLineChars="1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营业执照号码：      </w:t>
      </w:r>
    </w:p>
    <w:p w14:paraId="4B1383BC">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说明：1.法定代表人/负责人为企业事业单位、国家机关、社会团体的主要行政负责人。</w:t>
      </w:r>
    </w:p>
    <w:p w14:paraId="4EFBD216">
      <w:pPr>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2.内容必须填写真实、清楚、涂改无效，不得转让、买卖。</w:t>
      </w:r>
    </w:p>
    <w:p w14:paraId="60DF054F">
      <w:pPr>
        <w:spacing w:line="500" w:lineRule="exact"/>
        <w:ind w:left="718" w:leftChars="342" w:firstLine="0" w:firstLineChars="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bCs/>
          <w:color w:val="auto"/>
          <w:sz w:val="24"/>
          <w:szCs w:val="24"/>
          <w:highlight w:val="none"/>
          <w:lang w:val="en-US" w:eastAsia="zh-CN"/>
        </w:rPr>
        <w:t>本“</w:t>
      </w:r>
      <w:r>
        <w:rPr>
          <w:rFonts w:hint="eastAsia" w:ascii="仿宋" w:hAnsi="仿宋" w:eastAsia="仿宋" w:cs="仿宋"/>
          <w:b/>
          <w:bCs/>
          <w:color w:val="auto"/>
          <w:sz w:val="24"/>
          <w:szCs w:val="24"/>
          <w:highlight w:val="none"/>
        </w:rPr>
        <w:t>法定代表人/负责人授权委托书</w:t>
      </w:r>
      <w:r>
        <w:rPr>
          <w:rFonts w:hint="eastAsia" w:ascii="仿宋" w:hAnsi="仿宋" w:eastAsia="仿宋" w:cs="仿宋"/>
          <w:b/>
          <w:bCs/>
          <w:color w:val="auto"/>
          <w:sz w:val="24"/>
          <w:szCs w:val="24"/>
          <w:highlight w:val="none"/>
          <w:lang w:val="en-US" w:eastAsia="zh-CN"/>
        </w:rPr>
        <w:t>”须附上授权委托人的身份证复印件</w:t>
      </w:r>
      <w:r>
        <w:rPr>
          <w:rFonts w:hint="eastAsia" w:ascii="仿宋" w:hAnsi="仿宋" w:eastAsia="仿宋" w:cs="仿宋"/>
          <w:b/>
          <w:bCs/>
          <w:color w:val="auto"/>
          <w:sz w:val="24"/>
          <w:highlight w:val="none"/>
        </w:rPr>
        <w:t>。</w:t>
      </w:r>
    </w:p>
    <w:p w14:paraId="12C283FC">
      <w:pPr>
        <w:spacing w:line="500" w:lineRule="exact"/>
        <w:ind w:left="718" w:leftChars="342"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4.授权权限：全权代表本公司参与上述采购项目的投标响应，负责提供与签署确认一切文书资料，以及向贵方递交的任何补充承诺。</w:t>
      </w:r>
    </w:p>
    <w:p w14:paraId="3E20E56B">
      <w:pPr>
        <w:spacing w:line="500" w:lineRule="exact"/>
        <w:ind w:firstLine="736" w:firstLineChars="307"/>
        <w:rPr>
          <w:rFonts w:hint="eastAsia" w:ascii="仿宋" w:hAnsi="仿宋" w:eastAsia="仿宋" w:cs="仿宋"/>
          <w:color w:val="auto"/>
          <w:sz w:val="24"/>
          <w:highlight w:val="none"/>
        </w:rPr>
      </w:pPr>
      <w:r>
        <w:rPr>
          <w:rFonts w:hint="eastAsia" w:ascii="仿宋" w:hAnsi="仿宋" w:eastAsia="仿宋" w:cs="仿宋"/>
          <w:color w:val="auto"/>
          <w:sz w:val="24"/>
          <w:highlight w:val="none"/>
        </w:rPr>
        <w:t>5.有效期限：与本公司投标文件中标注的投标有效期相同，自本单位盖公章之日起生效。</w:t>
      </w:r>
    </w:p>
    <w:p w14:paraId="5414F3F6">
      <w:pPr>
        <w:spacing w:line="500" w:lineRule="exact"/>
        <w:ind w:firstLine="720" w:firstLineChars="300"/>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6.投标代表为法定代表人/负责人，则本表不适用。</w:t>
      </w:r>
    </w:p>
    <w:p w14:paraId="4EEDC552">
      <w:pPr>
        <w:rPr>
          <w:rFonts w:hint="eastAsia" w:ascii="仿宋" w:hAnsi="仿宋" w:eastAsia="仿宋" w:cs="仿宋"/>
          <w:b/>
          <w:color w:val="auto"/>
          <w:kern w:val="0"/>
          <w:sz w:val="28"/>
          <w:szCs w:val="28"/>
          <w:highlight w:val="none"/>
          <w:lang w:val="en-US" w:eastAsia="zh-CN"/>
        </w:rPr>
      </w:pPr>
      <w:bookmarkStart w:id="510" w:name="_Toc29404_WPSOffice_Level1"/>
      <w:bookmarkStart w:id="511" w:name="_Toc6953_WPSOffice_Level1"/>
      <w:bookmarkStart w:id="512" w:name="_Toc391542588"/>
      <w:bookmarkStart w:id="513" w:name="_Toc43264530"/>
      <w:r>
        <w:rPr>
          <w:rFonts w:hint="eastAsia" w:ascii="仿宋" w:hAnsi="仿宋" w:eastAsia="仿宋" w:cs="仿宋"/>
          <w:b/>
          <w:color w:val="auto"/>
          <w:kern w:val="0"/>
          <w:sz w:val="28"/>
          <w:szCs w:val="28"/>
          <w:highlight w:val="none"/>
          <w:lang w:val="en-US" w:eastAsia="zh-CN"/>
        </w:rPr>
        <w:br w:type="page"/>
      </w:r>
    </w:p>
    <w:p w14:paraId="742903AA">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九、投标人情况介绍表</w:t>
      </w:r>
      <w:bookmarkEnd w:id="510"/>
      <w:bookmarkEnd w:id="511"/>
    </w:p>
    <w:p w14:paraId="20A9E9C4">
      <w:pPr>
        <w:snapToGrid w:val="0"/>
        <w:rPr>
          <w:rFonts w:hint="eastAsia" w:ascii="仿宋" w:hAnsi="仿宋" w:eastAsia="仿宋" w:cs="仿宋"/>
          <w:b/>
          <w:color w:val="auto"/>
          <w:kern w:val="0"/>
          <w:sz w:val="24"/>
          <w:highlight w:val="none"/>
          <w:lang w:val="en-GB"/>
        </w:rPr>
      </w:pPr>
    </w:p>
    <w:tbl>
      <w:tblPr>
        <w:tblStyle w:val="41"/>
        <w:tblW w:w="9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1244"/>
        <w:gridCol w:w="1365"/>
        <w:gridCol w:w="548"/>
        <w:gridCol w:w="817"/>
        <w:gridCol w:w="832"/>
        <w:gridCol w:w="308"/>
        <w:gridCol w:w="510"/>
        <w:gridCol w:w="495"/>
        <w:gridCol w:w="1425"/>
      </w:tblGrid>
      <w:tr w14:paraId="2176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98" w:type="dxa"/>
            <w:vAlign w:val="center"/>
          </w:tcPr>
          <w:p w14:paraId="49AAD393">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单位名称</w:t>
            </w:r>
          </w:p>
        </w:tc>
        <w:tc>
          <w:tcPr>
            <w:tcW w:w="7544" w:type="dxa"/>
            <w:gridSpan w:val="9"/>
            <w:vAlign w:val="center"/>
          </w:tcPr>
          <w:p w14:paraId="5377331C">
            <w:pPr>
              <w:snapToGrid w:val="0"/>
              <w:rPr>
                <w:rFonts w:hint="eastAsia" w:ascii="仿宋" w:hAnsi="仿宋" w:eastAsia="仿宋" w:cs="仿宋"/>
                <w:bCs/>
                <w:color w:val="auto"/>
                <w:kern w:val="0"/>
                <w:sz w:val="24"/>
                <w:highlight w:val="none"/>
              </w:rPr>
            </w:pPr>
          </w:p>
        </w:tc>
      </w:tr>
      <w:tr w14:paraId="1F74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998" w:type="dxa"/>
            <w:vAlign w:val="center"/>
          </w:tcPr>
          <w:p w14:paraId="37F9E093">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地址</w:t>
            </w:r>
          </w:p>
        </w:tc>
        <w:tc>
          <w:tcPr>
            <w:tcW w:w="7544" w:type="dxa"/>
            <w:gridSpan w:val="9"/>
            <w:vAlign w:val="center"/>
          </w:tcPr>
          <w:p w14:paraId="6B42B81F">
            <w:pPr>
              <w:snapToGrid w:val="0"/>
              <w:rPr>
                <w:rFonts w:hint="eastAsia" w:ascii="仿宋" w:hAnsi="仿宋" w:eastAsia="仿宋" w:cs="仿宋"/>
                <w:bCs/>
                <w:color w:val="auto"/>
                <w:kern w:val="0"/>
                <w:sz w:val="24"/>
                <w:highlight w:val="none"/>
              </w:rPr>
            </w:pPr>
          </w:p>
        </w:tc>
      </w:tr>
      <w:tr w14:paraId="7E3D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98" w:type="dxa"/>
            <w:vAlign w:val="center"/>
          </w:tcPr>
          <w:p w14:paraId="4579A841">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开户银行</w:t>
            </w:r>
          </w:p>
        </w:tc>
        <w:tc>
          <w:tcPr>
            <w:tcW w:w="7544" w:type="dxa"/>
            <w:gridSpan w:val="9"/>
            <w:vAlign w:val="center"/>
          </w:tcPr>
          <w:p w14:paraId="6D0E8E10">
            <w:pPr>
              <w:snapToGrid w:val="0"/>
              <w:rPr>
                <w:rFonts w:hint="eastAsia" w:ascii="仿宋" w:hAnsi="仿宋" w:eastAsia="仿宋" w:cs="仿宋"/>
                <w:bCs/>
                <w:color w:val="auto"/>
                <w:kern w:val="0"/>
                <w:sz w:val="24"/>
                <w:highlight w:val="none"/>
              </w:rPr>
            </w:pPr>
          </w:p>
        </w:tc>
      </w:tr>
      <w:tr w14:paraId="174B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998" w:type="dxa"/>
            <w:vAlign w:val="center"/>
          </w:tcPr>
          <w:p w14:paraId="28A6C884">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银行账户</w:t>
            </w:r>
          </w:p>
        </w:tc>
        <w:tc>
          <w:tcPr>
            <w:tcW w:w="7544" w:type="dxa"/>
            <w:gridSpan w:val="9"/>
            <w:vAlign w:val="center"/>
          </w:tcPr>
          <w:p w14:paraId="1A697292">
            <w:pPr>
              <w:snapToGrid w:val="0"/>
              <w:rPr>
                <w:rFonts w:hint="eastAsia" w:ascii="仿宋" w:hAnsi="仿宋" w:eastAsia="仿宋" w:cs="仿宋"/>
                <w:bCs/>
                <w:color w:val="auto"/>
                <w:kern w:val="0"/>
                <w:sz w:val="24"/>
                <w:highlight w:val="none"/>
              </w:rPr>
            </w:pPr>
          </w:p>
        </w:tc>
      </w:tr>
      <w:tr w14:paraId="502C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998" w:type="dxa"/>
            <w:vAlign w:val="center"/>
          </w:tcPr>
          <w:p w14:paraId="61F8CFA6">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纳税人识别号</w:t>
            </w:r>
          </w:p>
        </w:tc>
        <w:tc>
          <w:tcPr>
            <w:tcW w:w="7544" w:type="dxa"/>
            <w:gridSpan w:val="9"/>
            <w:vAlign w:val="center"/>
          </w:tcPr>
          <w:p w14:paraId="0F2ABDE2">
            <w:pPr>
              <w:snapToGrid w:val="0"/>
              <w:rPr>
                <w:rFonts w:hint="eastAsia" w:ascii="仿宋" w:hAnsi="仿宋" w:eastAsia="仿宋" w:cs="仿宋"/>
                <w:bCs/>
                <w:color w:val="auto"/>
                <w:kern w:val="0"/>
                <w:sz w:val="24"/>
                <w:highlight w:val="none"/>
              </w:rPr>
            </w:pPr>
          </w:p>
        </w:tc>
      </w:tr>
      <w:tr w14:paraId="3DFC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998" w:type="dxa"/>
            <w:vAlign w:val="center"/>
          </w:tcPr>
          <w:p w14:paraId="7549FB6A">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主管部门</w:t>
            </w:r>
          </w:p>
        </w:tc>
        <w:tc>
          <w:tcPr>
            <w:tcW w:w="1244" w:type="dxa"/>
            <w:vAlign w:val="center"/>
          </w:tcPr>
          <w:p w14:paraId="27797711">
            <w:pPr>
              <w:snapToGrid w:val="0"/>
              <w:rPr>
                <w:rFonts w:hint="eastAsia" w:ascii="仿宋" w:hAnsi="仿宋" w:eastAsia="仿宋" w:cs="仿宋"/>
                <w:bCs/>
                <w:color w:val="auto"/>
                <w:kern w:val="0"/>
                <w:sz w:val="24"/>
                <w:highlight w:val="none"/>
              </w:rPr>
            </w:pPr>
          </w:p>
        </w:tc>
        <w:tc>
          <w:tcPr>
            <w:tcW w:w="1913" w:type="dxa"/>
            <w:gridSpan w:val="2"/>
            <w:vAlign w:val="center"/>
          </w:tcPr>
          <w:p w14:paraId="15D3E3F4">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法定代表人/负责人</w:t>
            </w:r>
          </w:p>
        </w:tc>
        <w:tc>
          <w:tcPr>
            <w:tcW w:w="1649" w:type="dxa"/>
            <w:gridSpan w:val="2"/>
            <w:vAlign w:val="center"/>
          </w:tcPr>
          <w:p w14:paraId="45C306D0">
            <w:pPr>
              <w:snapToGrid w:val="0"/>
              <w:rPr>
                <w:rFonts w:hint="eastAsia" w:ascii="仿宋" w:hAnsi="仿宋" w:eastAsia="仿宋" w:cs="仿宋"/>
                <w:bCs/>
                <w:color w:val="auto"/>
                <w:kern w:val="0"/>
                <w:sz w:val="24"/>
                <w:highlight w:val="none"/>
              </w:rPr>
            </w:pPr>
          </w:p>
        </w:tc>
        <w:tc>
          <w:tcPr>
            <w:tcW w:w="818" w:type="dxa"/>
            <w:gridSpan w:val="2"/>
            <w:vAlign w:val="center"/>
          </w:tcPr>
          <w:p w14:paraId="7C7792D6">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职务</w:t>
            </w:r>
          </w:p>
        </w:tc>
        <w:tc>
          <w:tcPr>
            <w:tcW w:w="1920" w:type="dxa"/>
            <w:gridSpan w:val="2"/>
            <w:vAlign w:val="center"/>
          </w:tcPr>
          <w:p w14:paraId="6696F938">
            <w:pPr>
              <w:snapToGrid w:val="0"/>
              <w:rPr>
                <w:rFonts w:hint="eastAsia" w:ascii="仿宋" w:hAnsi="仿宋" w:eastAsia="仿宋" w:cs="仿宋"/>
                <w:bCs/>
                <w:color w:val="auto"/>
                <w:kern w:val="0"/>
                <w:sz w:val="24"/>
                <w:highlight w:val="none"/>
              </w:rPr>
            </w:pPr>
          </w:p>
        </w:tc>
      </w:tr>
      <w:tr w14:paraId="578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998" w:type="dxa"/>
            <w:vAlign w:val="center"/>
          </w:tcPr>
          <w:p w14:paraId="1F6883DE">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经济类型</w:t>
            </w:r>
          </w:p>
        </w:tc>
        <w:tc>
          <w:tcPr>
            <w:tcW w:w="1244" w:type="dxa"/>
            <w:vAlign w:val="center"/>
          </w:tcPr>
          <w:p w14:paraId="6AAC9FFF">
            <w:pPr>
              <w:snapToGrid w:val="0"/>
              <w:rPr>
                <w:rFonts w:hint="eastAsia" w:ascii="仿宋" w:hAnsi="仿宋" w:eastAsia="仿宋" w:cs="仿宋"/>
                <w:bCs/>
                <w:color w:val="auto"/>
                <w:kern w:val="0"/>
                <w:sz w:val="24"/>
                <w:highlight w:val="none"/>
              </w:rPr>
            </w:pPr>
          </w:p>
        </w:tc>
        <w:tc>
          <w:tcPr>
            <w:tcW w:w="1913" w:type="dxa"/>
            <w:gridSpan w:val="2"/>
            <w:vAlign w:val="center"/>
          </w:tcPr>
          <w:p w14:paraId="36B601D8">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法定代表人/负责人授权代表</w:t>
            </w:r>
          </w:p>
        </w:tc>
        <w:tc>
          <w:tcPr>
            <w:tcW w:w="1649" w:type="dxa"/>
            <w:gridSpan w:val="2"/>
            <w:vAlign w:val="center"/>
          </w:tcPr>
          <w:p w14:paraId="151A82C7">
            <w:pPr>
              <w:snapToGrid w:val="0"/>
              <w:rPr>
                <w:rFonts w:hint="eastAsia" w:ascii="仿宋" w:hAnsi="仿宋" w:eastAsia="仿宋" w:cs="仿宋"/>
                <w:bCs/>
                <w:color w:val="auto"/>
                <w:kern w:val="0"/>
                <w:sz w:val="24"/>
                <w:highlight w:val="none"/>
              </w:rPr>
            </w:pPr>
          </w:p>
        </w:tc>
        <w:tc>
          <w:tcPr>
            <w:tcW w:w="818" w:type="dxa"/>
            <w:gridSpan w:val="2"/>
            <w:vAlign w:val="center"/>
          </w:tcPr>
          <w:p w14:paraId="019D5577">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职务</w:t>
            </w:r>
          </w:p>
        </w:tc>
        <w:tc>
          <w:tcPr>
            <w:tcW w:w="1920" w:type="dxa"/>
            <w:gridSpan w:val="2"/>
            <w:vAlign w:val="center"/>
          </w:tcPr>
          <w:p w14:paraId="108BD8AB">
            <w:pPr>
              <w:snapToGrid w:val="0"/>
              <w:rPr>
                <w:rFonts w:hint="eastAsia" w:ascii="仿宋" w:hAnsi="仿宋" w:eastAsia="仿宋" w:cs="仿宋"/>
                <w:bCs/>
                <w:color w:val="auto"/>
                <w:kern w:val="0"/>
                <w:sz w:val="24"/>
                <w:highlight w:val="none"/>
              </w:rPr>
            </w:pPr>
          </w:p>
        </w:tc>
      </w:tr>
      <w:tr w14:paraId="71A3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98" w:type="dxa"/>
            <w:vAlign w:val="center"/>
          </w:tcPr>
          <w:p w14:paraId="52985729">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邮编</w:t>
            </w:r>
          </w:p>
        </w:tc>
        <w:tc>
          <w:tcPr>
            <w:tcW w:w="1244" w:type="dxa"/>
            <w:vAlign w:val="center"/>
          </w:tcPr>
          <w:p w14:paraId="6CBA74B3">
            <w:pPr>
              <w:snapToGrid w:val="0"/>
              <w:rPr>
                <w:rFonts w:hint="eastAsia" w:ascii="仿宋" w:hAnsi="仿宋" w:eastAsia="仿宋" w:cs="仿宋"/>
                <w:bCs/>
                <w:color w:val="auto"/>
                <w:kern w:val="0"/>
                <w:sz w:val="24"/>
                <w:highlight w:val="none"/>
              </w:rPr>
            </w:pPr>
          </w:p>
        </w:tc>
        <w:tc>
          <w:tcPr>
            <w:tcW w:w="1913" w:type="dxa"/>
            <w:gridSpan w:val="2"/>
            <w:vAlign w:val="center"/>
          </w:tcPr>
          <w:p w14:paraId="2DF926C4">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电话</w:t>
            </w:r>
          </w:p>
        </w:tc>
        <w:tc>
          <w:tcPr>
            <w:tcW w:w="1649" w:type="dxa"/>
            <w:gridSpan w:val="2"/>
            <w:vAlign w:val="center"/>
          </w:tcPr>
          <w:p w14:paraId="116973C9">
            <w:pPr>
              <w:snapToGrid w:val="0"/>
              <w:rPr>
                <w:rFonts w:hint="eastAsia" w:ascii="仿宋" w:hAnsi="仿宋" w:eastAsia="仿宋" w:cs="仿宋"/>
                <w:bCs/>
                <w:color w:val="auto"/>
                <w:kern w:val="0"/>
                <w:sz w:val="24"/>
                <w:highlight w:val="none"/>
              </w:rPr>
            </w:pPr>
          </w:p>
        </w:tc>
        <w:tc>
          <w:tcPr>
            <w:tcW w:w="818" w:type="dxa"/>
            <w:gridSpan w:val="2"/>
            <w:vAlign w:val="center"/>
          </w:tcPr>
          <w:p w14:paraId="1C737123">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传真</w:t>
            </w:r>
          </w:p>
        </w:tc>
        <w:tc>
          <w:tcPr>
            <w:tcW w:w="1920" w:type="dxa"/>
            <w:gridSpan w:val="2"/>
            <w:vAlign w:val="center"/>
          </w:tcPr>
          <w:p w14:paraId="3F207689">
            <w:pPr>
              <w:snapToGrid w:val="0"/>
              <w:rPr>
                <w:rFonts w:hint="eastAsia" w:ascii="仿宋" w:hAnsi="仿宋" w:eastAsia="仿宋" w:cs="仿宋"/>
                <w:bCs/>
                <w:color w:val="auto"/>
                <w:kern w:val="0"/>
                <w:sz w:val="24"/>
                <w:highlight w:val="none"/>
              </w:rPr>
            </w:pPr>
          </w:p>
        </w:tc>
      </w:tr>
      <w:tr w14:paraId="1317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998" w:type="dxa"/>
            <w:vAlign w:val="center"/>
          </w:tcPr>
          <w:p w14:paraId="4E8427BB">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单位简介及机构设置</w:t>
            </w:r>
          </w:p>
        </w:tc>
        <w:tc>
          <w:tcPr>
            <w:tcW w:w="7544" w:type="dxa"/>
            <w:gridSpan w:val="9"/>
            <w:vAlign w:val="center"/>
          </w:tcPr>
          <w:p w14:paraId="2654A8F2">
            <w:pPr>
              <w:snapToGrid w:val="0"/>
              <w:rPr>
                <w:rFonts w:hint="eastAsia" w:ascii="仿宋" w:hAnsi="仿宋" w:eastAsia="仿宋" w:cs="仿宋"/>
                <w:bCs/>
                <w:color w:val="auto"/>
                <w:kern w:val="0"/>
                <w:sz w:val="24"/>
                <w:highlight w:val="none"/>
              </w:rPr>
            </w:pPr>
          </w:p>
        </w:tc>
      </w:tr>
      <w:tr w14:paraId="106E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998" w:type="dxa"/>
            <w:vAlign w:val="center"/>
          </w:tcPr>
          <w:p w14:paraId="76D055F1">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单位优势及特长</w:t>
            </w:r>
          </w:p>
        </w:tc>
        <w:tc>
          <w:tcPr>
            <w:tcW w:w="7544" w:type="dxa"/>
            <w:gridSpan w:val="9"/>
            <w:vAlign w:val="center"/>
          </w:tcPr>
          <w:p w14:paraId="5D013971">
            <w:pPr>
              <w:snapToGrid w:val="0"/>
              <w:rPr>
                <w:rFonts w:hint="eastAsia" w:ascii="仿宋" w:hAnsi="仿宋" w:eastAsia="仿宋" w:cs="仿宋"/>
                <w:bCs/>
                <w:color w:val="auto"/>
                <w:kern w:val="0"/>
                <w:sz w:val="24"/>
                <w:highlight w:val="none"/>
              </w:rPr>
            </w:pPr>
          </w:p>
        </w:tc>
      </w:tr>
      <w:tr w14:paraId="06E2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998" w:type="dxa"/>
            <w:vMerge w:val="restart"/>
            <w:vAlign w:val="center"/>
          </w:tcPr>
          <w:p w14:paraId="20E4ED7C">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单位概况</w:t>
            </w:r>
          </w:p>
        </w:tc>
        <w:tc>
          <w:tcPr>
            <w:tcW w:w="1244" w:type="dxa"/>
            <w:vAlign w:val="center"/>
          </w:tcPr>
          <w:p w14:paraId="321C7953">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注册资本</w:t>
            </w:r>
          </w:p>
        </w:tc>
        <w:tc>
          <w:tcPr>
            <w:tcW w:w="1365" w:type="dxa"/>
            <w:vAlign w:val="center"/>
          </w:tcPr>
          <w:p w14:paraId="1A6444FB">
            <w:pPr>
              <w:snapToGrid w:val="0"/>
              <w:jc w:val="righ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万元</w:t>
            </w:r>
          </w:p>
        </w:tc>
        <w:tc>
          <w:tcPr>
            <w:tcW w:w="1365" w:type="dxa"/>
            <w:gridSpan w:val="2"/>
            <w:vAlign w:val="center"/>
          </w:tcPr>
          <w:p w14:paraId="09DD822B">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占地面积</w:t>
            </w:r>
          </w:p>
        </w:tc>
        <w:tc>
          <w:tcPr>
            <w:tcW w:w="3570" w:type="dxa"/>
            <w:gridSpan w:val="5"/>
            <w:vAlign w:val="center"/>
          </w:tcPr>
          <w:p w14:paraId="0C72BD62">
            <w:pPr>
              <w:snapToGrid w:val="0"/>
              <w:rPr>
                <w:rFonts w:hint="eastAsia" w:ascii="仿宋" w:hAnsi="仿宋" w:eastAsia="仿宋" w:cs="仿宋"/>
                <w:bCs/>
                <w:color w:val="auto"/>
                <w:kern w:val="0"/>
                <w:sz w:val="24"/>
                <w:highlight w:val="none"/>
              </w:rPr>
            </w:pPr>
          </w:p>
        </w:tc>
      </w:tr>
      <w:tr w14:paraId="0BDB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998" w:type="dxa"/>
            <w:vMerge w:val="continue"/>
            <w:vAlign w:val="center"/>
          </w:tcPr>
          <w:p w14:paraId="08753930">
            <w:pPr>
              <w:snapToGrid w:val="0"/>
              <w:rPr>
                <w:rFonts w:hint="eastAsia" w:ascii="仿宋" w:hAnsi="仿宋" w:eastAsia="仿宋" w:cs="仿宋"/>
                <w:bCs/>
                <w:color w:val="auto"/>
                <w:kern w:val="0"/>
                <w:sz w:val="24"/>
                <w:highlight w:val="none"/>
              </w:rPr>
            </w:pPr>
          </w:p>
        </w:tc>
        <w:tc>
          <w:tcPr>
            <w:tcW w:w="1244" w:type="dxa"/>
            <w:vAlign w:val="center"/>
          </w:tcPr>
          <w:p w14:paraId="56F1DB59">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职工总数</w:t>
            </w:r>
          </w:p>
        </w:tc>
        <w:tc>
          <w:tcPr>
            <w:tcW w:w="1365" w:type="dxa"/>
            <w:vAlign w:val="center"/>
          </w:tcPr>
          <w:p w14:paraId="17A589CB">
            <w:pPr>
              <w:snapToGrid w:val="0"/>
              <w:jc w:val="righ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人</w:t>
            </w:r>
          </w:p>
        </w:tc>
        <w:tc>
          <w:tcPr>
            <w:tcW w:w="1365" w:type="dxa"/>
            <w:gridSpan w:val="2"/>
            <w:vAlign w:val="center"/>
          </w:tcPr>
          <w:p w14:paraId="46E7F5B8">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建筑面积</w:t>
            </w:r>
          </w:p>
        </w:tc>
        <w:tc>
          <w:tcPr>
            <w:tcW w:w="3570" w:type="dxa"/>
            <w:gridSpan w:val="5"/>
            <w:vAlign w:val="center"/>
          </w:tcPr>
          <w:p w14:paraId="394DAD50">
            <w:pPr>
              <w:snapToGrid w:val="0"/>
              <w:rPr>
                <w:rFonts w:hint="eastAsia" w:ascii="仿宋" w:hAnsi="仿宋" w:eastAsia="仿宋" w:cs="仿宋"/>
                <w:bCs/>
                <w:color w:val="auto"/>
                <w:kern w:val="0"/>
                <w:sz w:val="24"/>
                <w:highlight w:val="none"/>
              </w:rPr>
            </w:pPr>
          </w:p>
        </w:tc>
      </w:tr>
      <w:tr w14:paraId="3CE4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98" w:type="dxa"/>
            <w:vMerge w:val="continue"/>
            <w:vAlign w:val="center"/>
          </w:tcPr>
          <w:p w14:paraId="0AC164FA">
            <w:pPr>
              <w:snapToGrid w:val="0"/>
              <w:rPr>
                <w:rFonts w:hint="eastAsia" w:ascii="仿宋" w:hAnsi="仿宋" w:eastAsia="仿宋" w:cs="仿宋"/>
                <w:bCs/>
                <w:color w:val="auto"/>
                <w:kern w:val="0"/>
                <w:sz w:val="24"/>
                <w:highlight w:val="none"/>
              </w:rPr>
            </w:pPr>
          </w:p>
        </w:tc>
        <w:tc>
          <w:tcPr>
            <w:tcW w:w="1244" w:type="dxa"/>
            <w:vMerge w:val="restart"/>
            <w:vAlign w:val="center"/>
          </w:tcPr>
          <w:p w14:paraId="20A9D17A">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资产情况</w:t>
            </w:r>
          </w:p>
        </w:tc>
        <w:tc>
          <w:tcPr>
            <w:tcW w:w="1365" w:type="dxa"/>
            <w:vAlign w:val="center"/>
          </w:tcPr>
          <w:p w14:paraId="64464650">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净资产</w:t>
            </w:r>
          </w:p>
        </w:tc>
        <w:tc>
          <w:tcPr>
            <w:tcW w:w="1365" w:type="dxa"/>
            <w:gridSpan w:val="2"/>
            <w:vAlign w:val="center"/>
          </w:tcPr>
          <w:p w14:paraId="2B27855B">
            <w:pPr>
              <w:snapToGrid w:val="0"/>
              <w:jc w:val="righ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万元</w:t>
            </w:r>
          </w:p>
        </w:tc>
        <w:tc>
          <w:tcPr>
            <w:tcW w:w="3570" w:type="dxa"/>
            <w:gridSpan w:val="5"/>
            <w:vAlign w:val="center"/>
          </w:tcPr>
          <w:p w14:paraId="1131CE4E">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固定资产原值    万元</w:t>
            </w:r>
          </w:p>
        </w:tc>
      </w:tr>
      <w:tr w14:paraId="4CDC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98" w:type="dxa"/>
            <w:vMerge w:val="continue"/>
            <w:vAlign w:val="center"/>
          </w:tcPr>
          <w:p w14:paraId="4F335208">
            <w:pPr>
              <w:snapToGrid w:val="0"/>
              <w:rPr>
                <w:rFonts w:hint="eastAsia" w:ascii="仿宋" w:hAnsi="仿宋" w:eastAsia="仿宋" w:cs="仿宋"/>
                <w:bCs/>
                <w:color w:val="auto"/>
                <w:kern w:val="0"/>
                <w:sz w:val="24"/>
                <w:highlight w:val="none"/>
              </w:rPr>
            </w:pPr>
          </w:p>
        </w:tc>
        <w:tc>
          <w:tcPr>
            <w:tcW w:w="1244" w:type="dxa"/>
            <w:vMerge w:val="continue"/>
            <w:vAlign w:val="center"/>
          </w:tcPr>
          <w:p w14:paraId="2FAEA2BE">
            <w:pPr>
              <w:snapToGrid w:val="0"/>
              <w:rPr>
                <w:rFonts w:hint="eastAsia" w:ascii="仿宋" w:hAnsi="仿宋" w:eastAsia="仿宋" w:cs="仿宋"/>
                <w:bCs/>
                <w:color w:val="auto"/>
                <w:kern w:val="0"/>
                <w:sz w:val="24"/>
                <w:highlight w:val="none"/>
              </w:rPr>
            </w:pPr>
          </w:p>
        </w:tc>
        <w:tc>
          <w:tcPr>
            <w:tcW w:w="1365" w:type="dxa"/>
            <w:vAlign w:val="center"/>
          </w:tcPr>
          <w:p w14:paraId="2146C77A">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负债</w:t>
            </w:r>
          </w:p>
        </w:tc>
        <w:tc>
          <w:tcPr>
            <w:tcW w:w="1365" w:type="dxa"/>
            <w:gridSpan w:val="2"/>
            <w:vAlign w:val="center"/>
          </w:tcPr>
          <w:p w14:paraId="72362C8D">
            <w:pPr>
              <w:snapToGrid w:val="0"/>
              <w:jc w:val="righ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万元</w:t>
            </w:r>
          </w:p>
        </w:tc>
        <w:tc>
          <w:tcPr>
            <w:tcW w:w="3570" w:type="dxa"/>
            <w:gridSpan w:val="5"/>
            <w:vAlign w:val="center"/>
          </w:tcPr>
          <w:p w14:paraId="09E3CE20">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固定资产净值    万元</w:t>
            </w:r>
          </w:p>
        </w:tc>
      </w:tr>
      <w:tr w14:paraId="081A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998" w:type="dxa"/>
            <w:vMerge w:val="restart"/>
            <w:vAlign w:val="center"/>
          </w:tcPr>
          <w:p w14:paraId="11C942D8">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财务状况</w:t>
            </w:r>
          </w:p>
        </w:tc>
        <w:tc>
          <w:tcPr>
            <w:tcW w:w="1244" w:type="dxa"/>
            <w:vAlign w:val="center"/>
          </w:tcPr>
          <w:p w14:paraId="659EBF1E">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年度</w:t>
            </w:r>
          </w:p>
        </w:tc>
        <w:tc>
          <w:tcPr>
            <w:tcW w:w="1365" w:type="dxa"/>
            <w:vAlign w:val="center"/>
          </w:tcPr>
          <w:p w14:paraId="2B3E99C1">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主营收入</w:t>
            </w:r>
          </w:p>
          <w:p w14:paraId="3ACF953A">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(万元)</w:t>
            </w:r>
          </w:p>
        </w:tc>
        <w:tc>
          <w:tcPr>
            <w:tcW w:w="1365" w:type="dxa"/>
            <w:gridSpan w:val="2"/>
            <w:vAlign w:val="center"/>
          </w:tcPr>
          <w:p w14:paraId="0411A4B3">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收入总额</w:t>
            </w:r>
          </w:p>
          <w:p w14:paraId="75AC7CAC">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(万元)</w:t>
            </w:r>
          </w:p>
        </w:tc>
        <w:tc>
          <w:tcPr>
            <w:tcW w:w="1140" w:type="dxa"/>
            <w:gridSpan w:val="2"/>
            <w:vAlign w:val="center"/>
          </w:tcPr>
          <w:p w14:paraId="5E75258F">
            <w:pPr>
              <w:snapToGrid w:val="0"/>
              <w:ind w:right="-134" w:rightChars="-64"/>
              <w:jc w:val="left"/>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利润总额(万元)</w:t>
            </w:r>
          </w:p>
        </w:tc>
        <w:tc>
          <w:tcPr>
            <w:tcW w:w="1005" w:type="dxa"/>
            <w:gridSpan w:val="2"/>
            <w:vAlign w:val="center"/>
          </w:tcPr>
          <w:p w14:paraId="71D5657F">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净利润(万元)</w:t>
            </w:r>
          </w:p>
        </w:tc>
        <w:tc>
          <w:tcPr>
            <w:tcW w:w="1425" w:type="dxa"/>
            <w:vAlign w:val="center"/>
          </w:tcPr>
          <w:p w14:paraId="282933D9">
            <w:pPr>
              <w:snapToGrid w:val="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资产负债率</w:t>
            </w:r>
          </w:p>
        </w:tc>
      </w:tr>
      <w:tr w14:paraId="1094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998" w:type="dxa"/>
            <w:vMerge w:val="continue"/>
            <w:vAlign w:val="center"/>
          </w:tcPr>
          <w:p w14:paraId="57E3A6C3">
            <w:pPr>
              <w:snapToGrid w:val="0"/>
              <w:rPr>
                <w:rFonts w:hint="eastAsia" w:ascii="仿宋" w:hAnsi="仿宋" w:eastAsia="仿宋" w:cs="仿宋"/>
                <w:bCs/>
                <w:color w:val="auto"/>
                <w:kern w:val="0"/>
                <w:sz w:val="24"/>
                <w:highlight w:val="none"/>
              </w:rPr>
            </w:pPr>
          </w:p>
        </w:tc>
        <w:tc>
          <w:tcPr>
            <w:tcW w:w="1244" w:type="dxa"/>
            <w:vAlign w:val="center"/>
          </w:tcPr>
          <w:p w14:paraId="249EEE12">
            <w:pPr>
              <w:snapToGrid w:val="0"/>
              <w:rPr>
                <w:rFonts w:hint="eastAsia" w:ascii="仿宋" w:hAnsi="仿宋" w:eastAsia="仿宋" w:cs="仿宋"/>
                <w:bCs/>
                <w:color w:val="auto"/>
                <w:kern w:val="0"/>
                <w:sz w:val="24"/>
                <w:highlight w:val="none"/>
              </w:rPr>
            </w:pPr>
          </w:p>
        </w:tc>
        <w:tc>
          <w:tcPr>
            <w:tcW w:w="1365" w:type="dxa"/>
            <w:vAlign w:val="center"/>
          </w:tcPr>
          <w:p w14:paraId="73E61A55">
            <w:pPr>
              <w:snapToGrid w:val="0"/>
              <w:rPr>
                <w:rFonts w:hint="eastAsia" w:ascii="仿宋" w:hAnsi="仿宋" w:eastAsia="仿宋" w:cs="仿宋"/>
                <w:bCs/>
                <w:color w:val="auto"/>
                <w:kern w:val="0"/>
                <w:sz w:val="24"/>
                <w:highlight w:val="none"/>
              </w:rPr>
            </w:pPr>
          </w:p>
        </w:tc>
        <w:tc>
          <w:tcPr>
            <w:tcW w:w="1365" w:type="dxa"/>
            <w:gridSpan w:val="2"/>
            <w:vAlign w:val="center"/>
          </w:tcPr>
          <w:p w14:paraId="5A716227">
            <w:pPr>
              <w:snapToGrid w:val="0"/>
              <w:rPr>
                <w:rFonts w:hint="eastAsia" w:ascii="仿宋" w:hAnsi="仿宋" w:eastAsia="仿宋" w:cs="仿宋"/>
                <w:bCs/>
                <w:color w:val="auto"/>
                <w:kern w:val="0"/>
                <w:sz w:val="24"/>
                <w:highlight w:val="none"/>
              </w:rPr>
            </w:pPr>
          </w:p>
        </w:tc>
        <w:tc>
          <w:tcPr>
            <w:tcW w:w="1140" w:type="dxa"/>
            <w:gridSpan w:val="2"/>
            <w:vAlign w:val="center"/>
          </w:tcPr>
          <w:p w14:paraId="6989BBA2">
            <w:pPr>
              <w:snapToGrid w:val="0"/>
              <w:rPr>
                <w:rFonts w:hint="eastAsia" w:ascii="仿宋" w:hAnsi="仿宋" w:eastAsia="仿宋" w:cs="仿宋"/>
                <w:bCs/>
                <w:color w:val="auto"/>
                <w:kern w:val="0"/>
                <w:sz w:val="24"/>
                <w:highlight w:val="none"/>
              </w:rPr>
            </w:pPr>
          </w:p>
        </w:tc>
        <w:tc>
          <w:tcPr>
            <w:tcW w:w="1005" w:type="dxa"/>
            <w:gridSpan w:val="2"/>
            <w:vAlign w:val="center"/>
          </w:tcPr>
          <w:p w14:paraId="51A89B47">
            <w:pPr>
              <w:snapToGrid w:val="0"/>
              <w:rPr>
                <w:rFonts w:hint="eastAsia" w:ascii="仿宋" w:hAnsi="仿宋" w:eastAsia="仿宋" w:cs="仿宋"/>
                <w:bCs/>
                <w:color w:val="auto"/>
                <w:kern w:val="0"/>
                <w:sz w:val="24"/>
                <w:highlight w:val="none"/>
              </w:rPr>
            </w:pPr>
          </w:p>
        </w:tc>
        <w:tc>
          <w:tcPr>
            <w:tcW w:w="1425" w:type="dxa"/>
            <w:vAlign w:val="center"/>
          </w:tcPr>
          <w:p w14:paraId="0AC1B50C">
            <w:pPr>
              <w:snapToGrid w:val="0"/>
              <w:rPr>
                <w:rFonts w:hint="eastAsia" w:ascii="仿宋" w:hAnsi="仿宋" w:eastAsia="仿宋" w:cs="仿宋"/>
                <w:bCs/>
                <w:color w:val="auto"/>
                <w:kern w:val="0"/>
                <w:sz w:val="24"/>
                <w:highlight w:val="none"/>
              </w:rPr>
            </w:pPr>
          </w:p>
        </w:tc>
      </w:tr>
    </w:tbl>
    <w:p w14:paraId="1D7FFE67">
      <w:pPr>
        <w:snapToGrid w:val="0"/>
        <w:ind w:right="-225" w:rightChars="-107"/>
        <w:rPr>
          <w:rFonts w:hint="eastAsia" w:ascii="仿宋" w:hAnsi="仿宋" w:eastAsia="仿宋" w:cs="仿宋"/>
          <w:bCs/>
          <w:color w:val="auto"/>
          <w:kern w:val="0"/>
          <w:sz w:val="24"/>
          <w:highlight w:val="none"/>
          <w:lang w:val="en-GB"/>
        </w:rPr>
      </w:pPr>
      <w:r>
        <w:rPr>
          <w:rFonts w:hint="eastAsia" w:ascii="仿宋" w:hAnsi="仿宋" w:eastAsia="仿宋" w:cs="仿宋"/>
          <w:bCs/>
          <w:color w:val="auto"/>
          <w:kern w:val="0"/>
          <w:sz w:val="24"/>
          <w:highlight w:val="none"/>
          <w:lang w:val="en-GB"/>
        </w:rPr>
        <w:t>注：1、根据本表内容相应进行文字描述，如单位性质、发展历程、经营规模及服务理念、主营业务、技术力量等。</w:t>
      </w:r>
    </w:p>
    <w:p w14:paraId="54AD6CB5">
      <w:pPr>
        <w:numPr>
          <w:ilvl w:val="0"/>
          <w:numId w:val="10"/>
        </w:numPr>
        <w:snapToGrid w:val="0"/>
        <w:ind w:right="-225" w:rightChars="-107"/>
        <w:rPr>
          <w:rFonts w:hint="eastAsia" w:ascii="仿宋" w:hAnsi="仿宋" w:eastAsia="仿宋" w:cs="仿宋"/>
          <w:bCs/>
          <w:color w:val="auto"/>
          <w:kern w:val="0"/>
          <w:sz w:val="24"/>
          <w:highlight w:val="none"/>
          <w:lang w:val="en-GB"/>
        </w:rPr>
      </w:pPr>
      <w:r>
        <w:rPr>
          <w:rFonts w:hint="eastAsia" w:ascii="仿宋" w:hAnsi="仿宋" w:eastAsia="仿宋" w:cs="仿宋"/>
          <w:bCs/>
          <w:color w:val="auto"/>
          <w:kern w:val="0"/>
          <w:sz w:val="24"/>
          <w:highlight w:val="none"/>
          <w:lang w:val="en-GB"/>
        </w:rPr>
        <w:t>如投标人此表数据或材料有虚假，一经查实，自行承担相关责任。</w:t>
      </w:r>
    </w:p>
    <w:p w14:paraId="1974A086">
      <w:pPr>
        <w:snapToGrid w:val="0"/>
        <w:ind w:right="-225" w:rightChars="-107"/>
        <w:rPr>
          <w:rFonts w:hint="eastAsia" w:ascii="仿宋" w:hAnsi="仿宋" w:eastAsia="仿宋" w:cs="仿宋"/>
          <w:bCs/>
          <w:color w:val="auto"/>
          <w:kern w:val="0"/>
          <w:sz w:val="24"/>
          <w:highlight w:val="none"/>
        </w:rPr>
      </w:pPr>
    </w:p>
    <w:p w14:paraId="44CEBC90">
      <w:pPr>
        <w:snapToGrid w:val="0"/>
        <w:rPr>
          <w:rFonts w:hint="eastAsia" w:ascii="仿宋" w:hAnsi="仿宋" w:eastAsia="仿宋" w:cs="仿宋"/>
          <w:b/>
          <w:color w:val="auto"/>
          <w:sz w:val="24"/>
          <w:highlight w:val="none"/>
        </w:rPr>
      </w:pPr>
    </w:p>
    <w:p w14:paraId="59C58A35">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4"/>
          <w:highlight w:val="none"/>
        </w:rPr>
        <w:br w:type="page"/>
      </w:r>
      <w:bookmarkStart w:id="514" w:name="_Toc2445_WPSOffice_Level1"/>
      <w:bookmarkStart w:id="515" w:name="_Toc3848_WPSOffice_Level1"/>
      <w:r>
        <w:rPr>
          <w:rFonts w:hint="eastAsia" w:ascii="仿宋" w:hAnsi="仿宋" w:eastAsia="仿宋" w:cs="仿宋"/>
          <w:b/>
          <w:bCs/>
          <w:color w:val="auto"/>
          <w:sz w:val="30"/>
          <w:szCs w:val="30"/>
          <w:highlight w:val="none"/>
          <w:lang w:val="en-US" w:eastAsia="zh-CN"/>
        </w:rPr>
        <w:t>十、商务响应、偏离说明表</w:t>
      </w:r>
      <w:bookmarkEnd w:id="514"/>
      <w:bookmarkEnd w:id="515"/>
    </w:p>
    <w:p w14:paraId="72D7A1F3">
      <w:pPr>
        <w:jc w:val="center"/>
        <w:rPr>
          <w:rFonts w:hint="eastAsia" w:ascii="仿宋" w:hAnsi="仿宋" w:eastAsia="仿宋" w:cs="仿宋"/>
          <w:b/>
          <w:color w:val="auto"/>
          <w:sz w:val="24"/>
          <w:highlight w:val="none"/>
        </w:rPr>
      </w:pPr>
    </w:p>
    <w:p w14:paraId="773DA450">
      <w:pPr>
        <w:rPr>
          <w:rFonts w:hint="eastAsia" w:ascii="仿宋" w:hAnsi="仿宋" w:eastAsia="仿宋" w:cs="仿宋"/>
          <w:bCs/>
          <w:color w:val="auto"/>
          <w:sz w:val="24"/>
          <w:highlight w:val="none"/>
        </w:rPr>
      </w:pPr>
    </w:p>
    <w:p w14:paraId="749D2195">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项目编号：          </w:t>
      </w:r>
    </w:p>
    <w:p w14:paraId="5299FDC4">
      <w:pPr>
        <w:adjustRightInd w:val="0"/>
        <w:snapToGrid w:val="0"/>
        <w:spacing w:line="360" w:lineRule="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项目名称：</w:t>
      </w:r>
    </w:p>
    <w:tbl>
      <w:tblPr>
        <w:tblStyle w:val="41"/>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901"/>
        <w:gridCol w:w="2336"/>
        <w:gridCol w:w="1207"/>
        <w:gridCol w:w="882"/>
      </w:tblGrid>
      <w:tr w14:paraId="6601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860" w:type="dxa"/>
            <w:gridSpan w:val="5"/>
            <w:tcBorders>
              <w:top w:val="single" w:color="auto" w:sz="4" w:space="0"/>
              <w:left w:val="single" w:color="auto" w:sz="4" w:space="0"/>
              <w:bottom w:val="single" w:color="auto" w:sz="4" w:space="0"/>
              <w:right w:val="single" w:color="auto" w:sz="4" w:space="0"/>
            </w:tcBorders>
            <w:vAlign w:val="center"/>
          </w:tcPr>
          <w:p w14:paraId="5085DCE1">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“二、采购项目商务要求”的全部条款的响应情况</w:t>
            </w:r>
          </w:p>
        </w:tc>
      </w:tr>
      <w:tr w14:paraId="56B6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693FCAB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901" w:type="dxa"/>
            <w:tcBorders>
              <w:top w:val="single" w:color="auto" w:sz="4" w:space="0"/>
              <w:left w:val="single" w:color="auto" w:sz="4" w:space="0"/>
              <w:bottom w:val="single" w:color="auto" w:sz="4" w:space="0"/>
              <w:right w:val="single" w:color="auto" w:sz="4" w:space="0"/>
            </w:tcBorders>
            <w:vAlign w:val="center"/>
          </w:tcPr>
          <w:p w14:paraId="0791C71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采购文件</w:t>
            </w:r>
            <w:r>
              <w:rPr>
                <w:rFonts w:hint="eastAsia" w:ascii="仿宋" w:hAnsi="仿宋" w:eastAsia="仿宋" w:cs="仿宋"/>
                <w:color w:val="auto"/>
                <w:sz w:val="24"/>
                <w:highlight w:val="none"/>
              </w:rPr>
              <w:t>商务条款</w:t>
            </w:r>
          </w:p>
        </w:tc>
        <w:tc>
          <w:tcPr>
            <w:tcW w:w="2336" w:type="dxa"/>
            <w:tcBorders>
              <w:top w:val="single" w:color="auto" w:sz="4" w:space="0"/>
              <w:left w:val="single" w:color="auto" w:sz="4" w:space="0"/>
              <w:bottom w:val="single" w:color="auto" w:sz="4" w:space="0"/>
              <w:right w:val="single" w:color="auto" w:sz="4" w:space="0"/>
            </w:tcBorders>
            <w:vAlign w:val="center"/>
          </w:tcPr>
          <w:p w14:paraId="75ACC43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投标文件商务条款</w:t>
            </w:r>
          </w:p>
        </w:tc>
        <w:tc>
          <w:tcPr>
            <w:tcW w:w="1207" w:type="dxa"/>
            <w:tcBorders>
              <w:top w:val="single" w:color="auto" w:sz="4" w:space="0"/>
              <w:left w:val="single" w:color="auto" w:sz="4" w:space="0"/>
              <w:bottom w:val="single" w:color="auto" w:sz="4" w:space="0"/>
              <w:right w:val="single" w:color="auto" w:sz="4" w:space="0"/>
            </w:tcBorders>
            <w:vAlign w:val="center"/>
          </w:tcPr>
          <w:p w14:paraId="224D3F4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是否响应</w:t>
            </w:r>
          </w:p>
        </w:tc>
        <w:tc>
          <w:tcPr>
            <w:tcW w:w="882" w:type="dxa"/>
            <w:tcBorders>
              <w:top w:val="single" w:color="auto" w:sz="4" w:space="0"/>
              <w:left w:val="single" w:color="auto" w:sz="4" w:space="0"/>
              <w:bottom w:val="single" w:color="auto" w:sz="4" w:space="0"/>
              <w:right w:val="single" w:color="auto" w:sz="4" w:space="0"/>
            </w:tcBorders>
            <w:vAlign w:val="center"/>
          </w:tcPr>
          <w:p w14:paraId="6E23AB2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差异说明</w:t>
            </w:r>
          </w:p>
        </w:tc>
      </w:tr>
      <w:tr w14:paraId="6118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08CD044A">
            <w:pPr>
              <w:spacing w:line="500" w:lineRule="exact"/>
              <w:jc w:val="center"/>
              <w:rPr>
                <w:rFonts w:hint="eastAsia" w:ascii="仿宋" w:hAnsi="仿宋" w:eastAsia="仿宋" w:cs="仿宋"/>
                <w:color w:val="auto"/>
                <w:kern w:val="2"/>
                <w:sz w:val="24"/>
                <w:szCs w:val="24"/>
                <w:highlight w:val="none"/>
                <w:lang w:val="en-US" w:eastAsia="zh-CN" w:bidi="ar-SA"/>
              </w:rPr>
            </w:pPr>
          </w:p>
        </w:tc>
        <w:tc>
          <w:tcPr>
            <w:tcW w:w="3901" w:type="dxa"/>
            <w:tcBorders>
              <w:top w:val="single" w:color="auto" w:sz="4" w:space="0"/>
              <w:left w:val="single" w:color="auto" w:sz="4" w:space="0"/>
              <w:bottom w:val="single" w:color="auto" w:sz="4" w:space="0"/>
              <w:right w:val="single" w:color="auto" w:sz="4" w:space="0"/>
            </w:tcBorders>
            <w:vAlign w:val="top"/>
          </w:tcPr>
          <w:p w14:paraId="363DA4E1">
            <w:pPr>
              <w:spacing w:line="500" w:lineRule="exact"/>
              <w:rPr>
                <w:rFonts w:hint="eastAsia" w:ascii="仿宋" w:hAnsi="仿宋" w:eastAsia="仿宋" w:cs="仿宋"/>
                <w:color w:val="auto"/>
                <w:kern w:val="2"/>
                <w:sz w:val="24"/>
                <w:szCs w:val="24"/>
                <w:highlight w:val="none"/>
                <w:lang w:val="en-US" w:eastAsia="zh-CN" w:bidi="ar-SA"/>
              </w:rPr>
            </w:pPr>
          </w:p>
        </w:tc>
        <w:tc>
          <w:tcPr>
            <w:tcW w:w="2336" w:type="dxa"/>
            <w:tcBorders>
              <w:top w:val="single" w:color="auto" w:sz="4" w:space="0"/>
              <w:left w:val="single" w:color="auto" w:sz="4" w:space="0"/>
              <w:bottom w:val="single" w:color="auto" w:sz="4" w:space="0"/>
              <w:right w:val="single" w:color="auto" w:sz="4" w:space="0"/>
            </w:tcBorders>
          </w:tcPr>
          <w:p w14:paraId="1487E009">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44F844AD">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465C659B">
            <w:pPr>
              <w:spacing w:line="360" w:lineRule="auto"/>
              <w:rPr>
                <w:rFonts w:hint="eastAsia" w:ascii="仿宋" w:hAnsi="仿宋" w:eastAsia="仿宋" w:cs="仿宋"/>
                <w:color w:val="auto"/>
                <w:sz w:val="24"/>
                <w:highlight w:val="none"/>
              </w:rPr>
            </w:pPr>
          </w:p>
        </w:tc>
      </w:tr>
      <w:tr w14:paraId="0A6F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68D4F7BB">
            <w:pPr>
              <w:spacing w:line="500" w:lineRule="exact"/>
              <w:jc w:val="center"/>
              <w:rPr>
                <w:rFonts w:hint="eastAsia" w:ascii="仿宋" w:hAnsi="仿宋" w:eastAsia="仿宋" w:cs="仿宋"/>
                <w:color w:val="auto"/>
                <w:kern w:val="2"/>
                <w:sz w:val="24"/>
                <w:szCs w:val="24"/>
                <w:highlight w:val="none"/>
                <w:lang w:val="en-US" w:eastAsia="zh-CN" w:bidi="ar-SA"/>
              </w:rPr>
            </w:pPr>
          </w:p>
        </w:tc>
        <w:tc>
          <w:tcPr>
            <w:tcW w:w="3901" w:type="dxa"/>
            <w:tcBorders>
              <w:top w:val="single" w:color="auto" w:sz="4" w:space="0"/>
              <w:left w:val="single" w:color="auto" w:sz="4" w:space="0"/>
              <w:bottom w:val="single" w:color="auto" w:sz="4" w:space="0"/>
              <w:right w:val="single" w:color="auto" w:sz="4" w:space="0"/>
            </w:tcBorders>
            <w:vAlign w:val="top"/>
          </w:tcPr>
          <w:p w14:paraId="4E494487">
            <w:pPr>
              <w:numPr>
                <w:ilvl w:val="-1"/>
                <w:numId w:val="0"/>
              </w:numPr>
              <w:tabs>
                <w:tab w:val="left" w:pos="0"/>
              </w:tabs>
              <w:autoSpaceDE w:val="0"/>
              <w:autoSpaceDN w:val="0"/>
              <w:adjustRightInd w:val="0"/>
              <w:snapToGrid w:val="0"/>
              <w:spacing w:line="500" w:lineRule="exact"/>
              <w:ind w:firstLine="0" w:firstLineChars="0"/>
              <w:rPr>
                <w:rFonts w:hint="eastAsia" w:ascii="仿宋" w:hAnsi="仿宋" w:eastAsia="仿宋" w:cs="仿宋"/>
                <w:color w:val="auto"/>
                <w:kern w:val="2"/>
                <w:sz w:val="24"/>
                <w:szCs w:val="24"/>
                <w:highlight w:val="none"/>
                <w:lang w:val="en-US" w:eastAsia="zh-CN" w:bidi="ar-SA"/>
              </w:rPr>
            </w:pPr>
          </w:p>
        </w:tc>
        <w:tc>
          <w:tcPr>
            <w:tcW w:w="2336" w:type="dxa"/>
            <w:tcBorders>
              <w:top w:val="single" w:color="auto" w:sz="4" w:space="0"/>
              <w:left w:val="single" w:color="auto" w:sz="4" w:space="0"/>
              <w:bottom w:val="single" w:color="auto" w:sz="4" w:space="0"/>
              <w:right w:val="single" w:color="auto" w:sz="4" w:space="0"/>
            </w:tcBorders>
          </w:tcPr>
          <w:p w14:paraId="4E7E027B">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1A2FA4DB">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7F847E3A">
            <w:pPr>
              <w:spacing w:line="360" w:lineRule="auto"/>
              <w:rPr>
                <w:rFonts w:hint="eastAsia" w:ascii="仿宋" w:hAnsi="仿宋" w:eastAsia="仿宋" w:cs="仿宋"/>
                <w:color w:val="auto"/>
                <w:sz w:val="24"/>
                <w:highlight w:val="none"/>
              </w:rPr>
            </w:pPr>
          </w:p>
        </w:tc>
      </w:tr>
      <w:tr w14:paraId="55B3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0EA3D480">
            <w:pPr>
              <w:spacing w:line="500" w:lineRule="exact"/>
              <w:jc w:val="center"/>
              <w:rPr>
                <w:rFonts w:hint="eastAsia" w:ascii="仿宋" w:hAnsi="仿宋" w:eastAsia="仿宋" w:cs="仿宋"/>
                <w:color w:val="auto"/>
                <w:kern w:val="2"/>
                <w:sz w:val="24"/>
                <w:szCs w:val="24"/>
                <w:highlight w:val="none"/>
                <w:lang w:val="en-US" w:eastAsia="zh-CN" w:bidi="ar-SA"/>
              </w:rPr>
            </w:pPr>
          </w:p>
        </w:tc>
        <w:tc>
          <w:tcPr>
            <w:tcW w:w="3901" w:type="dxa"/>
            <w:tcBorders>
              <w:top w:val="single" w:color="auto" w:sz="4" w:space="0"/>
              <w:left w:val="single" w:color="auto" w:sz="4" w:space="0"/>
              <w:bottom w:val="single" w:color="auto" w:sz="4" w:space="0"/>
              <w:right w:val="single" w:color="auto" w:sz="4" w:space="0"/>
            </w:tcBorders>
            <w:vAlign w:val="top"/>
          </w:tcPr>
          <w:p w14:paraId="6CDA8CE8">
            <w:pPr>
              <w:numPr>
                <w:ilvl w:val="-1"/>
                <w:numId w:val="0"/>
              </w:numPr>
              <w:tabs>
                <w:tab w:val="left" w:pos="0"/>
              </w:tabs>
              <w:autoSpaceDE w:val="0"/>
              <w:autoSpaceDN w:val="0"/>
              <w:adjustRightInd w:val="0"/>
              <w:snapToGrid w:val="0"/>
              <w:spacing w:line="500" w:lineRule="exact"/>
              <w:ind w:left="0" w:leftChars="0" w:firstLine="0" w:firstLineChars="0"/>
              <w:rPr>
                <w:rFonts w:hint="eastAsia" w:ascii="仿宋" w:hAnsi="仿宋" w:eastAsia="仿宋" w:cs="仿宋"/>
                <w:color w:val="auto"/>
                <w:kern w:val="2"/>
                <w:sz w:val="24"/>
                <w:szCs w:val="24"/>
                <w:highlight w:val="none"/>
                <w:lang w:val="en-US" w:eastAsia="zh-CN" w:bidi="ar-SA"/>
              </w:rPr>
            </w:pPr>
          </w:p>
        </w:tc>
        <w:tc>
          <w:tcPr>
            <w:tcW w:w="2336" w:type="dxa"/>
            <w:tcBorders>
              <w:top w:val="single" w:color="auto" w:sz="4" w:space="0"/>
              <w:left w:val="single" w:color="auto" w:sz="4" w:space="0"/>
              <w:bottom w:val="single" w:color="auto" w:sz="4" w:space="0"/>
              <w:right w:val="single" w:color="auto" w:sz="4" w:space="0"/>
            </w:tcBorders>
          </w:tcPr>
          <w:p w14:paraId="2AAE89E8">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5FD3DF52">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6A4F8BAF">
            <w:pPr>
              <w:spacing w:line="360" w:lineRule="auto"/>
              <w:rPr>
                <w:rFonts w:hint="eastAsia" w:ascii="仿宋" w:hAnsi="仿宋" w:eastAsia="仿宋" w:cs="仿宋"/>
                <w:color w:val="auto"/>
                <w:sz w:val="24"/>
                <w:highlight w:val="none"/>
              </w:rPr>
            </w:pPr>
          </w:p>
        </w:tc>
      </w:tr>
      <w:tr w14:paraId="3AA5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5F733DBD">
            <w:pPr>
              <w:spacing w:line="500" w:lineRule="exact"/>
              <w:jc w:val="center"/>
              <w:rPr>
                <w:rFonts w:hint="eastAsia" w:ascii="仿宋" w:hAnsi="仿宋" w:eastAsia="仿宋" w:cs="仿宋"/>
                <w:color w:val="auto"/>
                <w:kern w:val="2"/>
                <w:sz w:val="24"/>
                <w:szCs w:val="24"/>
                <w:highlight w:val="none"/>
                <w:lang w:val="en-US" w:eastAsia="zh-CN" w:bidi="ar-SA"/>
              </w:rPr>
            </w:pPr>
          </w:p>
        </w:tc>
        <w:tc>
          <w:tcPr>
            <w:tcW w:w="3901" w:type="dxa"/>
            <w:tcBorders>
              <w:top w:val="single" w:color="auto" w:sz="4" w:space="0"/>
              <w:left w:val="single" w:color="auto" w:sz="4" w:space="0"/>
              <w:bottom w:val="single" w:color="auto" w:sz="4" w:space="0"/>
              <w:right w:val="single" w:color="auto" w:sz="4" w:space="0"/>
            </w:tcBorders>
            <w:vAlign w:val="top"/>
          </w:tcPr>
          <w:p w14:paraId="01CBF534">
            <w:pPr>
              <w:spacing w:line="500" w:lineRule="exact"/>
              <w:rPr>
                <w:rFonts w:hint="eastAsia" w:ascii="仿宋" w:hAnsi="仿宋" w:eastAsia="仿宋" w:cs="仿宋"/>
                <w:color w:val="auto"/>
                <w:kern w:val="2"/>
                <w:sz w:val="24"/>
                <w:szCs w:val="24"/>
                <w:highlight w:val="none"/>
                <w:lang w:val="en-US" w:eastAsia="zh-CN" w:bidi="ar-SA"/>
              </w:rPr>
            </w:pPr>
          </w:p>
        </w:tc>
        <w:tc>
          <w:tcPr>
            <w:tcW w:w="2336" w:type="dxa"/>
            <w:tcBorders>
              <w:top w:val="single" w:color="auto" w:sz="4" w:space="0"/>
              <w:left w:val="single" w:color="auto" w:sz="4" w:space="0"/>
              <w:bottom w:val="single" w:color="auto" w:sz="4" w:space="0"/>
              <w:right w:val="single" w:color="auto" w:sz="4" w:space="0"/>
            </w:tcBorders>
          </w:tcPr>
          <w:p w14:paraId="5DFBF12B">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4555416E">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4334AA55">
            <w:pPr>
              <w:spacing w:line="360" w:lineRule="auto"/>
              <w:rPr>
                <w:rFonts w:hint="eastAsia" w:ascii="仿宋" w:hAnsi="仿宋" w:eastAsia="仿宋" w:cs="仿宋"/>
                <w:color w:val="auto"/>
                <w:sz w:val="24"/>
                <w:highlight w:val="none"/>
              </w:rPr>
            </w:pPr>
          </w:p>
        </w:tc>
      </w:tr>
      <w:tr w14:paraId="0F6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786C4C5E">
            <w:pPr>
              <w:spacing w:line="500" w:lineRule="exact"/>
              <w:jc w:val="center"/>
              <w:rPr>
                <w:rFonts w:hint="eastAsia" w:ascii="仿宋" w:hAnsi="仿宋" w:eastAsia="仿宋" w:cs="仿宋"/>
                <w:color w:val="auto"/>
                <w:kern w:val="2"/>
                <w:sz w:val="24"/>
                <w:szCs w:val="24"/>
                <w:highlight w:val="none"/>
                <w:lang w:val="en-US" w:eastAsia="zh-CN" w:bidi="ar-SA"/>
              </w:rPr>
            </w:pPr>
          </w:p>
        </w:tc>
        <w:tc>
          <w:tcPr>
            <w:tcW w:w="3901" w:type="dxa"/>
            <w:tcBorders>
              <w:top w:val="single" w:color="auto" w:sz="4" w:space="0"/>
              <w:left w:val="single" w:color="auto" w:sz="4" w:space="0"/>
              <w:bottom w:val="single" w:color="auto" w:sz="4" w:space="0"/>
              <w:right w:val="single" w:color="auto" w:sz="4" w:space="0"/>
            </w:tcBorders>
            <w:vAlign w:val="top"/>
          </w:tcPr>
          <w:p w14:paraId="351652A3">
            <w:pPr>
              <w:pStyle w:val="2"/>
              <w:spacing w:before="0" w:line="360" w:lineRule="auto"/>
              <w:ind w:firstLine="480" w:firstLineChars="200"/>
              <w:rPr>
                <w:rFonts w:hint="eastAsia" w:ascii="仿宋" w:hAnsi="仿宋" w:eastAsia="仿宋" w:cs="仿宋"/>
                <w:color w:val="auto"/>
                <w:kern w:val="2"/>
                <w:sz w:val="24"/>
                <w:szCs w:val="20"/>
                <w:highlight w:val="none"/>
                <w:lang w:val="en-US" w:eastAsia="zh-CN" w:bidi="ar-SA"/>
              </w:rPr>
            </w:pPr>
          </w:p>
        </w:tc>
        <w:tc>
          <w:tcPr>
            <w:tcW w:w="2336" w:type="dxa"/>
            <w:tcBorders>
              <w:top w:val="single" w:color="auto" w:sz="4" w:space="0"/>
              <w:left w:val="single" w:color="auto" w:sz="4" w:space="0"/>
              <w:bottom w:val="single" w:color="auto" w:sz="4" w:space="0"/>
              <w:right w:val="single" w:color="auto" w:sz="4" w:space="0"/>
            </w:tcBorders>
          </w:tcPr>
          <w:p w14:paraId="0A43880B">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15CB4EF5">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2367D6F6">
            <w:pPr>
              <w:spacing w:line="360" w:lineRule="auto"/>
              <w:rPr>
                <w:rFonts w:hint="eastAsia" w:ascii="仿宋" w:hAnsi="仿宋" w:eastAsia="仿宋" w:cs="仿宋"/>
                <w:color w:val="auto"/>
                <w:sz w:val="24"/>
                <w:highlight w:val="none"/>
              </w:rPr>
            </w:pPr>
          </w:p>
        </w:tc>
      </w:tr>
      <w:tr w14:paraId="3350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71F3BA09">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618CCC23">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66A09E75">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51C342E6">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7F15BBE8">
            <w:pPr>
              <w:spacing w:line="360" w:lineRule="auto"/>
              <w:rPr>
                <w:rFonts w:hint="eastAsia" w:ascii="仿宋" w:hAnsi="仿宋" w:eastAsia="仿宋" w:cs="仿宋"/>
                <w:color w:val="auto"/>
                <w:sz w:val="24"/>
                <w:highlight w:val="none"/>
              </w:rPr>
            </w:pPr>
          </w:p>
        </w:tc>
      </w:tr>
      <w:tr w14:paraId="3BEE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10DE3F12">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34398D50">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4AEC989C">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6C082047">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4C813EED">
            <w:pPr>
              <w:spacing w:line="360" w:lineRule="auto"/>
              <w:rPr>
                <w:rFonts w:hint="eastAsia" w:ascii="仿宋" w:hAnsi="仿宋" w:eastAsia="仿宋" w:cs="仿宋"/>
                <w:color w:val="auto"/>
                <w:sz w:val="24"/>
                <w:highlight w:val="none"/>
              </w:rPr>
            </w:pPr>
          </w:p>
        </w:tc>
      </w:tr>
      <w:tr w14:paraId="23AA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56EB9272">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5173EAE3">
            <w:pPr>
              <w:rPr>
                <w:rFonts w:hint="eastAsia" w:ascii="仿宋" w:hAnsi="仿宋" w:eastAsia="仿宋" w:cs="仿宋"/>
                <w:b/>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7C3B2E77">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1B5BF0CB">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14B3A71D">
            <w:pPr>
              <w:spacing w:line="360" w:lineRule="auto"/>
              <w:rPr>
                <w:rFonts w:hint="eastAsia" w:ascii="仿宋" w:hAnsi="仿宋" w:eastAsia="仿宋" w:cs="仿宋"/>
                <w:color w:val="auto"/>
                <w:sz w:val="24"/>
                <w:highlight w:val="none"/>
              </w:rPr>
            </w:pPr>
          </w:p>
        </w:tc>
      </w:tr>
      <w:tr w14:paraId="4D27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2B8723D2">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4402409A">
            <w:pPr>
              <w:rPr>
                <w:rFonts w:hint="eastAsia" w:ascii="仿宋" w:hAnsi="仿宋" w:eastAsia="仿宋" w:cs="仿宋"/>
                <w:b/>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24BFAA9A">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4049973E">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2488ACEC">
            <w:pPr>
              <w:spacing w:line="360" w:lineRule="auto"/>
              <w:rPr>
                <w:rFonts w:hint="eastAsia" w:ascii="仿宋" w:hAnsi="仿宋" w:eastAsia="仿宋" w:cs="仿宋"/>
                <w:color w:val="auto"/>
                <w:sz w:val="24"/>
                <w:highlight w:val="none"/>
              </w:rPr>
            </w:pPr>
          </w:p>
        </w:tc>
      </w:tr>
    </w:tbl>
    <w:p w14:paraId="1309EB3B">
      <w:pPr>
        <w:adjustRightInd w:val="0"/>
        <w:snapToGrid w:val="0"/>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4"/>
          <w:highlight w:val="none"/>
        </w:rPr>
        <w:t>注：上表中所引用的顺序和编号应与</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“第二部分　采购项目内容”的“二、 采购项目商务要求”的要求相一致。投标人在具体的投标内容中应</w:t>
      </w:r>
      <w:r>
        <w:rPr>
          <w:rFonts w:hint="eastAsia" w:ascii="仿宋" w:hAnsi="仿宋" w:eastAsia="仿宋" w:cs="仿宋"/>
          <w:b/>
          <w:color w:val="auto"/>
          <w:sz w:val="32"/>
          <w:szCs w:val="32"/>
          <w:highlight w:val="none"/>
          <w:u w:val="single"/>
        </w:rPr>
        <w:t>逐条</w:t>
      </w:r>
      <w:r>
        <w:rPr>
          <w:rFonts w:hint="eastAsia" w:ascii="仿宋" w:hAnsi="仿宋" w:eastAsia="仿宋" w:cs="仿宋"/>
          <w:b/>
          <w:color w:val="auto"/>
          <w:sz w:val="24"/>
          <w:highlight w:val="none"/>
        </w:rPr>
        <w:t>进行响应，可以增加说明或描述性文字。如投标人完全响应，在“是否响应”栏内填“是”，如投标人提供的条款优于招标要求，则填写“正偏离”，如投标人提供的条款低于招标要求，则填写“负偏离”。投标人如没有对</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条款的响应情况进行填写即为不响应该</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条款。投标文件与</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的任何差异之处，均应按本表格式在“差异说明”栏中逐一说明，优于招标要求的，可提供相关证明资料。</w:t>
      </w:r>
      <w:r>
        <w:rPr>
          <w:rFonts w:hint="eastAsia" w:ascii="仿宋" w:hAnsi="仿宋" w:eastAsia="仿宋" w:cs="仿宋"/>
          <w:b/>
          <w:color w:val="auto"/>
          <w:sz w:val="24"/>
          <w:highlight w:val="none"/>
          <w:lang w:val="en-US" w:eastAsia="zh-CN"/>
        </w:rPr>
        <w:t>若投标人如完全响应所有商务要求的，可本表留空并注明“</w:t>
      </w:r>
      <w:r>
        <w:rPr>
          <w:rFonts w:hint="eastAsia" w:ascii="仿宋" w:hAnsi="仿宋" w:eastAsia="仿宋" w:cs="仿宋"/>
          <w:b/>
          <w:color w:val="auto"/>
          <w:sz w:val="28"/>
          <w:szCs w:val="28"/>
          <w:highlight w:val="none"/>
          <w:u w:val="single"/>
          <w:lang w:val="en-US" w:eastAsia="zh-CN"/>
        </w:rPr>
        <w:t>完全接受采购文件所有商务要求</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8"/>
          <w:szCs w:val="28"/>
          <w:highlight w:val="none"/>
          <w:u w:val="single"/>
        </w:rPr>
        <w:t>实质性条款如不响应或负偏离的，将导致投标无效。</w:t>
      </w:r>
    </w:p>
    <w:p w14:paraId="4362F207">
      <w:pPr>
        <w:rPr>
          <w:rFonts w:hint="eastAsia" w:ascii="仿宋" w:hAnsi="仿宋" w:eastAsia="仿宋" w:cs="仿宋"/>
          <w:color w:val="auto"/>
          <w:sz w:val="17"/>
          <w:highlight w:val="none"/>
        </w:rPr>
      </w:pPr>
    </w:p>
    <w:p w14:paraId="1822A035">
      <w:pPr>
        <w:adjustRightInd w:val="0"/>
        <w:snapToGrid w:val="0"/>
        <w:spacing w:line="300" w:lineRule="auto"/>
        <w:rPr>
          <w:rFonts w:hint="eastAsia" w:ascii="仿宋" w:hAnsi="仿宋" w:eastAsia="仿宋" w:cs="仿宋"/>
          <w:color w:val="auto"/>
          <w:sz w:val="22"/>
          <w:highlight w:val="none"/>
        </w:rPr>
      </w:pPr>
      <w:r>
        <w:rPr>
          <w:rFonts w:hint="eastAsia" w:ascii="仿宋" w:hAnsi="仿宋" w:eastAsia="仿宋" w:cs="仿宋"/>
          <w:color w:val="auto"/>
          <w:sz w:val="22"/>
          <w:highlight w:val="none"/>
        </w:rPr>
        <w:t>投标人法定代表人/负责人（或法定代表人/负责人授权代表）</w:t>
      </w:r>
      <w:r>
        <w:rPr>
          <w:rFonts w:hint="eastAsia" w:ascii="仿宋" w:hAnsi="仿宋" w:eastAsia="仿宋" w:cs="仿宋"/>
          <w:color w:val="auto"/>
          <w:kern w:val="0"/>
          <w:sz w:val="22"/>
          <w:szCs w:val="22"/>
          <w:highlight w:val="none"/>
        </w:rPr>
        <w:t>签字</w:t>
      </w:r>
      <w:r>
        <w:rPr>
          <w:rFonts w:hint="eastAsia" w:ascii="仿宋" w:hAnsi="仿宋" w:eastAsia="仿宋" w:cs="仿宋"/>
          <w:color w:val="auto"/>
          <w:kern w:val="0"/>
          <w:sz w:val="22"/>
          <w:szCs w:val="22"/>
          <w:highlight w:val="none"/>
          <w:lang w:val="en-US" w:eastAsia="zh-CN"/>
        </w:rPr>
        <w:t>或盖章</w:t>
      </w:r>
      <w:r>
        <w:rPr>
          <w:rFonts w:hint="eastAsia" w:ascii="仿宋" w:hAnsi="仿宋" w:eastAsia="仿宋" w:cs="仿宋"/>
          <w:color w:val="auto"/>
          <w:sz w:val="22"/>
          <w:highlight w:val="none"/>
        </w:rPr>
        <w:t>：</w:t>
      </w:r>
      <w:r>
        <w:rPr>
          <w:rFonts w:hint="eastAsia" w:ascii="仿宋" w:hAnsi="仿宋" w:eastAsia="仿宋" w:cs="仿宋"/>
          <w:color w:val="auto"/>
          <w:sz w:val="22"/>
          <w:highlight w:val="none"/>
          <w:u w:val="single"/>
        </w:rPr>
        <w:t xml:space="preserve">                  </w:t>
      </w:r>
    </w:p>
    <w:p w14:paraId="4FBB8785">
      <w:pPr>
        <w:adjustRightInd w:val="0"/>
        <w:snapToGrid w:val="0"/>
        <w:spacing w:line="300" w:lineRule="auto"/>
        <w:rPr>
          <w:rFonts w:hint="eastAsia" w:ascii="仿宋" w:hAnsi="仿宋" w:eastAsia="仿宋" w:cs="仿宋"/>
          <w:color w:val="auto"/>
          <w:sz w:val="22"/>
          <w:highlight w:val="none"/>
          <w:u w:val="single"/>
        </w:rPr>
      </w:pPr>
      <w:r>
        <w:rPr>
          <w:rFonts w:hint="eastAsia" w:ascii="仿宋" w:hAnsi="仿宋" w:eastAsia="仿宋" w:cs="仿宋"/>
          <w:color w:val="auto"/>
          <w:sz w:val="22"/>
          <w:highlight w:val="none"/>
        </w:rPr>
        <w:t>投标人名称(加盖公章) ：</w:t>
      </w:r>
      <w:r>
        <w:rPr>
          <w:rFonts w:hint="eastAsia" w:ascii="仿宋" w:hAnsi="仿宋" w:eastAsia="仿宋" w:cs="仿宋"/>
          <w:color w:val="auto"/>
          <w:sz w:val="22"/>
          <w:highlight w:val="none"/>
          <w:u w:val="single"/>
        </w:rPr>
        <w:t xml:space="preserve">                  </w:t>
      </w:r>
    </w:p>
    <w:p w14:paraId="58ADC75B">
      <w:pPr>
        <w:rPr>
          <w:rFonts w:hint="eastAsia" w:ascii="仿宋" w:hAnsi="仿宋" w:eastAsia="仿宋" w:cs="仿宋"/>
          <w:b/>
          <w:color w:val="auto"/>
          <w:sz w:val="24"/>
          <w:highlight w:val="none"/>
        </w:rPr>
      </w:pPr>
      <w:r>
        <w:rPr>
          <w:rFonts w:hint="eastAsia" w:ascii="仿宋" w:hAnsi="仿宋" w:eastAsia="仿宋" w:cs="仿宋"/>
          <w:color w:val="auto"/>
          <w:sz w:val="22"/>
          <w:highlight w:val="none"/>
        </w:rPr>
        <w:t>日期：   年   月   日</w:t>
      </w:r>
    </w:p>
    <w:p w14:paraId="70CCF853">
      <w:pPr>
        <w:rPr>
          <w:rFonts w:hint="eastAsia" w:ascii="仿宋" w:hAnsi="仿宋" w:eastAsia="仿宋" w:cs="仿宋"/>
          <w:bCs/>
          <w:color w:val="auto"/>
          <w:sz w:val="24"/>
          <w:highlight w:val="none"/>
        </w:rPr>
      </w:pPr>
    </w:p>
    <w:p w14:paraId="512BF10B">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661DE914">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十一、技术响应、偏离说明表</w:t>
      </w:r>
    </w:p>
    <w:p w14:paraId="5AE09F2D">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项目编号：          </w:t>
      </w:r>
    </w:p>
    <w:p w14:paraId="278BDEA6">
      <w:pPr>
        <w:adjustRightInd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bl>
      <w:tblPr>
        <w:tblStyle w:val="41"/>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901"/>
        <w:gridCol w:w="2336"/>
        <w:gridCol w:w="1207"/>
        <w:gridCol w:w="882"/>
      </w:tblGrid>
      <w:tr w14:paraId="7419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860" w:type="dxa"/>
            <w:gridSpan w:val="5"/>
            <w:tcBorders>
              <w:top w:val="single" w:color="auto" w:sz="4" w:space="0"/>
              <w:left w:val="single" w:color="auto" w:sz="4" w:space="0"/>
              <w:bottom w:val="single" w:color="auto" w:sz="4" w:space="0"/>
              <w:right w:val="single" w:color="auto" w:sz="4" w:space="0"/>
            </w:tcBorders>
            <w:vAlign w:val="center"/>
          </w:tcPr>
          <w:p w14:paraId="715AA927">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“三、采购项目技术要求”的全部条款的响应情况</w:t>
            </w:r>
          </w:p>
        </w:tc>
      </w:tr>
      <w:tr w14:paraId="1842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14:paraId="4D43176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901" w:type="dxa"/>
            <w:tcBorders>
              <w:top w:val="single" w:color="auto" w:sz="4" w:space="0"/>
              <w:left w:val="single" w:color="auto" w:sz="4" w:space="0"/>
              <w:bottom w:val="single" w:color="auto" w:sz="4" w:space="0"/>
              <w:right w:val="single" w:color="auto" w:sz="4" w:space="0"/>
            </w:tcBorders>
            <w:vAlign w:val="center"/>
          </w:tcPr>
          <w:p w14:paraId="470B161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采购文件</w:t>
            </w:r>
            <w:r>
              <w:rPr>
                <w:rFonts w:hint="eastAsia" w:ascii="仿宋" w:hAnsi="仿宋" w:eastAsia="仿宋" w:cs="仿宋"/>
                <w:color w:val="auto"/>
                <w:sz w:val="24"/>
                <w:highlight w:val="none"/>
              </w:rPr>
              <w:t>技术条款</w:t>
            </w:r>
          </w:p>
        </w:tc>
        <w:tc>
          <w:tcPr>
            <w:tcW w:w="2336" w:type="dxa"/>
            <w:tcBorders>
              <w:top w:val="single" w:color="auto" w:sz="4" w:space="0"/>
              <w:left w:val="single" w:color="auto" w:sz="4" w:space="0"/>
              <w:bottom w:val="single" w:color="auto" w:sz="4" w:space="0"/>
              <w:right w:val="single" w:color="auto" w:sz="4" w:space="0"/>
            </w:tcBorders>
            <w:vAlign w:val="center"/>
          </w:tcPr>
          <w:p w14:paraId="1EBA9A6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投标文件技术条款</w:t>
            </w:r>
          </w:p>
        </w:tc>
        <w:tc>
          <w:tcPr>
            <w:tcW w:w="1207" w:type="dxa"/>
            <w:tcBorders>
              <w:top w:val="single" w:color="auto" w:sz="4" w:space="0"/>
              <w:left w:val="single" w:color="auto" w:sz="4" w:space="0"/>
              <w:bottom w:val="single" w:color="auto" w:sz="4" w:space="0"/>
              <w:right w:val="single" w:color="auto" w:sz="4" w:space="0"/>
            </w:tcBorders>
            <w:vAlign w:val="center"/>
          </w:tcPr>
          <w:p w14:paraId="225D583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是否响应</w:t>
            </w:r>
          </w:p>
        </w:tc>
        <w:tc>
          <w:tcPr>
            <w:tcW w:w="882" w:type="dxa"/>
            <w:tcBorders>
              <w:top w:val="single" w:color="auto" w:sz="4" w:space="0"/>
              <w:left w:val="single" w:color="auto" w:sz="4" w:space="0"/>
              <w:bottom w:val="single" w:color="auto" w:sz="4" w:space="0"/>
              <w:right w:val="single" w:color="auto" w:sz="4" w:space="0"/>
            </w:tcBorders>
            <w:vAlign w:val="center"/>
          </w:tcPr>
          <w:p w14:paraId="3697B64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差异说明</w:t>
            </w:r>
          </w:p>
        </w:tc>
      </w:tr>
      <w:tr w14:paraId="2291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62B1F849">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1461DEB8">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638D8196">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126343F2">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036716C0">
            <w:pPr>
              <w:spacing w:line="360" w:lineRule="auto"/>
              <w:rPr>
                <w:rFonts w:hint="eastAsia" w:ascii="仿宋" w:hAnsi="仿宋" w:eastAsia="仿宋" w:cs="仿宋"/>
                <w:color w:val="auto"/>
                <w:sz w:val="24"/>
                <w:highlight w:val="none"/>
              </w:rPr>
            </w:pPr>
          </w:p>
        </w:tc>
      </w:tr>
      <w:tr w14:paraId="308A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35BDDD4B">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7B540382">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50349073">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79140BAE">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1844F7B7">
            <w:pPr>
              <w:spacing w:line="360" w:lineRule="auto"/>
              <w:rPr>
                <w:rFonts w:hint="eastAsia" w:ascii="仿宋" w:hAnsi="仿宋" w:eastAsia="仿宋" w:cs="仿宋"/>
                <w:color w:val="auto"/>
                <w:sz w:val="24"/>
                <w:highlight w:val="none"/>
              </w:rPr>
            </w:pPr>
          </w:p>
        </w:tc>
      </w:tr>
      <w:tr w14:paraId="3A17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2F9114FF">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3F65844D">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11D265B3">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2C180A90">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73335502">
            <w:pPr>
              <w:spacing w:line="360" w:lineRule="auto"/>
              <w:rPr>
                <w:rFonts w:hint="eastAsia" w:ascii="仿宋" w:hAnsi="仿宋" w:eastAsia="仿宋" w:cs="仿宋"/>
                <w:color w:val="auto"/>
                <w:sz w:val="24"/>
                <w:highlight w:val="none"/>
              </w:rPr>
            </w:pPr>
          </w:p>
        </w:tc>
      </w:tr>
      <w:tr w14:paraId="412C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45580639">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6A8C52DA">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473EB423">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4172B4D0">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6B9C8B98">
            <w:pPr>
              <w:spacing w:line="360" w:lineRule="auto"/>
              <w:rPr>
                <w:rFonts w:hint="eastAsia" w:ascii="仿宋" w:hAnsi="仿宋" w:eastAsia="仿宋" w:cs="仿宋"/>
                <w:color w:val="auto"/>
                <w:sz w:val="24"/>
                <w:highlight w:val="none"/>
              </w:rPr>
            </w:pPr>
          </w:p>
        </w:tc>
      </w:tr>
      <w:tr w14:paraId="1FA4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70CBCC81">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4931ADF3">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3FBE125C">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6E277C7F">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4C9DE493">
            <w:pPr>
              <w:spacing w:line="360" w:lineRule="auto"/>
              <w:rPr>
                <w:rFonts w:hint="eastAsia" w:ascii="仿宋" w:hAnsi="仿宋" w:eastAsia="仿宋" w:cs="仿宋"/>
                <w:color w:val="auto"/>
                <w:sz w:val="24"/>
                <w:highlight w:val="none"/>
              </w:rPr>
            </w:pPr>
          </w:p>
        </w:tc>
      </w:tr>
      <w:tr w14:paraId="5183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7F8537A5">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4E1D0B73">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75DA0E9E">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77BC9D7A">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6B4C365E">
            <w:pPr>
              <w:spacing w:line="360" w:lineRule="auto"/>
              <w:rPr>
                <w:rFonts w:hint="eastAsia" w:ascii="仿宋" w:hAnsi="仿宋" w:eastAsia="仿宋" w:cs="仿宋"/>
                <w:color w:val="auto"/>
                <w:sz w:val="24"/>
                <w:highlight w:val="none"/>
              </w:rPr>
            </w:pPr>
          </w:p>
        </w:tc>
      </w:tr>
      <w:tr w14:paraId="1D8E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1A96745B">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7E0417A2">
            <w:pPr>
              <w:rPr>
                <w:rFonts w:hint="eastAsia" w:ascii="仿宋" w:hAnsi="仿宋" w:eastAsia="仿宋" w:cs="仿宋"/>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2ED2F85B">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767B91CB">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6BFE904B">
            <w:pPr>
              <w:spacing w:line="360" w:lineRule="auto"/>
              <w:rPr>
                <w:rFonts w:hint="eastAsia" w:ascii="仿宋" w:hAnsi="仿宋" w:eastAsia="仿宋" w:cs="仿宋"/>
                <w:color w:val="auto"/>
                <w:sz w:val="24"/>
                <w:highlight w:val="none"/>
              </w:rPr>
            </w:pPr>
          </w:p>
        </w:tc>
      </w:tr>
      <w:tr w14:paraId="6869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5A633167">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3B050B46">
            <w:pPr>
              <w:rPr>
                <w:rFonts w:hint="eastAsia" w:ascii="仿宋" w:hAnsi="仿宋" w:eastAsia="仿宋" w:cs="仿宋"/>
                <w:b/>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33670C0E">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23C3BA1E">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71F8669F">
            <w:pPr>
              <w:spacing w:line="360" w:lineRule="auto"/>
              <w:rPr>
                <w:rFonts w:hint="eastAsia" w:ascii="仿宋" w:hAnsi="仿宋" w:eastAsia="仿宋" w:cs="仿宋"/>
                <w:color w:val="auto"/>
                <w:sz w:val="24"/>
                <w:highlight w:val="none"/>
              </w:rPr>
            </w:pPr>
          </w:p>
        </w:tc>
      </w:tr>
      <w:tr w14:paraId="69E9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tcBorders>
              <w:top w:val="single" w:color="auto" w:sz="4" w:space="0"/>
              <w:left w:val="single" w:color="auto" w:sz="4" w:space="0"/>
              <w:bottom w:val="single" w:color="auto" w:sz="4" w:space="0"/>
              <w:right w:val="single" w:color="auto" w:sz="4" w:space="0"/>
            </w:tcBorders>
            <w:vAlign w:val="center"/>
          </w:tcPr>
          <w:p w14:paraId="44BA9247">
            <w:pPr>
              <w:spacing w:line="360" w:lineRule="auto"/>
              <w:jc w:val="center"/>
              <w:rPr>
                <w:rFonts w:hint="eastAsia" w:ascii="仿宋" w:hAnsi="仿宋" w:eastAsia="仿宋" w:cs="仿宋"/>
                <w:color w:val="auto"/>
                <w:sz w:val="24"/>
                <w:highlight w:val="none"/>
              </w:rPr>
            </w:pPr>
          </w:p>
        </w:tc>
        <w:tc>
          <w:tcPr>
            <w:tcW w:w="3901" w:type="dxa"/>
            <w:tcBorders>
              <w:top w:val="single" w:color="auto" w:sz="4" w:space="0"/>
              <w:left w:val="single" w:color="auto" w:sz="4" w:space="0"/>
              <w:bottom w:val="single" w:color="auto" w:sz="4" w:space="0"/>
              <w:right w:val="single" w:color="auto" w:sz="4" w:space="0"/>
            </w:tcBorders>
          </w:tcPr>
          <w:p w14:paraId="0F4F1F98">
            <w:pPr>
              <w:rPr>
                <w:rFonts w:hint="eastAsia" w:ascii="仿宋" w:hAnsi="仿宋" w:eastAsia="仿宋" w:cs="仿宋"/>
                <w:b/>
                <w:color w:val="auto"/>
                <w:sz w:val="24"/>
                <w:highlight w:val="none"/>
              </w:rPr>
            </w:pPr>
          </w:p>
        </w:tc>
        <w:tc>
          <w:tcPr>
            <w:tcW w:w="2336" w:type="dxa"/>
            <w:tcBorders>
              <w:top w:val="single" w:color="auto" w:sz="4" w:space="0"/>
              <w:left w:val="single" w:color="auto" w:sz="4" w:space="0"/>
              <w:bottom w:val="single" w:color="auto" w:sz="4" w:space="0"/>
              <w:right w:val="single" w:color="auto" w:sz="4" w:space="0"/>
            </w:tcBorders>
          </w:tcPr>
          <w:p w14:paraId="53E4F5C0">
            <w:pPr>
              <w:spacing w:line="360" w:lineRule="auto"/>
              <w:rPr>
                <w:rFonts w:hint="eastAsia" w:ascii="仿宋" w:hAnsi="仿宋" w:eastAsia="仿宋" w:cs="仿宋"/>
                <w:color w:val="auto"/>
                <w:sz w:val="24"/>
                <w:highlight w:val="none"/>
              </w:rPr>
            </w:pPr>
          </w:p>
        </w:tc>
        <w:tc>
          <w:tcPr>
            <w:tcW w:w="1207" w:type="dxa"/>
            <w:tcBorders>
              <w:top w:val="single" w:color="auto" w:sz="4" w:space="0"/>
              <w:left w:val="single" w:color="auto" w:sz="4" w:space="0"/>
              <w:bottom w:val="single" w:color="auto" w:sz="4" w:space="0"/>
              <w:right w:val="single" w:color="auto" w:sz="4" w:space="0"/>
            </w:tcBorders>
          </w:tcPr>
          <w:p w14:paraId="11BE0212">
            <w:pPr>
              <w:spacing w:line="360" w:lineRule="auto"/>
              <w:rPr>
                <w:rFonts w:hint="eastAsia" w:ascii="仿宋" w:hAnsi="仿宋" w:eastAsia="仿宋" w:cs="仿宋"/>
                <w:color w:val="auto"/>
                <w:sz w:val="24"/>
                <w:highlight w:val="none"/>
              </w:rPr>
            </w:pPr>
          </w:p>
        </w:tc>
        <w:tc>
          <w:tcPr>
            <w:tcW w:w="882" w:type="dxa"/>
            <w:tcBorders>
              <w:top w:val="single" w:color="auto" w:sz="4" w:space="0"/>
              <w:left w:val="single" w:color="auto" w:sz="4" w:space="0"/>
              <w:bottom w:val="single" w:color="auto" w:sz="4" w:space="0"/>
              <w:right w:val="single" w:color="auto" w:sz="4" w:space="0"/>
            </w:tcBorders>
          </w:tcPr>
          <w:p w14:paraId="2EB4DFF9">
            <w:pPr>
              <w:spacing w:line="360" w:lineRule="auto"/>
              <w:rPr>
                <w:rFonts w:hint="eastAsia" w:ascii="仿宋" w:hAnsi="仿宋" w:eastAsia="仿宋" w:cs="仿宋"/>
                <w:color w:val="auto"/>
                <w:sz w:val="24"/>
                <w:highlight w:val="none"/>
              </w:rPr>
            </w:pPr>
          </w:p>
        </w:tc>
      </w:tr>
    </w:tbl>
    <w:p w14:paraId="29CF4072">
      <w:pPr>
        <w:adjustRightInd w:val="0"/>
        <w:snapToGrid w:val="0"/>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b/>
          <w:color w:val="auto"/>
          <w:sz w:val="24"/>
          <w:highlight w:val="none"/>
        </w:rPr>
        <w:t>注：上表中所引用的顺序和编号应与</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“第二部分　采购项目内容”的“三、采购项目技术要求”的要求相一致。投标人在具体的投标内容中应</w:t>
      </w:r>
      <w:r>
        <w:rPr>
          <w:rFonts w:hint="eastAsia" w:ascii="仿宋" w:hAnsi="仿宋" w:eastAsia="仿宋" w:cs="仿宋"/>
          <w:b/>
          <w:color w:val="auto"/>
          <w:sz w:val="32"/>
          <w:szCs w:val="32"/>
          <w:highlight w:val="none"/>
          <w:u w:val="single"/>
        </w:rPr>
        <w:t>逐条</w:t>
      </w:r>
      <w:r>
        <w:rPr>
          <w:rFonts w:hint="eastAsia" w:ascii="仿宋" w:hAnsi="仿宋" w:eastAsia="仿宋" w:cs="仿宋"/>
          <w:b/>
          <w:color w:val="auto"/>
          <w:sz w:val="24"/>
          <w:highlight w:val="none"/>
        </w:rPr>
        <w:t>进行响应，可以增加说明或描述性文字。如投标人完全响应，在“是否响应”栏内填“是”，如投标人提供的条款优于招标要求，则填写“正偏离”，如投标人提供的条款低于招标要求，则填写“负偏离”。投标人如没有对</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条款的响应情况进行填写即为不响应该</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条款。投标文件与</w:t>
      </w:r>
      <w:r>
        <w:rPr>
          <w:rFonts w:hint="eastAsia" w:ascii="仿宋" w:hAnsi="仿宋" w:eastAsia="仿宋" w:cs="仿宋"/>
          <w:b/>
          <w:color w:val="auto"/>
          <w:sz w:val="24"/>
          <w:highlight w:val="none"/>
          <w:lang w:eastAsia="zh-CN"/>
        </w:rPr>
        <w:t>采购文件</w:t>
      </w:r>
      <w:r>
        <w:rPr>
          <w:rFonts w:hint="eastAsia" w:ascii="仿宋" w:hAnsi="仿宋" w:eastAsia="仿宋" w:cs="仿宋"/>
          <w:b/>
          <w:color w:val="auto"/>
          <w:sz w:val="24"/>
          <w:highlight w:val="none"/>
        </w:rPr>
        <w:t>的任何差异之处，均应按本表格式在“差异说明”栏中逐一说明，优于招标要求的，可提供相关证明资料。</w:t>
      </w:r>
      <w:r>
        <w:rPr>
          <w:rFonts w:hint="eastAsia" w:ascii="仿宋" w:hAnsi="仿宋" w:eastAsia="仿宋" w:cs="仿宋"/>
          <w:b/>
          <w:color w:val="auto"/>
          <w:sz w:val="24"/>
          <w:highlight w:val="none"/>
          <w:lang w:val="en-US" w:eastAsia="zh-CN"/>
        </w:rPr>
        <w:t>若投标人如完全响应所有技术要求的，可本表留空并注明“</w:t>
      </w:r>
      <w:r>
        <w:rPr>
          <w:rFonts w:hint="eastAsia" w:ascii="仿宋" w:hAnsi="仿宋" w:eastAsia="仿宋" w:cs="仿宋"/>
          <w:b/>
          <w:color w:val="auto"/>
          <w:sz w:val="28"/>
          <w:szCs w:val="28"/>
          <w:highlight w:val="none"/>
          <w:u w:val="single"/>
          <w:lang w:val="en-US" w:eastAsia="zh-CN"/>
        </w:rPr>
        <w:t>完全接受采购文件所有技术要求</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8"/>
          <w:szCs w:val="28"/>
          <w:highlight w:val="none"/>
          <w:u w:val="single"/>
        </w:rPr>
        <w:t>实质性条款如不响应或负偏离的，将导致投标无效。</w:t>
      </w:r>
    </w:p>
    <w:p w14:paraId="7B166868">
      <w:pPr>
        <w:rPr>
          <w:rFonts w:hint="eastAsia" w:ascii="仿宋" w:hAnsi="仿宋" w:eastAsia="仿宋" w:cs="仿宋"/>
          <w:color w:val="auto"/>
          <w:highlight w:val="none"/>
        </w:rPr>
      </w:pPr>
    </w:p>
    <w:p w14:paraId="6D859A94">
      <w:pPr>
        <w:adjustRightInd w:val="0"/>
        <w:snapToGrid w:val="0"/>
        <w:spacing w:line="360" w:lineRule="auto"/>
        <w:rPr>
          <w:rFonts w:hint="eastAsia" w:ascii="仿宋" w:hAnsi="仿宋" w:eastAsia="仿宋" w:cs="仿宋"/>
          <w:b/>
          <w:color w:val="auto"/>
          <w:sz w:val="23"/>
          <w:szCs w:val="21"/>
          <w:highlight w:val="none"/>
        </w:rPr>
      </w:pPr>
    </w:p>
    <w:p w14:paraId="13CFB8DE">
      <w:pPr>
        <w:adjustRightInd w:val="0"/>
        <w:snapToGrid w:val="0"/>
        <w:spacing w:line="360" w:lineRule="auto"/>
        <w:rPr>
          <w:rFonts w:hint="eastAsia" w:ascii="仿宋" w:hAnsi="仿宋" w:eastAsia="仿宋" w:cs="仿宋"/>
          <w:color w:val="auto"/>
          <w:sz w:val="22"/>
          <w:szCs w:val="28"/>
          <w:highlight w:val="none"/>
        </w:rPr>
      </w:pPr>
      <w:r>
        <w:rPr>
          <w:rFonts w:hint="eastAsia" w:ascii="仿宋" w:hAnsi="仿宋" w:eastAsia="仿宋" w:cs="仿宋"/>
          <w:color w:val="auto"/>
          <w:sz w:val="22"/>
          <w:szCs w:val="28"/>
          <w:highlight w:val="none"/>
        </w:rPr>
        <w:t>投标人法定代表人/负责人（或法定代表人/负责人授权代表）</w:t>
      </w:r>
      <w:r>
        <w:rPr>
          <w:rFonts w:hint="eastAsia" w:ascii="仿宋" w:hAnsi="仿宋" w:eastAsia="仿宋" w:cs="仿宋"/>
          <w:color w:val="auto"/>
          <w:kern w:val="0"/>
          <w:sz w:val="22"/>
          <w:szCs w:val="22"/>
          <w:highlight w:val="none"/>
        </w:rPr>
        <w:t>签字</w:t>
      </w:r>
      <w:r>
        <w:rPr>
          <w:rFonts w:hint="eastAsia" w:ascii="仿宋" w:hAnsi="仿宋" w:eastAsia="仿宋" w:cs="仿宋"/>
          <w:color w:val="auto"/>
          <w:kern w:val="0"/>
          <w:sz w:val="22"/>
          <w:szCs w:val="22"/>
          <w:highlight w:val="none"/>
          <w:lang w:val="en-US" w:eastAsia="zh-CN"/>
        </w:rPr>
        <w:t>或盖章</w:t>
      </w:r>
      <w:r>
        <w:rPr>
          <w:rFonts w:hint="eastAsia" w:ascii="仿宋" w:hAnsi="仿宋" w:eastAsia="仿宋" w:cs="仿宋"/>
          <w:color w:val="auto"/>
          <w:sz w:val="22"/>
          <w:szCs w:val="28"/>
          <w:highlight w:val="none"/>
        </w:rPr>
        <w:t>：</w:t>
      </w:r>
      <w:r>
        <w:rPr>
          <w:rFonts w:hint="eastAsia" w:ascii="仿宋" w:hAnsi="仿宋" w:eastAsia="仿宋" w:cs="仿宋"/>
          <w:color w:val="auto"/>
          <w:sz w:val="22"/>
          <w:szCs w:val="28"/>
          <w:highlight w:val="none"/>
          <w:u w:val="single"/>
        </w:rPr>
        <w:t xml:space="preserve">              </w:t>
      </w:r>
    </w:p>
    <w:p w14:paraId="78457B6A">
      <w:pPr>
        <w:adjustRightInd w:val="0"/>
        <w:snapToGrid w:val="0"/>
        <w:spacing w:line="360" w:lineRule="auto"/>
        <w:rPr>
          <w:rFonts w:hint="eastAsia" w:ascii="仿宋" w:hAnsi="仿宋" w:eastAsia="仿宋" w:cs="仿宋"/>
          <w:color w:val="auto"/>
          <w:sz w:val="22"/>
          <w:szCs w:val="28"/>
          <w:highlight w:val="none"/>
          <w:u w:val="single"/>
        </w:rPr>
      </w:pPr>
      <w:r>
        <w:rPr>
          <w:rFonts w:hint="eastAsia" w:ascii="仿宋" w:hAnsi="仿宋" w:eastAsia="仿宋" w:cs="仿宋"/>
          <w:color w:val="auto"/>
          <w:sz w:val="22"/>
          <w:szCs w:val="28"/>
          <w:highlight w:val="none"/>
        </w:rPr>
        <w:t>投标人名称(加盖公章) ：</w:t>
      </w:r>
      <w:r>
        <w:rPr>
          <w:rFonts w:hint="eastAsia" w:ascii="仿宋" w:hAnsi="仿宋" w:eastAsia="仿宋" w:cs="仿宋"/>
          <w:color w:val="auto"/>
          <w:sz w:val="22"/>
          <w:szCs w:val="28"/>
          <w:highlight w:val="none"/>
          <w:u w:val="single"/>
        </w:rPr>
        <w:t xml:space="preserve">      </w:t>
      </w:r>
    </w:p>
    <w:p w14:paraId="0D84BC11">
      <w:pPr>
        <w:spacing w:line="360" w:lineRule="auto"/>
        <w:rPr>
          <w:rFonts w:hint="eastAsia" w:ascii="仿宋" w:hAnsi="仿宋" w:eastAsia="仿宋" w:cs="仿宋"/>
          <w:color w:val="auto"/>
          <w:sz w:val="22"/>
          <w:szCs w:val="28"/>
          <w:highlight w:val="none"/>
        </w:rPr>
      </w:pPr>
      <w:r>
        <w:rPr>
          <w:rFonts w:hint="eastAsia" w:ascii="仿宋" w:hAnsi="仿宋" w:eastAsia="仿宋" w:cs="仿宋"/>
          <w:color w:val="auto"/>
          <w:sz w:val="22"/>
          <w:szCs w:val="28"/>
          <w:highlight w:val="none"/>
        </w:rPr>
        <w:t>日期：   年   月   日</w:t>
      </w:r>
    </w:p>
    <w:p w14:paraId="353952E5">
      <w:pPr>
        <w:pStyle w:val="3"/>
        <w:rPr>
          <w:rFonts w:hint="eastAsia" w:ascii="仿宋" w:hAnsi="仿宋" w:eastAsia="仿宋" w:cs="仿宋"/>
          <w:color w:val="auto"/>
          <w:highlight w:val="none"/>
        </w:rPr>
      </w:pPr>
    </w:p>
    <w:p w14:paraId="44A29750">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1617545B">
      <w:pPr>
        <w:rPr>
          <w:rFonts w:hint="eastAsia" w:ascii="仿宋" w:hAnsi="仿宋" w:eastAsia="仿宋" w:cs="仿宋"/>
          <w:b/>
          <w:color w:val="auto"/>
          <w:sz w:val="24"/>
          <w:highlight w:val="none"/>
        </w:rPr>
      </w:pPr>
      <w:bookmarkStart w:id="516" w:name="_Toc6287_WPSOffice_Level1"/>
      <w:bookmarkStart w:id="517" w:name="_Toc30444_WPSOffice_Level1"/>
    </w:p>
    <w:bookmarkEnd w:id="516"/>
    <w:bookmarkEnd w:id="517"/>
    <w:p w14:paraId="4CF594AF">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十二、同类项目业绩汇总表</w:t>
      </w:r>
    </w:p>
    <w:p w14:paraId="48D03FC3">
      <w:pPr>
        <w:jc w:val="center"/>
        <w:rPr>
          <w:rFonts w:hint="default" w:ascii="仿宋" w:hAnsi="仿宋" w:eastAsia="仿宋" w:cs="仿宋"/>
          <w:b/>
          <w:color w:val="auto"/>
          <w:sz w:val="24"/>
          <w:highlight w:val="none"/>
          <w:lang w:val="en-US" w:eastAsia="zh-CN"/>
        </w:rPr>
      </w:pPr>
    </w:p>
    <w:tbl>
      <w:tblPr>
        <w:tblStyle w:val="41"/>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131"/>
        <w:gridCol w:w="1480"/>
        <w:gridCol w:w="1332"/>
        <w:gridCol w:w="1568"/>
        <w:gridCol w:w="1138"/>
        <w:gridCol w:w="1712"/>
      </w:tblGrid>
      <w:tr w14:paraId="1610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1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28DE638">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213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670E9525">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客户单位名称</w:t>
            </w:r>
          </w:p>
        </w:tc>
        <w:tc>
          <w:tcPr>
            <w:tcW w:w="148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C1D6F33">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项目内容</w:t>
            </w:r>
          </w:p>
        </w:tc>
        <w:tc>
          <w:tcPr>
            <w:tcW w:w="133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3B6B9878">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合同金额</w:t>
            </w:r>
          </w:p>
          <w:p w14:paraId="6C314E44">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（万元）</w:t>
            </w:r>
          </w:p>
        </w:tc>
        <w:tc>
          <w:tcPr>
            <w:tcW w:w="156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E1EC007">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合同验收时间</w:t>
            </w:r>
          </w:p>
        </w:tc>
        <w:tc>
          <w:tcPr>
            <w:tcW w:w="11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1D563362">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客户单位联系人</w:t>
            </w:r>
          </w:p>
        </w:tc>
        <w:tc>
          <w:tcPr>
            <w:tcW w:w="171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14:paraId="09F9C18D">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客户单位</w:t>
            </w:r>
          </w:p>
          <w:p w14:paraId="400CB396">
            <w:pPr>
              <w:pStyle w:val="175"/>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联系电话</w:t>
            </w:r>
          </w:p>
        </w:tc>
      </w:tr>
      <w:tr w14:paraId="7391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306B72C3">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38BB3750">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A5F10C2">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6E2FCCE">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617A7516">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18E56379">
            <w:pPr>
              <w:pStyle w:val="175"/>
              <w:spacing w:line="360" w:lineRule="auto"/>
              <w:jc w:val="center"/>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03D224A1">
            <w:pPr>
              <w:pStyle w:val="175"/>
              <w:spacing w:line="360" w:lineRule="auto"/>
              <w:jc w:val="center"/>
              <w:rPr>
                <w:rFonts w:hint="eastAsia" w:ascii="仿宋" w:hAnsi="仿宋" w:eastAsia="仿宋" w:cs="仿宋"/>
                <w:color w:val="auto"/>
                <w:szCs w:val="21"/>
                <w:highlight w:val="none"/>
              </w:rPr>
            </w:pPr>
          </w:p>
        </w:tc>
      </w:tr>
      <w:tr w14:paraId="293F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7080629E">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5EEBDC7E">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34AAE9E">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2FD208E">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43671B89">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12AFDC92">
            <w:pPr>
              <w:pStyle w:val="175"/>
              <w:spacing w:line="360" w:lineRule="auto"/>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4ECE9320">
            <w:pPr>
              <w:pStyle w:val="175"/>
              <w:spacing w:line="360" w:lineRule="auto"/>
              <w:jc w:val="center"/>
              <w:rPr>
                <w:rFonts w:hint="eastAsia" w:ascii="仿宋" w:hAnsi="仿宋" w:eastAsia="仿宋" w:cs="仿宋"/>
                <w:color w:val="auto"/>
                <w:szCs w:val="21"/>
                <w:highlight w:val="none"/>
              </w:rPr>
            </w:pPr>
          </w:p>
        </w:tc>
      </w:tr>
      <w:tr w14:paraId="6065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29915BF6">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1C282575">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45CE16B">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E7592C3">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029D2A7F">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11142B94">
            <w:pPr>
              <w:pStyle w:val="175"/>
              <w:spacing w:line="360" w:lineRule="auto"/>
              <w:jc w:val="center"/>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7F342760">
            <w:pPr>
              <w:pStyle w:val="175"/>
              <w:spacing w:line="360" w:lineRule="auto"/>
              <w:jc w:val="center"/>
              <w:rPr>
                <w:rFonts w:hint="eastAsia" w:ascii="仿宋" w:hAnsi="仿宋" w:eastAsia="仿宋" w:cs="仿宋"/>
                <w:color w:val="auto"/>
                <w:szCs w:val="21"/>
                <w:highlight w:val="none"/>
              </w:rPr>
            </w:pPr>
          </w:p>
        </w:tc>
      </w:tr>
      <w:tr w14:paraId="3D29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00200375">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7976404A">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86D72CA">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3BB246D">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650AA909">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6EE1F69F">
            <w:pPr>
              <w:pStyle w:val="175"/>
              <w:spacing w:line="360" w:lineRule="auto"/>
              <w:jc w:val="center"/>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7CEA7F22">
            <w:pPr>
              <w:pStyle w:val="175"/>
              <w:spacing w:line="360" w:lineRule="auto"/>
              <w:jc w:val="center"/>
              <w:rPr>
                <w:rFonts w:hint="eastAsia" w:ascii="仿宋" w:hAnsi="仿宋" w:eastAsia="仿宋" w:cs="仿宋"/>
                <w:color w:val="auto"/>
                <w:szCs w:val="21"/>
                <w:highlight w:val="none"/>
              </w:rPr>
            </w:pPr>
          </w:p>
        </w:tc>
      </w:tr>
      <w:tr w14:paraId="26B7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57CE6F30">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6598AFB3">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634699F0">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D71B784">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7B78FCFA">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484513FF">
            <w:pPr>
              <w:pStyle w:val="175"/>
              <w:spacing w:line="360" w:lineRule="auto"/>
              <w:jc w:val="center"/>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7787946F">
            <w:pPr>
              <w:pStyle w:val="175"/>
              <w:spacing w:line="360" w:lineRule="auto"/>
              <w:jc w:val="center"/>
              <w:rPr>
                <w:rFonts w:hint="eastAsia" w:ascii="仿宋" w:hAnsi="仿宋" w:eastAsia="仿宋" w:cs="仿宋"/>
                <w:color w:val="auto"/>
                <w:szCs w:val="21"/>
                <w:highlight w:val="none"/>
              </w:rPr>
            </w:pPr>
          </w:p>
        </w:tc>
      </w:tr>
      <w:tr w14:paraId="26F6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186E989D">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0D0CA04E">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55B0676A">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7984975">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524379A5">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5628EA5A">
            <w:pPr>
              <w:pStyle w:val="175"/>
              <w:spacing w:line="360" w:lineRule="auto"/>
              <w:jc w:val="center"/>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3B8D1B84">
            <w:pPr>
              <w:pStyle w:val="175"/>
              <w:spacing w:line="360" w:lineRule="auto"/>
              <w:jc w:val="center"/>
              <w:rPr>
                <w:rFonts w:hint="eastAsia" w:ascii="仿宋" w:hAnsi="仿宋" w:eastAsia="仿宋" w:cs="仿宋"/>
                <w:color w:val="auto"/>
                <w:szCs w:val="21"/>
                <w:highlight w:val="none"/>
              </w:rPr>
            </w:pPr>
          </w:p>
        </w:tc>
      </w:tr>
      <w:tr w14:paraId="09E5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8" w:type="dxa"/>
            <w:tcBorders>
              <w:top w:val="single" w:color="auto" w:sz="4" w:space="0"/>
              <w:left w:val="single" w:color="auto" w:sz="4" w:space="0"/>
              <w:bottom w:val="single" w:color="auto" w:sz="4" w:space="0"/>
              <w:right w:val="single" w:color="auto" w:sz="4" w:space="0"/>
            </w:tcBorders>
            <w:noWrap w:val="0"/>
            <w:vAlign w:val="center"/>
          </w:tcPr>
          <w:p w14:paraId="563FFFB6">
            <w:pPr>
              <w:pStyle w:val="175"/>
              <w:numPr>
                <w:ilvl w:val="0"/>
                <w:numId w:val="11"/>
              </w:numPr>
              <w:tabs>
                <w:tab w:val="left" w:pos="180"/>
              </w:tabs>
              <w:spacing w:line="360" w:lineRule="auto"/>
              <w:jc w:val="center"/>
              <w:rPr>
                <w:rFonts w:hint="eastAsia" w:ascii="仿宋" w:hAnsi="仿宋" w:eastAsia="仿宋" w:cs="仿宋"/>
                <w:color w:val="auto"/>
                <w:szCs w:val="21"/>
                <w:highlight w:val="none"/>
              </w:rPr>
            </w:pPr>
          </w:p>
        </w:tc>
        <w:tc>
          <w:tcPr>
            <w:tcW w:w="2131" w:type="dxa"/>
            <w:tcBorders>
              <w:top w:val="single" w:color="auto" w:sz="4" w:space="0"/>
              <w:left w:val="single" w:color="auto" w:sz="4" w:space="0"/>
              <w:bottom w:val="single" w:color="auto" w:sz="4" w:space="0"/>
              <w:right w:val="single" w:color="auto" w:sz="4" w:space="0"/>
            </w:tcBorders>
            <w:noWrap w:val="0"/>
            <w:vAlign w:val="center"/>
          </w:tcPr>
          <w:p w14:paraId="47DB71D4">
            <w:pPr>
              <w:pStyle w:val="175"/>
              <w:spacing w:line="360" w:lineRule="auto"/>
              <w:jc w:val="center"/>
              <w:rPr>
                <w:rFonts w:hint="eastAsia" w:ascii="仿宋" w:hAnsi="仿宋" w:eastAsia="仿宋" w:cs="仿宋"/>
                <w:color w:val="auto"/>
                <w:szCs w:val="21"/>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6348CE5">
            <w:pPr>
              <w:pStyle w:val="175"/>
              <w:spacing w:line="360" w:lineRule="auto"/>
              <w:jc w:val="center"/>
              <w:rPr>
                <w:rFonts w:hint="eastAsia" w:ascii="仿宋" w:hAnsi="仿宋" w:eastAsia="仿宋" w:cs="仿宋"/>
                <w:color w:val="auto"/>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4F83A760">
            <w:pPr>
              <w:pStyle w:val="175"/>
              <w:spacing w:line="360" w:lineRule="auto"/>
              <w:jc w:val="center"/>
              <w:rPr>
                <w:rFonts w:hint="eastAsia" w:ascii="仿宋" w:hAnsi="仿宋" w:eastAsia="仿宋" w:cs="仿宋"/>
                <w:color w:val="auto"/>
                <w:szCs w:val="21"/>
                <w:highlight w:val="non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14:paraId="4D4BAA3B">
            <w:pPr>
              <w:pStyle w:val="175"/>
              <w:spacing w:line="360" w:lineRule="auto"/>
              <w:jc w:val="center"/>
              <w:rPr>
                <w:rFonts w:hint="eastAsia" w:ascii="仿宋" w:hAnsi="仿宋" w:eastAsia="仿宋" w:cs="仿宋"/>
                <w:color w:val="auto"/>
                <w:szCs w:val="21"/>
                <w:highlight w:val="none"/>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14:paraId="4549A3E2">
            <w:pPr>
              <w:pStyle w:val="175"/>
              <w:spacing w:line="360" w:lineRule="auto"/>
              <w:jc w:val="center"/>
              <w:rPr>
                <w:rFonts w:hint="eastAsia" w:ascii="仿宋" w:hAnsi="仿宋" w:eastAsia="仿宋" w:cs="仿宋"/>
                <w:color w:val="auto"/>
                <w:szCs w:val="21"/>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14A62199">
            <w:pPr>
              <w:pStyle w:val="175"/>
              <w:spacing w:line="360" w:lineRule="auto"/>
              <w:jc w:val="center"/>
              <w:rPr>
                <w:rFonts w:hint="eastAsia" w:ascii="仿宋" w:hAnsi="仿宋" w:eastAsia="仿宋" w:cs="仿宋"/>
                <w:color w:val="auto"/>
                <w:szCs w:val="21"/>
                <w:highlight w:val="none"/>
              </w:rPr>
            </w:pPr>
          </w:p>
        </w:tc>
      </w:tr>
    </w:tbl>
    <w:p w14:paraId="25F4BBFC">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注：1.填写商务部分评分要求的同类项目业绩。</w:t>
      </w:r>
    </w:p>
    <w:p w14:paraId="4C78F05F">
      <w:pPr>
        <w:numPr>
          <w:ilvl w:val="0"/>
          <w:numId w:val="12"/>
        </w:num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根据本表中的业绩项目顺序，单独填列以下《单项业绩情况表》。</w:t>
      </w:r>
    </w:p>
    <w:p w14:paraId="1B59ED35">
      <w:pPr>
        <w:keepNext/>
        <w:keepLines/>
        <w:widowControl w:val="0"/>
        <w:spacing w:before="40" w:after="40"/>
        <w:jc w:val="both"/>
        <w:outlineLvl w:val="0"/>
        <w:rPr>
          <w:rFonts w:hint="eastAsia" w:ascii="仿宋" w:hAnsi="仿宋" w:eastAsia="仿宋" w:cs="仿宋"/>
          <w:b/>
          <w:bCs/>
          <w:color w:val="auto"/>
          <w:kern w:val="44"/>
          <w:sz w:val="36"/>
          <w:szCs w:val="44"/>
          <w:highlight w:val="none"/>
          <w:lang w:val="en-US" w:eastAsia="zh-CN" w:bidi="ar-SA"/>
        </w:rPr>
      </w:pPr>
    </w:p>
    <w:p w14:paraId="446CFAC2">
      <w:pPr>
        <w:rPr>
          <w:rFonts w:hint="eastAsia" w:ascii="仿宋" w:hAnsi="仿宋" w:eastAsia="仿宋" w:cs="仿宋"/>
          <w:b/>
          <w:color w:val="auto"/>
          <w:sz w:val="28"/>
          <w:szCs w:val="28"/>
          <w:highlight w:val="none"/>
        </w:rPr>
      </w:pPr>
    </w:p>
    <w:p w14:paraId="6B5DFCE6">
      <w:pPr>
        <w:jc w:val="center"/>
        <w:rPr>
          <w:rFonts w:hint="eastAsia" w:ascii="仿宋" w:hAnsi="仿宋" w:eastAsia="仿宋" w:cs="仿宋"/>
          <w:b/>
          <w:color w:val="auto"/>
          <w:sz w:val="28"/>
          <w:szCs w:val="28"/>
          <w:highlight w:val="none"/>
        </w:rPr>
      </w:pPr>
      <w:bookmarkStart w:id="518" w:name="_Toc28047_WPSOffice_Level1"/>
      <w:bookmarkStart w:id="519" w:name="_Toc15200_WPSOffice_Level1"/>
      <w:r>
        <w:rPr>
          <w:rFonts w:hint="eastAsia" w:ascii="仿宋" w:hAnsi="仿宋" w:eastAsia="仿宋" w:cs="仿宋"/>
          <w:b/>
          <w:color w:val="auto"/>
          <w:sz w:val="28"/>
          <w:szCs w:val="28"/>
          <w:highlight w:val="none"/>
        </w:rPr>
        <w:t>单项业绩情况表(序号：  )</w:t>
      </w:r>
      <w:bookmarkEnd w:id="518"/>
      <w:bookmarkEnd w:id="519"/>
    </w:p>
    <w:p w14:paraId="040CBEF6">
      <w:pPr>
        <w:rPr>
          <w:rFonts w:hint="eastAsia" w:ascii="仿宋" w:hAnsi="仿宋" w:eastAsia="仿宋" w:cs="仿宋"/>
          <w:b/>
          <w:color w:val="auto"/>
          <w:sz w:val="24"/>
          <w:highlight w:val="none"/>
        </w:rPr>
      </w:pPr>
    </w:p>
    <w:tbl>
      <w:tblPr>
        <w:tblStyle w:val="4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675"/>
        <w:gridCol w:w="4620"/>
      </w:tblGrid>
      <w:tr w14:paraId="26D8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38" w:type="dxa"/>
            <w:vAlign w:val="center"/>
          </w:tcPr>
          <w:p w14:paraId="7511A2D3">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w:t>
            </w:r>
          </w:p>
        </w:tc>
        <w:tc>
          <w:tcPr>
            <w:tcW w:w="3675" w:type="dxa"/>
            <w:vAlign w:val="center"/>
          </w:tcPr>
          <w:p w14:paraId="4FE5D11B">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p>
        </w:tc>
        <w:tc>
          <w:tcPr>
            <w:tcW w:w="4620" w:type="dxa"/>
            <w:vAlign w:val="center"/>
          </w:tcPr>
          <w:p w14:paraId="6A539778">
            <w:pPr>
              <w:rPr>
                <w:rFonts w:hint="eastAsia" w:ascii="仿宋" w:hAnsi="仿宋" w:eastAsia="仿宋" w:cs="仿宋"/>
                <w:bCs/>
                <w:color w:val="auto"/>
                <w:sz w:val="24"/>
                <w:highlight w:val="none"/>
              </w:rPr>
            </w:pPr>
          </w:p>
        </w:tc>
      </w:tr>
      <w:tr w14:paraId="3D83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738" w:type="dxa"/>
            <w:vAlign w:val="center"/>
          </w:tcPr>
          <w:p w14:paraId="3729D9DD">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w:t>
            </w:r>
          </w:p>
        </w:tc>
        <w:tc>
          <w:tcPr>
            <w:tcW w:w="3675" w:type="dxa"/>
            <w:vAlign w:val="center"/>
          </w:tcPr>
          <w:p w14:paraId="110ED6C3">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客户名称</w:t>
            </w:r>
          </w:p>
        </w:tc>
        <w:tc>
          <w:tcPr>
            <w:tcW w:w="4620" w:type="dxa"/>
            <w:vAlign w:val="center"/>
          </w:tcPr>
          <w:p w14:paraId="2C090E14">
            <w:pPr>
              <w:rPr>
                <w:rFonts w:hint="eastAsia" w:ascii="仿宋" w:hAnsi="仿宋" w:eastAsia="仿宋" w:cs="仿宋"/>
                <w:bCs/>
                <w:color w:val="auto"/>
                <w:sz w:val="24"/>
                <w:highlight w:val="none"/>
              </w:rPr>
            </w:pPr>
          </w:p>
        </w:tc>
      </w:tr>
      <w:tr w14:paraId="73AB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38" w:type="dxa"/>
            <w:vAlign w:val="center"/>
          </w:tcPr>
          <w:p w14:paraId="102C1DB1">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p>
        </w:tc>
        <w:tc>
          <w:tcPr>
            <w:tcW w:w="3675" w:type="dxa"/>
            <w:vAlign w:val="center"/>
          </w:tcPr>
          <w:p w14:paraId="41EF3F20">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合同金额</w:t>
            </w:r>
            <w:r>
              <w:rPr>
                <w:rFonts w:hint="eastAsia" w:ascii="仿宋" w:hAnsi="仿宋" w:eastAsia="仿宋" w:cs="仿宋"/>
                <w:bCs/>
                <w:color w:val="auto"/>
                <w:sz w:val="24"/>
                <w:highlight w:val="none"/>
              </w:rPr>
              <w:t>(万元)</w:t>
            </w:r>
          </w:p>
        </w:tc>
        <w:tc>
          <w:tcPr>
            <w:tcW w:w="4620" w:type="dxa"/>
            <w:vAlign w:val="center"/>
          </w:tcPr>
          <w:p w14:paraId="380D60AD">
            <w:pPr>
              <w:rPr>
                <w:rFonts w:hint="eastAsia" w:ascii="仿宋" w:hAnsi="仿宋" w:eastAsia="仿宋" w:cs="仿宋"/>
                <w:bCs/>
                <w:color w:val="auto"/>
                <w:sz w:val="24"/>
                <w:highlight w:val="none"/>
              </w:rPr>
            </w:pPr>
          </w:p>
        </w:tc>
      </w:tr>
      <w:tr w14:paraId="0B51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38" w:type="dxa"/>
            <w:vAlign w:val="center"/>
          </w:tcPr>
          <w:p w14:paraId="06C8DD5D">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4</w:t>
            </w:r>
          </w:p>
        </w:tc>
        <w:tc>
          <w:tcPr>
            <w:tcW w:w="3675" w:type="dxa"/>
            <w:vAlign w:val="center"/>
          </w:tcPr>
          <w:p w14:paraId="5B0C9EFB">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合同签订时间</w:t>
            </w:r>
          </w:p>
        </w:tc>
        <w:tc>
          <w:tcPr>
            <w:tcW w:w="4620" w:type="dxa"/>
            <w:vAlign w:val="center"/>
          </w:tcPr>
          <w:p w14:paraId="525C5743">
            <w:pPr>
              <w:rPr>
                <w:rFonts w:hint="eastAsia" w:ascii="仿宋" w:hAnsi="仿宋" w:eastAsia="仿宋" w:cs="仿宋"/>
                <w:bCs/>
                <w:color w:val="auto"/>
                <w:sz w:val="24"/>
                <w:highlight w:val="none"/>
              </w:rPr>
            </w:pPr>
          </w:p>
        </w:tc>
      </w:tr>
      <w:tr w14:paraId="3298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8" w:type="dxa"/>
            <w:vAlign w:val="center"/>
          </w:tcPr>
          <w:p w14:paraId="4BAD60CD">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5</w:t>
            </w:r>
          </w:p>
        </w:tc>
        <w:tc>
          <w:tcPr>
            <w:tcW w:w="3675" w:type="dxa"/>
            <w:vAlign w:val="center"/>
          </w:tcPr>
          <w:p w14:paraId="389607FA">
            <w:pP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联系人及电话</w:t>
            </w:r>
          </w:p>
        </w:tc>
        <w:tc>
          <w:tcPr>
            <w:tcW w:w="4620" w:type="dxa"/>
            <w:vAlign w:val="center"/>
          </w:tcPr>
          <w:p w14:paraId="4901647A">
            <w:pPr>
              <w:rPr>
                <w:rFonts w:hint="eastAsia" w:ascii="仿宋" w:hAnsi="仿宋" w:eastAsia="仿宋" w:cs="仿宋"/>
                <w:bCs/>
                <w:color w:val="auto"/>
                <w:sz w:val="24"/>
                <w:highlight w:val="none"/>
              </w:rPr>
            </w:pPr>
          </w:p>
        </w:tc>
      </w:tr>
    </w:tbl>
    <w:p w14:paraId="3BBFBF80">
      <w:pPr>
        <w:ind w:right="-512" w:rightChars="-244"/>
        <w:rPr>
          <w:rFonts w:hint="eastAsia" w:ascii="仿宋" w:hAnsi="仿宋" w:eastAsia="仿宋" w:cs="仿宋"/>
          <w:bCs/>
          <w:color w:val="auto"/>
          <w:sz w:val="24"/>
          <w:highlight w:val="none"/>
          <w:lang w:val="en-GB"/>
        </w:rPr>
      </w:pPr>
      <w:r>
        <w:rPr>
          <w:rFonts w:hint="eastAsia" w:ascii="仿宋" w:hAnsi="仿宋" w:eastAsia="仿宋" w:cs="仿宋"/>
          <w:bCs/>
          <w:color w:val="auto"/>
          <w:sz w:val="24"/>
          <w:highlight w:val="none"/>
          <w:lang w:val="en-GB"/>
        </w:rPr>
        <w:t>注：根据评审要求，本表后附业绩所要求的证明材料，复印件</w:t>
      </w:r>
      <w:r>
        <w:rPr>
          <w:rFonts w:hint="eastAsia" w:ascii="仿宋" w:hAnsi="仿宋" w:eastAsia="仿宋" w:cs="仿宋"/>
          <w:bCs/>
          <w:color w:val="auto"/>
          <w:sz w:val="24"/>
          <w:highlight w:val="none"/>
        </w:rPr>
        <w:t>(打印件)</w:t>
      </w:r>
      <w:r>
        <w:rPr>
          <w:rFonts w:hint="eastAsia" w:ascii="仿宋" w:hAnsi="仿宋" w:eastAsia="仿宋" w:cs="仿宋"/>
          <w:bCs/>
          <w:color w:val="auto"/>
          <w:sz w:val="24"/>
          <w:highlight w:val="none"/>
          <w:lang w:val="en-GB"/>
        </w:rPr>
        <w:t>加盖投标人公章。</w:t>
      </w:r>
    </w:p>
    <w:p w14:paraId="4C76E9D4">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4"/>
          <w:highlight w:val="none"/>
        </w:rPr>
        <w:br w:type="page"/>
      </w:r>
      <w:bookmarkStart w:id="520" w:name="_Toc3288_WPSOffice_Level1"/>
      <w:bookmarkStart w:id="521" w:name="OLE_LINK14"/>
      <w:bookmarkStart w:id="522" w:name="_Toc11471_WPSOffice_Level1"/>
      <w:r>
        <w:rPr>
          <w:rFonts w:hint="eastAsia" w:ascii="仿宋" w:hAnsi="仿宋" w:eastAsia="仿宋" w:cs="仿宋"/>
          <w:b/>
          <w:bCs/>
          <w:color w:val="auto"/>
          <w:sz w:val="30"/>
          <w:szCs w:val="30"/>
          <w:highlight w:val="none"/>
          <w:lang w:val="en-US" w:eastAsia="zh-CN"/>
        </w:rPr>
        <w:t>十三、拟投入本项目人员情况</w:t>
      </w:r>
      <w:bookmarkEnd w:id="520"/>
      <w:bookmarkEnd w:id="521"/>
      <w:bookmarkEnd w:id="522"/>
    </w:p>
    <w:p w14:paraId="56B41498">
      <w:pPr>
        <w:jc w:val="center"/>
        <w:rPr>
          <w:rFonts w:hint="eastAsia" w:ascii="仿宋" w:hAnsi="仿宋" w:eastAsia="仿宋" w:cs="仿宋"/>
          <w:b/>
          <w:color w:val="auto"/>
          <w:sz w:val="24"/>
          <w:highlight w:val="none"/>
        </w:rPr>
      </w:pPr>
    </w:p>
    <w:tbl>
      <w:tblPr>
        <w:tblStyle w:val="41"/>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031"/>
        <w:gridCol w:w="1031"/>
        <w:gridCol w:w="1179"/>
        <w:gridCol w:w="712"/>
        <w:gridCol w:w="780"/>
        <w:gridCol w:w="705"/>
        <w:gridCol w:w="2003"/>
        <w:gridCol w:w="764"/>
      </w:tblGrid>
      <w:tr w14:paraId="2E68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962" w:type="dxa"/>
            <w:vMerge w:val="restart"/>
            <w:shd w:val="clear" w:color="auto" w:fill="auto"/>
            <w:noWrap w:val="0"/>
            <w:vAlign w:val="center"/>
          </w:tcPr>
          <w:p w14:paraId="20E47AB6">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职务</w:t>
            </w:r>
          </w:p>
        </w:tc>
        <w:tc>
          <w:tcPr>
            <w:tcW w:w="1031" w:type="dxa"/>
            <w:vMerge w:val="restart"/>
            <w:shd w:val="clear" w:color="auto" w:fill="auto"/>
            <w:noWrap w:val="0"/>
            <w:vAlign w:val="center"/>
          </w:tcPr>
          <w:p w14:paraId="649C7BFE">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1031" w:type="dxa"/>
            <w:vMerge w:val="restart"/>
            <w:shd w:val="clear" w:color="auto" w:fill="auto"/>
            <w:noWrap w:val="0"/>
            <w:vAlign w:val="center"/>
          </w:tcPr>
          <w:p w14:paraId="20639EC4">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职称</w:t>
            </w:r>
          </w:p>
        </w:tc>
        <w:tc>
          <w:tcPr>
            <w:tcW w:w="5379" w:type="dxa"/>
            <w:gridSpan w:val="5"/>
            <w:shd w:val="clear" w:color="auto" w:fill="auto"/>
            <w:noWrap w:val="0"/>
            <w:vAlign w:val="center"/>
          </w:tcPr>
          <w:p w14:paraId="335F7A53">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执业或职业资格证明</w:t>
            </w:r>
          </w:p>
        </w:tc>
        <w:tc>
          <w:tcPr>
            <w:tcW w:w="764" w:type="dxa"/>
            <w:shd w:val="clear" w:color="auto" w:fill="auto"/>
            <w:noWrap w:val="0"/>
            <w:vAlign w:val="center"/>
          </w:tcPr>
          <w:p w14:paraId="1E82CC86">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623E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62" w:type="dxa"/>
            <w:vMerge w:val="continue"/>
            <w:shd w:val="clear" w:color="auto" w:fill="auto"/>
            <w:noWrap w:val="0"/>
            <w:vAlign w:val="center"/>
          </w:tcPr>
          <w:p w14:paraId="6C678C7C">
            <w:pPr>
              <w:spacing w:line="440" w:lineRule="exact"/>
              <w:jc w:val="center"/>
              <w:rPr>
                <w:rFonts w:hint="eastAsia" w:ascii="仿宋" w:hAnsi="仿宋" w:eastAsia="仿宋" w:cs="仿宋"/>
                <w:color w:val="auto"/>
                <w:sz w:val="24"/>
                <w:szCs w:val="24"/>
                <w:highlight w:val="none"/>
              </w:rPr>
            </w:pPr>
          </w:p>
        </w:tc>
        <w:tc>
          <w:tcPr>
            <w:tcW w:w="1031" w:type="dxa"/>
            <w:vMerge w:val="continue"/>
            <w:shd w:val="clear" w:color="auto" w:fill="auto"/>
            <w:noWrap w:val="0"/>
            <w:vAlign w:val="center"/>
          </w:tcPr>
          <w:p w14:paraId="6561F384">
            <w:pPr>
              <w:spacing w:line="440" w:lineRule="exact"/>
              <w:jc w:val="center"/>
              <w:rPr>
                <w:rFonts w:hint="eastAsia" w:ascii="仿宋" w:hAnsi="仿宋" w:eastAsia="仿宋" w:cs="仿宋"/>
                <w:color w:val="auto"/>
                <w:sz w:val="24"/>
                <w:szCs w:val="24"/>
                <w:highlight w:val="none"/>
              </w:rPr>
            </w:pPr>
          </w:p>
        </w:tc>
        <w:tc>
          <w:tcPr>
            <w:tcW w:w="1031" w:type="dxa"/>
            <w:vMerge w:val="continue"/>
            <w:shd w:val="clear" w:color="auto" w:fill="auto"/>
            <w:noWrap w:val="0"/>
            <w:vAlign w:val="center"/>
          </w:tcPr>
          <w:p w14:paraId="3A386CBB">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center"/>
          </w:tcPr>
          <w:p w14:paraId="738A945D">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证书名称</w:t>
            </w:r>
          </w:p>
        </w:tc>
        <w:tc>
          <w:tcPr>
            <w:tcW w:w="712" w:type="dxa"/>
            <w:shd w:val="clear" w:color="auto" w:fill="auto"/>
            <w:noWrap w:val="0"/>
            <w:vAlign w:val="center"/>
          </w:tcPr>
          <w:p w14:paraId="17DE3A89">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级别</w:t>
            </w:r>
          </w:p>
        </w:tc>
        <w:tc>
          <w:tcPr>
            <w:tcW w:w="780" w:type="dxa"/>
            <w:shd w:val="clear" w:color="auto" w:fill="auto"/>
            <w:noWrap w:val="0"/>
            <w:vAlign w:val="center"/>
          </w:tcPr>
          <w:p w14:paraId="47914139">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证号</w:t>
            </w:r>
          </w:p>
        </w:tc>
        <w:tc>
          <w:tcPr>
            <w:tcW w:w="705" w:type="dxa"/>
            <w:shd w:val="clear" w:color="auto" w:fill="auto"/>
            <w:noWrap w:val="0"/>
            <w:vAlign w:val="center"/>
          </w:tcPr>
          <w:p w14:paraId="4958B0B8">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专业</w:t>
            </w:r>
          </w:p>
        </w:tc>
        <w:tc>
          <w:tcPr>
            <w:tcW w:w="2003" w:type="dxa"/>
            <w:shd w:val="clear" w:color="auto" w:fill="auto"/>
            <w:noWrap w:val="0"/>
            <w:vAlign w:val="center"/>
          </w:tcPr>
          <w:p w14:paraId="03804F30">
            <w:pPr>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养老保险号</w:t>
            </w:r>
          </w:p>
        </w:tc>
        <w:tc>
          <w:tcPr>
            <w:tcW w:w="764" w:type="dxa"/>
            <w:shd w:val="clear" w:color="auto" w:fill="auto"/>
            <w:noWrap w:val="0"/>
            <w:vAlign w:val="center"/>
          </w:tcPr>
          <w:p w14:paraId="2D3808DD">
            <w:pPr>
              <w:spacing w:line="440" w:lineRule="exact"/>
              <w:jc w:val="center"/>
              <w:rPr>
                <w:rFonts w:hint="eastAsia" w:ascii="仿宋" w:hAnsi="仿宋" w:eastAsia="仿宋" w:cs="仿宋"/>
                <w:color w:val="auto"/>
                <w:sz w:val="24"/>
                <w:szCs w:val="24"/>
                <w:highlight w:val="none"/>
              </w:rPr>
            </w:pPr>
          </w:p>
        </w:tc>
      </w:tr>
      <w:tr w14:paraId="1332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center"/>
          </w:tcPr>
          <w:p w14:paraId="1F4903E3">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center"/>
          </w:tcPr>
          <w:p w14:paraId="0F26A67A">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center"/>
          </w:tcPr>
          <w:p w14:paraId="60C02EC3">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center"/>
          </w:tcPr>
          <w:p w14:paraId="675B7208">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center"/>
          </w:tcPr>
          <w:p w14:paraId="62CEAF41">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center"/>
          </w:tcPr>
          <w:p w14:paraId="1A336490">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center"/>
          </w:tcPr>
          <w:p w14:paraId="3CBFA295">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center"/>
          </w:tcPr>
          <w:p w14:paraId="16FEB180">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center"/>
          </w:tcPr>
          <w:p w14:paraId="74A8B935">
            <w:pPr>
              <w:spacing w:line="440" w:lineRule="exact"/>
              <w:jc w:val="center"/>
              <w:rPr>
                <w:rFonts w:hint="eastAsia" w:ascii="仿宋" w:hAnsi="仿宋" w:eastAsia="仿宋" w:cs="仿宋"/>
                <w:color w:val="auto"/>
                <w:sz w:val="24"/>
                <w:szCs w:val="24"/>
                <w:highlight w:val="none"/>
              </w:rPr>
            </w:pPr>
          </w:p>
        </w:tc>
      </w:tr>
      <w:tr w14:paraId="56AA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3F73F3F3">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7459BE85">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1170BC8A">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1E22BB12">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62F670BB">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75D0CBD5">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7D64506A">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03830F0C">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1641A576">
            <w:pPr>
              <w:spacing w:line="440" w:lineRule="exact"/>
              <w:jc w:val="center"/>
              <w:rPr>
                <w:rFonts w:hint="eastAsia" w:ascii="仿宋" w:hAnsi="仿宋" w:eastAsia="仿宋" w:cs="仿宋"/>
                <w:color w:val="auto"/>
                <w:sz w:val="24"/>
                <w:szCs w:val="24"/>
                <w:highlight w:val="none"/>
              </w:rPr>
            </w:pPr>
          </w:p>
        </w:tc>
      </w:tr>
      <w:tr w14:paraId="31C8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2007997B">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06DE7E2C">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4DCB9323">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3A816452">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6870453D">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77CCC9B0">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59F202B5">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4758D6D7">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18980BEA">
            <w:pPr>
              <w:spacing w:line="440" w:lineRule="exact"/>
              <w:jc w:val="center"/>
              <w:rPr>
                <w:rFonts w:hint="eastAsia" w:ascii="仿宋" w:hAnsi="仿宋" w:eastAsia="仿宋" w:cs="仿宋"/>
                <w:color w:val="auto"/>
                <w:sz w:val="24"/>
                <w:szCs w:val="24"/>
                <w:highlight w:val="none"/>
              </w:rPr>
            </w:pPr>
          </w:p>
        </w:tc>
      </w:tr>
      <w:tr w14:paraId="3997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117293D7">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0D65EF71">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4BA7C629">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37078D19">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122DD426">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32382CA2">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39812A51">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25598EA2">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0558403C">
            <w:pPr>
              <w:spacing w:line="440" w:lineRule="exact"/>
              <w:jc w:val="center"/>
              <w:rPr>
                <w:rFonts w:hint="eastAsia" w:ascii="仿宋" w:hAnsi="仿宋" w:eastAsia="仿宋" w:cs="仿宋"/>
                <w:color w:val="auto"/>
                <w:sz w:val="24"/>
                <w:szCs w:val="24"/>
                <w:highlight w:val="none"/>
              </w:rPr>
            </w:pPr>
          </w:p>
        </w:tc>
      </w:tr>
      <w:tr w14:paraId="0A2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3E093482">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5D20A539">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3B8EF4B2">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43AFD762">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5986530B">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56EE7098">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6E40E3BC">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6CE2B8D3">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7BA6885C">
            <w:pPr>
              <w:spacing w:line="440" w:lineRule="exact"/>
              <w:jc w:val="center"/>
              <w:rPr>
                <w:rFonts w:hint="eastAsia" w:ascii="仿宋" w:hAnsi="仿宋" w:eastAsia="仿宋" w:cs="仿宋"/>
                <w:color w:val="auto"/>
                <w:sz w:val="24"/>
                <w:szCs w:val="24"/>
                <w:highlight w:val="none"/>
              </w:rPr>
            </w:pPr>
          </w:p>
        </w:tc>
      </w:tr>
      <w:tr w14:paraId="1BAD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4C2147C9">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07C708A2">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1BD83CC4">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3EA0DC6A">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20674930">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5EC1B978">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61568678">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44851B36">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076B9F81">
            <w:pPr>
              <w:spacing w:line="440" w:lineRule="exact"/>
              <w:jc w:val="center"/>
              <w:rPr>
                <w:rFonts w:hint="eastAsia" w:ascii="仿宋" w:hAnsi="仿宋" w:eastAsia="仿宋" w:cs="仿宋"/>
                <w:color w:val="auto"/>
                <w:sz w:val="24"/>
                <w:szCs w:val="24"/>
                <w:highlight w:val="none"/>
              </w:rPr>
            </w:pPr>
          </w:p>
        </w:tc>
      </w:tr>
      <w:tr w14:paraId="3D4F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590F5E4D">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2898028D">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00BCE2E5">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70494E09">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2C483DBC">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4285C456">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48F76ED0">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5C7A7B71">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78DC2D05">
            <w:pPr>
              <w:spacing w:line="440" w:lineRule="exact"/>
              <w:jc w:val="center"/>
              <w:rPr>
                <w:rFonts w:hint="eastAsia" w:ascii="仿宋" w:hAnsi="仿宋" w:eastAsia="仿宋" w:cs="仿宋"/>
                <w:color w:val="auto"/>
                <w:sz w:val="24"/>
                <w:szCs w:val="24"/>
                <w:highlight w:val="none"/>
              </w:rPr>
            </w:pPr>
          </w:p>
        </w:tc>
      </w:tr>
      <w:tr w14:paraId="48A6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14884AFD">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54248C01">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3192858B">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4AB8AC73">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76E82888">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506E61D2">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72EAD8F0">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64D8C723">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32F95723">
            <w:pPr>
              <w:spacing w:line="440" w:lineRule="exact"/>
              <w:jc w:val="center"/>
              <w:rPr>
                <w:rFonts w:hint="eastAsia" w:ascii="仿宋" w:hAnsi="仿宋" w:eastAsia="仿宋" w:cs="仿宋"/>
                <w:color w:val="auto"/>
                <w:sz w:val="24"/>
                <w:szCs w:val="24"/>
                <w:highlight w:val="none"/>
              </w:rPr>
            </w:pPr>
          </w:p>
        </w:tc>
      </w:tr>
      <w:tr w14:paraId="5742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2" w:type="dxa"/>
            <w:shd w:val="clear" w:color="auto" w:fill="auto"/>
            <w:noWrap w:val="0"/>
            <w:vAlign w:val="top"/>
          </w:tcPr>
          <w:p w14:paraId="152B3A51">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23611C14">
            <w:pPr>
              <w:spacing w:line="440" w:lineRule="exact"/>
              <w:jc w:val="center"/>
              <w:rPr>
                <w:rFonts w:hint="eastAsia" w:ascii="仿宋" w:hAnsi="仿宋" w:eastAsia="仿宋" w:cs="仿宋"/>
                <w:color w:val="auto"/>
                <w:sz w:val="24"/>
                <w:szCs w:val="24"/>
                <w:highlight w:val="none"/>
              </w:rPr>
            </w:pPr>
          </w:p>
        </w:tc>
        <w:tc>
          <w:tcPr>
            <w:tcW w:w="1031" w:type="dxa"/>
            <w:shd w:val="clear" w:color="auto" w:fill="auto"/>
            <w:noWrap w:val="0"/>
            <w:vAlign w:val="top"/>
          </w:tcPr>
          <w:p w14:paraId="7CB3F53F">
            <w:pPr>
              <w:spacing w:line="440" w:lineRule="exact"/>
              <w:jc w:val="center"/>
              <w:rPr>
                <w:rFonts w:hint="eastAsia" w:ascii="仿宋" w:hAnsi="仿宋" w:eastAsia="仿宋" w:cs="仿宋"/>
                <w:color w:val="auto"/>
                <w:sz w:val="24"/>
                <w:szCs w:val="24"/>
                <w:highlight w:val="none"/>
              </w:rPr>
            </w:pPr>
          </w:p>
        </w:tc>
        <w:tc>
          <w:tcPr>
            <w:tcW w:w="1179" w:type="dxa"/>
            <w:shd w:val="clear" w:color="auto" w:fill="auto"/>
            <w:noWrap w:val="0"/>
            <w:vAlign w:val="top"/>
          </w:tcPr>
          <w:p w14:paraId="7EF912D1">
            <w:pPr>
              <w:spacing w:line="440" w:lineRule="exact"/>
              <w:jc w:val="center"/>
              <w:rPr>
                <w:rFonts w:hint="eastAsia" w:ascii="仿宋" w:hAnsi="仿宋" w:eastAsia="仿宋" w:cs="仿宋"/>
                <w:color w:val="auto"/>
                <w:sz w:val="24"/>
                <w:szCs w:val="24"/>
                <w:highlight w:val="none"/>
              </w:rPr>
            </w:pPr>
          </w:p>
        </w:tc>
        <w:tc>
          <w:tcPr>
            <w:tcW w:w="712" w:type="dxa"/>
            <w:shd w:val="clear" w:color="auto" w:fill="auto"/>
            <w:noWrap w:val="0"/>
            <w:vAlign w:val="top"/>
          </w:tcPr>
          <w:p w14:paraId="0F9EAAEC">
            <w:pPr>
              <w:spacing w:line="440" w:lineRule="exact"/>
              <w:jc w:val="center"/>
              <w:rPr>
                <w:rFonts w:hint="eastAsia" w:ascii="仿宋" w:hAnsi="仿宋" w:eastAsia="仿宋" w:cs="仿宋"/>
                <w:color w:val="auto"/>
                <w:sz w:val="24"/>
                <w:szCs w:val="24"/>
                <w:highlight w:val="none"/>
              </w:rPr>
            </w:pPr>
          </w:p>
        </w:tc>
        <w:tc>
          <w:tcPr>
            <w:tcW w:w="780" w:type="dxa"/>
            <w:shd w:val="clear" w:color="auto" w:fill="auto"/>
            <w:noWrap w:val="0"/>
            <w:vAlign w:val="top"/>
          </w:tcPr>
          <w:p w14:paraId="273C09F3">
            <w:pPr>
              <w:spacing w:line="440" w:lineRule="exact"/>
              <w:jc w:val="center"/>
              <w:rPr>
                <w:rFonts w:hint="eastAsia" w:ascii="仿宋" w:hAnsi="仿宋" w:eastAsia="仿宋" w:cs="仿宋"/>
                <w:color w:val="auto"/>
                <w:sz w:val="24"/>
                <w:szCs w:val="24"/>
                <w:highlight w:val="none"/>
              </w:rPr>
            </w:pPr>
          </w:p>
        </w:tc>
        <w:tc>
          <w:tcPr>
            <w:tcW w:w="705" w:type="dxa"/>
            <w:shd w:val="clear" w:color="auto" w:fill="auto"/>
            <w:noWrap w:val="0"/>
            <w:vAlign w:val="top"/>
          </w:tcPr>
          <w:p w14:paraId="1CA26FE0">
            <w:pPr>
              <w:spacing w:line="440" w:lineRule="exact"/>
              <w:jc w:val="center"/>
              <w:rPr>
                <w:rFonts w:hint="eastAsia" w:ascii="仿宋" w:hAnsi="仿宋" w:eastAsia="仿宋" w:cs="仿宋"/>
                <w:color w:val="auto"/>
                <w:sz w:val="24"/>
                <w:szCs w:val="24"/>
                <w:highlight w:val="none"/>
              </w:rPr>
            </w:pPr>
          </w:p>
        </w:tc>
        <w:tc>
          <w:tcPr>
            <w:tcW w:w="2003" w:type="dxa"/>
            <w:shd w:val="clear" w:color="auto" w:fill="auto"/>
            <w:noWrap w:val="0"/>
            <w:vAlign w:val="top"/>
          </w:tcPr>
          <w:p w14:paraId="27AE87D5">
            <w:pPr>
              <w:spacing w:line="440" w:lineRule="exact"/>
              <w:jc w:val="center"/>
              <w:rPr>
                <w:rFonts w:hint="eastAsia" w:ascii="仿宋" w:hAnsi="仿宋" w:eastAsia="仿宋" w:cs="仿宋"/>
                <w:color w:val="auto"/>
                <w:sz w:val="24"/>
                <w:szCs w:val="24"/>
                <w:highlight w:val="none"/>
              </w:rPr>
            </w:pPr>
          </w:p>
        </w:tc>
        <w:tc>
          <w:tcPr>
            <w:tcW w:w="764" w:type="dxa"/>
            <w:shd w:val="clear" w:color="auto" w:fill="auto"/>
            <w:noWrap w:val="0"/>
            <w:vAlign w:val="top"/>
          </w:tcPr>
          <w:p w14:paraId="6F0B2232">
            <w:pPr>
              <w:spacing w:line="440" w:lineRule="exact"/>
              <w:jc w:val="center"/>
              <w:rPr>
                <w:rFonts w:hint="eastAsia" w:ascii="仿宋" w:hAnsi="仿宋" w:eastAsia="仿宋" w:cs="仿宋"/>
                <w:color w:val="auto"/>
                <w:sz w:val="24"/>
                <w:szCs w:val="24"/>
                <w:highlight w:val="none"/>
              </w:rPr>
            </w:pPr>
          </w:p>
        </w:tc>
      </w:tr>
    </w:tbl>
    <w:p w14:paraId="5A3C6BFE">
      <w:pPr>
        <w:rPr>
          <w:rFonts w:hint="eastAsia" w:ascii="仿宋" w:hAnsi="仿宋" w:eastAsia="仿宋" w:cs="仿宋"/>
          <w:b/>
          <w:color w:val="auto"/>
          <w:sz w:val="24"/>
          <w:highlight w:val="none"/>
          <w:lang w:val="en-GB"/>
        </w:rPr>
      </w:pPr>
      <w:r>
        <w:rPr>
          <w:rFonts w:hint="eastAsia" w:ascii="仿宋" w:hAnsi="仿宋" w:eastAsia="仿宋" w:cs="仿宋"/>
          <w:bCs/>
          <w:color w:val="auto"/>
          <w:sz w:val="24"/>
          <w:highlight w:val="none"/>
          <w:lang w:val="en-GB"/>
        </w:rPr>
        <w:t>注：根据评审要求，本表后附相应人员的</w:t>
      </w:r>
      <w:r>
        <w:rPr>
          <w:rFonts w:hint="eastAsia" w:ascii="仿宋" w:hAnsi="仿宋" w:eastAsia="仿宋" w:cs="仿宋"/>
          <w:bCs/>
          <w:color w:val="auto"/>
          <w:sz w:val="24"/>
          <w:highlight w:val="none"/>
          <w:lang w:val="en-US" w:eastAsia="zh-CN"/>
        </w:rPr>
        <w:t>执业证书或职称证书、社保证明等相关</w:t>
      </w:r>
      <w:r>
        <w:rPr>
          <w:rFonts w:hint="eastAsia" w:ascii="仿宋" w:hAnsi="仿宋" w:eastAsia="仿宋" w:cs="仿宋"/>
          <w:bCs/>
          <w:color w:val="auto"/>
          <w:sz w:val="24"/>
          <w:highlight w:val="none"/>
          <w:lang w:val="en-GB"/>
        </w:rPr>
        <w:t>证明材料</w:t>
      </w:r>
      <w:r>
        <w:rPr>
          <w:rFonts w:hint="eastAsia" w:ascii="仿宋" w:hAnsi="仿宋" w:eastAsia="仿宋" w:cs="仿宋"/>
          <w:bCs/>
          <w:color w:val="auto"/>
          <w:sz w:val="24"/>
          <w:highlight w:val="none"/>
          <w:lang w:val="en-GB" w:eastAsia="zh-CN"/>
        </w:rPr>
        <w:t>（</w:t>
      </w:r>
      <w:r>
        <w:rPr>
          <w:rFonts w:hint="eastAsia" w:ascii="仿宋" w:hAnsi="仿宋" w:eastAsia="仿宋" w:cs="仿宋"/>
          <w:bCs/>
          <w:color w:val="auto"/>
          <w:sz w:val="24"/>
          <w:highlight w:val="none"/>
          <w:lang w:val="en-US" w:eastAsia="zh-CN"/>
        </w:rPr>
        <w:t>如有</w:t>
      </w:r>
      <w:r>
        <w:rPr>
          <w:rFonts w:hint="eastAsia" w:ascii="仿宋" w:hAnsi="仿宋" w:eastAsia="仿宋" w:cs="仿宋"/>
          <w:bCs/>
          <w:color w:val="auto"/>
          <w:sz w:val="24"/>
          <w:highlight w:val="none"/>
          <w:lang w:val="en-GB" w:eastAsia="zh-CN"/>
        </w:rPr>
        <w:t>）</w:t>
      </w:r>
      <w:r>
        <w:rPr>
          <w:rFonts w:hint="eastAsia" w:ascii="仿宋" w:hAnsi="仿宋" w:eastAsia="仿宋" w:cs="仿宋"/>
          <w:bCs/>
          <w:color w:val="auto"/>
          <w:sz w:val="24"/>
          <w:highlight w:val="none"/>
          <w:lang w:val="en-GB"/>
        </w:rPr>
        <w:t>，复印件</w:t>
      </w:r>
      <w:r>
        <w:rPr>
          <w:rFonts w:hint="eastAsia" w:ascii="仿宋" w:hAnsi="仿宋" w:eastAsia="仿宋" w:cs="仿宋"/>
          <w:bCs/>
          <w:color w:val="auto"/>
          <w:sz w:val="24"/>
          <w:highlight w:val="none"/>
        </w:rPr>
        <w:t>(打印件)</w:t>
      </w:r>
      <w:r>
        <w:rPr>
          <w:rFonts w:hint="eastAsia" w:ascii="仿宋" w:hAnsi="仿宋" w:eastAsia="仿宋" w:cs="仿宋"/>
          <w:bCs/>
          <w:color w:val="auto"/>
          <w:sz w:val="24"/>
          <w:highlight w:val="none"/>
          <w:lang w:val="en-GB"/>
        </w:rPr>
        <w:t>加盖投标人公章。</w:t>
      </w:r>
    </w:p>
    <w:p w14:paraId="3358C889">
      <w:pPr>
        <w:rPr>
          <w:rFonts w:hint="eastAsia" w:ascii="仿宋" w:hAnsi="仿宋" w:eastAsia="仿宋" w:cs="仿宋"/>
          <w:b/>
          <w:color w:val="auto"/>
          <w:sz w:val="24"/>
          <w:highlight w:val="none"/>
        </w:rPr>
      </w:pPr>
    </w:p>
    <w:p w14:paraId="065C5AAD">
      <w:pPr>
        <w:rPr>
          <w:rFonts w:hint="eastAsia" w:ascii="仿宋" w:hAnsi="仿宋" w:eastAsia="仿宋" w:cs="仿宋"/>
          <w:b/>
          <w:color w:val="auto"/>
          <w:sz w:val="24"/>
          <w:highlight w:val="none"/>
        </w:rPr>
      </w:pPr>
    </w:p>
    <w:p w14:paraId="67B26BD2">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7F30E56B">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十四、企业项目获奖情况</w:t>
      </w:r>
    </w:p>
    <w:p w14:paraId="5D06DEFA">
      <w:pPr>
        <w:spacing w:line="500" w:lineRule="exact"/>
        <w:rPr>
          <w:rFonts w:hint="eastAsia" w:ascii="仿宋" w:hAnsi="仿宋" w:eastAsia="仿宋" w:cs="仿宋"/>
          <w:color w:val="auto"/>
          <w:highlight w:val="none"/>
        </w:rPr>
      </w:pPr>
    </w:p>
    <w:tbl>
      <w:tblPr>
        <w:tblStyle w:val="42"/>
        <w:tblW w:w="97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3015"/>
        <w:gridCol w:w="3116"/>
        <w:gridCol w:w="1744"/>
        <w:gridCol w:w="1075"/>
      </w:tblGrid>
      <w:tr w14:paraId="1454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tcPr>
          <w:p w14:paraId="06A4E925">
            <w:pPr>
              <w:spacing w:line="50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3015" w:type="dxa"/>
          </w:tcPr>
          <w:p w14:paraId="2261B7E9">
            <w:pPr>
              <w:spacing w:line="500" w:lineRule="exac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获奖证书/获奖文件名称</w:t>
            </w:r>
          </w:p>
        </w:tc>
        <w:tc>
          <w:tcPr>
            <w:tcW w:w="3116" w:type="dxa"/>
          </w:tcPr>
          <w:p w14:paraId="66DFA548">
            <w:pPr>
              <w:spacing w:line="500" w:lineRule="exac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颁奖单位</w:t>
            </w:r>
          </w:p>
        </w:tc>
        <w:tc>
          <w:tcPr>
            <w:tcW w:w="1744" w:type="dxa"/>
          </w:tcPr>
          <w:p w14:paraId="3AAE7727">
            <w:pPr>
              <w:spacing w:line="500" w:lineRule="exact"/>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获奖日期</w:t>
            </w:r>
          </w:p>
        </w:tc>
        <w:tc>
          <w:tcPr>
            <w:tcW w:w="1075" w:type="dxa"/>
          </w:tcPr>
          <w:p w14:paraId="06F0B1A2">
            <w:pPr>
              <w:spacing w:line="50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61ED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tcPr>
          <w:p w14:paraId="674A54FB">
            <w:pPr>
              <w:spacing w:line="500" w:lineRule="exact"/>
              <w:jc w:val="center"/>
              <w:rPr>
                <w:rFonts w:hint="eastAsia" w:ascii="仿宋" w:hAnsi="仿宋" w:eastAsia="仿宋" w:cs="仿宋"/>
                <w:b/>
                <w:color w:val="auto"/>
                <w:sz w:val="28"/>
                <w:szCs w:val="28"/>
                <w:highlight w:val="none"/>
              </w:rPr>
            </w:pPr>
          </w:p>
        </w:tc>
        <w:tc>
          <w:tcPr>
            <w:tcW w:w="3015" w:type="dxa"/>
          </w:tcPr>
          <w:p w14:paraId="2B025356">
            <w:pPr>
              <w:spacing w:line="500" w:lineRule="exact"/>
              <w:jc w:val="center"/>
              <w:rPr>
                <w:rFonts w:hint="eastAsia" w:ascii="仿宋" w:hAnsi="仿宋" w:eastAsia="仿宋" w:cs="仿宋"/>
                <w:b/>
                <w:color w:val="auto"/>
                <w:sz w:val="28"/>
                <w:szCs w:val="28"/>
                <w:highlight w:val="none"/>
              </w:rPr>
            </w:pPr>
          </w:p>
        </w:tc>
        <w:tc>
          <w:tcPr>
            <w:tcW w:w="3116" w:type="dxa"/>
          </w:tcPr>
          <w:p w14:paraId="3EE0056F">
            <w:pPr>
              <w:spacing w:line="500" w:lineRule="exact"/>
              <w:jc w:val="center"/>
              <w:rPr>
                <w:rFonts w:hint="eastAsia" w:ascii="仿宋" w:hAnsi="仿宋" w:eastAsia="仿宋" w:cs="仿宋"/>
                <w:b/>
                <w:color w:val="auto"/>
                <w:sz w:val="28"/>
                <w:szCs w:val="28"/>
                <w:highlight w:val="none"/>
              </w:rPr>
            </w:pPr>
          </w:p>
        </w:tc>
        <w:tc>
          <w:tcPr>
            <w:tcW w:w="1744" w:type="dxa"/>
          </w:tcPr>
          <w:p w14:paraId="128D5D38">
            <w:pPr>
              <w:spacing w:line="500" w:lineRule="exact"/>
              <w:jc w:val="center"/>
              <w:rPr>
                <w:rFonts w:hint="eastAsia" w:ascii="仿宋" w:hAnsi="仿宋" w:eastAsia="仿宋" w:cs="仿宋"/>
                <w:b/>
                <w:color w:val="auto"/>
                <w:sz w:val="28"/>
                <w:szCs w:val="28"/>
                <w:highlight w:val="none"/>
              </w:rPr>
            </w:pPr>
          </w:p>
        </w:tc>
        <w:tc>
          <w:tcPr>
            <w:tcW w:w="1075" w:type="dxa"/>
          </w:tcPr>
          <w:p w14:paraId="00B24189">
            <w:pPr>
              <w:spacing w:line="500" w:lineRule="exact"/>
              <w:jc w:val="center"/>
              <w:rPr>
                <w:rFonts w:hint="eastAsia" w:ascii="仿宋" w:hAnsi="仿宋" w:eastAsia="仿宋" w:cs="仿宋"/>
                <w:b/>
                <w:color w:val="auto"/>
                <w:sz w:val="28"/>
                <w:szCs w:val="28"/>
                <w:highlight w:val="none"/>
              </w:rPr>
            </w:pPr>
          </w:p>
        </w:tc>
      </w:tr>
      <w:tr w14:paraId="0AEF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tcPr>
          <w:p w14:paraId="59225BD9">
            <w:pPr>
              <w:spacing w:line="500" w:lineRule="exact"/>
              <w:jc w:val="center"/>
              <w:rPr>
                <w:rFonts w:hint="eastAsia" w:ascii="仿宋" w:hAnsi="仿宋" w:eastAsia="仿宋" w:cs="仿宋"/>
                <w:b/>
                <w:color w:val="auto"/>
                <w:sz w:val="28"/>
                <w:szCs w:val="28"/>
                <w:highlight w:val="none"/>
              </w:rPr>
            </w:pPr>
          </w:p>
        </w:tc>
        <w:tc>
          <w:tcPr>
            <w:tcW w:w="3015" w:type="dxa"/>
          </w:tcPr>
          <w:p w14:paraId="3513577A">
            <w:pPr>
              <w:spacing w:line="500" w:lineRule="exact"/>
              <w:jc w:val="center"/>
              <w:rPr>
                <w:rFonts w:hint="eastAsia" w:ascii="仿宋" w:hAnsi="仿宋" w:eastAsia="仿宋" w:cs="仿宋"/>
                <w:b/>
                <w:color w:val="auto"/>
                <w:sz w:val="28"/>
                <w:szCs w:val="28"/>
                <w:highlight w:val="none"/>
              </w:rPr>
            </w:pPr>
          </w:p>
        </w:tc>
        <w:tc>
          <w:tcPr>
            <w:tcW w:w="3116" w:type="dxa"/>
          </w:tcPr>
          <w:p w14:paraId="5699DA9C">
            <w:pPr>
              <w:spacing w:line="500" w:lineRule="exact"/>
              <w:jc w:val="center"/>
              <w:rPr>
                <w:rFonts w:hint="eastAsia" w:ascii="仿宋" w:hAnsi="仿宋" w:eastAsia="仿宋" w:cs="仿宋"/>
                <w:b/>
                <w:color w:val="auto"/>
                <w:sz w:val="28"/>
                <w:szCs w:val="28"/>
                <w:highlight w:val="none"/>
              </w:rPr>
            </w:pPr>
          </w:p>
        </w:tc>
        <w:tc>
          <w:tcPr>
            <w:tcW w:w="1744" w:type="dxa"/>
          </w:tcPr>
          <w:p w14:paraId="27D45C38">
            <w:pPr>
              <w:spacing w:line="500" w:lineRule="exact"/>
              <w:jc w:val="center"/>
              <w:rPr>
                <w:rFonts w:hint="eastAsia" w:ascii="仿宋" w:hAnsi="仿宋" w:eastAsia="仿宋" w:cs="仿宋"/>
                <w:b/>
                <w:color w:val="auto"/>
                <w:sz w:val="28"/>
                <w:szCs w:val="28"/>
                <w:highlight w:val="none"/>
              </w:rPr>
            </w:pPr>
          </w:p>
        </w:tc>
        <w:tc>
          <w:tcPr>
            <w:tcW w:w="1075" w:type="dxa"/>
          </w:tcPr>
          <w:p w14:paraId="0CE8DBC4">
            <w:pPr>
              <w:spacing w:line="500" w:lineRule="exact"/>
              <w:jc w:val="center"/>
              <w:rPr>
                <w:rFonts w:hint="eastAsia" w:ascii="仿宋" w:hAnsi="仿宋" w:eastAsia="仿宋" w:cs="仿宋"/>
                <w:b/>
                <w:color w:val="auto"/>
                <w:sz w:val="28"/>
                <w:szCs w:val="28"/>
                <w:highlight w:val="none"/>
              </w:rPr>
            </w:pPr>
          </w:p>
        </w:tc>
      </w:tr>
      <w:tr w14:paraId="205B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dxa"/>
          </w:tcPr>
          <w:p w14:paraId="076FF122">
            <w:pPr>
              <w:spacing w:line="500" w:lineRule="exact"/>
              <w:jc w:val="center"/>
              <w:rPr>
                <w:rFonts w:hint="eastAsia" w:ascii="仿宋" w:hAnsi="仿宋" w:eastAsia="仿宋" w:cs="仿宋"/>
                <w:b/>
                <w:color w:val="auto"/>
                <w:sz w:val="28"/>
                <w:szCs w:val="28"/>
                <w:highlight w:val="none"/>
              </w:rPr>
            </w:pPr>
          </w:p>
        </w:tc>
        <w:tc>
          <w:tcPr>
            <w:tcW w:w="3015" w:type="dxa"/>
          </w:tcPr>
          <w:p w14:paraId="701DE61B">
            <w:pPr>
              <w:spacing w:line="500" w:lineRule="exact"/>
              <w:jc w:val="center"/>
              <w:rPr>
                <w:rFonts w:hint="eastAsia" w:ascii="仿宋" w:hAnsi="仿宋" w:eastAsia="仿宋" w:cs="仿宋"/>
                <w:b/>
                <w:color w:val="auto"/>
                <w:sz w:val="28"/>
                <w:szCs w:val="28"/>
                <w:highlight w:val="none"/>
              </w:rPr>
            </w:pPr>
          </w:p>
        </w:tc>
        <w:tc>
          <w:tcPr>
            <w:tcW w:w="3116" w:type="dxa"/>
          </w:tcPr>
          <w:p w14:paraId="7D3BA383">
            <w:pPr>
              <w:spacing w:line="500" w:lineRule="exact"/>
              <w:jc w:val="center"/>
              <w:rPr>
                <w:rFonts w:hint="eastAsia" w:ascii="仿宋" w:hAnsi="仿宋" w:eastAsia="仿宋" w:cs="仿宋"/>
                <w:b/>
                <w:color w:val="auto"/>
                <w:sz w:val="28"/>
                <w:szCs w:val="28"/>
                <w:highlight w:val="none"/>
              </w:rPr>
            </w:pPr>
          </w:p>
        </w:tc>
        <w:tc>
          <w:tcPr>
            <w:tcW w:w="1744" w:type="dxa"/>
          </w:tcPr>
          <w:p w14:paraId="090094DF">
            <w:pPr>
              <w:spacing w:line="500" w:lineRule="exact"/>
              <w:jc w:val="center"/>
              <w:rPr>
                <w:rFonts w:hint="eastAsia" w:ascii="仿宋" w:hAnsi="仿宋" w:eastAsia="仿宋" w:cs="仿宋"/>
                <w:b/>
                <w:color w:val="auto"/>
                <w:sz w:val="28"/>
                <w:szCs w:val="28"/>
                <w:highlight w:val="none"/>
              </w:rPr>
            </w:pPr>
          </w:p>
        </w:tc>
        <w:tc>
          <w:tcPr>
            <w:tcW w:w="1075" w:type="dxa"/>
          </w:tcPr>
          <w:p w14:paraId="5C73CC3E">
            <w:pPr>
              <w:spacing w:line="500" w:lineRule="exact"/>
              <w:jc w:val="center"/>
              <w:rPr>
                <w:rFonts w:hint="eastAsia" w:ascii="仿宋" w:hAnsi="仿宋" w:eastAsia="仿宋" w:cs="仿宋"/>
                <w:b/>
                <w:color w:val="auto"/>
                <w:sz w:val="28"/>
                <w:szCs w:val="28"/>
                <w:highlight w:val="none"/>
              </w:rPr>
            </w:pPr>
          </w:p>
        </w:tc>
      </w:tr>
    </w:tbl>
    <w:p w14:paraId="78E1A4ED">
      <w:pPr>
        <w:spacing w:line="500" w:lineRule="exact"/>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注：根据评审要求，本表后附相应证书</w:t>
      </w:r>
      <w:r>
        <w:rPr>
          <w:rFonts w:hint="eastAsia" w:ascii="仿宋" w:hAnsi="仿宋" w:eastAsia="仿宋" w:cs="仿宋"/>
          <w:bCs/>
          <w:color w:val="auto"/>
          <w:sz w:val="24"/>
          <w:highlight w:val="none"/>
          <w:lang w:val="en-US" w:eastAsia="zh-CN"/>
        </w:rPr>
        <w:t>复印件</w:t>
      </w:r>
      <w:r>
        <w:rPr>
          <w:rFonts w:hint="eastAsia" w:ascii="仿宋" w:hAnsi="仿宋" w:eastAsia="仿宋" w:cs="仿宋"/>
          <w:bCs/>
          <w:color w:val="auto"/>
          <w:sz w:val="24"/>
          <w:highlight w:val="none"/>
        </w:rPr>
        <w:t>等相关证明材料，复印件(打印件)加盖投标人公章。</w:t>
      </w:r>
    </w:p>
    <w:p w14:paraId="2A9961A1">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color w:val="auto"/>
          <w:sz w:val="28"/>
          <w:szCs w:val="28"/>
          <w:highlight w:val="none"/>
          <w:lang w:val="en-US" w:eastAsia="zh-CN"/>
        </w:rPr>
        <w:br w:type="page"/>
      </w:r>
      <w:r>
        <w:rPr>
          <w:rFonts w:hint="eastAsia" w:ascii="仿宋" w:hAnsi="仿宋" w:eastAsia="仿宋" w:cs="仿宋"/>
          <w:b/>
          <w:bCs/>
          <w:color w:val="auto"/>
          <w:sz w:val="30"/>
          <w:szCs w:val="30"/>
          <w:highlight w:val="none"/>
          <w:lang w:val="en-US" w:eastAsia="zh-CN"/>
        </w:rPr>
        <w:t>十五</w:t>
      </w:r>
      <w:r>
        <w:rPr>
          <w:rFonts w:hint="eastAsia" w:ascii="仿宋" w:hAnsi="仿宋" w:eastAsia="仿宋" w:cs="仿宋"/>
          <w:b/>
          <w:bCs/>
          <w:color w:val="auto"/>
          <w:sz w:val="30"/>
          <w:szCs w:val="30"/>
          <w:highlight w:val="none"/>
          <w:lang w:val="en-US" w:eastAsia="en-US"/>
        </w:rPr>
        <w:t>、商务部分评审</w:t>
      </w:r>
      <w:r>
        <w:rPr>
          <w:rFonts w:hint="eastAsia" w:ascii="仿宋" w:hAnsi="仿宋" w:eastAsia="仿宋" w:cs="仿宋"/>
          <w:b/>
          <w:bCs/>
          <w:color w:val="auto"/>
          <w:sz w:val="30"/>
          <w:szCs w:val="30"/>
          <w:highlight w:val="none"/>
          <w:lang w:val="en-US" w:eastAsia="zh-CN"/>
        </w:rPr>
        <w:t>内容</w:t>
      </w:r>
    </w:p>
    <w:p w14:paraId="0A0FF7CD">
      <w:pPr>
        <w:kinsoku w:val="0"/>
        <w:autoSpaceDE w:val="0"/>
        <w:autoSpaceDN w:val="0"/>
        <w:adjustRightInd w:val="0"/>
        <w:snapToGrid w:val="0"/>
        <w:spacing w:before="201" w:line="360" w:lineRule="auto"/>
        <w:ind w:left="6" w:hanging="6"/>
        <w:jc w:val="left"/>
        <w:textAlignment w:val="baseline"/>
        <w:rPr>
          <w:rFonts w:hint="eastAsia" w:ascii="仿宋" w:hAnsi="仿宋" w:eastAsia="仿宋" w:cs="仿宋"/>
          <w:snapToGrid w:val="0"/>
          <w:color w:val="auto"/>
          <w:kern w:val="0"/>
          <w:sz w:val="24"/>
          <w:szCs w:val="24"/>
          <w:highlight w:val="none"/>
          <w:lang w:val="en-US" w:eastAsia="zh-CN" w:bidi="ar-SA"/>
        </w:rPr>
      </w:pPr>
      <w:r>
        <w:rPr>
          <w:rFonts w:hint="eastAsia" w:ascii="仿宋" w:hAnsi="仿宋" w:eastAsia="仿宋" w:cs="仿宋"/>
          <w:snapToGrid w:val="0"/>
          <w:color w:val="auto"/>
          <w:kern w:val="0"/>
          <w:sz w:val="24"/>
          <w:szCs w:val="24"/>
          <w:highlight w:val="none"/>
          <w:lang w:val="en-US" w:eastAsia="en-US" w:bidi="ar-SA"/>
        </w:rPr>
        <w:t>1、投标人根据商务部分评分的顺序及相应内容，结合投标人实际能力进行编制</w:t>
      </w:r>
      <w:r>
        <w:rPr>
          <w:rFonts w:hint="eastAsia" w:ascii="仿宋" w:hAnsi="仿宋" w:eastAsia="仿宋" w:cs="仿宋"/>
          <w:snapToGrid w:val="0"/>
          <w:color w:val="auto"/>
          <w:kern w:val="0"/>
          <w:sz w:val="24"/>
          <w:szCs w:val="24"/>
          <w:highlight w:val="none"/>
          <w:lang w:val="en-US" w:eastAsia="zh-CN" w:bidi="ar-SA"/>
        </w:rPr>
        <w:t>。</w:t>
      </w:r>
    </w:p>
    <w:p w14:paraId="361C361C">
      <w:pPr>
        <w:pStyle w:val="21"/>
        <w:spacing w:line="360" w:lineRule="auto"/>
        <w:rPr>
          <w:rFonts w:hint="eastAsia" w:ascii="仿宋" w:hAnsi="仿宋" w:eastAsia="仿宋" w:cs="仿宋"/>
          <w:color w:val="auto"/>
          <w:sz w:val="24"/>
          <w:highlight w:val="none"/>
          <w:lang w:val="en-GB" w:eastAsia="zh-CN"/>
        </w:rPr>
      </w:pPr>
      <w:r>
        <w:rPr>
          <w:rFonts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ascii="仿宋" w:hAnsi="仿宋" w:eastAsia="仿宋" w:cs="仿宋"/>
          <w:color w:val="auto"/>
          <w:sz w:val="24"/>
          <w:szCs w:val="24"/>
          <w:highlight w:val="none"/>
        </w:rPr>
        <w:t>投标人认为需提供的其他资料</w:t>
      </w:r>
      <w:r>
        <w:rPr>
          <w:rFonts w:hint="eastAsia" w:ascii="仿宋" w:hAnsi="仿宋" w:eastAsia="仿宋" w:cs="仿宋"/>
          <w:color w:val="auto"/>
          <w:sz w:val="24"/>
          <w:szCs w:val="24"/>
          <w:highlight w:val="none"/>
          <w:lang w:eastAsia="zh-CN"/>
        </w:rPr>
        <w:t>。</w:t>
      </w:r>
    </w:p>
    <w:p w14:paraId="0D7C6B3F">
      <w:pPr>
        <w:rPr>
          <w:rFonts w:hint="eastAsia" w:ascii="仿宋" w:hAnsi="仿宋" w:eastAsia="仿宋" w:cs="仿宋"/>
          <w:b/>
          <w:color w:val="auto"/>
          <w:sz w:val="24"/>
          <w:highlight w:val="none"/>
        </w:rPr>
      </w:pPr>
      <w:r>
        <w:rPr>
          <w:rFonts w:hint="eastAsia" w:ascii="仿宋" w:hAnsi="仿宋" w:eastAsia="仿宋" w:cs="仿宋"/>
          <w:b/>
          <w:bCs/>
          <w:color w:val="auto"/>
          <w:sz w:val="24"/>
          <w:highlight w:val="none"/>
          <w:lang w:val="en-GB"/>
        </w:rPr>
        <w:t>注：</w:t>
      </w:r>
      <w:r>
        <w:rPr>
          <w:rFonts w:hint="eastAsia" w:ascii="仿宋" w:hAnsi="仿宋" w:eastAsia="仿宋" w:cs="仿宋"/>
          <w:b/>
          <w:bCs/>
          <w:color w:val="auto"/>
          <w:sz w:val="24"/>
          <w:highlight w:val="none"/>
        </w:rPr>
        <w:t>以上</w:t>
      </w:r>
      <w:r>
        <w:rPr>
          <w:rFonts w:hint="eastAsia" w:ascii="仿宋" w:hAnsi="仿宋" w:eastAsia="仿宋" w:cs="仿宋"/>
          <w:b/>
          <w:bCs/>
          <w:color w:val="auto"/>
          <w:sz w:val="24"/>
          <w:highlight w:val="none"/>
          <w:lang w:val="en-GB"/>
        </w:rPr>
        <w:t>所提交的</w:t>
      </w:r>
      <w:r>
        <w:rPr>
          <w:rFonts w:hint="eastAsia" w:ascii="仿宋" w:hAnsi="仿宋" w:eastAsia="仿宋" w:cs="仿宋"/>
          <w:b/>
          <w:bCs/>
          <w:color w:val="auto"/>
          <w:sz w:val="24"/>
          <w:highlight w:val="none"/>
        </w:rPr>
        <w:t>资料、</w:t>
      </w:r>
      <w:r>
        <w:rPr>
          <w:rFonts w:hint="eastAsia" w:ascii="仿宋" w:hAnsi="仿宋" w:eastAsia="仿宋" w:cs="仿宋"/>
          <w:b/>
          <w:bCs/>
          <w:color w:val="auto"/>
          <w:sz w:val="24"/>
          <w:highlight w:val="none"/>
          <w:lang w:val="en-GB"/>
        </w:rPr>
        <w:t>复印件</w:t>
      </w:r>
      <w:r>
        <w:rPr>
          <w:rFonts w:hint="eastAsia" w:ascii="仿宋" w:hAnsi="仿宋" w:eastAsia="仿宋" w:cs="仿宋"/>
          <w:b/>
          <w:bCs/>
          <w:color w:val="auto"/>
          <w:sz w:val="24"/>
          <w:highlight w:val="none"/>
        </w:rPr>
        <w:t>/打印件</w:t>
      </w:r>
      <w:r>
        <w:rPr>
          <w:rFonts w:hint="eastAsia" w:ascii="仿宋" w:hAnsi="仿宋" w:eastAsia="仿宋" w:cs="仿宋"/>
          <w:b/>
          <w:bCs/>
          <w:color w:val="auto"/>
          <w:sz w:val="24"/>
          <w:highlight w:val="none"/>
          <w:lang w:val="en-GB"/>
        </w:rPr>
        <w:t>必须加盖投标人公章。</w:t>
      </w:r>
    </w:p>
    <w:p w14:paraId="7E666021">
      <w:pPr>
        <w:jc w:val="left"/>
        <w:rPr>
          <w:rFonts w:hint="eastAsia" w:ascii="仿宋" w:hAnsi="仿宋" w:eastAsia="仿宋" w:cs="仿宋"/>
          <w:b/>
          <w:color w:val="auto"/>
          <w:sz w:val="28"/>
          <w:szCs w:val="28"/>
          <w:highlight w:val="none"/>
          <w:lang w:val="en-US" w:eastAsia="zh-CN"/>
        </w:rPr>
      </w:pPr>
    </w:p>
    <w:p w14:paraId="7BBFDD25">
      <w:pPr>
        <w:kinsoku w:val="0"/>
        <w:autoSpaceDE w:val="0"/>
        <w:autoSpaceDN w:val="0"/>
        <w:adjustRightInd w:val="0"/>
        <w:snapToGrid w:val="0"/>
        <w:spacing w:before="92" w:line="223" w:lineRule="auto"/>
        <w:ind w:left="15"/>
        <w:jc w:val="center"/>
        <w:textAlignment w:val="baseline"/>
        <w:rPr>
          <w:rFonts w:hint="eastAsia" w:ascii="仿宋" w:hAnsi="仿宋" w:eastAsia="仿宋" w:cs="仿宋"/>
          <w:b/>
          <w:bCs/>
          <w:snapToGrid w:val="0"/>
          <w:color w:val="auto"/>
          <w:spacing w:val="-4"/>
          <w:kern w:val="0"/>
          <w:sz w:val="28"/>
          <w:szCs w:val="28"/>
          <w:highlight w:val="none"/>
          <w:lang w:val="en-US" w:eastAsia="zh-CN" w:bidi="ar-SA"/>
        </w:rPr>
      </w:pPr>
    </w:p>
    <w:p w14:paraId="1144D7F8">
      <w:pPr>
        <w:kinsoku w:val="0"/>
        <w:autoSpaceDE w:val="0"/>
        <w:autoSpaceDN w:val="0"/>
        <w:adjustRightInd w:val="0"/>
        <w:snapToGrid w:val="0"/>
        <w:spacing w:before="92" w:line="223" w:lineRule="auto"/>
        <w:ind w:left="15"/>
        <w:jc w:val="center"/>
        <w:textAlignment w:val="baseline"/>
        <w:rPr>
          <w:rFonts w:hint="eastAsia" w:ascii="仿宋" w:hAnsi="仿宋" w:eastAsia="仿宋" w:cs="仿宋"/>
          <w:b/>
          <w:bCs/>
          <w:snapToGrid w:val="0"/>
          <w:color w:val="auto"/>
          <w:spacing w:val="-4"/>
          <w:kern w:val="0"/>
          <w:sz w:val="28"/>
          <w:szCs w:val="28"/>
          <w:highlight w:val="none"/>
          <w:lang w:val="en-US" w:eastAsia="zh-CN" w:bidi="ar-SA"/>
        </w:rPr>
      </w:pPr>
    </w:p>
    <w:p w14:paraId="0C94B9BF">
      <w:pPr>
        <w:rPr>
          <w:rFonts w:hint="eastAsia" w:ascii="仿宋" w:hAnsi="仿宋" w:eastAsia="仿宋" w:cs="仿宋"/>
          <w:b/>
          <w:bCs/>
          <w:snapToGrid w:val="0"/>
          <w:color w:val="auto"/>
          <w:spacing w:val="-4"/>
          <w:kern w:val="0"/>
          <w:sz w:val="28"/>
          <w:szCs w:val="28"/>
          <w:highlight w:val="none"/>
          <w:lang w:val="en-US" w:eastAsia="zh-CN" w:bidi="ar-SA"/>
        </w:rPr>
      </w:pPr>
      <w:r>
        <w:rPr>
          <w:rFonts w:hint="eastAsia" w:ascii="仿宋" w:hAnsi="仿宋" w:eastAsia="仿宋" w:cs="仿宋"/>
          <w:b/>
          <w:bCs/>
          <w:snapToGrid w:val="0"/>
          <w:color w:val="auto"/>
          <w:spacing w:val="-4"/>
          <w:kern w:val="0"/>
          <w:sz w:val="28"/>
          <w:szCs w:val="28"/>
          <w:highlight w:val="none"/>
          <w:lang w:val="en-US" w:eastAsia="zh-CN" w:bidi="ar-SA"/>
        </w:rPr>
        <w:br w:type="page"/>
      </w:r>
    </w:p>
    <w:p w14:paraId="6C3A4AF7">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十六</w:t>
      </w:r>
      <w:r>
        <w:rPr>
          <w:rFonts w:hint="eastAsia" w:ascii="仿宋" w:hAnsi="仿宋" w:eastAsia="仿宋" w:cs="仿宋"/>
          <w:b/>
          <w:bCs/>
          <w:color w:val="auto"/>
          <w:sz w:val="30"/>
          <w:szCs w:val="30"/>
          <w:highlight w:val="none"/>
          <w:lang w:val="en-US" w:eastAsia="en-US"/>
        </w:rPr>
        <w:t>、技术部分评审</w:t>
      </w:r>
      <w:r>
        <w:rPr>
          <w:rFonts w:hint="eastAsia" w:ascii="仿宋" w:hAnsi="仿宋" w:eastAsia="仿宋" w:cs="仿宋"/>
          <w:b/>
          <w:bCs/>
          <w:color w:val="auto"/>
          <w:sz w:val="30"/>
          <w:szCs w:val="30"/>
          <w:highlight w:val="none"/>
          <w:lang w:val="en-US" w:eastAsia="zh-CN"/>
        </w:rPr>
        <w:t>内容</w:t>
      </w:r>
    </w:p>
    <w:p w14:paraId="08CADF5A">
      <w:pPr>
        <w:pStyle w:val="21"/>
        <w:numPr>
          <w:ilvl w:val="0"/>
          <w:numId w:val="0"/>
        </w:numPr>
        <w:spacing w:line="360" w:lineRule="auto"/>
        <w:rPr>
          <w:rFonts w:hint="eastAsia" w:ascii="仿宋" w:hAnsi="仿宋" w:eastAsia="仿宋" w:cs="仿宋"/>
          <w:snapToGrid w:val="0"/>
          <w:color w:val="auto"/>
          <w:kern w:val="0"/>
          <w:sz w:val="24"/>
          <w:szCs w:val="24"/>
          <w:highlight w:val="none"/>
          <w:lang w:val="en-US" w:eastAsia="zh-CN" w:bidi="ar-SA"/>
        </w:rPr>
      </w:pPr>
    </w:p>
    <w:p w14:paraId="1FD911D2">
      <w:pPr>
        <w:pStyle w:val="21"/>
        <w:numPr>
          <w:ilvl w:val="0"/>
          <w:numId w:val="0"/>
        </w:numPr>
        <w:spacing w:line="360" w:lineRule="auto"/>
        <w:rPr>
          <w:rFonts w:hint="eastAsia" w:ascii="仿宋" w:hAnsi="仿宋" w:eastAsia="仿宋" w:cs="仿宋"/>
          <w:snapToGrid w:val="0"/>
          <w:color w:val="auto"/>
          <w:spacing w:val="-2"/>
          <w:kern w:val="0"/>
          <w:sz w:val="24"/>
          <w:szCs w:val="24"/>
          <w:highlight w:val="none"/>
          <w:lang w:val="en-US" w:eastAsia="zh-CN" w:bidi="ar-SA"/>
        </w:rPr>
      </w:pPr>
      <w:r>
        <w:rPr>
          <w:rFonts w:hint="eastAsia" w:ascii="仿宋" w:hAnsi="仿宋" w:eastAsia="仿宋" w:cs="仿宋"/>
          <w:snapToGrid w:val="0"/>
          <w:color w:val="auto"/>
          <w:kern w:val="0"/>
          <w:sz w:val="24"/>
          <w:szCs w:val="24"/>
          <w:highlight w:val="none"/>
          <w:lang w:val="en-US" w:eastAsia="zh-CN" w:bidi="ar-SA"/>
        </w:rPr>
        <w:t>1、</w:t>
      </w:r>
      <w:r>
        <w:rPr>
          <w:rFonts w:ascii="仿宋" w:hAnsi="仿宋" w:eastAsia="仿宋" w:cs="仿宋"/>
          <w:snapToGrid w:val="0"/>
          <w:color w:val="auto"/>
          <w:kern w:val="0"/>
          <w:sz w:val="24"/>
          <w:szCs w:val="24"/>
          <w:highlight w:val="none"/>
          <w:lang w:val="en-US" w:eastAsia="en-US" w:bidi="ar-SA"/>
        </w:rPr>
        <w:t>投标人根据技术部分评分的顺序及相应内容，</w:t>
      </w:r>
      <w:r>
        <w:rPr>
          <w:rFonts w:ascii="仿宋" w:hAnsi="仿宋" w:eastAsia="仿宋" w:cs="仿宋"/>
          <w:snapToGrid w:val="0"/>
          <w:color w:val="auto"/>
          <w:spacing w:val="-1"/>
          <w:kern w:val="0"/>
          <w:sz w:val="24"/>
          <w:szCs w:val="24"/>
          <w:highlight w:val="none"/>
          <w:lang w:val="en-US" w:eastAsia="en-US" w:bidi="ar-SA"/>
        </w:rPr>
        <w:t>结合投标人实际能力进行编制，技术方案必须科学合理、真实可行，能充分体现出自身专业优势</w:t>
      </w:r>
      <w:r>
        <w:rPr>
          <w:rFonts w:hint="eastAsia" w:ascii="仿宋" w:hAnsi="仿宋" w:eastAsia="仿宋" w:cs="仿宋"/>
          <w:snapToGrid w:val="0"/>
          <w:color w:val="auto"/>
          <w:spacing w:val="-1"/>
          <w:kern w:val="0"/>
          <w:sz w:val="24"/>
          <w:szCs w:val="24"/>
          <w:highlight w:val="none"/>
          <w:lang w:val="en-US" w:eastAsia="zh-CN" w:bidi="ar-SA"/>
        </w:rPr>
        <w:t>。</w:t>
      </w:r>
    </w:p>
    <w:p w14:paraId="7EF60CE4">
      <w:pPr>
        <w:pStyle w:val="21"/>
        <w:numPr>
          <w:ilvl w:val="0"/>
          <w:numId w:val="0"/>
        </w:numPr>
        <w:spacing w:line="360" w:lineRule="auto"/>
        <w:rPr>
          <w:rFonts w:hint="eastAsia" w:ascii="仿宋" w:hAnsi="仿宋" w:eastAsia="仿宋" w:cs="仿宋"/>
          <w:color w:val="auto"/>
          <w:sz w:val="24"/>
          <w:highlight w:val="none"/>
          <w:lang w:val="en-GB" w:eastAsia="zh-CN"/>
        </w:rPr>
      </w:pPr>
      <w:r>
        <w:rPr>
          <w:rFonts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w:t>
      </w:r>
      <w:r>
        <w:rPr>
          <w:rFonts w:ascii="仿宋" w:hAnsi="仿宋" w:eastAsia="仿宋" w:cs="仿宋"/>
          <w:color w:val="auto"/>
          <w:sz w:val="24"/>
          <w:szCs w:val="24"/>
          <w:highlight w:val="none"/>
        </w:rPr>
        <w:t>投标人认为需提供的其他资料</w:t>
      </w:r>
      <w:r>
        <w:rPr>
          <w:rFonts w:hint="eastAsia" w:ascii="仿宋" w:hAnsi="仿宋" w:eastAsia="仿宋" w:cs="仿宋"/>
          <w:color w:val="auto"/>
          <w:sz w:val="24"/>
          <w:szCs w:val="24"/>
          <w:highlight w:val="none"/>
          <w:lang w:eastAsia="zh-CN"/>
        </w:rPr>
        <w:t>。</w:t>
      </w:r>
    </w:p>
    <w:p w14:paraId="0375327A">
      <w:pPr>
        <w:jc w:val="both"/>
        <w:rPr>
          <w:rFonts w:hint="eastAsia" w:ascii="仿宋" w:hAnsi="仿宋" w:eastAsia="仿宋" w:cs="仿宋"/>
          <w:b/>
          <w:bCs/>
          <w:color w:val="auto"/>
          <w:sz w:val="24"/>
          <w:highlight w:val="none"/>
          <w:lang w:val="en-GB"/>
        </w:rPr>
      </w:pPr>
      <w:r>
        <w:rPr>
          <w:rFonts w:hint="eastAsia" w:ascii="仿宋" w:hAnsi="仿宋" w:eastAsia="仿宋" w:cs="仿宋"/>
          <w:b/>
          <w:bCs/>
          <w:color w:val="auto"/>
          <w:sz w:val="24"/>
          <w:highlight w:val="none"/>
          <w:lang w:val="en-GB"/>
        </w:rPr>
        <w:t>注：</w:t>
      </w:r>
      <w:r>
        <w:rPr>
          <w:rFonts w:hint="eastAsia" w:ascii="仿宋" w:hAnsi="仿宋" w:eastAsia="仿宋" w:cs="仿宋"/>
          <w:b/>
          <w:bCs/>
          <w:color w:val="auto"/>
          <w:sz w:val="24"/>
          <w:highlight w:val="none"/>
        </w:rPr>
        <w:t>以上</w:t>
      </w:r>
      <w:r>
        <w:rPr>
          <w:rFonts w:hint="eastAsia" w:ascii="仿宋" w:hAnsi="仿宋" w:eastAsia="仿宋" w:cs="仿宋"/>
          <w:b/>
          <w:bCs/>
          <w:color w:val="auto"/>
          <w:sz w:val="24"/>
          <w:highlight w:val="none"/>
          <w:lang w:val="en-GB"/>
        </w:rPr>
        <w:t>所提交的</w:t>
      </w:r>
      <w:r>
        <w:rPr>
          <w:rFonts w:hint="eastAsia" w:ascii="仿宋" w:hAnsi="仿宋" w:eastAsia="仿宋" w:cs="仿宋"/>
          <w:b/>
          <w:bCs/>
          <w:color w:val="auto"/>
          <w:sz w:val="24"/>
          <w:highlight w:val="none"/>
        </w:rPr>
        <w:t>资料、</w:t>
      </w:r>
      <w:r>
        <w:rPr>
          <w:rFonts w:hint="eastAsia" w:ascii="仿宋" w:hAnsi="仿宋" w:eastAsia="仿宋" w:cs="仿宋"/>
          <w:b/>
          <w:bCs/>
          <w:color w:val="auto"/>
          <w:sz w:val="24"/>
          <w:highlight w:val="none"/>
          <w:lang w:val="en-GB"/>
        </w:rPr>
        <w:t>复印件</w:t>
      </w:r>
      <w:r>
        <w:rPr>
          <w:rFonts w:hint="eastAsia" w:ascii="仿宋" w:hAnsi="仿宋" w:eastAsia="仿宋" w:cs="仿宋"/>
          <w:b/>
          <w:bCs/>
          <w:color w:val="auto"/>
          <w:sz w:val="24"/>
          <w:highlight w:val="none"/>
        </w:rPr>
        <w:t>/打印件</w:t>
      </w:r>
      <w:r>
        <w:rPr>
          <w:rFonts w:hint="eastAsia" w:ascii="仿宋" w:hAnsi="仿宋" w:eastAsia="仿宋" w:cs="仿宋"/>
          <w:b/>
          <w:bCs/>
          <w:color w:val="auto"/>
          <w:sz w:val="24"/>
          <w:highlight w:val="none"/>
          <w:lang w:val="en-GB"/>
        </w:rPr>
        <w:t>必须加盖投标人公章。</w:t>
      </w:r>
    </w:p>
    <w:p w14:paraId="235C6BD0">
      <w:pPr>
        <w:jc w:val="center"/>
        <w:rPr>
          <w:rFonts w:hint="eastAsia" w:ascii="仿宋" w:hAnsi="仿宋" w:eastAsia="仿宋" w:cs="仿宋"/>
          <w:b/>
          <w:bCs/>
          <w:snapToGrid w:val="0"/>
          <w:color w:val="auto"/>
          <w:spacing w:val="-4"/>
          <w:kern w:val="0"/>
          <w:sz w:val="28"/>
          <w:szCs w:val="28"/>
          <w:highlight w:val="none"/>
          <w:lang w:val="en-US" w:eastAsia="zh-CN" w:bidi="ar-SA"/>
        </w:rPr>
      </w:pPr>
    </w:p>
    <w:p w14:paraId="0EE75D52">
      <w:pPr>
        <w:jc w:val="center"/>
        <w:rPr>
          <w:rFonts w:hint="eastAsia" w:ascii="仿宋" w:hAnsi="仿宋" w:eastAsia="仿宋" w:cs="仿宋"/>
          <w:b/>
          <w:bCs/>
          <w:snapToGrid w:val="0"/>
          <w:color w:val="auto"/>
          <w:spacing w:val="-4"/>
          <w:kern w:val="0"/>
          <w:sz w:val="28"/>
          <w:szCs w:val="28"/>
          <w:highlight w:val="none"/>
          <w:lang w:val="en-US" w:eastAsia="zh-CN" w:bidi="ar-SA"/>
        </w:rPr>
      </w:pPr>
    </w:p>
    <w:p w14:paraId="1D176BD7">
      <w:pPr>
        <w:jc w:val="center"/>
        <w:rPr>
          <w:rFonts w:hint="eastAsia" w:ascii="仿宋" w:hAnsi="仿宋" w:eastAsia="仿宋" w:cs="仿宋"/>
          <w:b/>
          <w:bCs/>
          <w:snapToGrid w:val="0"/>
          <w:color w:val="auto"/>
          <w:spacing w:val="-4"/>
          <w:kern w:val="0"/>
          <w:sz w:val="28"/>
          <w:szCs w:val="28"/>
          <w:highlight w:val="none"/>
          <w:lang w:val="en-US" w:eastAsia="zh-CN" w:bidi="ar-SA"/>
        </w:rPr>
      </w:pPr>
    </w:p>
    <w:p w14:paraId="4886652C">
      <w:pPr>
        <w:jc w:val="center"/>
        <w:rPr>
          <w:rFonts w:hint="eastAsia" w:ascii="仿宋" w:hAnsi="仿宋" w:eastAsia="仿宋" w:cs="仿宋"/>
          <w:bCs/>
          <w:color w:val="auto"/>
          <w:sz w:val="24"/>
          <w:highlight w:val="none"/>
          <w:lang w:val="en-US" w:eastAsia="zh-CN"/>
        </w:rPr>
      </w:pPr>
    </w:p>
    <w:p w14:paraId="09A5156D">
      <w:pPr>
        <w:rPr>
          <w:rFonts w:hint="eastAsia" w:ascii="仿宋" w:hAnsi="仿宋" w:eastAsia="仿宋" w:cs="仿宋"/>
          <w:b/>
          <w:bCs/>
          <w:snapToGrid w:val="0"/>
          <w:color w:val="auto"/>
          <w:spacing w:val="-4"/>
          <w:kern w:val="0"/>
          <w:sz w:val="28"/>
          <w:szCs w:val="28"/>
          <w:highlight w:val="none"/>
          <w:lang w:val="en-US" w:eastAsia="zh-CN" w:bidi="ar-SA"/>
        </w:rPr>
      </w:pPr>
      <w:r>
        <w:rPr>
          <w:rFonts w:hint="eastAsia" w:ascii="仿宋" w:hAnsi="仿宋" w:eastAsia="仿宋" w:cs="仿宋"/>
          <w:b/>
          <w:bCs/>
          <w:snapToGrid w:val="0"/>
          <w:color w:val="auto"/>
          <w:spacing w:val="-4"/>
          <w:kern w:val="0"/>
          <w:sz w:val="28"/>
          <w:szCs w:val="28"/>
          <w:highlight w:val="none"/>
          <w:lang w:val="en-US" w:eastAsia="zh-CN" w:bidi="ar-SA"/>
        </w:rPr>
        <w:br w:type="page"/>
      </w:r>
    </w:p>
    <w:p w14:paraId="2464E213">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十七</w:t>
      </w:r>
      <w:r>
        <w:rPr>
          <w:rFonts w:hint="eastAsia" w:ascii="仿宋" w:hAnsi="仿宋" w:eastAsia="仿宋" w:cs="仿宋"/>
          <w:b/>
          <w:bCs/>
          <w:color w:val="auto"/>
          <w:sz w:val="30"/>
          <w:szCs w:val="30"/>
          <w:highlight w:val="none"/>
          <w:lang w:val="en-US" w:eastAsia="en-US"/>
        </w:rPr>
        <w:t>、</w:t>
      </w:r>
      <w:r>
        <w:rPr>
          <w:rFonts w:hint="eastAsia" w:ascii="仿宋" w:hAnsi="仿宋" w:eastAsia="仿宋" w:cs="仿宋"/>
          <w:b/>
          <w:bCs/>
          <w:color w:val="auto"/>
          <w:sz w:val="30"/>
          <w:szCs w:val="30"/>
          <w:highlight w:val="none"/>
          <w:lang w:val="en-US" w:eastAsia="zh-CN"/>
        </w:rPr>
        <w:t>其他资料</w:t>
      </w:r>
    </w:p>
    <w:p w14:paraId="7A9CE3C6">
      <w:pPr>
        <w:jc w:val="center"/>
        <w:rPr>
          <w:rFonts w:hint="eastAsia" w:ascii="仿宋" w:hAnsi="仿宋" w:eastAsia="仿宋" w:cs="仿宋"/>
          <w:b/>
          <w:color w:val="auto"/>
          <w:sz w:val="28"/>
          <w:szCs w:val="28"/>
          <w:highlight w:val="none"/>
        </w:rPr>
      </w:pPr>
    </w:p>
    <w:p w14:paraId="6D030C77">
      <w:pPr>
        <w:pStyle w:val="2"/>
        <w:rPr>
          <w:rFonts w:hint="eastAsia" w:ascii="仿宋" w:hAnsi="仿宋" w:eastAsia="仿宋" w:cs="仿宋"/>
          <w:color w:val="auto"/>
          <w:highlight w:val="none"/>
        </w:rPr>
      </w:pPr>
    </w:p>
    <w:p w14:paraId="09C05AFC">
      <w:pPr>
        <w:spacing w:line="360" w:lineRule="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1、提供“二、 采购项目商务要求”和“三、采购项目技术要求”相关证明材料和承诺函内容（如有，格式自拟）。</w:t>
      </w:r>
    </w:p>
    <w:p w14:paraId="3FEB3224">
      <w:pPr>
        <w:spacing w:line="360" w:lineRule="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2、投标人可根据评分所需提供投标人认为须提交的其他资料</w:t>
      </w:r>
      <w:r>
        <w:rPr>
          <w:rFonts w:hint="eastAsia" w:ascii="仿宋" w:hAnsi="仿宋" w:eastAsia="仿宋" w:cs="仿宋"/>
          <w:color w:val="auto"/>
          <w:sz w:val="24"/>
          <w:highlight w:val="none"/>
          <w:lang w:val="en-US" w:eastAsia="zh-CN"/>
        </w:rPr>
        <w:t>。</w:t>
      </w:r>
    </w:p>
    <w:p w14:paraId="75ABABDC">
      <w:pPr>
        <w:spacing w:line="360" w:lineRule="auto"/>
        <w:rPr>
          <w:rFonts w:hint="eastAsia" w:ascii="仿宋" w:hAnsi="仿宋" w:eastAsia="仿宋" w:cs="仿宋"/>
          <w:bCs/>
          <w:color w:val="auto"/>
          <w:sz w:val="24"/>
          <w:highlight w:val="none"/>
          <w:lang w:val="en-GB"/>
        </w:rPr>
      </w:pP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lang w:val="en-GB"/>
        </w:rPr>
        <w:t>所提交的复印件必须加盖投标人公章。</w:t>
      </w:r>
    </w:p>
    <w:p w14:paraId="0149B471">
      <w:pPr>
        <w:rPr>
          <w:rFonts w:hint="eastAsia" w:ascii="仿宋" w:hAnsi="仿宋" w:eastAsia="仿宋" w:cs="仿宋"/>
          <w:b/>
          <w:color w:val="auto"/>
          <w:sz w:val="24"/>
          <w:highlight w:val="none"/>
          <w:lang w:val="en-GB"/>
        </w:rPr>
      </w:pPr>
    </w:p>
    <w:p w14:paraId="0A776A9F">
      <w:pPr>
        <w:rPr>
          <w:rFonts w:hint="eastAsia" w:ascii="仿宋" w:hAnsi="仿宋" w:eastAsia="仿宋" w:cs="仿宋"/>
          <w:b/>
          <w:color w:val="auto"/>
          <w:sz w:val="24"/>
          <w:highlight w:val="none"/>
          <w:lang w:val="en-GB"/>
        </w:rPr>
      </w:pPr>
    </w:p>
    <w:p w14:paraId="2B0F5DAE">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57EC61A1">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十八、投标保证金</w:t>
      </w:r>
    </w:p>
    <w:p w14:paraId="02A3DC66">
      <w:pPr>
        <w:spacing w:line="360" w:lineRule="auto"/>
        <w:rPr>
          <w:rFonts w:hint="eastAsia" w:ascii="仿宋" w:hAnsi="仿宋" w:eastAsia="仿宋" w:cs="仿宋"/>
          <w:bCs/>
          <w:color w:val="auto"/>
          <w:sz w:val="24"/>
          <w:highlight w:val="none"/>
          <w:lang w:val="en-US" w:eastAsia="zh-CN"/>
        </w:rPr>
      </w:pPr>
    </w:p>
    <w:p w14:paraId="394B0C28">
      <w:pPr>
        <w:jc w:val="both"/>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提供投标保证金缴纳凭证。</w:t>
      </w:r>
    </w:p>
    <w:p w14:paraId="565A3C25">
      <w:pP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p>
    <w:p w14:paraId="16C7E337">
      <w:pPr>
        <w:spacing w:line="360" w:lineRule="auto"/>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十九、企业采购投标保证金退付委托书</w:t>
      </w:r>
    </w:p>
    <w:p w14:paraId="356B9306">
      <w:pPr>
        <w:jc w:val="center"/>
        <w:rPr>
          <w:rFonts w:hint="eastAsia" w:ascii="仿宋" w:hAnsi="仿宋" w:eastAsia="仿宋" w:cs="仿宋"/>
          <w:b/>
          <w:color w:val="auto"/>
          <w:sz w:val="36"/>
          <w:szCs w:val="36"/>
          <w:highlight w:val="none"/>
        </w:rPr>
      </w:pPr>
    </w:p>
    <w:p w14:paraId="5624BB5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佛山市南海公有资产流转服务有限公司：</w:t>
      </w:r>
    </w:p>
    <w:p w14:paraId="1D0EA57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兹委托贵司将采购人：</w:t>
      </w:r>
      <w:r>
        <w:rPr>
          <w:rFonts w:hint="eastAsia" w:ascii="仿宋" w:hAnsi="仿宋" w:eastAsia="仿宋" w:cs="仿宋"/>
          <w:color w:val="auto"/>
          <w:sz w:val="24"/>
          <w:highlight w:val="none"/>
          <w:u w:val="single"/>
          <w:lang w:eastAsia="zh-CN"/>
        </w:rPr>
        <w:t>佛山市南海有为百越文化有限公司</w:t>
      </w:r>
      <w:r>
        <w:rPr>
          <w:rFonts w:hint="eastAsia" w:ascii="仿宋" w:hAnsi="仿宋" w:eastAsia="仿宋" w:cs="仿宋"/>
          <w:color w:val="auto"/>
          <w:sz w:val="24"/>
          <w:highlight w:val="none"/>
        </w:rPr>
        <w:t>的企业采购项目“</w:t>
      </w:r>
      <w:r>
        <w:rPr>
          <w:rFonts w:hint="eastAsia" w:ascii="仿宋" w:hAnsi="仿宋" w:eastAsia="仿宋" w:cs="仿宋"/>
          <w:color w:val="auto"/>
          <w:sz w:val="24"/>
          <w:highlight w:val="none"/>
          <w:u w:val="single"/>
          <w:lang w:eastAsia="zh-CN"/>
        </w:rPr>
        <w:t>南海文化中心项目结算单审和双审初审服务</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lang w:eastAsia="zh-CN"/>
        </w:rPr>
        <w:t>HNZX（CG）-2026001</w:t>
      </w:r>
      <w:r>
        <w:rPr>
          <w:rFonts w:hint="eastAsia" w:ascii="仿宋" w:hAnsi="仿宋" w:eastAsia="仿宋" w:cs="仿宋"/>
          <w:color w:val="auto"/>
          <w:sz w:val="24"/>
          <w:highlight w:val="none"/>
        </w:rPr>
        <w:t>）</w:t>
      </w:r>
    </w:p>
    <w:p w14:paraId="0B04ADA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r>
        <w:rPr>
          <w:rFonts w:hint="eastAsia" w:ascii="仿宋" w:hAnsi="仿宋" w:eastAsia="仿宋" w:cs="仿宋"/>
          <w:color w:val="auto"/>
          <w:sz w:val="24"/>
          <w:highlight w:val="none"/>
          <w:u w:val="none"/>
        </w:rPr>
        <w:t>保证金</w:t>
      </w:r>
      <w:r>
        <w:rPr>
          <w:rFonts w:hint="eastAsia" w:ascii="仿宋" w:hAnsi="仿宋" w:eastAsia="仿宋" w:cs="仿宋"/>
          <w:color w:val="auto"/>
          <w:sz w:val="24"/>
          <w:highlight w:val="none"/>
        </w:rPr>
        <w:t>：大写：人民币</w:t>
      </w:r>
      <w:r>
        <w:rPr>
          <w:rFonts w:hint="eastAsia" w:ascii="仿宋" w:hAnsi="仿宋" w:eastAsia="仿宋" w:cs="仿宋"/>
          <w:color w:val="auto"/>
          <w:sz w:val="24"/>
          <w:highlight w:val="none"/>
          <w:lang w:val="en-US" w:eastAsia="zh-CN"/>
        </w:rPr>
        <w:t>陆万元整</w:t>
      </w:r>
      <w:r>
        <w:rPr>
          <w:rFonts w:hint="eastAsia" w:ascii="仿宋" w:hAnsi="仿宋" w:eastAsia="仿宋" w:cs="仿宋"/>
          <w:color w:val="auto"/>
          <w:sz w:val="24"/>
          <w:highlight w:val="none"/>
        </w:rPr>
        <w:t>（小写：</w:t>
      </w:r>
      <w:r>
        <w:rPr>
          <w:rFonts w:hint="eastAsia" w:ascii="仿宋" w:hAnsi="仿宋" w:eastAsia="仿宋" w:cs="仿宋"/>
          <w:color w:val="auto"/>
          <w:sz w:val="24"/>
          <w:highlight w:val="none"/>
          <w:lang w:val="en-US" w:eastAsia="zh-CN"/>
        </w:rPr>
        <w:t>60000.00元</w:t>
      </w:r>
      <w:r>
        <w:rPr>
          <w:rFonts w:hint="eastAsia" w:ascii="仿宋" w:hAnsi="仿宋" w:eastAsia="仿宋" w:cs="仿宋"/>
          <w:color w:val="auto"/>
          <w:sz w:val="24"/>
          <w:highlight w:val="none"/>
        </w:rPr>
        <w:t>）</w:t>
      </w:r>
    </w:p>
    <w:p w14:paraId="70BE1F9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退回以下</w:t>
      </w:r>
      <w:r>
        <w:rPr>
          <w:rFonts w:hint="eastAsia" w:ascii="仿宋" w:hAnsi="仿宋" w:eastAsia="仿宋" w:cs="仿宋"/>
          <w:color w:val="auto"/>
          <w:sz w:val="24"/>
          <w:highlight w:val="none"/>
          <w:lang w:eastAsia="zh-CN"/>
        </w:rPr>
        <w:t>账户</w:t>
      </w:r>
      <w:r>
        <w:rPr>
          <w:rFonts w:hint="eastAsia" w:ascii="仿宋" w:hAnsi="仿宋" w:eastAsia="仿宋" w:cs="仿宋"/>
          <w:color w:val="auto"/>
          <w:sz w:val="24"/>
          <w:highlight w:val="none"/>
        </w:rPr>
        <w:t>：</w:t>
      </w:r>
    </w:p>
    <w:p w14:paraId="07A33C57">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户名： </w:t>
      </w:r>
      <w:r>
        <w:rPr>
          <w:rFonts w:hint="eastAsia" w:ascii="仿宋" w:hAnsi="仿宋" w:eastAsia="仿宋" w:cs="仿宋"/>
          <w:color w:val="auto"/>
          <w:sz w:val="24"/>
          <w:highlight w:val="none"/>
          <w:u w:val="single"/>
        </w:rPr>
        <w:t xml:space="preserve">                     （与缴款人或者单位一致）</w:t>
      </w:r>
    </w:p>
    <w:p w14:paraId="0162BA48">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账号： </w:t>
      </w:r>
      <w:r>
        <w:rPr>
          <w:rFonts w:hint="eastAsia" w:ascii="仿宋" w:hAnsi="仿宋" w:eastAsia="仿宋" w:cs="仿宋"/>
          <w:color w:val="auto"/>
          <w:sz w:val="24"/>
          <w:highlight w:val="none"/>
          <w:u w:val="single"/>
        </w:rPr>
        <w:t xml:space="preserve">                                             </w:t>
      </w:r>
    </w:p>
    <w:p w14:paraId="18864AF4">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p>
    <w:p w14:paraId="2EE95FC5">
      <w:pPr>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p>
    <w:p w14:paraId="4EA6F8E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此委托退款账号及户名经本人（单位）核对无误，如有差异导致款项错退，本（单位）人承担其经济责任。</w:t>
      </w:r>
    </w:p>
    <w:p w14:paraId="1DB356C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特此委托</w:t>
      </w:r>
    </w:p>
    <w:p w14:paraId="3353AD0C">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69AF69CF">
      <w:pPr>
        <w:spacing w:line="400" w:lineRule="exact"/>
        <w:ind w:right="560" w:firstLine="3000" w:firstLineChars="1250"/>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单位（单位盖章）：</w:t>
      </w:r>
    </w:p>
    <w:p w14:paraId="4BA428D7">
      <w:pPr>
        <w:spacing w:line="400" w:lineRule="exact"/>
        <w:ind w:right="560" w:firstLine="3120" w:firstLineChars="13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3551CCE">
      <w:pPr>
        <w:spacing w:line="4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578F5EBC">
      <w:pPr>
        <w:rPr>
          <w:rFonts w:hint="eastAsia" w:ascii="仿宋" w:hAnsi="仿宋" w:eastAsia="仿宋" w:cs="仿宋"/>
          <w:color w:val="auto"/>
          <w:sz w:val="24"/>
          <w:highlight w:val="none"/>
        </w:rPr>
      </w:pPr>
    </w:p>
    <w:p w14:paraId="615A0568">
      <w:pPr>
        <w:rPr>
          <w:rFonts w:hint="eastAsia" w:ascii="仿宋" w:hAnsi="仿宋" w:eastAsia="仿宋" w:cs="仿宋"/>
          <w:color w:val="auto"/>
          <w:sz w:val="24"/>
          <w:highlight w:val="none"/>
        </w:rPr>
      </w:pPr>
    </w:p>
    <w:p w14:paraId="5DBB6B73">
      <w:pPr>
        <w:rPr>
          <w:rFonts w:hint="eastAsia" w:ascii="仿宋" w:hAnsi="仿宋" w:eastAsia="仿宋" w:cs="仿宋"/>
          <w:color w:val="auto"/>
          <w:sz w:val="24"/>
          <w:highlight w:val="none"/>
        </w:rPr>
      </w:pPr>
    </w:p>
    <w:p w14:paraId="492E13A5">
      <w:pPr>
        <w:pStyle w:val="17"/>
        <w:adjustRightInd w:val="0"/>
        <w:snapToGrid w:val="0"/>
        <w:spacing w:line="360" w:lineRule="auto"/>
        <w:ind w:left="-420" w:leftChars="-200" w:firstLine="420" w:firstLineChars="17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本委托书要求字迹清晰，涂改无效。</w:t>
      </w:r>
    </w:p>
    <w:p w14:paraId="29E41B7F">
      <w:pPr>
        <w:rPr>
          <w:rFonts w:hint="eastAsia" w:ascii="仿宋" w:hAnsi="仿宋" w:eastAsia="仿宋" w:cs="仿宋"/>
          <w:color w:val="auto"/>
          <w:sz w:val="24"/>
          <w:highlight w:val="none"/>
        </w:rPr>
      </w:pPr>
    </w:p>
    <w:p w14:paraId="1A06BBE5">
      <w:pPr>
        <w:pStyle w:val="17"/>
        <w:adjustRightInd w:val="0"/>
        <w:snapToGrid w:val="0"/>
        <w:spacing w:line="360" w:lineRule="auto"/>
        <w:ind w:left="-420" w:leftChars="-200" w:firstLine="422" w:firstLineChars="175"/>
        <w:rPr>
          <w:rFonts w:hint="eastAsia" w:ascii="仿宋" w:hAnsi="仿宋" w:eastAsia="仿宋" w:cs="仿宋"/>
          <w:color w:val="auto"/>
          <w:sz w:val="24"/>
          <w:szCs w:val="24"/>
          <w:highlight w:val="none"/>
          <w:lang w:val="en-GB"/>
        </w:rPr>
      </w:pPr>
      <w:r>
        <w:rPr>
          <w:rFonts w:hint="eastAsia" w:ascii="仿宋" w:hAnsi="仿宋" w:eastAsia="仿宋" w:cs="仿宋"/>
          <w:b/>
          <w:color w:val="auto"/>
          <w:sz w:val="24"/>
          <w:szCs w:val="24"/>
          <w:highlight w:val="none"/>
        </w:rPr>
        <w:t>特别说明：本项目无须报名，已经缴纳保证金的供应商须在规定时间内提交报价文件，《企业采购保证金退付委托书》和营业执照复印件（需盖单位公章）须另外单独提交，其为</w:t>
      </w:r>
      <w:r>
        <w:rPr>
          <w:rFonts w:hint="eastAsia" w:ascii="仿宋" w:hAnsi="仿宋" w:eastAsia="仿宋" w:cs="仿宋"/>
          <w:b/>
          <w:color w:val="auto"/>
          <w:sz w:val="24"/>
          <w:szCs w:val="24"/>
          <w:highlight w:val="none"/>
          <w:lang w:val="en-US" w:eastAsia="zh-CN"/>
        </w:rPr>
        <w:t>投标人</w:t>
      </w:r>
      <w:r>
        <w:rPr>
          <w:rFonts w:hint="eastAsia" w:ascii="仿宋" w:hAnsi="仿宋" w:eastAsia="仿宋" w:cs="仿宋"/>
          <w:b/>
          <w:color w:val="auto"/>
          <w:sz w:val="24"/>
          <w:szCs w:val="24"/>
          <w:highlight w:val="none"/>
        </w:rPr>
        <w:t>办理投标保证金退付的必须资料，由佛山市南海公有资产流转服务有限公司按照相关文件要求规定办理退款。</w:t>
      </w:r>
    </w:p>
    <w:p w14:paraId="3C062F8B">
      <w:pPr>
        <w:pStyle w:val="4"/>
        <w:adjustRightInd w:val="0"/>
        <w:spacing w:before="0" w:after="0" w:line="360" w:lineRule="auto"/>
        <w:textAlignment w:val="baseline"/>
        <w:rPr>
          <w:rFonts w:hint="eastAsia" w:ascii="仿宋" w:hAnsi="仿宋" w:eastAsia="仿宋" w:cs="仿宋"/>
          <w:color w:val="auto"/>
          <w:sz w:val="24"/>
          <w:highlight w:val="none"/>
        </w:rPr>
      </w:pPr>
    </w:p>
    <w:p w14:paraId="21A019EB">
      <w:pPr>
        <w:rPr>
          <w:rFonts w:hint="eastAsia" w:ascii="仿宋" w:hAnsi="仿宋" w:eastAsia="仿宋" w:cs="仿宋"/>
          <w:color w:val="auto"/>
          <w:highlight w:val="none"/>
        </w:rPr>
      </w:pPr>
    </w:p>
    <w:p w14:paraId="0AFB9489">
      <w:pPr>
        <w:rPr>
          <w:rFonts w:hint="eastAsia" w:ascii="仿宋" w:hAnsi="仿宋" w:eastAsia="仿宋" w:cs="仿宋"/>
          <w:color w:val="auto"/>
          <w:highlight w:val="none"/>
        </w:rPr>
      </w:pPr>
    </w:p>
    <w:p w14:paraId="557CB45E">
      <w:pPr>
        <w:rPr>
          <w:rFonts w:hint="eastAsia" w:ascii="仿宋" w:hAnsi="仿宋" w:eastAsia="仿宋" w:cs="仿宋"/>
          <w:color w:val="auto"/>
          <w:highlight w:val="none"/>
        </w:rPr>
      </w:pPr>
    </w:p>
    <w:p w14:paraId="641D53C4">
      <w:pPr>
        <w:rPr>
          <w:rFonts w:hint="eastAsia" w:ascii="仿宋" w:hAnsi="仿宋" w:eastAsia="仿宋" w:cs="仿宋"/>
          <w:color w:val="auto"/>
          <w:highlight w:val="none"/>
        </w:rPr>
      </w:pPr>
    </w:p>
    <w:bookmarkEnd w:id="512"/>
    <w:bookmarkEnd w:id="513"/>
    <w:p w14:paraId="4BABA68C">
      <w:pPr>
        <w:autoSpaceDE w:val="0"/>
        <w:autoSpaceDN w:val="0"/>
        <w:spacing w:line="360" w:lineRule="auto"/>
        <w:outlineLvl w:val="0"/>
        <w:rPr>
          <w:rFonts w:hint="eastAsia" w:ascii="仿宋" w:hAnsi="仿宋" w:eastAsia="仿宋" w:cs="仿宋"/>
          <w:color w:val="auto"/>
          <w:sz w:val="22"/>
          <w:szCs w:val="22"/>
          <w:highlight w:val="none"/>
        </w:rPr>
      </w:pPr>
      <w:bookmarkStart w:id="523" w:name="_Toc14538_WPSOffice_Level1"/>
      <w:bookmarkStart w:id="524" w:name="_Toc26996"/>
      <w:r>
        <w:rPr>
          <w:rFonts w:hint="eastAsia" w:ascii="仿宋" w:hAnsi="仿宋" w:eastAsia="仿宋" w:cs="仿宋"/>
          <w:b/>
          <w:bCs/>
          <w:color w:val="auto"/>
          <w:kern w:val="0"/>
          <w:sz w:val="44"/>
          <w:szCs w:val="44"/>
          <w:highlight w:val="none"/>
        </w:rPr>
        <w:br w:type="page"/>
      </w:r>
      <w:bookmarkStart w:id="525" w:name="_Toc14286"/>
      <w:r>
        <w:rPr>
          <w:rFonts w:hint="eastAsia" w:ascii="仿宋" w:hAnsi="仿宋" w:eastAsia="仿宋" w:cs="仿宋"/>
          <w:b/>
          <w:bCs/>
          <w:color w:val="auto"/>
          <w:kern w:val="0"/>
          <w:sz w:val="40"/>
          <w:szCs w:val="40"/>
          <w:highlight w:val="none"/>
        </w:rPr>
        <w:t>附件一  评审细则</w:t>
      </w:r>
      <w:bookmarkEnd w:id="523"/>
      <w:bookmarkEnd w:id="524"/>
      <w:bookmarkEnd w:id="525"/>
    </w:p>
    <w:p w14:paraId="3BCA4A0E">
      <w:pPr>
        <w:rPr>
          <w:rFonts w:hint="eastAsia" w:ascii="仿宋" w:hAnsi="仿宋" w:eastAsia="仿宋" w:cs="仿宋"/>
          <w:color w:val="auto"/>
          <w:highlight w:val="none"/>
        </w:rPr>
      </w:pPr>
    </w:p>
    <w:p w14:paraId="4402B82B">
      <w:pPr>
        <w:spacing w:line="360" w:lineRule="auto"/>
        <w:jc w:val="center"/>
        <w:rPr>
          <w:rFonts w:hint="eastAsia" w:ascii="仿宋" w:hAnsi="仿宋" w:eastAsia="仿宋" w:cs="仿宋"/>
          <w:b/>
          <w:color w:val="auto"/>
          <w:sz w:val="44"/>
          <w:highlight w:val="none"/>
        </w:rPr>
      </w:pPr>
    </w:p>
    <w:p w14:paraId="4E6CA5C3">
      <w:pPr>
        <w:pStyle w:val="2"/>
        <w:rPr>
          <w:rFonts w:hint="eastAsia" w:ascii="仿宋" w:hAnsi="仿宋" w:eastAsia="仿宋" w:cs="仿宋"/>
          <w:color w:val="auto"/>
          <w:highlight w:val="none"/>
        </w:rPr>
      </w:pPr>
    </w:p>
    <w:p w14:paraId="0F7BC07E">
      <w:pPr>
        <w:spacing w:before="240" w:line="360" w:lineRule="auto"/>
        <w:jc w:val="center"/>
        <w:rPr>
          <w:rFonts w:hint="eastAsia" w:ascii="仿宋" w:hAnsi="仿宋" w:eastAsia="仿宋" w:cs="仿宋"/>
          <w:b/>
          <w:color w:val="auto"/>
          <w:sz w:val="72"/>
          <w:szCs w:val="48"/>
          <w:highlight w:val="none"/>
        </w:rPr>
      </w:pPr>
    </w:p>
    <w:p w14:paraId="5FEC3153">
      <w:pPr>
        <w:spacing w:before="240" w:line="360" w:lineRule="auto"/>
        <w:jc w:val="center"/>
        <w:rPr>
          <w:rFonts w:hint="eastAsia" w:ascii="仿宋" w:hAnsi="仿宋" w:eastAsia="仿宋" w:cs="仿宋"/>
          <w:b/>
          <w:color w:val="auto"/>
          <w:sz w:val="72"/>
          <w:szCs w:val="48"/>
          <w:highlight w:val="none"/>
        </w:rPr>
      </w:pPr>
      <w:r>
        <w:rPr>
          <w:rFonts w:hint="eastAsia" w:ascii="仿宋" w:hAnsi="仿宋" w:eastAsia="仿宋" w:cs="仿宋"/>
          <w:b/>
          <w:color w:val="auto"/>
          <w:sz w:val="72"/>
          <w:szCs w:val="48"/>
          <w:highlight w:val="none"/>
        </w:rPr>
        <w:t>评审细则</w:t>
      </w:r>
    </w:p>
    <w:p w14:paraId="79328FC6">
      <w:pPr>
        <w:spacing w:before="240" w:line="360" w:lineRule="auto"/>
        <w:rPr>
          <w:rFonts w:hint="eastAsia" w:ascii="仿宋" w:hAnsi="仿宋" w:eastAsia="仿宋" w:cs="仿宋"/>
          <w:b/>
          <w:color w:val="auto"/>
          <w:sz w:val="36"/>
          <w:highlight w:val="none"/>
        </w:rPr>
      </w:pPr>
    </w:p>
    <w:p w14:paraId="1195A9B6">
      <w:pPr>
        <w:spacing w:before="240" w:line="360" w:lineRule="auto"/>
        <w:rPr>
          <w:rFonts w:hint="eastAsia" w:ascii="仿宋" w:hAnsi="仿宋" w:eastAsia="仿宋" w:cs="仿宋"/>
          <w:b/>
          <w:color w:val="auto"/>
          <w:sz w:val="36"/>
          <w:highlight w:val="none"/>
        </w:rPr>
      </w:pPr>
    </w:p>
    <w:p w14:paraId="1CD385DD">
      <w:pPr>
        <w:spacing w:before="240" w:line="360" w:lineRule="auto"/>
        <w:ind w:firstLine="1446" w:firstLineChars="400"/>
        <w:rPr>
          <w:rFonts w:hint="eastAsia" w:ascii="仿宋" w:hAnsi="仿宋" w:eastAsia="仿宋" w:cs="仿宋"/>
          <w:b/>
          <w:color w:val="auto"/>
          <w:sz w:val="36"/>
          <w:highlight w:val="none"/>
          <w:u w:val="single"/>
          <w:lang w:eastAsia="zh-CN"/>
        </w:rPr>
      </w:pPr>
      <w:r>
        <w:rPr>
          <w:rFonts w:hint="eastAsia" w:ascii="仿宋" w:hAnsi="仿宋" w:eastAsia="仿宋" w:cs="仿宋"/>
          <w:b/>
          <w:color w:val="auto"/>
          <w:sz w:val="36"/>
          <w:highlight w:val="none"/>
        </w:rPr>
        <w:t>采购项目编号：</w:t>
      </w:r>
      <w:r>
        <w:rPr>
          <w:rFonts w:hint="eastAsia" w:ascii="仿宋" w:hAnsi="仿宋" w:eastAsia="仿宋" w:cs="仿宋"/>
          <w:b/>
          <w:color w:val="auto"/>
          <w:sz w:val="36"/>
          <w:highlight w:val="none"/>
          <w:u w:val="single"/>
          <w:lang w:eastAsia="zh-CN"/>
        </w:rPr>
        <w:t>HNZX（CG）-2026001</w:t>
      </w:r>
    </w:p>
    <w:p w14:paraId="0D8ED682">
      <w:pPr>
        <w:spacing w:line="360" w:lineRule="auto"/>
        <w:ind w:firstLine="1789" w:firstLineChars="495"/>
        <w:rPr>
          <w:rFonts w:hint="eastAsia" w:ascii="仿宋" w:hAnsi="仿宋" w:eastAsia="仿宋" w:cs="仿宋"/>
          <w:b/>
          <w:color w:val="auto"/>
          <w:sz w:val="36"/>
          <w:highlight w:val="none"/>
        </w:rPr>
      </w:pPr>
    </w:p>
    <w:p w14:paraId="6DDBB8EC">
      <w:pPr>
        <w:spacing w:line="360" w:lineRule="auto"/>
        <w:jc w:val="center"/>
        <w:rPr>
          <w:rFonts w:hint="eastAsia" w:ascii="仿宋" w:hAnsi="仿宋" w:eastAsia="仿宋" w:cs="仿宋"/>
          <w:b/>
          <w:color w:val="auto"/>
          <w:sz w:val="36"/>
          <w:highlight w:val="none"/>
          <w:u w:val="single"/>
          <w:lang w:eastAsia="zh-CN"/>
        </w:rPr>
      </w:pPr>
      <w:r>
        <w:rPr>
          <w:rFonts w:hint="eastAsia" w:ascii="仿宋" w:hAnsi="仿宋" w:eastAsia="仿宋" w:cs="仿宋"/>
          <w:b/>
          <w:color w:val="auto"/>
          <w:sz w:val="36"/>
          <w:highlight w:val="none"/>
        </w:rPr>
        <w:t>项目名称：</w:t>
      </w:r>
      <w:r>
        <w:rPr>
          <w:rFonts w:hint="eastAsia" w:ascii="仿宋" w:hAnsi="仿宋" w:eastAsia="仿宋" w:cs="仿宋"/>
          <w:b/>
          <w:color w:val="auto"/>
          <w:sz w:val="36"/>
          <w:highlight w:val="none"/>
          <w:u w:val="single"/>
          <w:lang w:eastAsia="zh-CN"/>
        </w:rPr>
        <w:t>南海文化中心项目结算单审和双审初审服务</w:t>
      </w:r>
    </w:p>
    <w:p w14:paraId="7236A703">
      <w:pPr>
        <w:spacing w:line="360" w:lineRule="auto"/>
        <w:jc w:val="center"/>
        <w:rPr>
          <w:rFonts w:hint="eastAsia" w:ascii="仿宋" w:hAnsi="仿宋" w:eastAsia="仿宋" w:cs="仿宋"/>
          <w:b/>
          <w:color w:val="auto"/>
          <w:sz w:val="32"/>
          <w:highlight w:val="none"/>
        </w:rPr>
      </w:pPr>
    </w:p>
    <w:p w14:paraId="0828BE02">
      <w:pPr>
        <w:spacing w:line="360" w:lineRule="auto"/>
        <w:jc w:val="center"/>
        <w:rPr>
          <w:rFonts w:hint="eastAsia" w:ascii="仿宋" w:hAnsi="仿宋" w:eastAsia="仿宋" w:cs="仿宋"/>
          <w:b/>
          <w:color w:val="auto"/>
          <w:sz w:val="32"/>
          <w:highlight w:val="none"/>
        </w:rPr>
      </w:pPr>
    </w:p>
    <w:p w14:paraId="610E7F2A">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color w:val="auto"/>
          <w:highlight w:val="none"/>
        </w:rPr>
        <w:br w:type="page"/>
      </w:r>
      <w:bookmarkStart w:id="526" w:name="_Toc37496241"/>
      <w:bookmarkStart w:id="527" w:name="_Toc26800361"/>
      <w:bookmarkStart w:id="528" w:name="_Toc61327422"/>
      <w:bookmarkStart w:id="529" w:name="_Toc49135219"/>
      <w:bookmarkStart w:id="530" w:name="_Toc43264531"/>
      <w:r>
        <w:rPr>
          <w:rFonts w:hint="eastAsia" w:ascii="仿宋" w:hAnsi="仿宋" w:eastAsia="仿宋" w:cs="仿宋"/>
          <w:b/>
          <w:bCs/>
          <w:color w:val="auto"/>
          <w:sz w:val="24"/>
          <w:szCs w:val="24"/>
          <w:highlight w:val="none"/>
        </w:rPr>
        <w:t>一.说明</w:t>
      </w:r>
      <w:bookmarkEnd w:id="526"/>
      <w:bookmarkEnd w:id="527"/>
      <w:bookmarkEnd w:id="528"/>
      <w:bookmarkEnd w:id="529"/>
      <w:bookmarkEnd w:id="530"/>
    </w:p>
    <w:p w14:paraId="557D8B5F">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31" w:name="_Toc26800362"/>
      <w:bookmarkStart w:id="532" w:name="_Toc49135220"/>
      <w:bookmarkStart w:id="533" w:name="_Toc43264532"/>
      <w:bookmarkStart w:id="534" w:name="_Toc61327423"/>
      <w:bookmarkStart w:id="535" w:name="_Toc37496242"/>
      <w:r>
        <w:rPr>
          <w:rFonts w:hint="eastAsia" w:ascii="仿宋" w:hAnsi="仿宋" w:eastAsia="仿宋" w:cs="仿宋"/>
          <w:b w:val="0"/>
          <w:color w:val="auto"/>
          <w:sz w:val="24"/>
          <w:szCs w:val="24"/>
          <w:highlight w:val="none"/>
        </w:rPr>
        <w:t>1.概述</w:t>
      </w:r>
      <w:bookmarkEnd w:id="531"/>
      <w:bookmarkEnd w:id="532"/>
      <w:bookmarkEnd w:id="533"/>
      <w:bookmarkEnd w:id="534"/>
      <w:bookmarkEnd w:id="535"/>
    </w:p>
    <w:p w14:paraId="1161820D">
      <w:pPr>
        <w:pStyle w:val="14"/>
        <w:pageBreakBefore w:val="0"/>
        <w:widowControl w:val="0"/>
        <w:kinsoku/>
        <w:wordWrap/>
        <w:overflowPunct/>
        <w:topLinePunct w:val="0"/>
        <w:autoSpaceDE/>
        <w:autoSpaceDN/>
        <w:bidi w:val="0"/>
        <w:spacing w:after="0" w:line="360" w:lineRule="auto"/>
        <w:ind w:left="0" w:leftChars="0" w:firstLine="523" w:firstLineChars="218"/>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在保证</w:t>
      </w:r>
      <w:r>
        <w:rPr>
          <w:rFonts w:hint="eastAsia" w:ascii="仿宋" w:hAnsi="仿宋" w:eastAsia="仿宋" w:cs="仿宋"/>
          <w:color w:val="auto"/>
          <w:sz w:val="24"/>
          <w:highlight w:val="none"/>
          <w:u w:val="single"/>
          <w:lang w:eastAsia="zh-CN"/>
        </w:rPr>
        <w:t>南海文化中心项目结算单审和双审初审服务</w:t>
      </w:r>
      <w:r>
        <w:rPr>
          <w:rFonts w:hint="eastAsia" w:ascii="仿宋" w:hAnsi="仿宋" w:eastAsia="仿宋" w:cs="仿宋"/>
          <w:color w:val="auto"/>
          <w:sz w:val="24"/>
          <w:highlight w:val="none"/>
        </w:rPr>
        <w:t>（以下简称项目）招标公开、公平、公正的基础上，结合项目的服务和商务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技术</w:t>
      </w:r>
      <w:r>
        <w:rPr>
          <w:rFonts w:hint="eastAsia" w:ascii="仿宋" w:hAnsi="仿宋" w:eastAsia="仿宋" w:cs="仿宋"/>
          <w:color w:val="auto"/>
          <w:sz w:val="24"/>
          <w:highlight w:val="none"/>
        </w:rPr>
        <w:t>需求，制定本评审细则，内容包括本次评标的评审过程和方法。</w:t>
      </w:r>
    </w:p>
    <w:p w14:paraId="5526D5F9">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36" w:name="_Toc37496243"/>
      <w:bookmarkStart w:id="537" w:name="_Toc43264533"/>
      <w:bookmarkStart w:id="538" w:name="_Toc26800363"/>
      <w:bookmarkStart w:id="539" w:name="_Toc49135221"/>
      <w:bookmarkStart w:id="540" w:name="_Toc61327424"/>
      <w:r>
        <w:rPr>
          <w:rFonts w:hint="eastAsia" w:ascii="仿宋" w:hAnsi="仿宋" w:eastAsia="仿宋" w:cs="仿宋"/>
          <w:b w:val="0"/>
          <w:color w:val="auto"/>
          <w:sz w:val="24"/>
          <w:szCs w:val="24"/>
          <w:highlight w:val="none"/>
        </w:rPr>
        <w:t>2.定义</w:t>
      </w:r>
      <w:bookmarkEnd w:id="536"/>
      <w:bookmarkEnd w:id="537"/>
      <w:bookmarkEnd w:id="538"/>
      <w:bookmarkEnd w:id="539"/>
      <w:bookmarkEnd w:id="540"/>
    </w:p>
    <w:p w14:paraId="6C843CAA">
      <w:pPr>
        <w:pageBreakBefore w:val="0"/>
        <w:widowControl w:val="0"/>
        <w:kinsoku/>
        <w:wordWrap/>
        <w:overflowPunct/>
        <w:topLinePunct w:val="0"/>
        <w:autoSpaceDE/>
        <w:autoSpaceDN/>
        <w:bidi w:val="0"/>
        <w:spacing w:line="360" w:lineRule="auto"/>
        <w:ind w:left="1388" w:hanging="1388" w:hangingChars="576"/>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采 购 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lang w:eastAsia="zh-CN"/>
        </w:rPr>
        <w:t>佛山市南海有为百越文化有限公司</w:t>
      </w:r>
      <w:r>
        <w:rPr>
          <w:rFonts w:hint="eastAsia" w:ascii="仿宋" w:hAnsi="仿宋" w:eastAsia="仿宋" w:cs="仿宋"/>
          <w:color w:val="auto"/>
          <w:sz w:val="24"/>
          <w:highlight w:val="none"/>
        </w:rPr>
        <w:t>。</w:t>
      </w:r>
    </w:p>
    <w:p w14:paraId="61A85304">
      <w:pPr>
        <w:pageBreakBefore w:val="0"/>
        <w:widowControl w:val="0"/>
        <w:kinsoku/>
        <w:wordWrap/>
        <w:overflowPunct/>
        <w:topLinePunct w:val="0"/>
        <w:autoSpaceDE/>
        <w:autoSpaceDN/>
        <w:bidi w:val="0"/>
        <w:spacing w:line="360" w:lineRule="auto"/>
        <w:ind w:left="1388" w:hanging="1388" w:hangingChars="576"/>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采购代理机构</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lang w:eastAsia="zh-CN"/>
        </w:rPr>
        <w:t>佛山市海纳建设工程咨询有限公司</w:t>
      </w:r>
      <w:r>
        <w:rPr>
          <w:rFonts w:hint="eastAsia" w:ascii="仿宋" w:hAnsi="仿宋" w:eastAsia="仿宋" w:cs="仿宋"/>
          <w:color w:val="auto"/>
          <w:sz w:val="24"/>
          <w:highlight w:val="none"/>
        </w:rPr>
        <w:t>。</w:t>
      </w:r>
    </w:p>
    <w:p w14:paraId="2DD72024">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41" w:name="_Toc26800364"/>
      <w:bookmarkStart w:id="542" w:name="_Toc43264534"/>
      <w:bookmarkStart w:id="543" w:name="_Toc37496244"/>
      <w:bookmarkStart w:id="544" w:name="_Toc61327425"/>
      <w:bookmarkStart w:id="545" w:name="_Toc49135222"/>
      <w:r>
        <w:rPr>
          <w:rFonts w:hint="eastAsia" w:ascii="仿宋" w:hAnsi="仿宋" w:eastAsia="仿宋" w:cs="仿宋"/>
          <w:b w:val="0"/>
          <w:color w:val="auto"/>
          <w:sz w:val="24"/>
          <w:szCs w:val="24"/>
          <w:highlight w:val="none"/>
        </w:rPr>
        <w:t>3.评标委员会组成</w:t>
      </w:r>
      <w:bookmarkEnd w:id="541"/>
      <w:bookmarkEnd w:id="542"/>
      <w:bookmarkEnd w:id="543"/>
      <w:bookmarkEnd w:id="544"/>
      <w:bookmarkEnd w:id="545"/>
    </w:p>
    <w:p w14:paraId="6903E765">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lang w:val="en-US" w:eastAsia="zh-CN"/>
        </w:rPr>
      </w:pPr>
      <w:bookmarkStart w:id="546" w:name="_Toc49135224"/>
      <w:bookmarkStart w:id="547" w:name="_Toc37496246"/>
      <w:bookmarkStart w:id="548" w:name="_Toc61327427"/>
      <w:bookmarkStart w:id="549" w:name="_Toc26800366"/>
      <w:bookmarkStart w:id="550" w:name="_Toc43264536"/>
      <w:r>
        <w:rPr>
          <w:rFonts w:hint="eastAsia" w:ascii="仿宋" w:hAnsi="仿宋" w:eastAsia="仿宋" w:cs="仿宋"/>
          <w:color w:val="auto"/>
          <w:sz w:val="24"/>
          <w:highlight w:val="none"/>
        </w:rPr>
        <w:t>评标由采购代理机构组织，全部评标过程由组建的评标委员会负责完成，评标委</w:t>
      </w:r>
      <w:r>
        <w:rPr>
          <w:rFonts w:hint="eastAsia" w:ascii="仿宋" w:hAnsi="仿宋" w:eastAsia="仿宋" w:cs="仿宋"/>
          <w:color w:val="auto"/>
          <w:sz w:val="24"/>
          <w:highlight w:val="none"/>
          <w:lang w:val="en-US" w:eastAsia="zh-CN"/>
        </w:rPr>
        <w:t>员会由五名专家库中随机抽取的评审专家组成。</w:t>
      </w:r>
    </w:p>
    <w:p w14:paraId="0BB22EDE">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二.评标须知</w:t>
      </w:r>
      <w:bookmarkEnd w:id="546"/>
      <w:bookmarkEnd w:id="547"/>
      <w:bookmarkEnd w:id="548"/>
      <w:bookmarkEnd w:id="549"/>
      <w:bookmarkEnd w:id="550"/>
    </w:p>
    <w:p w14:paraId="17233469">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51" w:name="_Toc26800368"/>
      <w:bookmarkStart w:id="552" w:name="_Toc37496248"/>
      <w:bookmarkStart w:id="553" w:name="_Toc43264538"/>
      <w:bookmarkStart w:id="554" w:name="_Toc61327429"/>
      <w:bookmarkStart w:id="555" w:name="_Toc49135226"/>
      <w:r>
        <w:rPr>
          <w:rFonts w:hint="eastAsia" w:ascii="仿宋" w:hAnsi="仿宋" w:eastAsia="仿宋" w:cs="仿宋"/>
          <w:b w:val="0"/>
          <w:color w:val="auto"/>
          <w:sz w:val="24"/>
          <w:szCs w:val="24"/>
          <w:highlight w:val="none"/>
        </w:rPr>
        <w:t>1.关于评标</w:t>
      </w:r>
      <w:bookmarkEnd w:id="551"/>
      <w:bookmarkEnd w:id="552"/>
      <w:bookmarkEnd w:id="553"/>
      <w:r>
        <w:rPr>
          <w:rFonts w:hint="eastAsia" w:ascii="仿宋" w:hAnsi="仿宋" w:eastAsia="仿宋" w:cs="仿宋"/>
          <w:b w:val="0"/>
          <w:color w:val="auto"/>
          <w:sz w:val="24"/>
          <w:szCs w:val="24"/>
          <w:highlight w:val="none"/>
        </w:rPr>
        <w:t>纪律</w:t>
      </w:r>
      <w:bookmarkEnd w:id="554"/>
      <w:bookmarkEnd w:id="555"/>
    </w:p>
    <w:p w14:paraId="081B43A7">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（1）评标委员会成员不得与任何投标人或者与招标结果有利害关系的人进行私下接触， 不得收受投标人、中介人、其他利害关系人的财物或者其他好处；</w:t>
      </w:r>
    </w:p>
    <w:p w14:paraId="219A73D7">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（2）评委应本着客观、公正的原则独立给出评价意见；</w:t>
      </w:r>
    </w:p>
    <w:p w14:paraId="62F230CE">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（3）评委之间不得相互串通进行评分；</w:t>
      </w:r>
    </w:p>
    <w:p w14:paraId="42622F96">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（4）评委不得试图影响其他评委的评价意见。</w:t>
      </w:r>
    </w:p>
    <w:p w14:paraId="006165B4">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56" w:name="_Toc49135227"/>
      <w:bookmarkStart w:id="557" w:name="_Toc61327430"/>
      <w:bookmarkStart w:id="558" w:name="_Toc26800369"/>
      <w:bookmarkStart w:id="559" w:name="_Toc43264539"/>
      <w:bookmarkStart w:id="560" w:name="_Toc37496249"/>
      <w:r>
        <w:rPr>
          <w:rFonts w:hint="eastAsia" w:ascii="仿宋" w:hAnsi="仿宋" w:eastAsia="仿宋" w:cs="仿宋"/>
          <w:b w:val="0"/>
          <w:color w:val="auto"/>
          <w:sz w:val="24"/>
          <w:szCs w:val="24"/>
          <w:highlight w:val="none"/>
        </w:rPr>
        <w:t>2.关于评标责任</w:t>
      </w:r>
      <w:bookmarkEnd w:id="556"/>
      <w:bookmarkEnd w:id="557"/>
    </w:p>
    <w:p w14:paraId="64DDEF0D">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（1）评委应在其书面评审意见上签字确认；</w:t>
      </w:r>
    </w:p>
    <w:p w14:paraId="052DABFC">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（2）评委对其所提出的评审意见承担个人责任。</w:t>
      </w:r>
    </w:p>
    <w:p w14:paraId="456B331B">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61" w:name="_Toc61327431"/>
      <w:bookmarkStart w:id="562" w:name="_Toc49135228"/>
      <w:r>
        <w:rPr>
          <w:rFonts w:hint="eastAsia" w:ascii="仿宋" w:hAnsi="仿宋" w:eastAsia="仿宋" w:cs="仿宋"/>
          <w:b w:val="0"/>
          <w:color w:val="auto"/>
          <w:sz w:val="24"/>
          <w:szCs w:val="24"/>
          <w:highlight w:val="none"/>
        </w:rPr>
        <w:t>3.</w:t>
      </w:r>
      <w:bookmarkEnd w:id="558"/>
      <w:bookmarkEnd w:id="559"/>
      <w:bookmarkEnd w:id="560"/>
      <w:r>
        <w:rPr>
          <w:rFonts w:hint="eastAsia" w:ascii="仿宋" w:hAnsi="仿宋" w:eastAsia="仿宋" w:cs="仿宋"/>
          <w:b w:val="0"/>
          <w:color w:val="auto"/>
          <w:sz w:val="24"/>
          <w:szCs w:val="24"/>
          <w:highlight w:val="none"/>
        </w:rPr>
        <w:t>关于回避</w:t>
      </w:r>
      <w:bookmarkEnd w:id="561"/>
      <w:bookmarkEnd w:id="562"/>
    </w:p>
    <w:p w14:paraId="53CF4203">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有下列情形之一的，不得担任评标委员会成员，如事先不知情的，应在宣读投标人名单及评标纪律后主动提出回避：</w:t>
      </w:r>
    </w:p>
    <w:p w14:paraId="1C590C16">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（1）是投标人或者投标人主要负责人的近亲属；</w:t>
      </w:r>
    </w:p>
    <w:p w14:paraId="6F7D1F38">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（2）是该投标人的项目主管部门或是该投标人的行政监督部门的人员；</w:t>
      </w:r>
    </w:p>
    <w:p w14:paraId="5365B654">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（3）与投标人有经济利益关系，可能影响对投标公正评审的；</w:t>
      </w:r>
    </w:p>
    <w:p w14:paraId="4747862C">
      <w:pPr>
        <w:pageBreakBefore w:val="0"/>
        <w:widowControl w:val="0"/>
        <w:kinsoku/>
        <w:wordWrap/>
        <w:overflowPunct/>
        <w:topLinePunct w:val="0"/>
        <w:autoSpaceDE/>
        <w:autoSpaceDN/>
        <w:bidi w:val="0"/>
        <w:spacing w:line="360" w:lineRule="auto"/>
        <w:ind w:left="600" w:hanging="600" w:hangingChars="25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（4）曾因在招标、评标以及其他与招标投标有关活动中从事违法行为而受过行政处罚或刑事处罚的。</w:t>
      </w:r>
    </w:p>
    <w:p w14:paraId="19151769">
      <w:pPr>
        <w:pStyle w:val="6"/>
        <w:pageBreakBefore w:val="0"/>
        <w:widowControl w:val="0"/>
        <w:kinsoku/>
        <w:wordWrap/>
        <w:overflowPunct/>
        <w:topLinePunct w:val="0"/>
        <w:autoSpaceDE/>
        <w:autoSpaceDN/>
        <w:bidi w:val="0"/>
        <w:spacing w:before="0" w:after="0" w:line="360" w:lineRule="auto"/>
        <w:textAlignment w:val="auto"/>
        <w:rPr>
          <w:rFonts w:hint="eastAsia" w:ascii="仿宋" w:hAnsi="仿宋" w:eastAsia="仿宋" w:cs="仿宋"/>
          <w:b w:val="0"/>
          <w:color w:val="auto"/>
          <w:sz w:val="24"/>
          <w:szCs w:val="24"/>
          <w:highlight w:val="none"/>
        </w:rPr>
      </w:pPr>
      <w:bookmarkStart w:id="563" w:name="_Toc61327432"/>
      <w:bookmarkStart w:id="564" w:name="_Toc49135229"/>
      <w:bookmarkStart w:id="565" w:name="_Toc43264540"/>
      <w:bookmarkStart w:id="566" w:name="_Toc26800370"/>
      <w:bookmarkStart w:id="567" w:name="_Toc37496250"/>
      <w:r>
        <w:rPr>
          <w:rFonts w:hint="eastAsia" w:ascii="仿宋" w:hAnsi="仿宋" w:eastAsia="仿宋" w:cs="仿宋"/>
          <w:b w:val="0"/>
          <w:color w:val="auto"/>
          <w:sz w:val="24"/>
          <w:szCs w:val="24"/>
          <w:highlight w:val="none"/>
        </w:rPr>
        <w:t>4.关于保密</w:t>
      </w:r>
      <w:bookmarkEnd w:id="563"/>
      <w:bookmarkEnd w:id="564"/>
    </w:p>
    <w:p w14:paraId="4BD71DEA">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评标委员会成员和与评标活动有关的工作人员不得透露对投标文件的评审和比较、中标候选人的推荐情况以及评标有关的其他情况。</w:t>
      </w:r>
    </w:p>
    <w:p w14:paraId="6BD52F4B">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前款所称与评标活动有关的工作人员，是指评标委员会成员以外的因参与评标监督工作或者事务性工作而知悉有关评标情况的所有人员。</w:t>
      </w:r>
    </w:p>
    <w:bookmarkEnd w:id="565"/>
    <w:bookmarkEnd w:id="566"/>
    <w:bookmarkEnd w:id="567"/>
    <w:p w14:paraId="26DDDB44">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rPr>
      </w:pPr>
      <w:bookmarkStart w:id="568" w:name="_Toc49135231"/>
      <w:bookmarkStart w:id="569" w:name="_Toc26800371"/>
      <w:bookmarkStart w:id="570" w:name="_Toc61327434"/>
      <w:bookmarkStart w:id="571" w:name="_Toc37496251"/>
      <w:bookmarkStart w:id="572" w:name="_Toc43264541"/>
      <w:r>
        <w:rPr>
          <w:rFonts w:hint="eastAsia" w:ascii="仿宋" w:hAnsi="仿宋" w:eastAsia="仿宋" w:cs="仿宋"/>
          <w:b/>
          <w:bCs/>
          <w:color w:val="auto"/>
          <w:sz w:val="24"/>
          <w:szCs w:val="24"/>
          <w:highlight w:val="none"/>
        </w:rPr>
        <w:t>三.评标原则</w:t>
      </w:r>
      <w:bookmarkEnd w:id="568"/>
      <w:bookmarkEnd w:id="569"/>
      <w:bookmarkEnd w:id="570"/>
      <w:bookmarkEnd w:id="571"/>
      <w:bookmarkEnd w:id="572"/>
    </w:p>
    <w:p w14:paraId="7196DFFB">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bookmarkStart w:id="573" w:name="_Toc61327435"/>
      <w:bookmarkStart w:id="574" w:name="_Toc26800372"/>
      <w:bookmarkStart w:id="575" w:name="_Toc26800383"/>
      <w:bookmarkStart w:id="576" w:name="_Toc37496252"/>
      <w:bookmarkStart w:id="577" w:name="_Toc43264542"/>
      <w:bookmarkStart w:id="578" w:name="_Toc61327446"/>
      <w:bookmarkStart w:id="579" w:name="_Toc49135243"/>
      <w:bookmarkStart w:id="580" w:name="_Toc37496263"/>
      <w:bookmarkStart w:id="581" w:name="_Toc49135232"/>
      <w:bookmarkStart w:id="582" w:name="_Toc43264553"/>
      <w:r>
        <w:rPr>
          <w:rFonts w:hint="eastAsia" w:ascii="仿宋" w:hAnsi="仿宋" w:eastAsia="仿宋" w:cs="仿宋"/>
          <w:color w:val="auto"/>
          <w:sz w:val="24"/>
          <w:highlight w:val="none"/>
        </w:rPr>
        <w:t>评标工作应遵循“公平、公正、科学、择优”的原则。</w:t>
      </w:r>
    </w:p>
    <w:p w14:paraId="1E3A2FB1">
      <w:pPr>
        <w:pageBreakBefore w:val="0"/>
        <w:widowControl w:val="0"/>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8AB9D67">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四.开标</w:t>
      </w:r>
    </w:p>
    <w:p w14:paraId="706F416F">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递交投标文件时间截止后，采购代理机构或采购人查询投标保证金的到</w:t>
      </w:r>
      <w:r>
        <w:rPr>
          <w:rFonts w:hint="eastAsia" w:ascii="仿宋" w:hAnsi="仿宋" w:eastAsia="仿宋" w:cs="仿宋"/>
          <w:color w:val="auto"/>
          <w:highlight w:val="none"/>
          <w:lang w:eastAsia="zh-CN"/>
        </w:rPr>
        <w:t>账</w:t>
      </w:r>
      <w:r>
        <w:rPr>
          <w:rFonts w:hint="eastAsia" w:ascii="仿宋" w:hAnsi="仿宋" w:eastAsia="仿宋" w:cs="仿宋"/>
          <w:color w:val="auto"/>
          <w:highlight w:val="none"/>
        </w:rPr>
        <w:t>情况。没有递交投标保证金的投标人，不接受其投标，原封退回其投标资料。</w:t>
      </w:r>
    </w:p>
    <w:p w14:paraId="4BC601CE">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采购人在《投标邀请函》中规定的日期、时间和地点组织公开开标。开标由采购人或者采购代理机构主持，邀请投标人参加。</w:t>
      </w:r>
    </w:p>
    <w:p w14:paraId="11526237">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开标时，应当由投标人或者其推选的代表检查投标文件的密封情况</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如无投标人参加开标会议，则由采购人或采购代理机构检查投标文件的密封情况</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；经确认无误后，由采购人或者采购代理机构工作人员当众拆封，宣布投标人名称、投标价格和采购文件规定的需要宣布的其他内容。</w:t>
      </w:r>
    </w:p>
    <w:p w14:paraId="1C9EA319">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投标人不足3家的，不开标，且将密封投标文件退还给投标人。</w:t>
      </w:r>
    </w:p>
    <w:p w14:paraId="5C02EF2E">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开标过程由采购人或者采购代理机构负责记录，由参加开标的各投标人代表和相关工作人员签字确认后随采购文件一并存档。</w:t>
      </w:r>
    </w:p>
    <w:p w14:paraId="5D82E0E4">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1AC8E63">
      <w:pPr>
        <w:pStyle w:val="100"/>
        <w:pageBreakBefore w:val="0"/>
        <w:widowControl w:val="0"/>
        <w:numPr>
          <w:ilvl w:val="0"/>
          <w:numId w:val="13"/>
        </w:numPr>
        <w:kinsoku/>
        <w:wordWrap/>
        <w:overflowPunct/>
        <w:topLinePunct w:val="0"/>
        <w:autoSpaceDE/>
        <w:autoSpaceDN/>
        <w:bidi w:val="0"/>
        <w:spacing w:before="0" w:after="0"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投标人未参加开标的，视同认可开标结果。</w:t>
      </w:r>
    </w:p>
    <w:p w14:paraId="6E8FC5FE">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五.资格审查</w:t>
      </w:r>
    </w:p>
    <w:p w14:paraId="7F1CD8F2">
      <w:pPr>
        <w:pageBreakBefore w:val="0"/>
        <w:widowControl w:val="0"/>
        <w:kinsoku/>
        <w:wordWrap/>
        <w:overflowPunct/>
        <w:topLinePunct w:val="0"/>
        <w:autoSpaceDE/>
        <w:autoSpaceDN/>
        <w:bidi w:val="0"/>
        <w:spacing w:line="360" w:lineRule="auto"/>
        <w:ind w:firstLine="523" w:firstLineChars="218"/>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依据法律法规和采购文件的规定，</w:t>
      </w:r>
      <w:r>
        <w:rPr>
          <w:rFonts w:hint="eastAsia" w:ascii="仿宋" w:hAnsi="仿宋" w:eastAsia="仿宋" w:cs="仿宋"/>
          <w:color w:val="auto"/>
          <w:sz w:val="24"/>
          <w:highlight w:val="none"/>
          <w:lang w:val="en-US" w:eastAsia="zh-CN"/>
        </w:rPr>
        <w:t>评标委员会对投标人的资格进行审查。</w:t>
      </w:r>
      <w:r>
        <w:rPr>
          <w:rFonts w:hint="eastAsia" w:ascii="仿宋" w:hAnsi="仿宋" w:eastAsia="仿宋" w:cs="仿宋"/>
          <w:color w:val="auto"/>
          <w:sz w:val="24"/>
          <w:highlight w:val="none"/>
        </w:rPr>
        <w:t>主要审查投标人资格是否符合采购文件要求，若合格的投标人不足3家的，不再进行下一阶段的评审工作。资格审查标准详见《附件1  资格审查标准》。</w:t>
      </w:r>
    </w:p>
    <w:p w14:paraId="27184C73">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六.符合性检查</w:t>
      </w:r>
    </w:p>
    <w:p w14:paraId="65BFFE49">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评标委员会对符合资格的投标人的投标文件进行符合性审查，以确定其是否满足采购文件的实质性要求。符合性审查标准详见《附件2 符合性审查标准》。</w:t>
      </w:r>
    </w:p>
    <w:p w14:paraId="76EC6BFB">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投标人存在下列情况之一的，投标无效:</w:t>
      </w:r>
    </w:p>
    <w:p w14:paraId="409404B7">
      <w:pPr>
        <w:pageBreakBefore w:val="0"/>
        <w:widowControl w:val="0"/>
        <w:numPr>
          <w:ilvl w:val="0"/>
          <w:numId w:val="15"/>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未按照采购文件的规定提交投标保证金的；</w:t>
      </w:r>
    </w:p>
    <w:p w14:paraId="194605CD">
      <w:pPr>
        <w:pageBreakBefore w:val="0"/>
        <w:widowControl w:val="0"/>
        <w:numPr>
          <w:ilvl w:val="0"/>
          <w:numId w:val="15"/>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投标文件未按采购文件要求签署、盖章的；</w:t>
      </w:r>
    </w:p>
    <w:p w14:paraId="5798A418">
      <w:pPr>
        <w:pageBreakBefore w:val="0"/>
        <w:widowControl w:val="0"/>
        <w:numPr>
          <w:ilvl w:val="0"/>
          <w:numId w:val="15"/>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报价超过采购文件中规定的预算金额或者最高限价的；</w:t>
      </w:r>
    </w:p>
    <w:p w14:paraId="3217F4B1">
      <w:pPr>
        <w:pageBreakBefore w:val="0"/>
        <w:widowControl w:val="0"/>
        <w:numPr>
          <w:ilvl w:val="0"/>
          <w:numId w:val="15"/>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投标文件含有采购人不能接受的附加条件的；</w:t>
      </w:r>
    </w:p>
    <w:p w14:paraId="2D591BF0">
      <w:pPr>
        <w:pageBreakBefore w:val="0"/>
        <w:widowControl w:val="0"/>
        <w:numPr>
          <w:ilvl w:val="0"/>
          <w:numId w:val="15"/>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法律、法规和采购文件规定的其他无效情形。</w:t>
      </w:r>
    </w:p>
    <w:p w14:paraId="1298325A">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认为投标人的报价明显低于其他通过符合性审查投标人的报价，有可能影响产品质量或者不能诚信履约的，应当要求投标人在合理的时间内提供书面说明，必要时提交相关证明材料；投标人不能证明其报价合理性的，评标委员会应当将其作为无效投标处理。</w:t>
      </w:r>
    </w:p>
    <w:p w14:paraId="3341B239">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在评标过程中发现投标人有下列情形之一的，视为投标人串通投标，其投标无效：</w:t>
      </w:r>
    </w:p>
    <w:p w14:paraId="57F5301E">
      <w:pPr>
        <w:pStyle w:val="17"/>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不同投标人的投标文件由同一单位或者个人编制；</w:t>
      </w:r>
    </w:p>
    <w:p w14:paraId="207603BB">
      <w:pPr>
        <w:pStyle w:val="17"/>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不同投标人委托同一单位或者个人办理投标事宜；</w:t>
      </w:r>
    </w:p>
    <w:p w14:paraId="3C11107C">
      <w:pPr>
        <w:pStyle w:val="17"/>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不同投标人的投标文件载明的项目管理成员或者联系人员为同一人；</w:t>
      </w:r>
    </w:p>
    <w:p w14:paraId="6532FCFB">
      <w:pPr>
        <w:pStyle w:val="17"/>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不同投标人的投标文件异常一致或者投标报价呈规律性差异；</w:t>
      </w:r>
    </w:p>
    <w:p w14:paraId="3FBD0005">
      <w:pPr>
        <w:pStyle w:val="17"/>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不同投标人的投标文件相互混装；</w:t>
      </w:r>
    </w:p>
    <w:p w14:paraId="6CFBC149">
      <w:pPr>
        <w:pStyle w:val="17"/>
        <w:pageBreakBefore w:val="0"/>
        <w:widowControl w:val="0"/>
        <w:numPr>
          <w:ilvl w:val="0"/>
          <w:numId w:val="16"/>
        </w:numPr>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不同投标人的投标保证金从同一单位或者个人的账户转出。</w:t>
      </w:r>
    </w:p>
    <w:p w14:paraId="7110CDA7">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对于投标文件中含义不明确、同类问题表述不一致或者有明显文字和计算错误的内容，评标委员会应当以书面形式要求投标人作出必要的澄清、说明或者补正。</w:t>
      </w:r>
    </w:p>
    <w:p w14:paraId="42AEEB9C">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投标人的澄清、说明或者补正应当采用书面形式，并加盖公章，或者由法定代表人或其授权的代表签字。投标人的澄清、说明或者补正不得超出投标文件的范围或者改变投标文件的实质性内容。</w:t>
      </w:r>
    </w:p>
    <w:p w14:paraId="729F8FA7">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投标文件报价出现前后不一致的，除采购文件另有规定外，按照下列规定修正：</w:t>
      </w:r>
    </w:p>
    <w:p w14:paraId="00A8EBDB">
      <w:pPr>
        <w:pageBreakBefore w:val="0"/>
        <w:widowControl w:val="0"/>
        <w:numPr>
          <w:ilvl w:val="0"/>
          <w:numId w:val="17"/>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投标文件中开标一览表（报价表）内容与投标文件中相应内容不一致的，以开标一览表（报价表）为准；</w:t>
      </w:r>
    </w:p>
    <w:p w14:paraId="060A3E55">
      <w:pPr>
        <w:pageBreakBefore w:val="0"/>
        <w:widowControl w:val="0"/>
        <w:numPr>
          <w:ilvl w:val="0"/>
          <w:numId w:val="17"/>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大写金额和小写金额不一致的，以大写金额为准；</w:t>
      </w:r>
    </w:p>
    <w:p w14:paraId="5A224AEA">
      <w:pPr>
        <w:pageBreakBefore w:val="0"/>
        <w:widowControl w:val="0"/>
        <w:numPr>
          <w:ilvl w:val="0"/>
          <w:numId w:val="17"/>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折率</w:t>
      </w:r>
      <w:r>
        <w:rPr>
          <w:rFonts w:hint="eastAsia" w:ascii="仿宋" w:hAnsi="仿宋" w:eastAsia="仿宋" w:cs="仿宋"/>
          <w:color w:val="auto"/>
          <w:sz w:val="24"/>
          <w:highlight w:val="none"/>
        </w:rPr>
        <w:t>与依据总价金额计算出的结果不一致的，以总价金额为准修正</w:t>
      </w:r>
      <w:r>
        <w:rPr>
          <w:rFonts w:hint="eastAsia" w:ascii="仿宋" w:hAnsi="仿宋" w:eastAsia="仿宋" w:cs="仿宋"/>
          <w:color w:val="auto"/>
          <w:sz w:val="24"/>
          <w:highlight w:val="none"/>
          <w:lang w:eastAsia="zh-CN"/>
        </w:rPr>
        <w:t>折率</w:t>
      </w:r>
      <w:r>
        <w:rPr>
          <w:rFonts w:hint="eastAsia" w:ascii="仿宋" w:hAnsi="仿宋" w:eastAsia="仿宋" w:cs="仿宋"/>
          <w:color w:val="auto"/>
          <w:sz w:val="24"/>
          <w:highlight w:val="none"/>
        </w:rPr>
        <w:t>，但总价金额小数点有明显错误的除外；如果总价金额小数点有明显错误，应以</w:t>
      </w:r>
      <w:r>
        <w:rPr>
          <w:rFonts w:hint="eastAsia" w:ascii="仿宋" w:hAnsi="仿宋" w:eastAsia="仿宋" w:cs="仿宋"/>
          <w:color w:val="auto"/>
          <w:sz w:val="24"/>
          <w:highlight w:val="none"/>
          <w:lang w:eastAsia="zh-CN"/>
        </w:rPr>
        <w:t>折率</w:t>
      </w:r>
      <w:r>
        <w:rPr>
          <w:rFonts w:hint="eastAsia" w:ascii="仿宋" w:hAnsi="仿宋" w:eastAsia="仿宋" w:cs="仿宋"/>
          <w:color w:val="auto"/>
          <w:sz w:val="24"/>
          <w:highlight w:val="none"/>
        </w:rPr>
        <w:t>为准修正总价金额。</w:t>
      </w:r>
    </w:p>
    <w:p w14:paraId="60A10ED0">
      <w:pPr>
        <w:pageBreakBefore w:val="0"/>
        <w:widowControl w:val="0"/>
        <w:numPr>
          <w:ilvl w:val="0"/>
          <w:numId w:val="17"/>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总价金额与按单价汇总金额不一致的，以单价金额计算结果为准。</w:t>
      </w:r>
    </w:p>
    <w:p w14:paraId="441053C9">
      <w:pPr>
        <w:pageBreakBefore w:val="0"/>
        <w:widowControl w:val="0"/>
        <w:kinsoku/>
        <w:wordWrap/>
        <w:overflowPunct/>
        <w:topLinePunct w:val="0"/>
        <w:autoSpaceDE/>
        <w:autoSpaceDN/>
        <w:bidi w:val="0"/>
        <w:spacing w:line="360" w:lineRule="auto"/>
        <w:ind w:firstLine="523" w:firstLineChars="218"/>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同时出现两种以上不一致的，按照前款规定的顺序修正。修正后的报价按照前款的规定经投标人确认后产生约束力，投标人不确认的，其投标无效。</w:t>
      </w:r>
    </w:p>
    <w:p w14:paraId="3972122E">
      <w:pPr>
        <w:pageBreakBefore w:val="0"/>
        <w:widowControl w:val="0"/>
        <w:numPr>
          <w:ilvl w:val="0"/>
          <w:numId w:val="14"/>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投标截止后投标人不足3家或者通过资格审查或符合性审查的投标人不足3家的，除采购任务取消情形外，按照以下方式处理：</w:t>
      </w:r>
    </w:p>
    <w:p w14:paraId="59DE95BC">
      <w:pPr>
        <w:pageBreakBefore w:val="0"/>
        <w:widowControl w:val="0"/>
        <w:numPr>
          <w:ilvl w:val="0"/>
          <w:numId w:val="18"/>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采购文件存在不合理条款或者招标程序不符合规定的，采购人、采购代理机构改正后依法重新招标；</w:t>
      </w:r>
    </w:p>
    <w:p w14:paraId="045D7147">
      <w:pPr>
        <w:pageBreakBefore w:val="0"/>
        <w:widowControl w:val="0"/>
        <w:numPr>
          <w:ilvl w:val="0"/>
          <w:numId w:val="18"/>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采购文件没有不合理条款、招标程序符合规定，需要采用其他采购方式采购的，采购人应当依法报</w:t>
      </w:r>
      <w:r>
        <w:rPr>
          <w:rFonts w:hint="eastAsia" w:ascii="仿宋" w:hAnsi="仿宋" w:eastAsia="仿宋" w:cs="仿宋"/>
          <w:color w:val="auto"/>
          <w:sz w:val="24"/>
          <w:highlight w:val="none"/>
          <w:lang w:eastAsia="zh-CN"/>
        </w:rPr>
        <w:t>上级主管部门</w:t>
      </w:r>
      <w:r>
        <w:rPr>
          <w:rFonts w:hint="eastAsia" w:ascii="仿宋" w:hAnsi="仿宋" w:eastAsia="仿宋" w:cs="仿宋"/>
          <w:color w:val="auto"/>
          <w:sz w:val="24"/>
          <w:highlight w:val="none"/>
        </w:rPr>
        <w:t>批准。</w:t>
      </w:r>
    </w:p>
    <w:p w14:paraId="2242B210">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七.综合比较与评价</w:t>
      </w:r>
    </w:p>
    <w:p w14:paraId="7ED1B707">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本次招标的评标方法采用综合评分法。</w:t>
      </w:r>
    </w:p>
    <w:p w14:paraId="23E77FE5">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评标委员会应当按照采购文件中规定的评标方法和标准，对符合性审查合格的投标文件进行服务和商务评估，综合比较与评价。</w:t>
      </w:r>
    </w:p>
    <w:p w14:paraId="66893C89">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评标时，评标委员会各成员应当独立对每个投标人的投标文件进行评价，并汇总每个投标人的得分。</w:t>
      </w:r>
    </w:p>
    <w:p w14:paraId="30A4448F">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分应考虑到投标文件与采购文件之间的细微偏差。细微偏差是指投标文件在实质上响应采购文件要求，但在个别地方存在漏项或者提供了不完整的信息和数据等情况，并且补正这些遗漏或者不完整不会对其他投标人造成不公平的结果。细微偏差不影响投标文件的有效性。在详细评审时对细微偏差作不利于该投标人的量化。</w:t>
      </w:r>
    </w:p>
    <w:p w14:paraId="05BB651C">
      <w:pPr>
        <w:pageBreakBefore w:val="0"/>
        <w:widowControl w:val="0"/>
        <w:kinsoku/>
        <w:wordWrap/>
        <w:overflowPunct/>
        <w:topLinePunct w:val="0"/>
        <w:autoSpaceDE/>
        <w:autoSpaceDN/>
        <w:bidi w:val="0"/>
        <w:spacing w:line="360" w:lineRule="auto"/>
        <w:ind w:firstLine="422" w:firstLineChars="175"/>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技术、商务、价格评分应分别考虑下列因素(计算得分均保留小数点后2位，第3位四舍五入)：</w:t>
      </w:r>
    </w:p>
    <w:tbl>
      <w:tblPr>
        <w:tblStyle w:val="41"/>
        <w:tblW w:w="7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1"/>
        <w:gridCol w:w="1748"/>
        <w:gridCol w:w="1706"/>
        <w:gridCol w:w="2226"/>
      </w:tblGrid>
      <w:tr w14:paraId="089A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91" w:type="dxa"/>
            <w:tcBorders>
              <w:top w:val="single" w:color="auto" w:sz="4" w:space="0"/>
              <w:left w:val="single" w:color="auto" w:sz="4" w:space="0"/>
              <w:bottom w:val="single" w:color="auto" w:sz="4" w:space="0"/>
              <w:right w:val="single" w:color="auto" w:sz="4" w:space="0"/>
            </w:tcBorders>
            <w:vAlign w:val="center"/>
          </w:tcPr>
          <w:p w14:paraId="63A27F79">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评分项目</w:t>
            </w:r>
          </w:p>
        </w:tc>
        <w:tc>
          <w:tcPr>
            <w:tcW w:w="1748" w:type="dxa"/>
            <w:tcBorders>
              <w:top w:val="single" w:color="auto" w:sz="4" w:space="0"/>
              <w:left w:val="single" w:color="auto" w:sz="4" w:space="0"/>
              <w:bottom w:val="single" w:color="auto" w:sz="4" w:space="0"/>
              <w:right w:val="single" w:color="auto" w:sz="4" w:space="0"/>
            </w:tcBorders>
            <w:vAlign w:val="center"/>
          </w:tcPr>
          <w:p w14:paraId="73211D93">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技术部分</w:t>
            </w:r>
          </w:p>
        </w:tc>
        <w:tc>
          <w:tcPr>
            <w:tcW w:w="1706" w:type="dxa"/>
            <w:tcBorders>
              <w:top w:val="single" w:color="auto" w:sz="4" w:space="0"/>
              <w:left w:val="single" w:color="auto" w:sz="4" w:space="0"/>
              <w:bottom w:val="single" w:color="auto" w:sz="4" w:space="0"/>
              <w:right w:val="single" w:color="auto" w:sz="4" w:space="0"/>
            </w:tcBorders>
            <w:vAlign w:val="center"/>
          </w:tcPr>
          <w:p w14:paraId="41230BC3">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商务部分</w:t>
            </w:r>
          </w:p>
        </w:tc>
        <w:tc>
          <w:tcPr>
            <w:tcW w:w="2226" w:type="dxa"/>
            <w:tcBorders>
              <w:top w:val="single" w:color="auto" w:sz="4" w:space="0"/>
              <w:left w:val="single" w:color="auto" w:sz="4" w:space="0"/>
              <w:bottom w:val="single" w:color="auto" w:sz="4" w:space="0"/>
              <w:right w:val="single" w:color="auto" w:sz="4" w:space="0"/>
            </w:tcBorders>
            <w:vAlign w:val="center"/>
          </w:tcPr>
          <w:p w14:paraId="764ACD28">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价格部分</w:t>
            </w:r>
          </w:p>
        </w:tc>
      </w:tr>
      <w:tr w14:paraId="3936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91" w:type="dxa"/>
            <w:tcBorders>
              <w:top w:val="single" w:color="auto" w:sz="4" w:space="0"/>
              <w:left w:val="single" w:color="auto" w:sz="4" w:space="0"/>
              <w:bottom w:val="single" w:color="auto" w:sz="4" w:space="0"/>
              <w:right w:val="single" w:color="auto" w:sz="4" w:space="0"/>
            </w:tcBorders>
            <w:vAlign w:val="center"/>
          </w:tcPr>
          <w:p w14:paraId="6D72947E">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分数分配</w:t>
            </w:r>
          </w:p>
        </w:tc>
        <w:tc>
          <w:tcPr>
            <w:tcW w:w="1748" w:type="dxa"/>
            <w:tcBorders>
              <w:top w:val="single" w:color="auto" w:sz="4" w:space="0"/>
              <w:left w:val="single" w:color="auto" w:sz="4" w:space="0"/>
              <w:bottom w:val="single" w:color="auto" w:sz="4" w:space="0"/>
              <w:right w:val="single" w:color="auto" w:sz="4" w:space="0"/>
            </w:tcBorders>
            <w:vAlign w:val="center"/>
          </w:tcPr>
          <w:p w14:paraId="602E4133">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50</w:t>
            </w:r>
          </w:p>
        </w:tc>
        <w:tc>
          <w:tcPr>
            <w:tcW w:w="1706" w:type="dxa"/>
            <w:tcBorders>
              <w:top w:val="single" w:color="auto" w:sz="4" w:space="0"/>
              <w:left w:val="single" w:color="auto" w:sz="4" w:space="0"/>
              <w:bottom w:val="single" w:color="auto" w:sz="4" w:space="0"/>
              <w:right w:val="single" w:color="auto" w:sz="4" w:space="0"/>
            </w:tcBorders>
            <w:vAlign w:val="center"/>
          </w:tcPr>
          <w:p w14:paraId="28BA1369">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30</w:t>
            </w:r>
          </w:p>
        </w:tc>
        <w:tc>
          <w:tcPr>
            <w:tcW w:w="2226" w:type="dxa"/>
            <w:tcBorders>
              <w:top w:val="single" w:color="auto" w:sz="4" w:space="0"/>
              <w:left w:val="single" w:color="auto" w:sz="4" w:space="0"/>
              <w:bottom w:val="single" w:color="auto" w:sz="4" w:space="0"/>
              <w:right w:val="single" w:color="auto" w:sz="4" w:space="0"/>
            </w:tcBorders>
            <w:vAlign w:val="center"/>
          </w:tcPr>
          <w:p w14:paraId="10ED9B88">
            <w:pPr>
              <w:pStyle w:val="2"/>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20</w:t>
            </w:r>
          </w:p>
        </w:tc>
      </w:tr>
    </w:tbl>
    <w:p w14:paraId="1B8B8508">
      <w:pPr>
        <w:pageBreakBefore w:val="0"/>
        <w:widowControl w:val="0"/>
        <w:kinsoku/>
        <w:wordWrap/>
        <w:overflowPunct/>
        <w:topLinePunct w:val="0"/>
        <w:autoSpaceDE/>
        <w:autoSpaceDN/>
        <w:bidi w:val="0"/>
        <w:spacing w:line="360" w:lineRule="auto"/>
        <w:ind w:firstLine="463" w:firstLineChars="192"/>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（1）技术评分（评审因素内容详见《附件3 技术部分评分标准》）</w:t>
      </w:r>
    </w:p>
    <w:p w14:paraId="44C55FD0">
      <w:pPr>
        <w:pageBreakBefore w:val="0"/>
        <w:widowControl w:val="0"/>
        <w:kinsoku/>
        <w:wordWrap/>
        <w:overflowPunct/>
        <w:topLinePunct w:val="0"/>
        <w:autoSpaceDE/>
        <w:autoSpaceDN/>
        <w:bidi w:val="0"/>
        <w:spacing w:line="360" w:lineRule="auto"/>
        <w:ind w:left="54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计算公式：技术部分得分</w:t>
      </w:r>
      <w:r>
        <w:rPr>
          <w:rFonts w:hint="eastAsia" w:ascii="仿宋" w:hAnsi="仿宋" w:eastAsia="仿宋" w:cs="仿宋"/>
          <w:color w:val="auto"/>
          <w:spacing w:val="-2"/>
          <w:kern w:val="0"/>
          <w:sz w:val="24"/>
          <w:highlight w:val="none"/>
        </w:rPr>
        <w:t>＝各评委评分总和÷评委人数</w:t>
      </w:r>
    </w:p>
    <w:p w14:paraId="13A4BB5E">
      <w:pPr>
        <w:pageBreakBefore w:val="0"/>
        <w:widowControl w:val="0"/>
        <w:kinsoku/>
        <w:wordWrap/>
        <w:overflowPunct/>
        <w:topLinePunct w:val="0"/>
        <w:autoSpaceDE/>
        <w:autoSpaceDN/>
        <w:bidi w:val="0"/>
        <w:spacing w:line="360" w:lineRule="auto"/>
        <w:ind w:firstLine="463" w:firstLineChars="192"/>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（2）商务评分（评审因素内容详见《附件4 商务部分评分标准》）</w:t>
      </w:r>
    </w:p>
    <w:p w14:paraId="5980E685">
      <w:pPr>
        <w:pageBreakBefore w:val="0"/>
        <w:widowControl w:val="0"/>
        <w:kinsoku/>
        <w:wordWrap/>
        <w:overflowPunct/>
        <w:topLinePunct w:val="0"/>
        <w:autoSpaceDE/>
        <w:autoSpaceDN/>
        <w:bidi w:val="0"/>
        <w:spacing w:line="360" w:lineRule="auto"/>
        <w:ind w:left="54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计算公式：商务部分得分</w:t>
      </w:r>
      <w:r>
        <w:rPr>
          <w:rFonts w:hint="eastAsia" w:ascii="仿宋" w:hAnsi="仿宋" w:eastAsia="仿宋" w:cs="仿宋"/>
          <w:color w:val="auto"/>
          <w:spacing w:val="-2"/>
          <w:kern w:val="0"/>
          <w:sz w:val="24"/>
          <w:highlight w:val="none"/>
        </w:rPr>
        <w:t>＝各评委评分总和÷评委人数</w:t>
      </w:r>
    </w:p>
    <w:p w14:paraId="3115DE0E">
      <w:pPr>
        <w:pageBreakBefore w:val="0"/>
        <w:widowControl w:val="0"/>
        <w:kinsoku/>
        <w:wordWrap/>
        <w:overflowPunct/>
        <w:topLinePunct w:val="0"/>
        <w:autoSpaceDE/>
        <w:autoSpaceDN/>
        <w:bidi w:val="0"/>
        <w:spacing w:line="360" w:lineRule="auto"/>
        <w:ind w:left="54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（3）价格评分</w:t>
      </w:r>
    </w:p>
    <w:p w14:paraId="4CE07988">
      <w:pPr>
        <w:pageBreakBefore w:val="0"/>
        <w:widowControl w:val="0"/>
        <w:kinsoku/>
        <w:wordWrap/>
        <w:overflowPunct/>
        <w:topLinePunct w:val="0"/>
        <w:autoSpaceDE/>
        <w:autoSpaceDN/>
        <w:bidi w:val="0"/>
        <w:spacing w:line="360" w:lineRule="auto"/>
        <w:ind w:firstLine="540" w:firstLineChars="225"/>
        <w:textAlignment w:val="auto"/>
        <w:rPr>
          <w:rFonts w:hint="eastAsia" w:ascii="仿宋" w:hAnsi="仿宋" w:eastAsia="仿宋" w:cs="仿宋"/>
          <w:color w:val="auto"/>
          <w:highlight w:val="none"/>
        </w:rPr>
      </w:pPr>
      <w:r>
        <w:rPr>
          <w:rFonts w:hint="eastAsia" w:ascii="仿宋" w:hAnsi="仿宋" w:eastAsia="仿宋" w:cs="仿宋"/>
          <w:color w:val="auto"/>
          <w:sz w:val="24"/>
          <w:highlight w:val="none"/>
        </w:rPr>
        <w:t>对符合要求的有效投标人，具体计算规则详见《价格部分评分标准》。</w:t>
      </w:r>
    </w:p>
    <w:p w14:paraId="16B27C75">
      <w:pPr>
        <w:pageBreakBefore w:val="0"/>
        <w:widowControl w:val="0"/>
        <w:kinsoku/>
        <w:wordWrap/>
        <w:overflowPunct/>
        <w:topLinePunct w:val="0"/>
        <w:autoSpaceDE/>
        <w:autoSpaceDN/>
        <w:bidi w:val="0"/>
        <w:spacing w:line="360" w:lineRule="auto"/>
        <w:ind w:left="539"/>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综合得分</w:t>
      </w:r>
      <w:r>
        <w:rPr>
          <w:rFonts w:hint="eastAsia" w:ascii="仿宋" w:hAnsi="仿宋" w:eastAsia="仿宋" w:cs="仿宋"/>
          <w:b/>
          <w:color w:val="auto"/>
          <w:spacing w:val="-2"/>
          <w:kern w:val="0"/>
          <w:sz w:val="24"/>
          <w:highlight w:val="none"/>
        </w:rPr>
        <w:t>＝</w:t>
      </w:r>
      <w:r>
        <w:rPr>
          <w:rFonts w:hint="eastAsia" w:ascii="仿宋" w:hAnsi="仿宋" w:eastAsia="仿宋" w:cs="仿宋"/>
          <w:b/>
          <w:color w:val="auto"/>
          <w:sz w:val="24"/>
          <w:highlight w:val="none"/>
        </w:rPr>
        <w:t>技术部分得分+商务部分得分+价格部分得分</w:t>
      </w:r>
    </w:p>
    <w:p w14:paraId="0D9B5B42">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结果按评审后综合得分由高到低顺序排列。综合得分相同的，按投标报价由低到高顺序排列。综合得分且投标报价相同的并列。投标文件满足采购文件全部实质性要求，且按照评审因素的量化指标评审得分最高的投标人为中标候选人。本项目只设一名中标候选人。中标候选人并列的，采取随机抽取的方式确定。</w:t>
      </w:r>
    </w:p>
    <w:p w14:paraId="331D01A7">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评标结果汇总完成后，除下列情形外，任何人不得修改评标结果：</w:t>
      </w:r>
    </w:p>
    <w:p w14:paraId="7DAAD26F">
      <w:pPr>
        <w:pageBreakBefore w:val="0"/>
        <w:widowControl w:val="0"/>
        <w:numPr>
          <w:ilvl w:val="0"/>
          <w:numId w:val="20"/>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分值汇总计算错误的；</w:t>
      </w:r>
    </w:p>
    <w:p w14:paraId="1B03567B">
      <w:pPr>
        <w:pageBreakBefore w:val="0"/>
        <w:widowControl w:val="0"/>
        <w:numPr>
          <w:ilvl w:val="0"/>
          <w:numId w:val="20"/>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分项评分超出评分标准范围的；</w:t>
      </w:r>
    </w:p>
    <w:p w14:paraId="7D325676">
      <w:pPr>
        <w:pageBreakBefore w:val="0"/>
        <w:widowControl w:val="0"/>
        <w:numPr>
          <w:ilvl w:val="0"/>
          <w:numId w:val="20"/>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评标委员会成员对客观评审因素评分不一致的；</w:t>
      </w:r>
    </w:p>
    <w:p w14:paraId="1D56C802">
      <w:pPr>
        <w:pageBreakBefore w:val="0"/>
        <w:widowControl w:val="0"/>
        <w:numPr>
          <w:ilvl w:val="0"/>
          <w:numId w:val="20"/>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经评标委员会认定评分畸高、畸低的。</w:t>
      </w:r>
    </w:p>
    <w:p w14:paraId="2CA45465">
      <w:pPr>
        <w:pageBreakBefore w:val="0"/>
        <w:widowControl w:val="0"/>
        <w:kinsoku/>
        <w:wordWrap/>
        <w:overflowPunct/>
        <w:topLinePunct w:val="0"/>
        <w:autoSpaceDE/>
        <w:autoSpaceDN/>
        <w:bidi w:val="0"/>
        <w:spacing w:line="360" w:lineRule="auto"/>
        <w:ind w:firstLine="523" w:firstLineChars="218"/>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w:t>
      </w:r>
    </w:p>
    <w:p w14:paraId="4D792600">
      <w:pPr>
        <w:pageBreakBefore w:val="0"/>
        <w:widowControl w:val="0"/>
        <w:kinsoku/>
        <w:wordWrap/>
        <w:overflowPunct/>
        <w:topLinePunct w:val="0"/>
        <w:autoSpaceDE/>
        <w:autoSpaceDN/>
        <w:bidi w:val="0"/>
        <w:spacing w:line="360" w:lineRule="auto"/>
        <w:ind w:firstLine="523" w:firstLineChars="218"/>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投标人对本条第一款情形提出质疑的，采购人或者采购代理机构可以组织原评标委员会进行重新评审。</w:t>
      </w:r>
    </w:p>
    <w:p w14:paraId="617CB585">
      <w:pPr>
        <w:pageBreakBefore w:val="0"/>
        <w:widowControl w:val="0"/>
        <w:numPr>
          <w:ilvl w:val="0"/>
          <w:numId w:val="19"/>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发现采购文件存在歧义、重大缺陷导致评标工作无法进行，或者采购文件内容违反国家有关强制性规定的，应当停止评标工作，与采购人或者采购代理机构沟通并作书面记录。采购人或者采购代理机构确认后，应当修改采购文件，重新组织采购活动。</w:t>
      </w:r>
    </w:p>
    <w:p w14:paraId="08815AC1">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八.定标和授标</w:t>
      </w:r>
    </w:p>
    <w:p w14:paraId="673E226D">
      <w:pPr>
        <w:pageBreakBefore w:val="0"/>
        <w:widowControl w:val="0"/>
        <w:numPr>
          <w:ilvl w:val="0"/>
          <w:numId w:val="21"/>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采购代理机构应当在评标结束后2个工作日内将评标报告送采购人。</w:t>
      </w:r>
    </w:p>
    <w:p w14:paraId="5324CCA7">
      <w:pPr>
        <w:pageBreakBefore w:val="0"/>
        <w:widowControl w:val="0"/>
        <w:numPr>
          <w:ilvl w:val="0"/>
          <w:numId w:val="21"/>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采购人应当自收到评标报告之日起５个工作日内，在评标报告确定的中标候选人名单中按顺序确定中标人。</w:t>
      </w:r>
    </w:p>
    <w:p w14:paraId="0CD132F2">
      <w:pPr>
        <w:pageBreakBefore w:val="0"/>
        <w:widowControl w:val="0"/>
        <w:numPr>
          <w:ilvl w:val="0"/>
          <w:numId w:val="21"/>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采购人在收到评标报告5个工作日内未按评标报告推荐的中标候选人顺序确定中标人，又不能说明合法理由的，视同按评标报告推荐的顺序确定排名第一的中标候选人为中标人。</w:t>
      </w:r>
    </w:p>
    <w:p w14:paraId="207797A2">
      <w:pPr>
        <w:pageBreakBefore w:val="0"/>
        <w:widowControl w:val="0"/>
        <w:numPr>
          <w:ilvl w:val="0"/>
          <w:numId w:val="21"/>
        </w:numPr>
        <w:kinsoku/>
        <w:wordWrap/>
        <w:overflowPunct/>
        <w:topLinePunct w:val="0"/>
        <w:autoSpaceDE/>
        <w:autoSpaceDN/>
        <w:bidi w:val="0"/>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采购人或者采购代理机构应当自中标人确定之日起2个工作日内，发出中标通知书，在指定的媒体上公告中标结果，采购文件应当随中标结果同时公告。</w:t>
      </w:r>
    </w:p>
    <w:p w14:paraId="4E7810CB">
      <w:pPr>
        <w:pStyle w:val="5"/>
        <w:keepNext/>
        <w:keepLines/>
        <w:pageBreakBefore w:val="0"/>
        <w:widowControl w:val="0"/>
        <w:kinsoku/>
        <w:wordWrap/>
        <w:overflowPunct/>
        <w:topLinePunct w:val="0"/>
        <w:autoSpaceDE/>
        <w:autoSpaceDN/>
        <w:bidi w:val="0"/>
        <w:adjustRightInd/>
        <w:snapToGrid/>
        <w:spacing w:before="143" w:beforeLines="50" w:after="143" w:afterLines="50" w:line="360" w:lineRule="auto"/>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九.附件</w:t>
      </w:r>
    </w:p>
    <w:p w14:paraId="721EF656">
      <w:pPr>
        <w:spacing w:line="360" w:lineRule="auto"/>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附件1    资格审查标准</w:t>
      </w:r>
    </w:p>
    <w:p w14:paraId="0F550B9B">
      <w:pPr>
        <w:spacing w:line="360" w:lineRule="auto"/>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附件2    符合性审查标准</w:t>
      </w:r>
    </w:p>
    <w:p w14:paraId="3FE66119">
      <w:pPr>
        <w:spacing w:line="360" w:lineRule="auto"/>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附件3    技术部分评分标准</w:t>
      </w:r>
    </w:p>
    <w:p w14:paraId="13485413">
      <w:pPr>
        <w:spacing w:line="360" w:lineRule="auto"/>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附件4    商务部分评分标准</w:t>
      </w:r>
    </w:p>
    <w:p w14:paraId="3E38CC2B">
      <w:pPr>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附件5    价格部分评分标准</w:t>
      </w:r>
    </w:p>
    <w:p w14:paraId="3BE15B70">
      <w:pPr>
        <w:rPr>
          <w:rFonts w:hint="eastAsia" w:ascii="仿宋" w:hAnsi="仿宋" w:eastAsia="仿宋" w:cs="仿宋"/>
          <w:b/>
          <w:color w:val="auto"/>
          <w:sz w:val="24"/>
          <w:highlight w:val="none"/>
        </w:rPr>
      </w:pPr>
      <w:r>
        <w:rPr>
          <w:rFonts w:hint="eastAsia" w:ascii="仿宋" w:hAnsi="仿宋" w:eastAsia="仿宋" w:cs="仿宋"/>
          <w:b/>
          <w:bCs/>
          <w:color w:val="auto"/>
          <w:sz w:val="28"/>
          <w:szCs w:val="28"/>
          <w:highlight w:val="none"/>
        </w:rPr>
        <w:br w:type="page"/>
      </w:r>
      <w:r>
        <w:rPr>
          <w:rFonts w:hint="eastAsia" w:ascii="仿宋" w:hAnsi="仿宋" w:eastAsia="仿宋" w:cs="仿宋"/>
          <w:b/>
          <w:bCs/>
          <w:color w:val="auto"/>
          <w:sz w:val="28"/>
          <w:szCs w:val="28"/>
          <w:highlight w:val="none"/>
        </w:rPr>
        <w:t>附件1资格审查标准</w:t>
      </w:r>
    </w:p>
    <w:tbl>
      <w:tblPr>
        <w:tblStyle w:val="41"/>
        <w:tblW w:w="921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930"/>
        <w:gridCol w:w="6282"/>
      </w:tblGrid>
      <w:tr w14:paraId="3B404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930" w:type="dxa"/>
            <w:vAlign w:val="center"/>
          </w:tcPr>
          <w:p w14:paraId="48FBBF00">
            <w:pPr>
              <w:spacing w:line="24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评审内容</w:t>
            </w:r>
          </w:p>
        </w:tc>
        <w:tc>
          <w:tcPr>
            <w:tcW w:w="6282" w:type="dxa"/>
            <w:vAlign w:val="center"/>
          </w:tcPr>
          <w:p w14:paraId="592304FA">
            <w:pPr>
              <w:spacing w:line="24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采购文件要求</w:t>
            </w:r>
          </w:p>
        </w:tc>
      </w:tr>
      <w:tr w14:paraId="5C58E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930" w:type="dxa"/>
            <w:vAlign w:val="center"/>
          </w:tcPr>
          <w:p w14:paraId="1BAE2BB9">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准入条件         </w:t>
            </w:r>
          </w:p>
          <w:p w14:paraId="45E10CA5">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(关于资格的声明函)</w:t>
            </w:r>
          </w:p>
        </w:tc>
        <w:tc>
          <w:tcPr>
            <w:tcW w:w="6282" w:type="dxa"/>
            <w:vAlign w:val="center"/>
          </w:tcPr>
          <w:p w14:paraId="54A2BE9C">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1.1满足以下规定的条件：</w:t>
            </w:r>
          </w:p>
          <w:p w14:paraId="237C0E6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（1）具有独立承担民事责任的能力；</w:t>
            </w:r>
          </w:p>
          <w:p w14:paraId="30CDA3C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（2）具有良好的商业信誉和健全的财务会计制度；</w:t>
            </w:r>
          </w:p>
          <w:p w14:paraId="3DD592FF">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（3）具有履行合同所必需的设备和专业技术能力；</w:t>
            </w:r>
          </w:p>
          <w:p w14:paraId="7763E775">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（4）有依法缴纳税收和社会保障资金的良好记录；</w:t>
            </w:r>
          </w:p>
          <w:p w14:paraId="581CA264">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（5）参加采购活动前三年内，在经营活动中无重大违法记录；</w:t>
            </w:r>
          </w:p>
          <w:p w14:paraId="785EB93F">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（6）法律、行政法规规定的其他条件。</w:t>
            </w:r>
          </w:p>
          <w:p w14:paraId="058CB96C">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1.2落实政策需满足的资格要求：</w:t>
            </w:r>
          </w:p>
          <w:p w14:paraId="2F580375">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投标人应未被列入“信用中国”网站（www.creditchina.gov.cn）“失信被执行人或重大税收违法失信主体”记录名单。（以资格审查期间查询投标人在“信用中国”网站相关主体信用记录结果为准。如相关失信记录已失效，投标人需在资格审查资料中附相关证明资料。）</w:t>
            </w:r>
          </w:p>
          <w:p w14:paraId="29E80C5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（2）单位负责人为同一人或者存在直接控股、管理关系的不同供应商，不得同时参加本采购项目投标。</w:t>
            </w:r>
          </w:p>
          <w:p w14:paraId="327D17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（3）为采购项目提供整体设计、规范编制或者项目管理、监理、检测等服务的供应商，不得再参加该采购项目的其他采购活动。</w:t>
            </w:r>
          </w:p>
          <w:p w14:paraId="153DFBF6">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（4）投标人为“南海文化中心项目”的实施单位的（包括勘察、设计、设计咨询、施工图审查、施工、监理等单位），不得参加本采购项目投标。</w:t>
            </w:r>
          </w:p>
          <w:p w14:paraId="3984753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（5）投标人参与过“南海文化中心项目”其他阶段造价咨询服务的（包括预算编制、预算审核、全过程造价咨询等），不得参加本采购项目投标。</w:t>
            </w:r>
          </w:p>
          <w:p w14:paraId="246AAB3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auto"/>
              <w:rPr>
                <w:rFonts w:hint="eastAsia" w:ascii="仿宋" w:hAnsi="仿宋" w:eastAsia="仿宋" w:cs="仿宋"/>
                <w:color w:val="auto"/>
                <w:highlight w:val="none"/>
                <w:lang w:val="en-US" w:eastAsia="zh-CN"/>
              </w:rPr>
            </w:pPr>
            <w:r>
              <w:rPr>
                <w:rFonts w:hint="eastAsia" w:ascii="仿宋" w:hAnsi="仿宋" w:eastAsia="仿宋" w:cs="仿宋"/>
                <w:color w:val="auto"/>
                <w:kern w:val="0"/>
                <w:sz w:val="24"/>
                <w:szCs w:val="24"/>
                <w:highlight w:val="none"/>
                <w:lang w:val="en-US" w:eastAsia="zh-CN" w:bidi="ar-SA"/>
              </w:rPr>
              <w:t>1.3本项目不接受联合体投标。</w:t>
            </w:r>
          </w:p>
        </w:tc>
      </w:tr>
    </w:tbl>
    <w:p w14:paraId="7B145A9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注：所提交的资格证明材料必须满足“关于资格的声明函”的要求。</w:t>
      </w:r>
    </w:p>
    <w:p w14:paraId="70707F27">
      <w:pPr>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7EDB9D60">
      <w:pPr>
        <w:pStyle w:val="6"/>
        <w:spacing w:line="240" w:lineRule="auto"/>
        <w:rPr>
          <w:rFonts w:hint="eastAsia" w:ascii="仿宋" w:hAnsi="仿宋" w:eastAsia="仿宋" w:cs="仿宋"/>
          <w:color w:val="auto"/>
          <w:highlight w:val="none"/>
        </w:rPr>
      </w:pPr>
      <w:r>
        <w:rPr>
          <w:rFonts w:hint="eastAsia" w:ascii="仿宋" w:hAnsi="仿宋" w:eastAsia="仿宋" w:cs="仿宋"/>
          <w:color w:val="auto"/>
          <w:highlight w:val="none"/>
        </w:rPr>
        <w:t>附件2 符合性审查标准</w:t>
      </w:r>
    </w:p>
    <w:tbl>
      <w:tblPr>
        <w:tblStyle w:val="41"/>
        <w:tblW w:w="920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778"/>
        <w:gridCol w:w="6430"/>
      </w:tblGrid>
      <w:tr w14:paraId="363CC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2778" w:type="dxa"/>
            <w:vAlign w:val="center"/>
          </w:tcPr>
          <w:p w14:paraId="4B565F07">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评审内容</w:t>
            </w:r>
          </w:p>
        </w:tc>
        <w:tc>
          <w:tcPr>
            <w:tcW w:w="6430" w:type="dxa"/>
            <w:vAlign w:val="center"/>
          </w:tcPr>
          <w:p w14:paraId="1BA192F3">
            <w:pPr>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采购文件要求</w:t>
            </w:r>
          </w:p>
        </w:tc>
      </w:tr>
      <w:tr w14:paraId="4EA32A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778" w:type="dxa"/>
            <w:vAlign w:val="center"/>
          </w:tcPr>
          <w:p w14:paraId="7DEB17A5">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投标函</w:t>
            </w:r>
          </w:p>
        </w:tc>
        <w:tc>
          <w:tcPr>
            <w:tcW w:w="6430" w:type="dxa"/>
            <w:vAlign w:val="center"/>
          </w:tcPr>
          <w:p w14:paraId="6E31A9B0">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按对应格式文件填写、签署、盖章(原件)</w:t>
            </w:r>
          </w:p>
        </w:tc>
      </w:tr>
      <w:tr w14:paraId="6410F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778" w:type="dxa"/>
            <w:vAlign w:val="center"/>
          </w:tcPr>
          <w:p w14:paraId="1496E724">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法定代表人/负责人资格证明书</w:t>
            </w:r>
            <w:r>
              <w:rPr>
                <w:rFonts w:hint="eastAsia" w:ascii="仿宋" w:hAnsi="仿宋" w:eastAsia="仿宋" w:cs="仿宋"/>
                <w:color w:val="auto"/>
                <w:sz w:val="24"/>
                <w:szCs w:val="24"/>
                <w:highlight w:val="none"/>
                <w:lang w:val="en-US" w:eastAsia="zh-CN"/>
              </w:rPr>
              <w:t>以及法定代表人/负责人授权委托书（如有）</w:t>
            </w:r>
          </w:p>
        </w:tc>
        <w:tc>
          <w:tcPr>
            <w:tcW w:w="6430" w:type="dxa"/>
            <w:vAlign w:val="center"/>
          </w:tcPr>
          <w:p w14:paraId="2533455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按对应格式文件签署、盖章(原件)</w:t>
            </w:r>
          </w:p>
        </w:tc>
      </w:tr>
      <w:tr w14:paraId="4767A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778" w:type="dxa"/>
            <w:vAlign w:val="center"/>
          </w:tcPr>
          <w:p w14:paraId="312EBF11">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投标保证金</w:t>
            </w:r>
          </w:p>
        </w:tc>
        <w:tc>
          <w:tcPr>
            <w:tcW w:w="6430" w:type="dxa"/>
            <w:vAlign w:val="center"/>
          </w:tcPr>
          <w:p w14:paraId="567ABC74">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金额、内容、有效期符合采购文件规定</w:t>
            </w:r>
          </w:p>
        </w:tc>
      </w:tr>
      <w:tr w14:paraId="6B63D9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778" w:type="dxa"/>
            <w:vAlign w:val="center"/>
          </w:tcPr>
          <w:p w14:paraId="4EA96AAB">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技术要求</w:t>
            </w:r>
          </w:p>
        </w:tc>
        <w:tc>
          <w:tcPr>
            <w:tcW w:w="6430" w:type="dxa"/>
            <w:vAlign w:val="center"/>
          </w:tcPr>
          <w:p w14:paraId="02049952">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实质性响应采购文件中的技术要求的不可负偏离条款</w:t>
            </w:r>
          </w:p>
        </w:tc>
      </w:tr>
      <w:tr w14:paraId="5A1C6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2778" w:type="dxa"/>
            <w:vAlign w:val="center"/>
          </w:tcPr>
          <w:p w14:paraId="682F4F12">
            <w:pPr>
              <w:spacing w:line="360" w:lineRule="auto"/>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商务要求</w:t>
            </w:r>
          </w:p>
        </w:tc>
        <w:tc>
          <w:tcPr>
            <w:tcW w:w="6430" w:type="dxa"/>
            <w:vAlign w:val="center"/>
          </w:tcPr>
          <w:p w14:paraId="613295A0">
            <w:pPr>
              <w:spacing w:line="360" w:lineRule="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实质性响应采购文件中的商务要求的不可负偏离条款</w:t>
            </w:r>
          </w:p>
        </w:tc>
      </w:tr>
      <w:tr w14:paraId="3E2E2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778" w:type="dxa"/>
            <w:vAlign w:val="center"/>
          </w:tcPr>
          <w:p w14:paraId="4C0E6A5B">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报价要求</w:t>
            </w:r>
          </w:p>
        </w:tc>
        <w:tc>
          <w:tcPr>
            <w:tcW w:w="6430" w:type="dxa"/>
            <w:vAlign w:val="center"/>
          </w:tcPr>
          <w:p w14:paraId="5977BFC8">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本项目只允许投标人有一个投标方案，每个投标人只能有一个报价。投标报价不得超过采购文件中规定的最高限价。</w:t>
            </w:r>
          </w:p>
        </w:tc>
      </w:tr>
      <w:tr w14:paraId="785C3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778" w:type="dxa"/>
            <w:vAlign w:val="center"/>
          </w:tcPr>
          <w:p w14:paraId="2AC9C1C1">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其他</w:t>
            </w:r>
          </w:p>
        </w:tc>
        <w:tc>
          <w:tcPr>
            <w:tcW w:w="6430" w:type="dxa"/>
            <w:vAlign w:val="center"/>
          </w:tcPr>
          <w:p w14:paraId="0E8C49EE">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法律、法规和采购文件规定的其他无效情形。</w:t>
            </w:r>
          </w:p>
        </w:tc>
      </w:tr>
    </w:tbl>
    <w:p w14:paraId="4AA0C1BD">
      <w:pPr>
        <w:rPr>
          <w:rFonts w:hint="eastAsia" w:ascii="仿宋" w:hAnsi="仿宋" w:eastAsia="仿宋" w:cs="仿宋"/>
          <w:b/>
          <w:color w:val="auto"/>
          <w:sz w:val="24"/>
          <w:highlight w:val="none"/>
        </w:rPr>
      </w:pPr>
      <w:r>
        <w:rPr>
          <w:rFonts w:hint="eastAsia" w:ascii="仿宋" w:hAnsi="仿宋" w:eastAsia="仿宋" w:cs="仿宋"/>
          <w:color w:val="auto"/>
          <w:highlight w:val="none"/>
        </w:rPr>
        <w:br w:type="page"/>
      </w:r>
    </w:p>
    <w:p w14:paraId="40F10439">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附件3技术部分评分标准</w:t>
      </w:r>
    </w:p>
    <w:p w14:paraId="6FDBABF4">
      <w:pPr>
        <w:pStyle w:val="49"/>
        <w:rPr>
          <w:rFonts w:hint="eastAsia" w:ascii="仿宋" w:hAnsi="仿宋" w:eastAsia="仿宋" w:cs="仿宋"/>
          <w:color w:val="auto"/>
          <w:highlight w:val="none"/>
        </w:rPr>
      </w:pPr>
    </w:p>
    <w:tbl>
      <w:tblPr>
        <w:tblStyle w:val="41"/>
        <w:tblW w:w="9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60"/>
        <w:gridCol w:w="1376"/>
        <w:gridCol w:w="685"/>
        <w:gridCol w:w="6258"/>
      </w:tblGrid>
      <w:tr w14:paraId="3C98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blHeader/>
          <w:jc w:val="center"/>
        </w:trPr>
        <w:tc>
          <w:tcPr>
            <w:tcW w:w="660" w:type="dxa"/>
            <w:shd w:val="clear" w:color="auto" w:fill="BEBEBE"/>
            <w:noWrap w:val="0"/>
            <w:vAlign w:val="center"/>
          </w:tcPr>
          <w:p w14:paraId="0CB5D2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376" w:type="dxa"/>
            <w:shd w:val="clear" w:color="auto" w:fill="BEBEBE"/>
            <w:noWrap w:val="0"/>
            <w:vAlign w:val="center"/>
          </w:tcPr>
          <w:p w14:paraId="016C67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评审分项</w:t>
            </w:r>
          </w:p>
        </w:tc>
        <w:tc>
          <w:tcPr>
            <w:tcW w:w="685" w:type="dxa"/>
            <w:shd w:val="clear" w:color="auto" w:fill="BEBEBE"/>
            <w:noWrap w:val="0"/>
            <w:vAlign w:val="center"/>
          </w:tcPr>
          <w:p w14:paraId="091C09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6258" w:type="dxa"/>
            <w:shd w:val="clear" w:color="auto" w:fill="BEBEBE"/>
            <w:noWrap w:val="0"/>
            <w:vAlign w:val="center"/>
          </w:tcPr>
          <w:p w14:paraId="73A8FE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评审内容</w:t>
            </w:r>
          </w:p>
        </w:tc>
      </w:tr>
      <w:tr w14:paraId="0829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0" w:hRule="atLeast"/>
          <w:jc w:val="center"/>
        </w:trPr>
        <w:tc>
          <w:tcPr>
            <w:tcW w:w="660" w:type="dxa"/>
            <w:noWrap w:val="0"/>
            <w:vAlign w:val="center"/>
          </w:tcPr>
          <w:p w14:paraId="0C0012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1376" w:type="dxa"/>
            <w:noWrap w:val="0"/>
            <w:vAlign w:val="center"/>
          </w:tcPr>
          <w:p w14:paraId="31A429A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对本项目的认识和理解</w:t>
            </w:r>
          </w:p>
        </w:tc>
        <w:tc>
          <w:tcPr>
            <w:tcW w:w="685" w:type="dxa"/>
            <w:noWrap w:val="0"/>
            <w:vAlign w:val="center"/>
          </w:tcPr>
          <w:p w14:paraId="4FD1B1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10分</w:t>
            </w:r>
          </w:p>
        </w:tc>
        <w:tc>
          <w:tcPr>
            <w:tcW w:w="6258" w:type="dxa"/>
            <w:noWrap w:val="0"/>
            <w:vAlign w:val="top"/>
          </w:tcPr>
          <w:p w14:paraId="4C8A89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根据投标人对本项目咨询服务的认识和理解进行综合评价： </w:t>
            </w:r>
          </w:p>
          <w:p w14:paraId="6F3FC4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【优秀】对本项目的认识透彻、理解到位的，得10分；</w:t>
            </w:r>
          </w:p>
          <w:p w14:paraId="7AE9FD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【一般】对本项目的认识、理解一般的，得9.5分；</w:t>
            </w:r>
          </w:p>
          <w:p w14:paraId="29999D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注：未提供任何描述的，得0分。</w:t>
            </w:r>
          </w:p>
        </w:tc>
      </w:tr>
      <w:tr w14:paraId="3FBA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9" w:hRule="atLeast"/>
          <w:jc w:val="center"/>
        </w:trPr>
        <w:tc>
          <w:tcPr>
            <w:tcW w:w="660" w:type="dxa"/>
            <w:noWrap w:val="0"/>
            <w:vAlign w:val="center"/>
          </w:tcPr>
          <w:p w14:paraId="19992D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p>
        </w:tc>
        <w:tc>
          <w:tcPr>
            <w:tcW w:w="1376" w:type="dxa"/>
            <w:noWrap w:val="0"/>
            <w:vAlign w:val="center"/>
          </w:tcPr>
          <w:p w14:paraId="3E3DA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kern w:val="2"/>
                <w:sz w:val="24"/>
                <w:szCs w:val="24"/>
                <w:highlight w:val="none"/>
                <w:lang w:val="en-US" w:eastAsia="zh-CN" w:bidi="ar-SA"/>
              </w:rPr>
              <w:t>质量控制保证措施</w:t>
            </w:r>
          </w:p>
        </w:tc>
        <w:tc>
          <w:tcPr>
            <w:tcW w:w="685" w:type="dxa"/>
            <w:noWrap w:val="0"/>
            <w:vAlign w:val="center"/>
          </w:tcPr>
          <w:p w14:paraId="080596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10分</w:t>
            </w:r>
          </w:p>
        </w:tc>
        <w:tc>
          <w:tcPr>
            <w:tcW w:w="6258" w:type="dxa"/>
            <w:noWrap w:val="0"/>
            <w:vAlign w:val="top"/>
          </w:tcPr>
          <w:p w14:paraId="26156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根据投标人提供的本项目质量控制保证措施进行综合评价：</w:t>
            </w:r>
          </w:p>
          <w:p w14:paraId="51AC8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【优秀】本项目质量控制保证措施合理且可行性高的，得10分；</w:t>
            </w:r>
          </w:p>
          <w:p w14:paraId="7853D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【一般】本项目质量控制保证措施基本合理的、具有一定的可行性的，得9.5分；</w:t>
            </w:r>
          </w:p>
          <w:p w14:paraId="1F797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注：未提供任何描述的，得0分。</w:t>
            </w:r>
          </w:p>
        </w:tc>
      </w:tr>
      <w:tr w14:paraId="5722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60" w:type="dxa"/>
            <w:noWrap w:val="0"/>
            <w:vAlign w:val="center"/>
          </w:tcPr>
          <w:p w14:paraId="1E751B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p>
        </w:tc>
        <w:tc>
          <w:tcPr>
            <w:tcW w:w="1376" w:type="dxa"/>
            <w:noWrap w:val="0"/>
            <w:vAlign w:val="center"/>
          </w:tcPr>
          <w:p w14:paraId="0A3229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进度保证措施</w:t>
            </w:r>
          </w:p>
        </w:tc>
        <w:tc>
          <w:tcPr>
            <w:tcW w:w="685" w:type="dxa"/>
            <w:noWrap w:val="0"/>
            <w:vAlign w:val="center"/>
          </w:tcPr>
          <w:p w14:paraId="1E53FC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10分</w:t>
            </w:r>
          </w:p>
        </w:tc>
        <w:tc>
          <w:tcPr>
            <w:tcW w:w="6258" w:type="dxa"/>
            <w:noWrap w:val="0"/>
            <w:vAlign w:val="center"/>
          </w:tcPr>
          <w:p w14:paraId="0581C8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根据投标人提供的本项目进度保证措施进行综合评价：</w:t>
            </w:r>
          </w:p>
          <w:p w14:paraId="6F139A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【优秀】本项目进度保证措施合理且可行性高的，得10分；</w:t>
            </w:r>
          </w:p>
          <w:p w14:paraId="114439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【一般】本项目进度保证措施基本合理的、具有一定的可行性的，得9.5分；</w:t>
            </w:r>
          </w:p>
          <w:p w14:paraId="718C3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注：未提供任何描述的，得0分。 </w:t>
            </w:r>
          </w:p>
        </w:tc>
      </w:tr>
      <w:tr w14:paraId="0AEB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60" w:type="dxa"/>
            <w:noWrap w:val="0"/>
            <w:vAlign w:val="center"/>
          </w:tcPr>
          <w:p w14:paraId="6FC149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w:t>
            </w:r>
          </w:p>
        </w:tc>
        <w:tc>
          <w:tcPr>
            <w:tcW w:w="1376" w:type="dxa"/>
            <w:noWrap w:val="0"/>
            <w:vAlign w:val="center"/>
          </w:tcPr>
          <w:p w14:paraId="24B001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本项目工程造价咨询工作重点难点分析及对策</w:t>
            </w:r>
          </w:p>
        </w:tc>
        <w:tc>
          <w:tcPr>
            <w:tcW w:w="685" w:type="dxa"/>
            <w:noWrap w:val="0"/>
            <w:vAlign w:val="center"/>
          </w:tcPr>
          <w:p w14:paraId="7CEE50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10分</w:t>
            </w:r>
          </w:p>
        </w:tc>
        <w:tc>
          <w:tcPr>
            <w:tcW w:w="6258" w:type="dxa"/>
            <w:noWrap w:val="0"/>
            <w:vAlign w:val="top"/>
          </w:tcPr>
          <w:p w14:paraId="05A8E8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根据投标人对本项目工程造价咨询工作重点难点分析及对策进行综合评价：</w:t>
            </w:r>
          </w:p>
          <w:p w14:paraId="40D745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【优秀】本项目工程造价咨询工作重点难点分析合理，对策切实可行的，得10分；</w:t>
            </w:r>
          </w:p>
          <w:p w14:paraId="7C120E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【一般】本项目工程造价咨询工作重点难点分析基本合理，对策具有一定可行性的，得9.5分；</w:t>
            </w:r>
          </w:p>
          <w:p w14:paraId="741BF1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注：未提供任何描述的，得0分。</w:t>
            </w:r>
          </w:p>
        </w:tc>
      </w:tr>
      <w:tr w14:paraId="48E0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60" w:type="dxa"/>
            <w:noWrap w:val="0"/>
            <w:vAlign w:val="center"/>
          </w:tcPr>
          <w:p w14:paraId="578FF0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w:t>
            </w:r>
          </w:p>
        </w:tc>
        <w:tc>
          <w:tcPr>
            <w:tcW w:w="1376" w:type="dxa"/>
            <w:noWrap w:val="0"/>
            <w:vAlign w:val="center"/>
          </w:tcPr>
          <w:p w14:paraId="712C01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承担本项目业务能力的优势</w:t>
            </w:r>
          </w:p>
        </w:tc>
        <w:tc>
          <w:tcPr>
            <w:tcW w:w="685" w:type="dxa"/>
            <w:noWrap w:val="0"/>
            <w:vAlign w:val="center"/>
          </w:tcPr>
          <w:p w14:paraId="63AE32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10分</w:t>
            </w:r>
          </w:p>
        </w:tc>
        <w:tc>
          <w:tcPr>
            <w:tcW w:w="6258" w:type="dxa"/>
            <w:noWrap w:val="0"/>
            <w:vAlign w:val="top"/>
          </w:tcPr>
          <w:p w14:paraId="202196E3">
            <w:pPr>
              <w:keepNext w:val="0"/>
              <w:keepLines w:val="0"/>
              <w:pageBreakBefore w:val="0"/>
              <w:widowControl/>
              <w:numPr>
                <w:ilvl w:val="-1"/>
                <w:numId w:val="0"/>
              </w:numPr>
              <w:kinsoku/>
              <w:wordWrap/>
              <w:overflowPunct/>
              <w:topLinePunct w:val="0"/>
              <w:bidi w:val="0"/>
              <w:snapToGrid/>
              <w:spacing w:line="400" w:lineRule="exact"/>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根据投标人提供的承担本项目能力的优势进行综合评价：</w:t>
            </w:r>
          </w:p>
          <w:p w14:paraId="26FD421F">
            <w:pPr>
              <w:keepNext w:val="0"/>
              <w:keepLines w:val="0"/>
              <w:pageBreakBefore w:val="0"/>
              <w:widowControl/>
              <w:numPr>
                <w:ilvl w:val="-1"/>
                <w:numId w:val="0"/>
              </w:numPr>
              <w:kinsoku/>
              <w:wordWrap/>
              <w:overflowPunct/>
              <w:topLinePunct w:val="0"/>
              <w:bidi w:val="0"/>
              <w:snapToGrid/>
              <w:spacing w:line="400" w:lineRule="exact"/>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【优秀】整体业务能力非常强，有非常大的服务优势，得10分；</w:t>
            </w:r>
          </w:p>
          <w:p w14:paraId="62E1F7A8">
            <w:pPr>
              <w:keepNext w:val="0"/>
              <w:keepLines w:val="0"/>
              <w:pageBreakBefore w:val="0"/>
              <w:widowControl/>
              <w:numPr>
                <w:ilvl w:val="-1"/>
                <w:numId w:val="0"/>
              </w:numPr>
              <w:kinsoku/>
              <w:wordWrap/>
              <w:overflowPunct/>
              <w:topLinePunct w:val="0"/>
              <w:bidi w:val="0"/>
              <w:snapToGrid/>
              <w:spacing w:line="400" w:lineRule="exact"/>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【一般】整体业务能力一般，有一定的服务优势，得9.5分；</w:t>
            </w:r>
          </w:p>
          <w:p w14:paraId="6622AF8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注：未提供任何描述的，得0分。</w:t>
            </w:r>
          </w:p>
        </w:tc>
      </w:tr>
      <w:tr w14:paraId="158C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36" w:type="dxa"/>
            <w:gridSpan w:val="2"/>
            <w:noWrap w:val="0"/>
            <w:vAlign w:val="center"/>
          </w:tcPr>
          <w:p w14:paraId="24BC13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合计</w:t>
            </w:r>
          </w:p>
        </w:tc>
        <w:tc>
          <w:tcPr>
            <w:tcW w:w="685" w:type="dxa"/>
            <w:noWrap w:val="0"/>
            <w:vAlign w:val="center"/>
          </w:tcPr>
          <w:p w14:paraId="58B0E4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50</w:t>
            </w:r>
            <w:r>
              <w:rPr>
                <w:rFonts w:hint="eastAsia" w:ascii="仿宋" w:hAnsi="仿宋" w:eastAsia="仿宋" w:cs="仿宋"/>
                <w:b/>
                <w:bCs/>
                <w:color w:val="auto"/>
                <w:sz w:val="24"/>
                <w:szCs w:val="24"/>
                <w:highlight w:val="none"/>
              </w:rPr>
              <w:t>分</w:t>
            </w:r>
          </w:p>
        </w:tc>
        <w:tc>
          <w:tcPr>
            <w:tcW w:w="6258" w:type="dxa"/>
            <w:noWrap w:val="0"/>
            <w:vAlign w:val="center"/>
          </w:tcPr>
          <w:p w14:paraId="2BD60CF6">
            <w:pPr>
              <w:keepNext w:val="0"/>
              <w:keepLines w:val="0"/>
              <w:pageBreakBefore w:val="0"/>
              <w:widowControl w:val="0"/>
              <w:kinsoku/>
              <w:wordWrap/>
              <w:overflowPunct/>
              <w:topLinePunct w:val="0"/>
              <w:autoSpaceDE/>
              <w:autoSpaceDN/>
              <w:bidi w:val="0"/>
              <w:adjustRightInd/>
              <w:snapToGrid/>
              <w:spacing w:after="120" w:line="400" w:lineRule="exact"/>
              <w:ind w:firstLine="0" w:firstLineChars="0"/>
              <w:jc w:val="left"/>
              <w:textAlignment w:val="auto"/>
              <w:rPr>
                <w:rFonts w:hint="eastAsia" w:ascii="仿宋" w:hAnsi="仿宋" w:eastAsia="仿宋" w:cs="仿宋"/>
                <w:color w:val="auto"/>
                <w:kern w:val="2"/>
                <w:sz w:val="24"/>
                <w:szCs w:val="24"/>
                <w:highlight w:val="none"/>
                <w:lang w:val="en-US" w:eastAsia="zh-CN" w:bidi="ar-SA"/>
              </w:rPr>
            </w:pPr>
          </w:p>
        </w:tc>
      </w:tr>
    </w:tbl>
    <w:p w14:paraId="1344082B">
      <w:pPr>
        <w:rPr>
          <w:rFonts w:hint="eastAsia" w:ascii="仿宋" w:hAnsi="仿宋" w:eastAsia="仿宋" w:cs="仿宋"/>
          <w:b/>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sz w:val="24"/>
          <w:highlight w:val="none"/>
        </w:rPr>
        <w:t>附件4 商务部分评分标准</w:t>
      </w:r>
    </w:p>
    <w:p w14:paraId="23C25614">
      <w:pPr>
        <w:pStyle w:val="49"/>
        <w:rPr>
          <w:rFonts w:hint="eastAsia" w:ascii="仿宋" w:hAnsi="仿宋" w:eastAsia="仿宋" w:cs="仿宋"/>
          <w:color w:val="auto"/>
          <w:highlight w:val="none"/>
        </w:rPr>
      </w:pPr>
    </w:p>
    <w:tbl>
      <w:tblPr>
        <w:tblStyle w:val="41"/>
        <w:tblW w:w="90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642"/>
        <w:gridCol w:w="1276"/>
        <w:gridCol w:w="690"/>
        <w:gridCol w:w="6392"/>
      </w:tblGrid>
      <w:tr w14:paraId="62FFE8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326" w:hRule="atLeast"/>
          <w:tblHeader/>
          <w:jc w:val="center"/>
        </w:trPr>
        <w:tc>
          <w:tcPr>
            <w:tcW w:w="642" w:type="dxa"/>
            <w:tcBorders>
              <w:top w:val="single" w:color="auto" w:sz="2" w:space="0"/>
              <w:left w:val="single" w:color="auto" w:sz="2" w:space="0"/>
              <w:bottom w:val="single" w:color="auto" w:sz="2" w:space="0"/>
              <w:right w:val="single" w:color="auto" w:sz="4" w:space="0"/>
            </w:tcBorders>
            <w:shd w:val="clear" w:color="auto" w:fill="D9D9D9"/>
            <w:noWrap w:val="0"/>
            <w:vAlign w:val="center"/>
          </w:tcPr>
          <w:p w14:paraId="0E40C130">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276" w:type="dxa"/>
            <w:tcBorders>
              <w:top w:val="single" w:color="auto" w:sz="2" w:space="0"/>
              <w:left w:val="single" w:color="auto" w:sz="4" w:space="0"/>
              <w:bottom w:val="single" w:color="auto" w:sz="2" w:space="0"/>
              <w:right w:val="single" w:color="auto" w:sz="2" w:space="0"/>
            </w:tcBorders>
            <w:shd w:val="clear" w:color="auto" w:fill="D9D9D9"/>
            <w:noWrap w:val="0"/>
            <w:vAlign w:val="center"/>
          </w:tcPr>
          <w:p w14:paraId="57F23A75">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评审内容</w:t>
            </w:r>
          </w:p>
        </w:tc>
        <w:tc>
          <w:tcPr>
            <w:tcW w:w="690" w:type="dxa"/>
            <w:tcBorders>
              <w:top w:val="single" w:color="auto" w:sz="4" w:space="0"/>
              <w:left w:val="single" w:color="auto" w:sz="4" w:space="0"/>
              <w:right w:val="single" w:color="auto" w:sz="2" w:space="0"/>
            </w:tcBorders>
            <w:shd w:val="clear" w:color="auto" w:fill="D9D9D9"/>
            <w:noWrap w:val="0"/>
            <w:vAlign w:val="center"/>
          </w:tcPr>
          <w:p w14:paraId="22BEF432">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6392" w:type="dxa"/>
            <w:tcBorders>
              <w:top w:val="single" w:color="auto" w:sz="4" w:space="0"/>
              <w:left w:val="single" w:color="auto" w:sz="4" w:space="0"/>
              <w:right w:val="single" w:color="auto" w:sz="2" w:space="0"/>
            </w:tcBorders>
            <w:shd w:val="clear" w:color="auto" w:fill="D9D9D9"/>
            <w:noWrap w:val="0"/>
            <w:vAlign w:val="center"/>
          </w:tcPr>
          <w:p w14:paraId="66AA5CF8">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评审标准</w:t>
            </w:r>
          </w:p>
        </w:tc>
      </w:tr>
      <w:tr w14:paraId="0484D0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1331" w:hRule="atLeast"/>
          <w:jc w:val="center"/>
        </w:trPr>
        <w:tc>
          <w:tcPr>
            <w:tcW w:w="642" w:type="dxa"/>
            <w:tcBorders>
              <w:top w:val="single" w:color="auto" w:sz="2" w:space="0"/>
              <w:left w:val="single" w:color="auto" w:sz="2" w:space="0"/>
              <w:right w:val="single" w:color="auto" w:sz="4" w:space="0"/>
            </w:tcBorders>
            <w:noWrap w:val="0"/>
            <w:vAlign w:val="center"/>
          </w:tcPr>
          <w:p w14:paraId="63B0B355">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276" w:type="dxa"/>
            <w:tcBorders>
              <w:top w:val="single" w:color="auto" w:sz="2" w:space="0"/>
              <w:left w:val="single" w:color="auto" w:sz="4" w:space="0"/>
              <w:right w:val="single" w:color="auto" w:sz="2" w:space="0"/>
            </w:tcBorders>
            <w:noWrap w:val="0"/>
            <w:vAlign w:val="center"/>
          </w:tcPr>
          <w:p w14:paraId="2FC21DF2">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类似项目业绩</w:t>
            </w:r>
          </w:p>
        </w:tc>
        <w:tc>
          <w:tcPr>
            <w:tcW w:w="690" w:type="dxa"/>
            <w:tcBorders>
              <w:top w:val="single" w:color="auto" w:sz="4" w:space="0"/>
              <w:left w:val="single" w:color="auto" w:sz="4" w:space="0"/>
              <w:right w:val="single" w:color="auto" w:sz="2" w:space="0"/>
            </w:tcBorders>
            <w:noWrap w:val="0"/>
            <w:vAlign w:val="center"/>
          </w:tcPr>
          <w:p w14:paraId="300CAD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trike/>
                <w:dstrike w:val="0"/>
                <w:color w:val="auto"/>
                <w:sz w:val="24"/>
                <w:szCs w:val="24"/>
                <w:highlight w:val="none"/>
              </w:rPr>
            </w:pPr>
            <w:r>
              <w:rPr>
                <w:rFonts w:hint="eastAsia" w:ascii="仿宋" w:hAnsi="仿宋" w:eastAsia="仿宋" w:cs="仿宋"/>
                <w:strike w:val="0"/>
                <w:dstrike w:val="0"/>
                <w:color w:val="auto"/>
                <w:sz w:val="24"/>
                <w:szCs w:val="24"/>
                <w:highlight w:val="none"/>
                <w:lang w:val="en-US" w:eastAsia="zh-CN"/>
              </w:rPr>
              <w:t>3分</w:t>
            </w:r>
          </w:p>
        </w:tc>
        <w:tc>
          <w:tcPr>
            <w:tcW w:w="6392" w:type="dxa"/>
            <w:tcBorders>
              <w:top w:val="single" w:color="auto" w:sz="4" w:space="0"/>
              <w:left w:val="single" w:color="auto" w:sz="4" w:space="0"/>
              <w:right w:val="single" w:color="auto" w:sz="2" w:space="0"/>
            </w:tcBorders>
            <w:noWrap w:val="0"/>
            <w:vAlign w:val="top"/>
          </w:tcPr>
          <w:p w14:paraId="4F0B6979">
            <w:pPr>
              <w:keepNext w:val="0"/>
              <w:keepLines w:val="0"/>
              <w:pageBreakBefore w:val="0"/>
              <w:widowControl w:val="0"/>
              <w:numPr>
                <w:ilvl w:val="0"/>
                <w:numId w:val="0"/>
              </w:numPr>
              <w:kinsoku/>
              <w:wordWrap/>
              <w:overflowPunct/>
              <w:topLinePunct w:val="0"/>
              <w:bidi w:val="0"/>
              <w:snapToGrid/>
              <w:spacing w:line="400" w:lineRule="exact"/>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投标人近五年内（自本项目招标公告发布之日起往前顺推，以</w:t>
            </w:r>
            <w:r>
              <w:rPr>
                <w:rFonts w:hint="default" w:ascii="仿宋" w:hAnsi="仿宋" w:eastAsia="仿宋" w:cs="仿宋"/>
                <w:color w:val="auto"/>
                <w:sz w:val="24"/>
                <w:szCs w:val="24"/>
                <w:highlight w:val="none"/>
                <w:lang w:val="en-US" w:eastAsia="zh-CN"/>
              </w:rPr>
              <w:t>成果文件出具时间为准</w:t>
            </w:r>
            <w:r>
              <w:rPr>
                <w:rFonts w:hint="eastAsia" w:ascii="仿宋" w:hAnsi="仿宋" w:eastAsia="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完成过</w:t>
            </w:r>
            <w:r>
              <w:rPr>
                <w:rFonts w:hint="eastAsia" w:ascii="仿宋" w:hAnsi="仿宋" w:eastAsia="仿宋" w:cs="仿宋"/>
                <w:color w:val="auto"/>
                <w:sz w:val="24"/>
                <w:szCs w:val="24"/>
                <w:highlight w:val="none"/>
                <w:lang w:val="en-US" w:eastAsia="zh-CN"/>
              </w:rPr>
              <w:t>工程</w:t>
            </w:r>
            <w:r>
              <w:rPr>
                <w:rFonts w:hint="default" w:ascii="仿宋" w:hAnsi="仿宋" w:eastAsia="仿宋" w:cs="仿宋"/>
                <w:color w:val="auto"/>
                <w:sz w:val="24"/>
                <w:szCs w:val="24"/>
                <w:highlight w:val="none"/>
                <w:lang w:val="en-US" w:eastAsia="zh-CN"/>
              </w:rPr>
              <w:t>建安费15亿元</w:t>
            </w:r>
            <w:r>
              <w:rPr>
                <w:rFonts w:hint="eastAsia" w:ascii="仿宋" w:hAnsi="仿宋" w:eastAsia="仿宋" w:cs="仿宋"/>
                <w:color w:val="auto"/>
                <w:sz w:val="24"/>
                <w:szCs w:val="24"/>
                <w:highlight w:val="none"/>
                <w:lang w:val="en-US" w:eastAsia="zh-CN"/>
              </w:rPr>
              <w:t>或以上的房屋建筑工程造价咨询（预算或结算或全过程造价咨询）业绩，每项得3分，最高得3分。</w:t>
            </w:r>
          </w:p>
          <w:p w14:paraId="233B9683">
            <w:pPr>
              <w:keepNext w:val="0"/>
              <w:keepLines w:val="0"/>
              <w:pageBreakBefore w:val="0"/>
              <w:widowControl w:val="0"/>
              <w:numPr>
                <w:ilvl w:val="0"/>
                <w:numId w:val="0"/>
              </w:numPr>
              <w:kinsoku/>
              <w:wordWrap/>
              <w:overflowPunct/>
              <w:topLinePunct w:val="0"/>
              <w:bidi w:val="0"/>
              <w:snapToGrid/>
              <w:spacing w:line="400" w:lineRule="exact"/>
              <w:ind w:left="0" w:leftChars="0" w:firstLine="480" w:firstLineChars="200"/>
              <w:textAlignment w:val="auto"/>
              <w:rPr>
                <w:rFonts w:hint="eastAsia" w:ascii="仿宋" w:hAnsi="仿宋" w:eastAsia="仿宋" w:cs="仿宋"/>
                <w:strike/>
                <w:dstrike w:val="0"/>
                <w:color w:val="auto"/>
                <w:sz w:val="24"/>
                <w:szCs w:val="24"/>
                <w:highlight w:val="none"/>
                <w:lang w:val="zh-CN"/>
              </w:rPr>
            </w:pPr>
            <w:r>
              <w:rPr>
                <w:rFonts w:hint="eastAsia" w:ascii="仿宋" w:hAnsi="仿宋" w:eastAsia="仿宋" w:cs="仿宋"/>
                <w:color w:val="auto"/>
                <w:sz w:val="24"/>
                <w:szCs w:val="24"/>
                <w:highlight w:val="none"/>
                <w:lang w:val="en-US" w:eastAsia="zh-CN"/>
              </w:rPr>
              <w:t>注:（1）类似项目业绩的相关证明材需提供三类业绩证明材料：一是中标通知书/能够证明其合法合规获得项目的有效文件（投标人可选择提供其中之一）；二是合同协议书；三是成果文件（须有委托方盖章）。（2）如前述证明材料不能清晰反映有关特征和必要信息的，还需提供该项目的业主证明材料并须附有业主方的联系人及联系电话。（3）所有成果文件时间须在近5年内。</w:t>
            </w:r>
          </w:p>
        </w:tc>
      </w:tr>
      <w:tr w14:paraId="7BA3F4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1331" w:hRule="atLeast"/>
          <w:jc w:val="center"/>
        </w:trPr>
        <w:tc>
          <w:tcPr>
            <w:tcW w:w="642" w:type="dxa"/>
            <w:tcBorders>
              <w:top w:val="single" w:color="auto" w:sz="2" w:space="0"/>
              <w:left w:val="single" w:color="auto" w:sz="2" w:space="0"/>
              <w:right w:val="single" w:color="auto" w:sz="4" w:space="0"/>
            </w:tcBorders>
            <w:noWrap w:val="0"/>
            <w:vAlign w:val="center"/>
          </w:tcPr>
          <w:p w14:paraId="0425203E">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276" w:type="dxa"/>
            <w:tcBorders>
              <w:top w:val="single" w:color="auto" w:sz="2" w:space="0"/>
              <w:left w:val="single" w:color="auto" w:sz="4" w:space="0"/>
              <w:right w:val="single" w:color="auto" w:sz="2" w:space="0"/>
            </w:tcBorders>
            <w:noWrap w:val="0"/>
            <w:vAlign w:val="center"/>
          </w:tcPr>
          <w:p w14:paraId="47C290E3">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诚信状况</w:t>
            </w:r>
          </w:p>
        </w:tc>
        <w:tc>
          <w:tcPr>
            <w:tcW w:w="690" w:type="dxa"/>
            <w:tcBorders>
              <w:top w:val="single" w:color="auto" w:sz="4" w:space="0"/>
              <w:left w:val="single" w:color="auto" w:sz="4" w:space="0"/>
              <w:right w:val="single" w:color="auto" w:sz="2" w:space="0"/>
            </w:tcBorders>
            <w:noWrap w:val="0"/>
            <w:vAlign w:val="center"/>
          </w:tcPr>
          <w:p w14:paraId="7742C6D5">
            <w:pPr>
              <w:pStyle w:val="8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p>
        </w:tc>
        <w:tc>
          <w:tcPr>
            <w:tcW w:w="6392" w:type="dxa"/>
            <w:tcBorders>
              <w:top w:val="single" w:color="auto" w:sz="4" w:space="0"/>
              <w:left w:val="single" w:color="auto" w:sz="4" w:space="0"/>
              <w:right w:val="single" w:color="auto" w:sz="2" w:space="0"/>
            </w:tcBorders>
            <w:noWrap w:val="0"/>
            <w:vAlign w:val="top"/>
          </w:tcPr>
          <w:p w14:paraId="4AA18C96">
            <w:pPr>
              <w:keepNext w:val="0"/>
              <w:keepLines w:val="0"/>
              <w:pageBreakBefore w:val="0"/>
              <w:widowControl w:val="0"/>
              <w:numPr>
                <w:ilvl w:val="-1"/>
                <w:numId w:val="0"/>
              </w:numPr>
              <w:kinsoku/>
              <w:wordWrap/>
              <w:overflowPunct/>
              <w:topLinePunct w:val="0"/>
              <w:bidi w:val="0"/>
              <w:snapToGrid/>
              <w:spacing w:line="40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采用动态信用得分评审：按招标项目有效投标人（通过资格性和符合性审查的投标人）的动态信用得分高低划分档次，动态信用得分排名前25%（含25%）的投标人为第一档，25%～50%（含50%）的为第二档，50%～75%（含75%）的为第三档，75%～100%的为第四档，计算结果四舍五入取整，每档分差为1分。</w:t>
            </w:r>
          </w:p>
          <w:p w14:paraId="52AFFCAF">
            <w:pPr>
              <w:numPr>
                <w:ilvl w:val="-1"/>
                <w:numId w:val="0"/>
              </w:numPr>
              <w:spacing w:line="400" w:lineRule="exact"/>
              <w:ind w:left="0" w:leftChars="0" w:firstLine="480" w:firstLineChars="200"/>
              <w:rPr>
                <w:rFonts w:hint="eastAsia" w:ascii="仿宋" w:hAnsi="仿宋" w:eastAsia="仿宋" w:cs="仿宋"/>
                <w:strike/>
                <w:dstrike w:val="0"/>
                <w:color w:val="auto"/>
                <w:sz w:val="24"/>
                <w:szCs w:val="24"/>
                <w:highlight w:val="none"/>
                <w:lang w:val="zh-CN"/>
              </w:rPr>
            </w:pPr>
            <w:r>
              <w:rPr>
                <w:rFonts w:hint="eastAsia" w:ascii="仿宋" w:hAnsi="仿宋" w:eastAsia="仿宋" w:cs="仿宋"/>
                <w:color w:val="auto"/>
                <w:sz w:val="24"/>
                <w:highlight w:val="none"/>
                <w:lang w:val="en-US" w:eastAsia="zh-CN"/>
              </w:rPr>
              <w:t>注：（1）以开标当天在招标项目行业主管部门诚信管理系统（佛山市建筑诚信评价体系管理平台（企业类别：工程造价咨询企业））查询到的动态信用得分为准。（2）采用动态信用得分评审的，先按照动态信用得分高低进行排名（动态信用得分相同的排名相同，不占用后续排名），再按照名次划分档次。</w:t>
            </w:r>
          </w:p>
        </w:tc>
      </w:tr>
      <w:tr w14:paraId="273C56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51" w:hRule="atLeast"/>
          <w:jc w:val="center"/>
        </w:trPr>
        <w:tc>
          <w:tcPr>
            <w:tcW w:w="642" w:type="dxa"/>
            <w:tcBorders>
              <w:left w:val="single" w:color="auto" w:sz="2" w:space="0"/>
              <w:bottom w:val="single" w:color="auto" w:sz="2" w:space="0"/>
              <w:right w:val="single" w:color="auto" w:sz="4" w:space="0"/>
            </w:tcBorders>
            <w:noWrap w:val="0"/>
            <w:vAlign w:val="center"/>
          </w:tcPr>
          <w:p w14:paraId="1438C506">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p>
        </w:tc>
        <w:tc>
          <w:tcPr>
            <w:tcW w:w="1276" w:type="dxa"/>
            <w:tcBorders>
              <w:left w:val="single" w:color="auto" w:sz="4" w:space="0"/>
              <w:bottom w:val="single" w:color="auto" w:sz="2" w:space="0"/>
              <w:right w:val="single" w:color="auto" w:sz="2" w:space="0"/>
            </w:tcBorders>
            <w:noWrap w:val="0"/>
            <w:vAlign w:val="center"/>
          </w:tcPr>
          <w:p w14:paraId="4E803F20">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vertAlign w:val="baseline"/>
                <w:lang w:val="en-US" w:eastAsia="zh-CN"/>
              </w:rPr>
              <w:t>售后服务能力</w:t>
            </w:r>
          </w:p>
        </w:tc>
        <w:tc>
          <w:tcPr>
            <w:tcW w:w="690" w:type="dxa"/>
            <w:tcBorders>
              <w:top w:val="single" w:color="auto" w:sz="4" w:space="0"/>
              <w:left w:val="single" w:color="auto" w:sz="4" w:space="0"/>
              <w:right w:val="single" w:color="auto" w:sz="2" w:space="0"/>
            </w:tcBorders>
            <w:noWrap w:val="0"/>
            <w:vAlign w:val="center"/>
          </w:tcPr>
          <w:p w14:paraId="037CC6AE">
            <w:pPr>
              <w:pStyle w:val="12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5分</w:t>
            </w:r>
          </w:p>
        </w:tc>
        <w:tc>
          <w:tcPr>
            <w:tcW w:w="6392" w:type="dxa"/>
            <w:tcBorders>
              <w:top w:val="single" w:color="auto" w:sz="4" w:space="0"/>
              <w:left w:val="single" w:color="auto" w:sz="4" w:space="0"/>
              <w:right w:val="single" w:color="auto" w:sz="2" w:space="0"/>
            </w:tcBorders>
            <w:noWrap w:val="0"/>
            <w:vAlign w:val="top"/>
          </w:tcPr>
          <w:p w14:paraId="03A10DEF">
            <w:pPr>
              <w:keepNext w:val="0"/>
              <w:keepLines w:val="0"/>
              <w:pageBreakBefore w:val="0"/>
              <w:widowControl/>
              <w:kinsoku/>
              <w:wordWrap/>
              <w:overflowPunct/>
              <w:topLinePunct w:val="0"/>
              <w:bidi w:val="0"/>
              <w:snapToGrid/>
              <w:spacing w:line="400" w:lineRule="exact"/>
              <w:ind w:firstLine="480" w:firstLineChars="200"/>
              <w:textAlignment w:val="auto"/>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 xml:space="preserve">根据投标人提供的服务响应时间承诺（格式自拟）进行评审： </w:t>
            </w:r>
          </w:p>
          <w:p w14:paraId="707F521A">
            <w:pPr>
              <w:keepNext w:val="0"/>
              <w:keepLines w:val="0"/>
              <w:pageBreakBefore w:val="0"/>
              <w:widowControl/>
              <w:kinsoku/>
              <w:wordWrap/>
              <w:overflowPunct/>
              <w:topLinePunct w:val="0"/>
              <w:bidi w:val="0"/>
              <w:snapToGrid/>
              <w:spacing w:line="400" w:lineRule="exact"/>
              <w:ind w:firstLine="480" w:firstLineChars="200"/>
              <w:textAlignment w:val="auto"/>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 xml:space="preserve">（1）服务响应时间≤1小时的，得5分； </w:t>
            </w:r>
          </w:p>
          <w:p w14:paraId="4782A309">
            <w:pPr>
              <w:keepNext w:val="0"/>
              <w:keepLines w:val="0"/>
              <w:pageBreakBefore w:val="0"/>
              <w:widowControl/>
              <w:kinsoku/>
              <w:wordWrap/>
              <w:overflowPunct/>
              <w:topLinePunct w:val="0"/>
              <w:bidi w:val="0"/>
              <w:snapToGrid/>
              <w:spacing w:line="400" w:lineRule="exact"/>
              <w:ind w:firstLine="480" w:firstLineChars="200"/>
              <w:textAlignment w:val="auto"/>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 xml:space="preserve">（2）1小时＜服务响应时间≤2小时的，得4分； </w:t>
            </w:r>
          </w:p>
          <w:p w14:paraId="1F57645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i w:val="0"/>
                <w:iCs w:val="0"/>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（3）2小时＜服务响应时间≤3 小时的，得3分。</w:t>
            </w:r>
          </w:p>
          <w:p w14:paraId="565C5BDA">
            <w:pPr>
              <w:keepNext w:val="0"/>
              <w:keepLines w:val="0"/>
              <w:pageBreakBefore w:val="0"/>
              <w:widowControl/>
              <w:kinsoku/>
              <w:wordWrap/>
              <w:overflowPunct/>
              <w:topLinePunct w:val="0"/>
              <w:bidi w:val="0"/>
              <w:snapToGrid/>
              <w:spacing w:line="40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i w:val="0"/>
                <w:iCs w:val="0"/>
                <w:color w:val="auto"/>
                <w:sz w:val="24"/>
                <w:szCs w:val="24"/>
                <w:highlight w:val="none"/>
                <w:lang w:val="en-US" w:eastAsia="zh-CN"/>
              </w:rPr>
              <w:t xml:space="preserve">注：其他情况不得分。不提供承诺函不得分。 </w:t>
            </w:r>
          </w:p>
        </w:tc>
      </w:tr>
      <w:tr w14:paraId="6F7018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67" w:hRule="atLeast"/>
          <w:jc w:val="center"/>
        </w:trPr>
        <w:tc>
          <w:tcPr>
            <w:tcW w:w="642" w:type="dxa"/>
            <w:tcBorders>
              <w:left w:val="single" w:color="auto" w:sz="2" w:space="0"/>
              <w:bottom w:val="single" w:color="auto" w:sz="2" w:space="0"/>
              <w:right w:val="single" w:color="auto" w:sz="4" w:space="0"/>
            </w:tcBorders>
            <w:noWrap w:val="0"/>
            <w:vAlign w:val="center"/>
          </w:tcPr>
          <w:p w14:paraId="159F81C3">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1276" w:type="dxa"/>
            <w:tcBorders>
              <w:left w:val="single" w:color="auto" w:sz="4" w:space="0"/>
              <w:bottom w:val="single" w:color="auto" w:sz="2" w:space="0"/>
              <w:right w:val="single" w:color="auto" w:sz="2" w:space="0"/>
            </w:tcBorders>
            <w:noWrap w:val="0"/>
            <w:vAlign w:val="center"/>
          </w:tcPr>
          <w:p w14:paraId="3E5537BF">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项目管理团队配备情况</w:t>
            </w:r>
          </w:p>
        </w:tc>
        <w:tc>
          <w:tcPr>
            <w:tcW w:w="690" w:type="dxa"/>
            <w:tcBorders>
              <w:top w:val="single" w:color="auto" w:sz="4" w:space="0"/>
              <w:left w:val="single" w:color="auto" w:sz="4" w:space="0"/>
              <w:right w:val="single" w:color="auto" w:sz="2" w:space="0"/>
            </w:tcBorders>
            <w:noWrap w:val="0"/>
            <w:vAlign w:val="center"/>
          </w:tcPr>
          <w:p w14:paraId="5F856B20">
            <w:pPr>
              <w:pStyle w:val="12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12分</w:t>
            </w:r>
          </w:p>
        </w:tc>
        <w:tc>
          <w:tcPr>
            <w:tcW w:w="6392" w:type="dxa"/>
            <w:tcBorders>
              <w:top w:val="single" w:color="auto" w:sz="4" w:space="0"/>
              <w:left w:val="single" w:color="auto" w:sz="4" w:space="0"/>
              <w:right w:val="single" w:color="auto" w:sz="2" w:space="0"/>
            </w:tcBorders>
            <w:noWrap w:val="0"/>
            <w:vAlign w:val="top"/>
          </w:tcPr>
          <w:p w14:paraId="0E082D67">
            <w:pPr>
              <w:keepNext w:val="0"/>
              <w:keepLines w:val="0"/>
              <w:pageBreakBefore w:val="0"/>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rPr>
              <w:t>1.</w:t>
            </w:r>
            <w:r>
              <w:rPr>
                <w:rFonts w:hint="eastAsia" w:ascii="仿宋" w:hAnsi="仿宋" w:eastAsia="仿宋" w:cs="仿宋"/>
                <w:bCs w:val="0"/>
                <w:color w:val="auto"/>
                <w:sz w:val="24"/>
                <w:szCs w:val="24"/>
                <w:highlight w:val="none"/>
                <w:lang w:val="en-US" w:eastAsia="en-US"/>
              </w:rPr>
              <w:t>投标人拟派项目负责人</w:t>
            </w:r>
            <w:r>
              <w:rPr>
                <w:rFonts w:hint="eastAsia" w:ascii="仿宋" w:hAnsi="仿宋" w:eastAsia="仿宋" w:cs="仿宋"/>
                <w:bCs w:val="0"/>
                <w:color w:val="auto"/>
                <w:sz w:val="24"/>
                <w:szCs w:val="24"/>
                <w:highlight w:val="none"/>
                <w:lang w:val="en-US" w:eastAsia="zh-CN"/>
              </w:rPr>
              <w:t>（4分）</w:t>
            </w:r>
          </w:p>
          <w:p w14:paraId="07BE95B5">
            <w:pPr>
              <w:keepNext w:val="0"/>
              <w:keepLines w:val="0"/>
              <w:pageBreakBefore w:val="0"/>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lang w:val="en-US" w:eastAsia="zh-CN"/>
              </w:rPr>
              <w:t>1</w:t>
            </w: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lang w:val="en-US" w:eastAsia="en-US"/>
              </w:rPr>
              <w:t>类似项目业绩</w:t>
            </w: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lang w:val="en-US" w:eastAsia="zh-CN"/>
              </w:rPr>
              <w:t>投标人</w:t>
            </w:r>
            <w:r>
              <w:rPr>
                <w:rFonts w:hint="eastAsia" w:ascii="仿宋" w:hAnsi="仿宋" w:eastAsia="仿宋" w:cs="仿宋"/>
                <w:bCs w:val="0"/>
                <w:color w:val="auto"/>
                <w:sz w:val="24"/>
                <w:szCs w:val="24"/>
                <w:highlight w:val="none"/>
              </w:rPr>
              <w:t>近</w:t>
            </w:r>
            <w:r>
              <w:rPr>
                <w:rFonts w:hint="eastAsia" w:ascii="仿宋" w:hAnsi="仿宋" w:eastAsia="仿宋" w:cs="仿宋"/>
                <w:bCs w:val="0"/>
                <w:color w:val="auto"/>
                <w:sz w:val="24"/>
                <w:szCs w:val="24"/>
                <w:highlight w:val="none"/>
                <w:lang w:val="en-US" w:eastAsia="zh-CN"/>
              </w:rPr>
              <w:t>五</w:t>
            </w:r>
            <w:r>
              <w:rPr>
                <w:rFonts w:hint="eastAsia" w:ascii="仿宋" w:hAnsi="仿宋" w:eastAsia="仿宋" w:cs="仿宋"/>
                <w:bCs w:val="0"/>
                <w:color w:val="auto"/>
                <w:sz w:val="24"/>
                <w:szCs w:val="24"/>
                <w:highlight w:val="none"/>
              </w:rPr>
              <w:t>年内（自本项目招标公告发布之日起往前顺推，以</w:t>
            </w:r>
            <w:r>
              <w:rPr>
                <w:rFonts w:hint="eastAsia" w:ascii="仿宋" w:hAnsi="仿宋" w:eastAsia="仿宋" w:cs="仿宋"/>
                <w:bCs w:val="0"/>
                <w:color w:val="auto"/>
                <w:sz w:val="24"/>
                <w:szCs w:val="24"/>
                <w:highlight w:val="none"/>
                <w:lang w:eastAsia="zh-CN"/>
              </w:rPr>
              <w:t>成果文件出具时间</w:t>
            </w:r>
            <w:r>
              <w:rPr>
                <w:rFonts w:hint="eastAsia" w:ascii="仿宋" w:hAnsi="仿宋" w:eastAsia="仿宋" w:cs="仿宋"/>
                <w:bCs w:val="0"/>
                <w:color w:val="auto"/>
                <w:sz w:val="24"/>
                <w:szCs w:val="24"/>
                <w:highlight w:val="none"/>
              </w:rPr>
              <w:t>为准）</w:t>
            </w:r>
            <w:r>
              <w:rPr>
                <w:rFonts w:hint="eastAsia" w:ascii="仿宋" w:hAnsi="仿宋" w:eastAsia="仿宋" w:cs="仿宋"/>
                <w:color w:val="auto"/>
                <w:sz w:val="24"/>
                <w:highlight w:val="none"/>
                <w:lang w:eastAsia="zh-CN"/>
              </w:rPr>
              <w:t>作为项目负责人</w:t>
            </w:r>
            <w:r>
              <w:rPr>
                <w:rFonts w:hint="eastAsia" w:ascii="仿宋" w:hAnsi="仿宋" w:eastAsia="仿宋" w:cs="仿宋"/>
                <w:color w:val="auto"/>
                <w:sz w:val="24"/>
                <w:highlight w:val="none"/>
                <w:lang w:val="en-US" w:eastAsia="zh-CN"/>
              </w:rPr>
              <w:t>完成过</w:t>
            </w:r>
            <w:r>
              <w:rPr>
                <w:rFonts w:hint="eastAsia" w:ascii="仿宋" w:hAnsi="仿宋" w:eastAsia="仿宋" w:cs="仿宋"/>
                <w:color w:val="auto"/>
                <w:sz w:val="24"/>
                <w:szCs w:val="24"/>
                <w:highlight w:val="none"/>
                <w:lang w:val="en-US" w:eastAsia="zh-CN"/>
              </w:rPr>
              <w:t>工程</w:t>
            </w:r>
            <w:r>
              <w:rPr>
                <w:rFonts w:hint="eastAsia" w:ascii="仿宋" w:hAnsi="仿宋" w:eastAsia="仿宋" w:cs="仿宋"/>
                <w:color w:val="auto"/>
                <w:sz w:val="24"/>
                <w:highlight w:val="none"/>
                <w:lang w:val="en-US" w:eastAsia="zh-CN"/>
              </w:rPr>
              <w:t>建安费</w:t>
            </w:r>
            <w:r>
              <w:rPr>
                <w:rFonts w:hint="eastAsia" w:ascii="仿宋" w:hAnsi="仿宋" w:eastAsia="仿宋" w:cs="仿宋"/>
                <w:bCs w:val="0"/>
                <w:strike w:val="0"/>
                <w:dstrike w:val="0"/>
                <w:color w:val="auto"/>
                <w:sz w:val="24"/>
                <w:szCs w:val="24"/>
                <w:highlight w:val="none"/>
                <w:lang w:val="en-US" w:eastAsia="zh-CN"/>
              </w:rPr>
              <w:t>15</w:t>
            </w:r>
            <w:r>
              <w:rPr>
                <w:rFonts w:hint="eastAsia" w:ascii="仿宋" w:hAnsi="仿宋" w:eastAsia="仿宋" w:cs="仿宋"/>
                <w:bCs w:val="0"/>
                <w:strike w:val="0"/>
                <w:dstrike w:val="0"/>
                <w:color w:val="auto"/>
                <w:sz w:val="24"/>
                <w:szCs w:val="24"/>
                <w:highlight w:val="none"/>
              </w:rPr>
              <w:t>亿元或以上的</w:t>
            </w:r>
            <w:r>
              <w:rPr>
                <w:rFonts w:hint="eastAsia" w:ascii="仿宋" w:hAnsi="仿宋" w:eastAsia="仿宋" w:cs="仿宋"/>
                <w:bCs w:val="0"/>
                <w:color w:val="auto"/>
                <w:sz w:val="24"/>
                <w:szCs w:val="24"/>
                <w:highlight w:val="none"/>
              </w:rPr>
              <w:t>房屋建筑工程造价</w:t>
            </w:r>
            <w:r>
              <w:rPr>
                <w:rFonts w:hint="eastAsia" w:ascii="仿宋" w:hAnsi="仿宋" w:eastAsia="仿宋" w:cs="仿宋"/>
                <w:bCs w:val="0"/>
                <w:color w:val="auto"/>
                <w:sz w:val="24"/>
                <w:szCs w:val="24"/>
                <w:highlight w:val="none"/>
                <w:lang w:val="en-US" w:eastAsia="zh-CN"/>
              </w:rPr>
              <w:t>咨询</w:t>
            </w:r>
            <w:r>
              <w:rPr>
                <w:rFonts w:hint="eastAsia" w:ascii="仿宋" w:hAnsi="仿宋" w:eastAsia="仿宋" w:cs="仿宋"/>
                <w:color w:val="auto"/>
                <w:sz w:val="24"/>
                <w:szCs w:val="24"/>
                <w:highlight w:val="none"/>
                <w:lang w:val="en-US" w:eastAsia="zh-CN"/>
              </w:rPr>
              <w:t>（预算或结算或全过程造价咨询）业绩</w:t>
            </w:r>
            <w:r>
              <w:rPr>
                <w:rFonts w:hint="eastAsia" w:ascii="仿宋" w:hAnsi="仿宋" w:eastAsia="仿宋" w:cs="仿宋"/>
                <w:bCs w:val="0"/>
                <w:color w:val="auto"/>
                <w:sz w:val="24"/>
                <w:szCs w:val="24"/>
                <w:highlight w:val="none"/>
              </w:rPr>
              <w:t>，每项得</w:t>
            </w:r>
            <w:r>
              <w:rPr>
                <w:rFonts w:hint="eastAsia" w:ascii="仿宋" w:hAnsi="仿宋" w:eastAsia="仿宋" w:cs="仿宋"/>
                <w:bCs w:val="0"/>
                <w:color w:val="auto"/>
                <w:sz w:val="24"/>
                <w:szCs w:val="24"/>
                <w:highlight w:val="none"/>
                <w:lang w:val="en-US" w:eastAsia="zh-CN"/>
              </w:rPr>
              <w:t>2</w:t>
            </w:r>
            <w:r>
              <w:rPr>
                <w:rFonts w:hint="eastAsia" w:ascii="仿宋" w:hAnsi="仿宋" w:eastAsia="仿宋" w:cs="仿宋"/>
                <w:bCs w:val="0"/>
                <w:color w:val="auto"/>
                <w:sz w:val="24"/>
                <w:szCs w:val="24"/>
                <w:highlight w:val="none"/>
              </w:rPr>
              <w:t>分，最高得</w:t>
            </w:r>
            <w:r>
              <w:rPr>
                <w:rFonts w:hint="eastAsia" w:ascii="仿宋" w:hAnsi="仿宋" w:eastAsia="仿宋" w:cs="仿宋"/>
                <w:bCs w:val="0"/>
                <w:color w:val="auto"/>
                <w:sz w:val="24"/>
                <w:szCs w:val="24"/>
                <w:highlight w:val="none"/>
                <w:lang w:val="en-US" w:eastAsia="zh-CN"/>
              </w:rPr>
              <w:t>2</w:t>
            </w:r>
            <w:r>
              <w:rPr>
                <w:rFonts w:hint="eastAsia" w:ascii="仿宋" w:hAnsi="仿宋" w:eastAsia="仿宋" w:cs="仿宋"/>
                <w:bCs w:val="0"/>
                <w:color w:val="auto"/>
                <w:sz w:val="24"/>
                <w:szCs w:val="24"/>
                <w:highlight w:val="none"/>
              </w:rPr>
              <w:t>分。</w:t>
            </w:r>
          </w:p>
          <w:p w14:paraId="5DA4F0A9">
            <w:pPr>
              <w:pStyle w:val="2"/>
              <w:spacing w:line="400" w:lineRule="exact"/>
              <w:ind w:firstLine="0"/>
              <w:rPr>
                <w:rFonts w:hint="eastAsia" w:ascii="仿宋" w:hAnsi="仿宋" w:eastAsia="仿宋" w:cs="仿宋"/>
                <w:color w:val="auto"/>
                <w:sz w:val="24"/>
                <w:szCs w:val="24"/>
                <w:highlight w:val="none"/>
                <w:lang w:val="en-US" w:eastAsia="zh-CN"/>
              </w:rPr>
            </w:pP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lang w:val="en-US" w:eastAsia="zh-CN"/>
              </w:rPr>
              <w:t>2）具有工程类中级工程师职称的得1分；具有工程类高级工程师或以上职称的得2分。</w:t>
            </w:r>
          </w:p>
          <w:p w14:paraId="6088EA31">
            <w:pPr>
              <w:keepNext w:val="0"/>
              <w:keepLines w:val="0"/>
              <w:pageBreakBefore w:val="0"/>
              <w:numPr>
                <w:ilvl w:val="-1"/>
                <w:numId w:val="0"/>
              </w:numPr>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lang w:val="en-US" w:eastAsia="zh-CN"/>
              </w:rPr>
            </w:pPr>
            <w:r>
              <w:rPr>
                <w:rFonts w:hint="eastAsia" w:ascii="仿宋" w:hAnsi="仿宋" w:eastAsia="仿宋" w:cs="仿宋"/>
                <w:bCs w:val="0"/>
                <w:color w:val="auto"/>
                <w:sz w:val="24"/>
                <w:szCs w:val="24"/>
                <w:highlight w:val="none"/>
                <w:lang w:val="en-US" w:eastAsia="zh-CN"/>
              </w:rPr>
              <w:t>2.其他人员（8分）</w:t>
            </w:r>
          </w:p>
          <w:p w14:paraId="7D09DEA6">
            <w:pPr>
              <w:keepNext w:val="0"/>
              <w:keepLines w:val="0"/>
              <w:pageBreakBefore w:val="0"/>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lang w:val="en-US" w:eastAsia="zh-CN"/>
              </w:rPr>
              <w:t>2.1</w:t>
            </w:r>
            <w:r>
              <w:rPr>
                <w:rFonts w:hint="eastAsia" w:ascii="仿宋" w:hAnsi="仿宋" w:eastAsia="仿宋" w:cs="仿宋"/>
                <w:bCs w:val="0"/>
                <w:color w:val="auto"/>
                <w:sz w:val="24"/>
                <w:szCs w:val="24"/>
                <w:highlight w:val="none"/>
              </w:rPr>
              <w:t>土建专业造价人员（</w:t>
            </w:r>
            <w:r>
              <w:rPr>
                <w:rFonts w:hint="eastAsia" w:ascii="仿宋" w:hAnsi="仿宋" w:eastAsia="仿宋" w:cs="仿宋"/>
                <w:bCs w:val="0"/>
                <w:color w:val="auto"/>
                <w:sz w:val="24"/>
                <w:szCs w:val="24"/>
                <w:highlight w:val="none"/>
                <w:lang w:val="en-US" w:eastAsia="zh-CN"/>
              </w:rPr>
              <w:t>2</w:t>
            </w:r>
            <w:r>
              <w:rPr>
                <w:rFonts w:hint="eastAsia" w:ascii="仿宋" w:hAnsi="仿宋" w:eastAsia="仿宋" w:cs="仿宋"/>
                <w:bCs w:val="0"/>
                <w:color w:val="auto"/>
                <w:sz w:val="24"/>
                <w:szCs w:val="24"/>
                <w:highlight w:val="none"/>
              </w:rPr>
              <w:t>名）：</w:t>
            </w:r>
          </w:p>
          <w:p w14:paraId="2BD2D35F">
            <w:pPr>
              <w:keepNext w:val="0"/>
              <w:keepLines w:val="0"/>
              <w:pageBreakBefore w:val="0"/>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lang w:val="en-US" w:eastAsia="zh-CN"/>
              </w:rPr>
              <w:t>1</w:t>
            </w: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rPr>
              <w:t>执业资格：具备建设主管部门颁发的注册于投标人本单位的有效的土木建筑工程（土建）专业一级注册造价工程师（或原注册造价工程师）证书每人得</w:t>
            </w:r>
            <w:r>
              <w:rPr>
                <w:rFonts w:hint="eastAsia" w:ascii="仿宋" w:hAnsi="仿宋" w:eastAsia="仿宋" w:cs="仿宋"/>
                <w:bCs w:val="0"/>
                <w:color w:val="auto"/>
                <w:sz w:val="24"/>
                <w:szCs w:val="24"/>
                <w:highlight w:val="none"/>
                <w:lang w:val="en-US" w:eastAsia="zh-CN"/>
              </w:rPr>
              <w:t>2</w:t>
            </w:r>
            <w:r>
              <w:rPr>
                <w:rFonts w:hint="eastAsia" w:ascii="仿宋" w:hAnsi="仿宋" w:eastAsia="仿宋" w:cs="仿宋"/>
                <w:bCs w:val="0"/>
                <w:color w:val="auto"/>
                <w:sz w:val="24"/>
                <w:szCs w:val="24"/>
                <w:highlight w:val="none"/>
              </w:rPr>
              <w:t>分，最高得</w:t>
            </w:r>
            <w:r>
              <w:rPr>
                <w:rFonts w:hint="eastAsia" w:ascii="仿宋" w:hAnsi="仿宋" w:eastAsia="仿宋" w:cs="仿宋"/>
                <w:bCs w:val="0"/>
                <w:color w:val="auto"/>
                <w:sz w:val="24"/>
                <w:szCs w:val="24"/>
                <w:highlight w:val="none"/>
                <w:lang w:val="en-US" w:eastAsia="zh-CN"/>
              </w:rPr>
              <w:t>4</w:t>
            </w:r>
            <w:r>
              <w:rPr>
                <w:rFonts w:hint="eastAsia" w:ascii="仿宋" w:hAnsi="仿宋" w:eastAsia="仿宋" w:cs="仿宋"/>
                <w:bCs w:val="0"/>
                <w:color w:val="auto"/>
                <w:sz w:val="24"/>
                <w:szCs w:val="24"/>
                <w:highlight w:val="none"/>
              </w:rPr>
              <w:t>分。</w:t>
            </w:r>
          </w:p>
          <w:p w14:paraId="31A897A6">
            <w:pPr>
              <w:keepNext w:val="0"/>
              <w:keepLines w:val="0"/>
              <w:pageBreakBefore w:val="0"/>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lang w:val="en-US" w:eastAsia="zh-CN"/>
              </w:rPr>
              <w:t>2.2</w:t>
            </w:r>
            <w:r>
              <w:rPr>
                <w:rFonts w:hint="eastAsia" w:ascii="仿宋" w:hAnsi="仿宋" w:eastAsia="仿宋" w:cs="仿宋"/>
                <w:bCs w:val="0"/>
                <w:color w:val="auto"/>
                <w:sz w:val="24"/>
                <w:szCs w:val="24"/>
                <w:highlight w:val="none"/>
              </w:rPr>
              <w:t>安装专业造价人员（</w:t>
            </w:r>
            <w:r>
              <w:rPr>
                <w:rFonts w:hint="eastAsia" w:ascii="仿宋" w:hAnsi="仿宋" w:eastAsia="仿宋" w:cs="仿宋"/>
                <w:bCs w:val="0"/>
                <w:color w:val="auto"/>
                <w:sz w:val="24"/>
                <w:szCs w:val="24"/>
                <w:highlight w:val="none"/>
                <w:lang w:val="en-US" w:eastAsia="zh-CN"/>
              </w:rPr>
              <w:t>2</w:t>
            </w:r>
            <w:r>
              <w:rPr>
                <w:rFonts w:hint="eastAsia" w:ascii="仿宋" w:hAnsi="仿宋" w:eastAsia="仿宋" w:cs="仿宋"/>
                <w:bCs w:val="0"/>
                <w:color w:val="auto"/>
                <w:sz w:val="24"/>
                <w:szCs w:val="24"/>
                <w:highlight w:val="none"/>
              </w:rPr>
              <w:t>名）：</w:t>
            </w:r>
          </w:p>
          <w:p w14:paraId="1EAB75AF">
            <w:pPr>
              <w:keepNext w:val="0"/>
              <w:keepLines w:val="0"/>
              <w:pageBreakBefore w:val="0"/>
              <w:wordWrap/>
              <w:topLinePunct w:val="0"/>
              <w:bidi w:val="0"/>
              <w:spacing w:line="400" w:lineRule="exact"/>
              <w:ind w:left="0" w:leftChars="0" w:right="0" w:rightChars="0" w:firstLine="0" w:firstLineChars="0"/>
              <w:jc w:val="left"/>
              <w:rPr>
                <w:rFonts w:hint="eastAsia" w:ascii="仿宋" w:hAnsi="仿宋" w:eastAsia="仿宋" w:cs="仿宋"/>
                <w:bCs w:val="0"/>
                <w:color w:val="auto"/>
                <w:sz w:val="24"/>
                <w:szCs w:val="24"/>
                <w:highlight w:val="none"/>
              </w:rPr>
            </w:pP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lang w:val="en-US" w:eastAsia="zh-CN"/>
              </w:rPr>
              <w:t>1</w:t>
            </w: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rPr>
              <w:t>执业资格：具备建设主管部门颁发的注册于投标人本单位的有效的安装专业一级注册造价工程师（或原注册造价工程师）证书每人得</w:t>
            </w:r>
            <w:r>
              <w:rPr>
                <w:rFonts w:hint="eastAsia" w:ascii="仿宋" w:hAnsi="仿宋" w:eastAsia="仿宋" w:cs="仿宋"/>
                <w:bCs w:val="0"/>
                <w:color w:val="auto"/>
                <w:sz w:val="24"/>
                <w:szCs w:val="24"/>
                <w:highlight w:val="none"/>
                <w:lang w:val="en-US" w:eastAsia="zh-CN"/>
              </w:rPr>
              <w:t>2</w:t>
            </w:r>
            <w:r>
              <w:rPr>
                <w:rFonts w:hint="eastAsia" w:ascii="仿宋" w:hAnsi="仿宋" w:eastAsia="仿宋" w:cs="仿宋"/>
                <w:bCs w:val="0"/>
                <w:color w:val="auto"/>
                <w:sz w:val="24"/>
                <w:szCs w:val="24"/>
                <w:highlight w:val="none"/>
              </w:rPr>
              <w:t>分，最高得</w:t>
            </w:r>
            <w:r>
              <w:rPr>
                <w:rFonts w:hint="eastAsia" w:ascii="仿宋" w:hAnsi="仿宋" w:eastAsia="仿宋" w:cs="仿宋"/>
                <w:bCs w:val="0"/>
                <w:color w:val="auto"/>
                <w:sz w:val="24"/>
                <w:szCs w:val="24"/>
                <w:highlight w:val="none"/>
                <w:lang w:val="en-US" w:eastAsia="zh-CN"/>
              </w:rPr>
              <w:t>4</w:t>
            </w:r>
            <w:r>
              <w:rPr>
                <w:rFonts w:hint="eastAsia" w:ascii="仿宋" w:hAnsi="仿宋" w:eastAsia="仿宋" w:cs="仿宋"/>
                <w:bCs w:val="0"/>
                <w:color w:val="auto"/>
                <w:sz w:val="24"/>
                <w:szCs w:val="24"/>
                <w:highlight w:val="none"/>
              </w:rPr>
              <w:t>分。</w:t>
            </w:r>
          </w:p>
          <w:p w14:paraId="44598B57">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bCs w:val="0"/>
                <w:color w:val="auto"/>
                <w:sz w:val="24"/>
                <w:szCs w:val="24"/>
                <w:highlight w:val="none"/>
              </w:rPr>
              <w:t>注：①</w:t>
            </w:r>
            <w:r>
              <w:rPr>
                <w:rFonts w:hint="eastAsia" w:ascii="仿宋" w:hAnsi="仿宋" w:eastAsia="仿宋" w:cs="仿宋"/>
                <w:bCs w:val="0"/>
                <w:color w:val="auto"/>
                <w:sz w:val="24"/>
                <w:szCs w:val="24"/>
                <w:highlight w:val="none"/>
                <w:lang w:val="en-US" w:eastAsia="en-US"/>
              </w:rPr>
              <w:t>类似项目业绩的相关证明材需提供三类业绩证明材料</w:t>
            </w:r>
            <w:r>
              <w:rPr>
                <w:rFonts w:hint="eastAsia" w:ascii="仿宋" w:hAnsi="仿宋" w:eastAsia="仿宋" w:cs="仿宋"/>
                <w:bCs w:val="0"/>
                <w:color w:val="auto"/>
                <w:sz w:val="24"/>
                <w:szCs w:val="24"/>
                <w:highlight w:val="none"/>
                <w:lang w:val="en-US" w:eastAsia="zh-CN"/>
              </w:rPr>
              <w:t>：一是中标通知书/能够证明其合法合规获得项目的有效文件（投标人可选择提供其中之一）；二是合同协议书；三是成果文件（须有委托方盖章）</w:t>
            </w:r>
            <w:r>
              <w:rPr>
                <w:rFonts w:hint="eastAsia" w:ascii="仿宋" w:hAnsi="仿宋" w:eastAsia="仿宋" w:cs="仿宋"/>
                <w:bCs w:val="0"/>
                <w:color w:val="auto"/>
                <w:sz w:val="24"/>
                <w:szCs w:val="24"/>
                <w:highlight w:val="none"/>
              </w:rPr>
              <w:t>，如前述证明材料不能清晰反映有关特征和必要信息的，还需提供该项目工程业绩的业主证明材料并须附有业主方的联系人及联系电话。②获奖情况应当依据国家、省、市级的人民政府或者行业主管部门或者经民政部门批准成立的相关行业协会（学会）颁发的获奖证书或获奖正式文件确认。同一工程的获奖，评审应以当就高计分为原则，不重复计算得分。获奖证书或获奖正式文件若为行业协会（学会）颁发的还须提供该行业协会（学会）在“中国社会组织政务服务平台”的登记信息查询结果网页截图。③技术职称的专业和等级应当根据其技术职称证书确认，技术职称证书没有明确专业的，以学历证书确认。</w:t>
            </w:r>
            <w:r>
              <w:rPr>
                <w:rFonts w:hint="eastAsia" w:ascii="仿宋" w:hAnsi="仿宋" w:eastAsia="仿宋" w:cs="仿宋"/>
                <w:bCs w:val="0"/>
                <w:color w:val="auto"/>
                <w:sz w:val="24"/>
                <w:szCs w:val="24"/>
                <w:highlight w:val="none"/>
                <w:lang w:eastAsia="zh-CN"/>
              </w:rPr>
              <w:t>《</w:t>
            </w:r>
            <w:r>
              <w:rPr>
                <w:rFonts w:hint="eastAsia" w:ascii="仿宋" w:hAnsi="仿宋" w:eastAsia="仿宋" w:cs="仿宋"/>
                <w:bCs w:val="0"/>
                <w:color w:val="auto"/>
                <w:sz w:val="24"/>
                <w:szCs w:val="24"/>
                <w:highlight w:val="none"/>
              </w:rPr>
              <w:t>职称评审管理暂行规定》正式实施之后颁发的职称证书应符合《职称评审管理暂行规定》的要求，《职称评审管理暂行规定》正式实施之前颁发的职称证书符合职称评审管理部门的相关规定即可。④以上所有人员均不得兼任。需提供投标人近期（自本项目招标公告发出之日起往前顺推6个月，即</w:t>
            </w:r>
            <w:r>
              <w:rPr>
                <w:rFonts w:hint="eastAsia" w:ascii="仿宋" w:hAnsi="仿宋" w:eastAsia="仿宋" w:cs="仿宋"/>
                <w:bCs w:val="0"/>
                <w:color w:val="auto"/>
                <w:sz w:val="24"/>
                <w:szCs w:val="24"/>
                <w:highlight w:val="none"/>
                <w:lang w:eastAsia="zh-CN"/>
              </w:rPr>
              <w:t>2025年8月至2026年1月</w:t>
            </w:r>
            <w:r>
              <w:rPr>
                <w:rFonts w:hint="eastAsia" w:ascii="仿宋" w:hAnsi="仿宋" w:eastAsia="仿宋" w:cs="仿宋"/>
                <w:bCs w:val="0"/>
                <w:color w:val="auto"/>
                <w:sz w:val="24"/>
                <w:szCs w:val="24"/>
                <w:highlight w:val="none"/>
              </w:rPr>
              <w:t>）为上述人员缴纳社保资金的有效社保证明材料，以投标人(或其分支机构)所属当地社保管理部门出具的证明材料为准。⑥如上述人员提供的注册证书，不能反映有效期，还应提供上述人员在“全国建筑市场监管公共服务平台(网址:http://jzsc.mohurd.gov.cn/home)相关备案信息网页截图（打印件）并加盖投标人公章，否则不得分。</w:t>
            </w:r>
          </w:p>
        </w:tc>
      </w:tr>
      <w:tr w14:paraId="301643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331" w:hRule="atLeast"/>
          <w:jc w:val="center"/>
        </w:trPr>
        <w:tc>
          <w:tcPr>
            <w:tcW w:w="1918" w:type="dxa"/>
            <w:gridSpan w:val="2"/>
            <w:tcBorders>
              <w:top w:val="single" w:color="auto" w:sz="2" w:space="0"/>
              <w:left w:val="single" w:color="auto" w:sz="2" w:space="0"/>
              <w:bottom w:val="single" w:color="auto" w:sz="4" w:space="0"/>
              <w:right w:val="single" w:color="auto" w:sz="4" w:space="0"/>
            </w:tcBorders>
            <w:noWrap w:val="0"/>
            <w:vAlign w:val="center"/>
          </w:tcPr>
          <w:p w14:paraId="2A54FBE1">
            <w:pPr>
              <w:pStyle w:val="8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合计</w:t>
            </w:r>
          </w:p>
        </w:tc>
        <w:tc>
          <w:tcPr>
            <w:tcW w:w="690" w:type="dxa"/>
            <w:tcBorders>
              <w:top w:val="single" w:color="auto" w:sz="2" w:space="0"/>
              <w:left w:val="single" w:color="auto" w:sz="4" w:space="0"/>
              <w:right w:val="single" w:color="auto" w:sz="2" w:space="0"/>
            </w:tcBorders>
            <w:noWrap w:val="0"/>
            <w:vAlign w:val="center"/>
          </w:tcPr>
          <w:p w14:paraId="3E8D22D5">
            <w:pPr>
              <w:pStyle w:val="12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30</w:t>
            </w:r>
            <w:r>
              <w:rPr>
                <w:rFonts w:hint="eastAsia" w:ascii="仿宋" w:hAnsi="仿宋" w:eastAsia="仿宋" w:cs="仿宋"/>
                <w:b/>
                <w:bCs/>
                <w:color w:val="auto"/>
                <w:sz w:val="24"/>
                <w:szCs w:val="24"/>
                <w:highlight w:val="none"/>
              </w:rPr>
              <w:t>分</w:t>
            </w:r>
          </w:p>
        </w:tc>
        <w:tc>
          <w:tcPr>
            <w:tcW w:w="6392" w:type="dxa"/>
            <w:tcBorders>
              <w:top w:val="single" w:color="auto" w:sz="2" w:space="0"/>
              <w:left w:val="single" w:color="auto" w:sz="4" w:space="0"/>
              <w:right w:val="single" w:color="auto" w:sz="2" w:space="0"/>
            </w:tcBorders>
            <w:noWrap w:val="0"/>
            <w:vAlign w:val="center"/>
          </w:tcPr>
          <w:p w14:paraId="4D2328D8">
            <w:pPr>
              <w:pStyle w:val="8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rPr>
            </w:pPr>
          </w:p>
        </w:tc>
      </w:tr>
    </w:tbl>
    <w:p w14:paraId="01D54263">
      <w:pPr>
        <w:spacing w:line="360" w:lineRule="auto"/>
        <w:ind w:left="-2" w:leftChars="-1" w:firstLine="528" w:firstLineChars="219"/>
        <w:outlineLvl w:val="1"/>
        <w:rPr>
          <w:rFonts w:hint="eastAsia" w:ascii="仿宋" w:hAnsi="仿宋" w:eastAsia="仿宋" w:cs="仿宋"/>
          <w:b/>
          <w:color w:val="auto"/>
          <w:sz w:val="24"/>
          <w:highlight w:val="none"/>
          <w:u w:val="none"/>
        </w:rPr>
      </w:pPr>
      <w:r>
        <w:rPr>
          <w:rFonts w:hint="eastAsia" w:ascii="仿宋" w:hAnsi="仿宋" w:eastAsia="仿宋" w:cs="仿宋"/>
          <w:b/>
          <w:color w:val="auto"/>
          <w:kern w:val="2"/>
          <w:sz w:val="24"/>
          <w:szCs w:val="24"/>
          <w:highlight w:val="none"/>
          <w:u w:val="none"/>
        </w:rPr>
        <w:t>注</w:t>
      </w:r>
      <w:r>
        <w:rPr>
          <w:rFonts w:hint="eastAsia" w:ascii="仿宋" w:hAnsi="仿宋" w:eastAsia="仿宋" w:cs="仿宋"/>
          <w:b/>
          <w:color w:val="auto"/>
          <w:kern w:val="2"/>
          <w:sz w:val="24"/>
          <w:szCs w:val="24"/>
          <w:highlight w:val="none"/>
          <w:u w:val="none"/>
          <w:lang w:eastAsia="zh-CN"/>
        </w:rPr>
        <w:t>：</w:t>
      </w:r>
      <w:r>
        <w:rPr>
          <w:rFonts w:hint="eastAsia" w:ascii="仿宋" w:hAnsi="仿宋" w:eastAsia="仿宋" w:cs="仿宋"/>
          <w:b/>
          <w:color w:val="auto"/>
          <w:sz w:val="24"/>
          <w:highlight w:val="none"/>
          <w:u w:val="none"/>
        </w:rPr>
        <w:t>以上要求提供的复印件及打印件</w:t>
      </w:r>
      <w:r>
        <w:rPr>
          <w:rFonts w:hint="eastAsia" w:ascii="仿宋" w:hAnsi="仿宋" w:eastAsia="仿宋" w:cs="仿宋"/>
          <w:b/>
          <w:color w:val="auto"/>
          <w:sz w:val="24"/>
          <w:highlight w:val="none"/>
          <w:u w:val="none"/>
          <w:lang w:eastAsia="zh-CN"/>
        </w:rPr>
        <w:t>（</w:t>
      </w:r>
      <w:r>
        <w:rPr>
          <w:rFonts w:hint="eastAsia" w:ascii="仿宋" w:hAnsi="仿宋" w:eastAsia="仿宋" w:cs="仿宋"/>
          <w:b/>
          <w:color w:val="auto"/>
          <w:sz w:val="24"/>
          <w:highlight w:val="none"/>
          <w:u w:val="none"/>
          <w:lang w:val="en-US" w:eastAsia="zh-CN"/>
        </w:rPr>
        <w:t>截图</w:t>
      </w:r>
      <w:r>
        <w:rPr>
          <w:rFonts w:hint="eastAsia" w:ascii="仿宋" w:hAnsi="仿宋" w:eastAsia="仿宋" w:cs="仿宋"/>
          <w:b/>
          <w:color w:val="auto"/>
          <w:sz w:val="24"/>
          <w:highlight w:val="none"/>
          <w:u w:val="none"/>
          <w:lang w:eastAsia="zh-CN"/>
        </w:rPr>
        <w:t>）</w:t>
      </w:r>
      <w:r>
        <w:rPr>
          <w:rFonts w:hint="eastAsia" w:ascii="仿宋" w:hAnsi="仿宋" w:eastAsia="仿宋" w:cs="仿宋"/>
          <w:b/>
          <w:color w:val="auto"/>
          <w:sz w:val="24"/>
          <w:highlight w:val="none"/>
          <w:u w:val="none"/>
        </w:rPr>
        <w:t>必须加盖投标人公章，不提供注明材料或注明材料不满足评审因素要求，或证明材料不清晰以致不能清晰辨认出其具体内容的，均不能计入核算范围。</w:t>
      </w:r>
    </w:p>
    <w:p w14:paraId="5B46D38D">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0973CB63">
      <w:pPr>
        <w:pStyle w:val="2"/>
        <w:rPr>
          <w:rFonts w:hint="eastAsia" w:ascii="仿宋" w:hAnsi="仿宋" w:eastAsia="仿宋" w:cs="仿宋"/>
          <w:color w:val="auto"/>
          <w:highlight w:val="none"/>
        </w:rPr>
      </w:pPr>
    </w:p>
    <w:p w14:paraId="29E49EA2">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附件5价格部分评分标准</w:t>
      </w:r>
    </w:p>
    <w:bookmarkEnd w:id="573"/>
    <w:bookmarkEnd w:id="574"/>
    <w:bookmarkEnd w:id="575"/>
    <w:bookmarkEnd w:id="576"/>
    <w:bookmarkEnd w:id="577"/>
    <w:bookmarkEnd w:id="578"/>
    <w:bookmarkEnd w:id="579"/>
    <w:bookmarkEnd w:id="580"/>
    <w:bookmarkEnd w:id="581"/>
    <w:bookmarkEnd w:id="582"/>
    <w:tbl>
      <w:tblPr>
        <w:tblStyle w:val="4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3"/>
        <w:gridCol w:w="2187"/>
        <w:gridCol w:w="6282"/>
      </w:tblGrid>
      <w:tr w14:paraId="2F0E59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3" w:type="dxa"/>
            <w:vMerge w:val="restart"/>
            <w:tcBorders>
              <w:top w:val="single" w:color="auto" w:sz="4" w:space="0"/>
              <w:left w:val="single" w:color="auto" w:sz="4" w:space="0"/>
              <w:right w:val="single" w:color="auto" w:sz="4" w:space="0"/>
            </w:tcBorders>
            <w:noWrap w:val="0"/>
            <w:vAlign w:val="center"/>
          </w:tcPr>
          <w:p w14:paraId="4FBCB596">
            <w:pPr>
              <w:spacing w:beforeLines="0" w:afterLines="0" w:line="32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价格</w:t>
            </w:r>
          </w:p>
          <w:p w14:paraId="4481676D">
            <w:pPr>
              <w:spacing w:beforeLines="0" w:afterLines="0" w:line="320" w:lineRule="exact"/>
              <w:jc w:val="center"/>
              <w:rPr>
                <w:rFonts w:hint="eastAsia" w:ascii="仿宋" w:hAnsi="仿宋" w:eastAsia="仿宋" w:cs="仿宋"/>
                <w:color w:val="auto"/>
                <w:sz w:val="21"/>
                <w:szCs w:val="21"/>
                <w:highlight w:val="none"/>
              </w:rPr>
            </w:pPr>
            <w:r>
              <w:rPr>
                <w:rFonts w:hint="eastAsia" w:ascii="仿宋" w:hAnsi="仿宋" w:eastAsia="仿宋" w:cs="仿宋"/>
                <w:b/>
                <w:bCs/>
                <w:color w:val="auto"/>
                <w:szCs w:val="21"/>
                <w:highlight w:val="none"/>
              </w:rPr>
              <w:t>部分</w:t>
            </w:r>
          </w:p>
        </w:tc>
        <w:tc>
          <w:tcPr>
            <w:tcW w:w="2187" w:type="dxa"/>
            <w:tcBorders>
              <w:top w:val="single" w:color="auto" w:sz="4" w:space="0"/>
              <w:left w:val="single" w:color="auto" w:sz="4" w:space="0"/>
              <w:bottom w:val="single" w:color="auto" w:sz="4" w:space="0"/>
              <w:right w:val="single" w:color="auto" w:sz="4" w:space="0"/>
            </w:tcBorders>
            <w:noWrap w:val="0"/>
            <w:vAlign w:val="center"/>
          </w:tcPr>
          <w:p w14:paraId="41E16746">
            <w:pPr>
              <w:spacing w:beforeLines="0" w:afterLines="0" w:line="320" w:lineRule="exac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评审规则</w:t>
            </w:r>
          </w:p>
        </w:tc>
        <w:tc>
          <w:tcPr>
            <w:tcW w:w="6282" w:type="dxa"/>
            <w:tcBorders>
              <w:top w:val="single" w:color="auto" w:sz="4" w:space="0"/>
              <w:left w:val="single" w:color="auto" w:sz="4" w:space="0"/>
              <w:bottom w:val="single" w:color="auto" w:sz="4" w:space="0"/>
              <w:right w:val="single" w:color="auto" w:sz="4" w:space="0"/>
            </w:tcBorders>
            <w:noWrap w:val="0"/>
            <w:vAlign w:val="top"/>
          </w:tcPr>
          <w:p w14:paraId="66AE030E">
            <w:pPr>
              <w:widowControl/>
              <w:spacing w:beforeLines="0" w:afterLines="0" w:line="320" w:lineRule="exact"/>
              <w:jc w:val="left"/>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在开标时通过</w:t>
            </w:r>
            <w:r>
              <w:rPr>
                <w:rFonts w:hint="eastAsia" w:ascii="仿宋" w:hAnsi="仿宋" w:eastAsia="仿宋" w:cs="仿宋"/>
                <w:color w:val="auto"/>
                <w:sz w:val="21"/>
                <w:szCs w:val="21"/>
                <w:highlight w:val="none"/>
                <w:lang w:val="en-US" w:eastAsia="zh-CN"/>
              </w:rPr>
              <w:t>摇号等</w:t>
            </w:r>
            <w:r>
              <w:rPr>
                <w:rFonts w:hint="eastAsia" w:ascii="仿宋" w:hAnsi="仿宋" w:eastAsia="仿宋" w:cs="仿宋"/>
                <w:color w:val="auto"/>
                <w:szCs w:val="21"/>
                <w:highlight w:val="none"/>
              </w:rPr>
              <w:t>方式从合理平均值、综合平均值中随机抽取一种评标基准价计算办法，将进入经济标评审环节的所有投标人的有效投标报价作为依据计算出评标基准价（四舍五入保留两位有效小数），最后依据评标基准价确定投标人的经济标得分。</w:t>
            </w:r>
          </w:p>
          <w:p w14:paraId="2A50485F">
            <w:pPr>
              <w:widowControl/>
              <w:spacing w:beforeLines="0" w:afterLines="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2.下浮率K：以0.2%为一档等差增序排号，开标时通过</w:t>
            </w:r>
            <w:r>
              <w:rPr>
                <w:rFonts w:hint="eastAsia" w:ascii="仿宋" w:hAnsi="仿宋" w:eastAsia="仿宋" w:cs="仿宋"/>
                <w:color w:val="auto"/>
                <w:sz w:val="21"/>
                <w:szCs w:val="21"/>
                <w:highlight w:val="none"/>
                <w:lang w:val="en-US" w:eastAsia="zh-CN"/>
              </w:rPr>
              <w:t>摇号</w:t>
            </w:r>
            <w:r>
              <w:rPr>
                <w:rFonts w:hint="eastAsia" w:ascii="仿宋" w:hAnsi="仿宋" w:eastAsia="仿宋" w:cs="仿宋"/>
                <w:color w:val="auto"/>
                <w:szCs w:val="21"/>
                <w:highlight w:val="none"/>
              </w:rPr>
              <w:t>抽取3个不同数值，3个数值的平均值即为下浮率k，k四舍五入精确到0.01%。</w:t>
            </w:r>
          </w:p>
          <w:p w14:paraId="139C492C">
            <w:pPr>
              <w:widowControl/>
              <w:spacing w:beforeLines="0" w:afterLines="0"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3.F1值：由</w:t>
            </w:r>
            <w:r>
              <w:rPr>
                <w:rFonts w:hint="eastAsia" w:ascii="仿宋" w:hAnsi="仿宋" w:eastAsia="仿宋" w:cs="仿宋"/>
                <w:color w:val="auto"/>
                <w:szCs w:val="21"/>
                <w:highlight w:val="none"/>
                <w:lang w:eastAsia="zh-CN"/>
              </w:rPr>
              <w:t>采购人</w:t>
            </w:r>
            <w:r>
              <w:rPr>
                <w:rFonts w:hint="eastAsia" w:ascii="仿宋" w:hAnsi="仿宋" w:eastAsia="仿宋" w:cs="仿宋"/>
                <w:color w:val="auto"/>
                <w:szCs w:val="21"/>
                <w:highlight w:val="none"/>
              </w:rPr>
              <w:t>在开标时通过</w:t>
            </w:r>
            <w:r>
              <w:rPr>
                <w:rFonts w:hint="eastAsia" w:ascii="仿宋" w:hAnsi="仿宋" w:eastAsia="仿宋" w:cs="仿宋"/>
                <w:color w:val="auto"/>
                <w:sz w:val="21"/>
                <w:szCs w:val="21"/>
                <w:highlight w:val="none"/>
                <w:lang w:val="en-US" w:eastAsia="zh-CN"/>
              </w:rPr>
              <w:t>摇号</w:t>
            </w:r>
            <w:r>
              <w:rPr>
                <w:rFonts w:hint="eastAsia" w:ascii="仿宋" w:hAnsi="仿宋" w:eastAsia="仿宋" w:cs="仿宋"/>
                <w:color w:val="auto"/>
                <w:szCs w:val="21"/>
                <w:highlight w:val="none"/>
              </w:rPr>
              <w:t>等方式，从【0.4、0.45、0.5、0.55、0.6、0.65、0.7、0.75、0.8】9个数字中抽取产生。</w:t>
            </w:r>
          </w:p>
          <w:p w14:paraId="43E7555A">
            <w:pPr>
              <w:widowControl/>
              <w:spacing w:beforeLines="0" w:afterLines="0" w:line="32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rPr>
              <w:t>4.投标报价等于基准价的，得满分；报价偏离评标基准价时应当扣除相应单位分值F值：投标报价低于该基准价的，每低于1%扣一定的分值（F1），投标价格高于该基准价的，每高出1%扣一定的分值（F2），其余采用直线插入法计算。</w:t>
            </w:r>
          </w:p>
        </w:tc>
      </w:tr>
      <w:tr w14:paraId="6CBE1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3" w:type="dxa"/>
            <w:vMerge w:val="continue"/>
            <w:tcBorders>
              <w:left w:val="single" w:color="auto" w:sz="4" w:space="0"/>
              <w:right w:val="single" w:color="auto" w:sz="4" w:space="0"/>
            </w:tcBorders>
            <w:noWrap w:val="0"/>
            <w:vAlign w:val="center"/>
          </w:tcPr>
          <w:p w14:paraId="539C2807">
            <w:pPr>
              <w:spacing w:beforeLines="0" w:afterLines="0" w:line="320" w:lineRule="exact"/>
              <w:jc w:val="center"/>
              <w:rPr>
                <w:rFonts w:hint="eastAsia" w:ascii="仿宋" w:hAnsi="仿宋" w:eastAsia="仿宋" w:cs="仿宋"/>
                <w:color w:val="auto"/>
                <w:sz w:val="21"/>
                <w:szCs w:val="21"/>
                <w:highlight w:val="none"/>
              </w:rPr>
            </w:pPr>
          </w:p>
        </w:tc>
        <w:tc>
          <w:tcPr>
            <w:tcW w:w="2187" w:type="dxa"/>
            <w:tcBorders>
              <w:top w:val="single" w:color="auto" w:sz="4" w:space="0"/>
              <w:left w:val="single" w:color="auto" w:sz="4" w:space="0"/>
              <w:bottom w:val="single" w:color="auto" w:sz="4" w:space="0"/>
              <w:right w:val="single" w:color="auto" w:sz="4" w:space="0"/>
            </w:tcBorders>
            <w:noWrap w:val="0"/>
            <w:vAlign w:val="center"/>
          </w:tcPr>
          <w:p w14:paraId="10FD0290">
            <w:pPr>
              <w:widowControl/>
              <w:spacing w:beforeLines="0" w:afterLines="0" w:line="320" w:lineRule="exac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评标基准价（Q值）</w:t>
            </w:r>
          </w:p>
          <w:p w14:paraId="510654F3">
            <w:pPr>
              <w:widowControl/>
              <w:spacing w:beforeLines="0" w:afterLines="0" w:line="320" w:lineRule="exact"/>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计算方法</w:t>
            </w:r>
          </w:p>
        </w:tc>
        <w:tc>
          <w:tcPr>
            <w:tcW w:w="6282" w:type="dxa"/>
            <w:tcBorders>
              <w:top w:val="single" w:color="auto" w:sz="4" w:space="0"/>
              <w:left w:val="single" w:color="auto" w:sz="4" w:space="0"/>
              <w:bottom w:val="single" w:color="auto" w:sz="4" w:space="0"/>
              <w:right w:val="single" w:color="auto" w:sz="4" w:space="0"/>
            </w:tcBorders>
            <w:noWrap w:val="0"/>
            <w:vAlign w:val="center"/>
          </w:tcPr>
          <w:p w14:paraId="5D6F0F35">
            <w:pPr>
              <w:widowControl/>
              <w:spacing w:beforeLines="0" w:afterLines="0" w:line="32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1.以合理平均值作为评标基准价的计算方法如下：</w:t>
            </w:r>
          </w:p>
          <w:p w14:paraId="29DFF70D">
            <w:pPr>
              <w:widowControl/>
              <w:spacing w:beforeLines="0" w:afterLines="0" w:line="32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合理平均值=招标控制价×（1-下浮率k），从</w:t>
            </w:r>
            <w:r>
              <w:rPr>
                <w:rFonts w:hint="eastAsia" w:ascii="仿宋" w:hAnsi="仿宋" w:eastAsia="仿宋" w:cs="仿宋"/>
                <w:color w:val="auto"/>
                <w:sz w:val="21"/>
                <w:szCs w:val="21"/>
                <w:highlight w:val="none"/>
                <w:u w:val="single"/>
                <w:lang w:val="en-US" w:eastAsia="zh-CN"/>
              </w:rPr>
              <w:t>5</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u w:val="single"/>
                <w:lang w:val="en-US" w:eastAsia="zh-CN"/>
              </w:rPr>
              <w:t>10</w:t>
            </w:r>
            <w:r>
              <w:rPr>
                <w:rFonts w:hint="eastAsia" w:ascii="仿宋" w:hAnsi="仿宋" w:eastAsia="仿宋" w:cs="仿宋"/>
                <w:color w:val="auto"/>
                <w:sz w:val="21"/>
                <w:szCs w:val="21"/>
                <w:highlight w:val="none"/>
                <w:lang w:val="en-US" w:eastAsia="zh-CN"/>
              </w:rPr>
              <w:t>%中（具体由采购人在5%～15%中确定，区间内跨度不小于5%），以0.2%为一档等差增序排号，一次性随机抽取3个不同数值，3个数值的平均值即为下浮率k。</w:t>
            </w:r>
          </w:p>
          <w:p w14:paraId="3F244A60">
            <w:pPr>
              <w:widowControl/>
              <w:spacing w:beforeLines="0" w:afterLines="0" w:line="32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2.以综合平均值作为评标基准价的计算方法如下：</w:t>
            </w:r>
          </w:p>
          <w:p w14:paraId="2AA2BE7A">
            <w:pPr>
              <w:widowControl/>
              <w:spacing w:beforeLines="0" w:afterLines="0" w:line="32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评标基准价=（A+B）/2，A值=招标控制价×（1-下浮率k），下浮率K按照合理平均值的确定方式执行。B值为所有有效投标报价算术平均值（当有效投标报价数量大于等于7家时，去掉一个最高报价和一个最低报价后进行算术平均）。</w:t>
            </w:r>
          </w:p>
          <w:p w14:paraId="65710297">
            <w:pPr>
              <w:widowControl/>
              <w:spacing w:beforeLines="0" w:afterLines="0" w:line="32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3.投标人的有效投标报价低于风险控制价的不参与评标基准价的计算，但仍参与经济标的计算。（如有）</w:t>
            </w:r>
          </w:p>
          <w:p w14:paraId="532AF774">
            <w:pPr>
              <w:widowControl/>
              <w:spacing w:beforeLines="0" w:afterLines="0" w:line="320" w:lineRule="exac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4.除计算错误外，评标基准价不因招标投标当事人异议、投诉、复核以及其他任何情形而改变。</w:t>
            </w:r>
          </w:p>
          <w:p w14:paraId="4D06D426">
            <w:pPr>
              <w:spacing w:beforeLines="0" w:afterLines="0" w:line="320" w:lineRule="exact"/>
              <w:rPr>
                <w:rFonts w:hint="eastAsia" w:ascii="仿宋" w:hAnsi="仿宋" w:eastAsia="仿宋" w:cs="仿宋"/>
                <w:color w:val="auto"/>
                <w:sz w:val="21"/>
                <w:szCs w:val="21"/>
                <w:highlight w:val="none"/>
                <w:lang w:val="en-US" w:eastAsia="zh-CN"/>
              </w:rPr>
            </w:pPr>
            <w:r>
              <w:rPr>
                <w:rFonts w:hint="eastAsia" w:ascii="仿宋" w:hAnsi="仿宋" w:eastAsia="仿宋" w:cs="仿宋"/>
                <w:b/>
                <w:color w:val="auto"/>
                <w:sz w:val="21"/>
                <w:szCs w:val="21"/>
                <w:highlight w:val="none"/>
              </w:rPr>
              <w:t>注：</w:t>
            </w:r>
            <w:r>
              <w:rPr>
                <w:rFonts w:hint="eastAsia" w:ascii="仿宋" w:hAnsi="仿宋" w:eastAsia="仿宋" w:cs="仿宋"/>
                <w:b/>
                <w:color w:val="auto"/>
                <w:sz w:val="21"/>
                <w:szCs w:val="21"/>
                <w:highlight w:val="none"/>
                <w:lang w:val="en-US" w:eastAsia="zh-CN"/>
              </w:rPr>
              <w:t>k四舍五入精确至0.01％，其它计算值四舍五入，保留两位有效小数</w:t>
            </w:r>
            <w:r>
              <w:rPr>
                <w:rFonts w:hint="eastAsia" w:ascii="仿宋" w:hAnsi="仿宋" w:eastAsia="仿宋" w:cs="仿宋"/>
                <w:b/>
                <w:color w:val="auto"/>
                <w:sz w:val="21"/>
                <w:szCs w:val="21"/>
                <w:highlight w:val="none"/>
              </w:rPr>
              <w:t>。</w:t>
            </w:r>
          </w:p>
        </w:tc>
      </w:tr>
      <w:tr w14:paraId="6ACA3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3" w:type="dxa"/>
            <w:vMerge w:val="continue"/>
            <w:tcBorders>
              <w:left w:val="single" w:color="auto" w:sz="4" w:space="0"/>
              <w:right w:val="single" w:color="auto" w:sz="4" w:space="0"/>
            </w:tcBorders>
            <w:noWrap w:val="0"/>
            <w:vAlign w:val="center"/>
          </w:tcPr>
          <w:p w14:paraId="725B4C69">
            <w:pPr>
              <w:spacing w:beforeLines="0" w:afterLines="0" w:line="320" w:lineRule="exact"/>
              <w:jc w:val="center"/>
              <w:rPr>
                <w:rFonts w:hint="eastAsia" w:ascii="仿宋" w:hAnsi="仿宋" w:eastAsia="仿宋" w:cs="仿宋"/>
                <w:color w:val="auto"/>
                <w:sz w:val="21"/>
                <w:szCs w:val="21"/>
                <w:highlight w:val="none"/>
              </w:rPr>
            </w:pPr>
          </w:p>
        </w:tc>
        <w:tc>
          <w:tcPr>
            <w:tcW w:w="2187" w:type="dxa"/>
            <w:tcBorders>
              <w:top w:val="single" w:color="auto" w:sz="4" w:space="0"/>
              <w:left w:val="single" w:color="auto" w:sz="4" w:space="0"/>
              <w:bottom w:val="single" w:color="auto" w:sz="4" w:space="0"/>
              <w:right w:val="single" w:color="auto" w:sz="4" w:space="0"/>
            </w:tcBorders>
            <w:noWrap w:val="0"/>
            <w:vAlign w:val="center"/>
          </w:tcPr>
          <w:p w14:paraId="43A73DB7">
            <w:pPr>
              <w:widowControl/>
              <w:spacing w:beforeLines="0" w:afterLines="0" w:line="320" w:lineRule="exac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投标报价的偏差率计算公式</w:t>
            </w:r>
          </w:p>
        </w:tc>
        <w:tc>
          <w:tcPr>
            <w:tcW w:w="6282" w:type="dxa"/>
            <w:tcBorders>
              <w:top w:val="single" w:color="auto" w:sz="4" w:space="0"/>
              <w:left w:val="single" w:color="auto" w:sz="4" w:space="0"/>
              <w:bottom w:val="single" w:color="auto" w:sz="4" w:space="0"/>
              <w:right w:val="single" w:color="auto" w:sz="4" w:space="0"/>
            </w:tcBorders>
            <w:noWrap w:val="0"/>
            <w:vAlign w:val="center"/>
          </w:tcPr>
          <w:p w14:paraId="4CE91D4D">
            <w:pPr>
              <w:spacing w:beforeLines="0" w:afterLines="0" w:line="320" w:lineRule="exact"/>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报价偏差率=100% ×（投标报价－评标基准价）÷评标基准价</w:t>
            </w:r>
          </w:p>
          <w:p w14:paraId="67DED498">
            <w:pPr>
              <w:spacing w:beforeLines="0" w:afterLines="0" w:line="320" w:lineRule="exact"/>
              <w:rPr>
                <w:rFonts w:hint="eastAsia" w:ascii="仿宋" w:hAnsi="仿宋" w:eastAsia="仿宋" w:cs="仿宋"/>
                <w:b/>
                <w:color w:val="auto"/>
                <w:sz w:val="21"/>
                <w:szCs w:val="21"/>
                <w:highlight w:val="none"/>
              </w:rPr>
            </w:pPr>
            <w:r>
              <w:rPr>
                <w:rFonts w:hint="eastAsia" w:ascii="仿宋" w:hAnsi="仿宋" w:eastAsia="仿宋" w:cs="仿宋"/>
                <w:color w:val="auto"/>
                <w:sz w:val="21"/>
                <w:szCs w:val="21"/>
                <w:highlight w:val="none"/>
              </w:rPr>
              <w:t>注：计算值保留两位有效小数，第三位小数四舍五入。</w:t>
            </w:r>
          </w:p>
        </w:tc>
      </w:tr>
      <w:tr w14:paraId="35BA9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3" w:type="dxa"/>
            <w:vMerge w:val="continue"/>
            <w:tcBorders>
              <w:left w:val="single" w:color="auto" w:sz="4" w:space="0"/>
              <w:bottom w:val="single" w:color="auto" w:sz="4" w:space="0"/>
              <w:right w:val="single" w:color="auto" w:sz="4" w:space="0"/>
            </w:tcBorders>
            <w:noWrap w:val="0"/>
            <w:vAlign w:val="center"/>
          </w:tcPr>
          <w:p w14:paraId="53489043">
            <w:pPr>
              <w:spacing w:beforeLines="0" w:afterLines="0" w:line="320" w:lineRule="exact"/>
              <w:jc w:val="center"/>
              <w:rPr>
                <w:rFonts w:hint="eastAsia" w:ascii="仿宋" w:hAnsi="仿宋" w:eastAsia="仿宋" w:cs="仿宋"/>
                <w:color w:val="auto"/>
                <w:sz w:val="21"/>
                <w:szCs w:val="21"/>
                <w:highlight w:val="none"/>
              </w:rPr>
            </w:pPr>
          </w:p>
        </w:tc>
        <w:tc>
          <w:tcPr>
            <w:tcW w:w="2187" w:type="dxa"/>
            <w:tcBorders>
              <w:top w:val="single" w:color="auto" w:sz="4" w:space="0"/>
              <w:left w:val="single" w:color="auto" w:sz="4" w:space="0"/>
              <w:bottom w:val="single" w:color="auto" w:sz="4" w:space="0"/>
              <w:right w:val="single" w:color="auto" w:sz="4" w:space="0"/>
            </w:tcBorders>
            <w:noWrap w:val="0"/>
            <w:vAlign w:val="center"/>
          </w:tcPr>
          <w:p w14:paraId="4DA3E56B">
            <w:pPr>
              <w:spacing w:beforeLines="0" w:afterLines="0" w:line="320" w:lineRule="exact"/>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报价得分计算公式</w:t>
            </w:r>
          </w:p>
        </w:tc>
        <w:tc>
          <w:tcPr>
            <w:tcW w:w="6282" w:type="dxa"/>
            <w:tcBorders>
              <w:top w:val="single" w:color="auto" w:sz="4" w:space="0"/>
              <w:left w:val="single" w:color="auto" w:sz="4" w:space="0"/>
              <w:bottom w:val="single" w:color="auto" w:sz="4" w:space="0"/>
              <w:right w:val="single" w:color="auto" w:sz="4" w:space="0"/>
            </w:tcBorders>
            <w:noWrap w:val="0"/>
            <w:vAlign w:val="top"/>
          </w:tcPr>
          <w:p w14:paraId="43B5D533">
            <w:pPr>
              <w:spacing w:beforeLines="0" w:after="0" w:afterLines="0" w:line="24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报价得分：M＝N-100 ×(｜P-Q｜÷Q）×F</w:t>
            </w:r>
          </w:p>
          <w:p w14:paraId="41A3AE36">
            <w:pPr>
              <w:spacing w:beforeLines="0" w:afterLines="0" w:line="32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其中 N（分）：投标报价权重分值，为</w:t>
            </w:r>
            <w:r>
              <w:rPr>
                <w:rFonts w:hint="eastAsia" w:ascii="仿宋" w:hAnsi="仿宋" w:eastAsia="仿宋" w:cs="仿宋"/>
                <w:color w:val="auto"/>
                <w:sz w:val="21"/>
                <w:szCs w:val="21"/>
                <w:highlight w:val="none"/>
                <w:u w:val="single"/>
                <w:lang w:val="en-US" w:eastAsia="zh-CN"/>
              </w:rPr>
              <w:t>20</w:t>
            </w:r>
            <w:r>
              <w:rPr>
                <w:rFonts w:hint="eastAsia" w:ascii="仿宋" w:hAnsi="仿宋" w:eastAsia="仿宋" w:cs="仿宋"/>
                <w:color w:val="auto"/>
                <w:sz w:val="21"/>
                <w:szCs w:val="21"/>
                <w:highlight w:val="none"/>
                <w:u w:val="single"/>
              </w:rPr>
              <w:t>分</w:t>
            </w:r>
            <w:r>
              <w:rPr>
                <w:rFonts w:hint="eastAsia" w:ascii="仿宋" w:hAnsi="仿宋" w:eastAsia="仿宋" w:cs="仿宋"/>
                <w:color w:val="auto"/>
                <w:sz w:val="21"/>
                <w:szCs w:val="21"/>
                <w:highlight w:val="none"/>
              </w:rPr>
              <w:t>；</w:t>
            </w:r>
          </w:p>
          <w:p w14:paraId="485A571A">
            <w:pPr>
              <w:spacing w:beforeLines="0" w:afterLines="0" w:line="32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P（元）：投标文件通过初步评审的有效投标报价；</w:t>
            </w:r>
          </w:p>
          <w:p w14:paraId="638674C0">
            <w:pPr>
              <w:spacing w:beforeLines="0" w:afterLines="0" w:line="32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Q（元）：评标基准价；</w:t>
            </w:r>
          </w:p>
          <w:p w14:paraId="48EAF7A4">
            <w:pPr>
              <w:spacing w:beforeLines="0" w:afterLines="0" w:line="32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F：偏离扣分分值，F2＝</w:t>
            </w:r>
            <w:r>
              <w:rPr>
                <w:rFonts w:hint="eastAsia" w:ascii="仿宋" w:hAnsi="仿宋" w:eastAsia="仿宋" w:cs="仿宋"/>
                <w:color w:val="auto"/>
                <w:sz w:val="21"/>
                <w:szCs w:val="21"/>
                <w:highlight w:val="none"/>
                <w:u w:val="single"/>
                <w:lang w:val="en-US" w:eastAsia="zh-CN"/>
              </w:rPr>
              <w:t>2</w:t>
            </w:r>
            <w:r>
              <w:rPr>
                <w:rFonts w:hint="eastAsia" w:ascii="仿宋" w:hAnsi="仿宋" w:eastAsia="仿宋" w:cs="仿宋"/>
                <w:color w:val="auto"/>
                <w:sz w:val="21"/>
                <w:szCs w:val="21"/>
                <w:highlight w:val="none"/>
              </w:rPr>
              <w:t>F1（F2≥2F1）。</w:t>
            </w:r>
          </w:p>
          <w:p w14:paraId="4B8A518D">
            <w:pPr>
              <w:spacing w:beforeLines="0" w:afterLines="0" w:line="32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F1值由</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在开标时通过摇</w:t>
            </w:r>
            <w:r>
              <w:rPr>
                <w:rFonts w:hint="eastAsia" w:ascii="仿宋" w:hAnsi="仿宋" w:eastAsia="仿宋" w:cs="仿宋"/>
                <w:color w:val="auto"/>
                <w:sz w:val="21"/>
                <w:szCs w:val="21"/>
                <w:highlight w:val="none"/>
                <w:lang w:val="en-US" w:eastAsia="zh-CN"/>
              </w:rPr>
              <w:t>号</w:t>
            </w:r>
            <w:r>
              <w:rPr>
                <w:rFonts w:hint="eastAsia" w:ascii="仿宋" w:hAnsi="仿宋" w:eastAsia="仿宋" w:cs="仿宋"/>
                <w:color w:val="auto"/>
                <w:sz w:val="21"/>
                <w:szCs w:val="21"/>
                <w:highlight w:val="none"/>
              </w:rPr>
              <w:t>的方式，从0.4至0.8（以0.05递增）中随机抽取产生。</w:t>
            </w:r>
          </w:p>
          <w:p w14:paraId="59840402">
            <w:pPr>
              <w:spacing w:beforeLines="0" w:afterLines="0" w:line="240" w:lineRule="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注：计算值按四舍五入法保留两位有效小数，本项最低得分为0分。</w:t>
            </w:r>
          </w:p>
        </w:tc>
      </w:tr>
    </w:tbl>
    <w:p w14:paraId="36929710">
      <w:pPr>
        <w:keepNext/>
        <w:keepLines/>
        <w:pageBreakBefore/>
        <w:widowControl w:val="0"/>
        <w:kinsoku/>
        <w:wordWrap/>
        <w:overflowPunct/>
        <w:topLinePunct w:val="0"/>
        <w:autoSpaceDE/>
        <w:autoSpaceDN/>
        <w:bidi w:val="0"/>
        <w:adjustRightInd/>
        <w:snapToGrid/>
        <w:spacing w:before="78" w:line="212" w:lineRule="auto"/>
        <w:ind w:left="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pacing w:val="-11"/>
          <w:sz w:val="24"/>
          <w:szCs w:val="24"/>
          <w:highlight w:val="none"/>
        </w:rPr>
        <w:t>附表</w:t>
      </w:r>
      <w:r>
        <w:rPr>
          <w:rFonts w:hint="eastAsia" w:ascii="仿宋" w:hAnsi="仿宋" w:eastAsia="仿宋" w:cs="仿宋"/>
          <w:color w:val="auto"/>
          <w:spacing w:val="-51"/>
          <w:sz w:val="24"/>
          <w:szCs w:val="24"/>
          <w:highlight w:val="none"/>
        </w:rPr>
        <w:t xml:space="preserve"> </w:t>
      </w:r>
      <w:r>
        <w:rPr>
          <w:rFonts w:hint="eastAsia" w:ascii="仿宋" w:hAnsi="仿宋" w:eastAsia="仿宋" w:cs="仿宋"/>
          <w:b/>
          <w:bCs/>
          <w:color w:val="auto"/>
          <w:spacing w:val="-11"/>
          <w:sz w:val="24"/>
          <w:szCs w:val="24"/>
          <w:highlight w:val="none"/>
          <w:lang w:val="en-US" w:eastAsia="zh-CN"/>
        </w:rPr>
        <w:t>1</w:t>
      </w:r>
      <w:r>
        <w:rPr>
          <w:rFonts w:hint="eastAsia" w:ascii="仿宋" w:hAnsi="仿宋" w:eastAsia="仿宋" w:cs="仿宋"/>
          <w:b/>
          <w:bCs/>
          <w:color w:val="auto"/>
          <w:spacing w:val="-11"/>
          <w:sz w:val="24"/>
          <w:szCs w:val="24"/>
          <w:highlight w:val="none"/>
        </w:rPr>
        <w:t>：评标基准价（Q</w:t>
      </w:r>
      <w:r>
        <w:rPr>
          <w:rFonts w:hint="eastAsia" w:ascii="仿宋" w:hAnsi="仿宋" w:eastAsia="仿宋" w:cs="仿宋"/>
          <w:color w:val="auto"/>
          <w:spacing w:val="-55"/>
          <w:sz w:val="24"/>
          <w:szCs w:val="24"/>
          <w:highlight w:val="none"/>
        </w:rPr>
        <w:t xml:space="preserve"> </w:t>
      </w:r>
      <w:r>
        <w:rPr>
          <w:rFonts w:hint="eastAsia" w:ascii="仿宋" w:hAnsi="仿宋" w:eastAsia="仿宋" w:cs="仿宋"/>
          <w:b/>
          <w:bCs/>
          <w:color w:val="auto"/>
          <w:spacing w:val="-11"/>
          <w:sz w:val="24"/>
          <w:szCs w:val="24"/>
          <w:highlight w:val="none"/>
        </w:rPr>
        <w:t>值）计算方法</w:t>
      </w:r>
    </w:p>
    <w:tbl>
      <w:tblPr>
        <w:tblStyle w:val="180"/>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1"/>
        <w:gridCol w:w="3582"/>
        <w:gridCol w:w="4035"/>
      </w:tblGrid>
      <w:tr w14:paraId="2F695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741" w:type="dxa"/>
            <w:noWrap w:val="0"/>
            <w:vAlign w:val="top"/>
          </w:tcPr>
          <w:p w14:paraId="59444EDD">
            <w:pPr>
              <w:pStyle w:val="179"/>
              <w:spacing w:before="76" w:line="221" w:lineRule="auto"/>
              <w:ind w:left="0"/>
              <w:jc w:val="center"/>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8"/>
                <w:sz w:val="24"/>
                <w:szCs w:val="24"/>
                <w:highlight w:val="none"/>
              </w:rPr>
              <w:t>球号</w:t>
            </w:r>
          </w:p>
        </w:tc>
        <w:tc>
          <w:tcPr>
            <w:tcW w:w="3582" w:type="dxa"/>
            <w:noWrap w:val="0"/>
            <w:vAlign w:val="top"/>
          </w:tcPr>
          <w:p w14:paraId="09D00726">
            <w:pPr>
              <w:pStyle w:val="179"/>
              <w:spacing w:before="113" w:line="184" w:lineRule="auto"/>
              <w:jc w:val="center"/>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7"/>
                <w:sz w:val="24"/>
                <w:szCs w:val="24"/>
                <w:highlight w:val="none"/>
              </w:rPr>
              <w:t>1</w:t>
            </w:r>
          </w:p>
        </w:tc>
        <w:tc>
          <w:tcPr>
            <w:tcW w:w="4035" w:type="dxa"/>
            <w:noWrap w:val="0"/>
            <w:vAlign w:val="top"/>
          </w:tcPr>
          <w:p w14:paraId="71E2C6EC">
            <w:pPr>
              <w:pStyle w:val="179"/>
              <w:spacing w:before="114" w:line="183" w:lineRule="auto"/>
              <w:jc w:val="center"/>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7"/>
                <w:sz w:val="24"/>
                <w:szCs w:val="24"/>
                <w:highlight w:val="none"/>
              </w:rPr>
              <w:t>2</w:t>
            </w:r>
          </w:p>
        </w:tc>
      </w:tr>
      <w:tr w14:paraId="43ABC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jc w:val="center"/>
        </w:trPr>
        <w:tc>
          <w:tcPr>
            <w:tcW w:w="1741" w:type="dxa"/>
            <w:noWrap w:val="0"/>
            <w:vAlign w:val="center"/>
          </w:tcPr>
          <w:p w14:paraId="6962F77F">
            <w:pPr>
              <w:pStyle w:val="179"/>
              <w:spacing w:before="78" w:line="218" w:lineRule="auto"/>
              <w:ind w:left="158"/>
              <w:jc w:val="both"/>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4"/>
                <w:sz w:val="24"/>
                <w:szCs w:val="24"/>
                <w:highlight w:val="none"/>
              </w:rPr>
              <w:t>评标基准价计</w:t>
            </w:r>
          </w:p>
          <w:p w14:paraId="30E70574">
            <w:pPr>
              <w:pStyle w:val="179"/>
              <w:spacing w:before="29" w:line="219" w:lineRule="auto"/>
              <w:ind w:left="521"/>
              <w:jc w:val="both"/>
              <w:outlineLvl w:val="1"/>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6"/>
                <w:sz w:val="24"/>
                <w:szCs w:val="24"/>
                <w:highlight w:val="none"/>
              </w:rPr>
              <w:t>算办法</w:t>
            </w:r>
          </w:p>
        </w:tc>
        <w:tc>
          <w:tcPr>
            <w:tcW w:w="3582" w:type="dxa"/>
            <w:noWrap w:val="0"/>
            <w:vAlign w:val="center"/>
          </w:tcPr>
          <w:p w14:paraId="26FD9B4C">
            <w:pPr>
              <w:pStyle w:val="179"/>
              <w:spacing w:before="78" w:line="219" w:lineRule="auto"/>
              <w:ind w:left="1086"/>
              <w:jc w:val="both"/>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合理平均值法</w:t>
            </w:r>
          </w:p>
        </w:tc>
        <w:tc>
          <w:tcPr>
            <w:tcW w:w="4035" w:type="dxa"/>
            <w:noWrap w:val="0"/>
            <w:vAlign w:val="center"/>
          </w:tcPr>
          <w:p w14:paraId="6C3B96A6">
            <w:pPr>
              <w:pStyle w:val="179"/>
              <w:spacing w:before="78" w:line="219" w:lineRule="auto"/>
              <w:ind w:left="1313"/>
              <w:jc w:val="both"/>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综合平均值法</w:t>
            </w:r>
          </w:p>
        </w:tc>
      </w:tr>
    </w:tbl>
    <w:p w14:paraId="57CEE8A3">
      <w:pPr>
        <w:pStyle w:val="2"/>
        <w:ind w:firstLine="1470" w:firstLineChars="700"/>
        <w:jc w:val="center"/>
        <w:rPr>
          <w:rFonts w:hint="eastAsia" w:ascii="仿宋" w:hAnsi="仿宋" w:eastAsia="仿宋" w:cs="仿宋"/>
          <w:color w:val="auto"/>
          <w:highlight w:val="none"/>
        </w:rPr>
      </w:pPr>
    </w:p>
    <w:p w14:paraId="21F483D1">
      <w:pPr>
        <w:pStyle w:val="2"/>
        <w:ind w:firstLine="1533" w:firstLineChars="700"/>
        <w:jc w:val="center"/>
        <w:rPr>
          <w:rFonts w:hint="eastAsia" w:ascii="仿宋" w:hAnsi="仿宋" w:eastAsia="仿宋" w:cs="仿宋"/>
          <w:b/>
          <w:bCs/>
          <w:color w:val="auto"/>
          <w:spacing w:val="-11"/>
          <w:sz w:val="24"/>
          <w:szCs w:val="24"/>
          <w:highlight w:val="none"/>
        </w:rPr>
      </w:pPr>
    </w:p>
    <w:p w14:paraId="5C7FD632">
      <w:pPr>
        <w:pStyle w:val="2"/>
        <w:ind w:firstLine="0" w:firstLineChars="0"/>
        <w:jc w:val="left"/>
        <w:rPr>
          <w:rFonts w:hint="eastAsia" w:ascii="仿宋" w:hAnsi="仿宋" w:eastAsia="仿宋" w:cs="仿宋"/>
          <w:b/>
          <w:bCs/>
          <w:color w:val="auto"/>
          <w:spacing w:val="-11"/>
          <w:sz w:val="24"/>
          <w:szCs w:val="24"/>
          <w:highlight w:val="none"/>
        </w:rPr>
      </w:pPr>
      <w:r>
        <w:rPr>
          <w:rFonts w:hint="eastAsia" w:ascii="仿宋" w:hAnsi="仿宋" w:eastAsia="仿宋" w:cs="仿宋"/>
          <w:b/>
          <w:bCs/>
          <w:color w:val="auto"/>
          <w:spacing w:val="-11"/>
          <w:sz w:val="24"/>
          <w:szCs w:val="24"/>
          <w:highlight w:val="none"/>
        </w:rPr>
        <w:t>附表</w:t>
      </w:r>
      <w:r>
        <w:rPr>
          <w:rFonts w:hint="eastAsia" w:ascii="仿宋" w:hAnsi="仿宋" w:eastAsia="仿宋" w:cs="仿宋"/>
          <w:b/>
          <w:bCs/>
          <w:color w:val="auto"/>
          <w:spacing w:val="-33"/>
          <w:sz w:val="24"/>
          <w:szCs w:val="24"/>
          <w:highlight w:val="none"/>
          <w:lang w:val="en-US" w:eastAsia="zh-CN"/>
        </w:rPr>
        <w:t>2</w:t>
      </w:r>
      <w:r>
        <w:rPr>
          <w:rFonts w:hint="eastAsia" w:ascii="仿宋" w:hAnsi="仿宋" w:eastAsia="仿宋" w:cs="仿宋"/>
          <w:b/>
          <w:bCs/>
          <w:color w:val="auto"/>
          <w:spacing w:val="-11"/>
          <w:sz w:val="24"/>
          <w:szCs w:val="24"/>
          <w:highlight w:val="none"/>
        </w:rPr>
        <w:t>：下浮率</w:t>
      </w:r>
      <w:r>
        <w:rPr>
          <w:rFonts w:hint="eastAsia" w:ascii="仿宋" w:hAnsi="仿宋" w:eastAsia="仿宋" w:cs="仿宋"/>
          <w:color w:val="auto"/>
          <w:spacing w:val="-11"/>
          <w:sz w:val="24"/>
          <w:szCs w:val="24"/>
          <w:highlight w:val="none"/>
        </w:rPr>
        <w:t xml:space="preserve"> </w:t>
      </w:r>
      <w:r>
        <w:rPr>
          <w:rFonts w:hint="eastAsia" w:ascii="仿宋" w:hAnsi="仿宋" w:eastAsia="仿宋" w:cs="仿宋"/>
          <w:b/>
          <w:bCs/>
          <w:color w:val="auto"/>
          <w:spacing w:val="-11"/>
          <w:sz w:val="24"/>
          <w:szCs w:val="24"/>
          <w:highlight w:val="none"/>
        </w:rPr>
        <w:t>k</w:t>
      </w:r>
      <w:r>
        <w:rPr>
          <w:rFonts w:hint="eastAsia" w:ascii="仿宋" w:hAnsi="仿宋" w:eastAsia="仿宋" w:cs="仿宋"/>
          <w:color w:val="auto"/>
          <w:spacing w:val="-11"/>
          <w:sz w:val="24"/>
          <w:szCs w:val="24"/>
          <w:highlight w:val="none"/>
        </w:rPr>
        <w:t xml:space="preserve"> </w:t>
      </w:r>
      <w:r>
        <w:rPr>
          <w:rFonts w:hint="eastAsia" w:ascii="仿宋" w:hAnsi="仿宋" w:eastAsia="仿宋" w:cs="仿宋"/>
          <w:b/>
          <w:bCs/>
          <w:color w:val="auto"/>
          <w:spacing w:val="-11"/>
          <w:sz w:val="24"/>
          <w:szCs w:val="24"/>
          <w:highlight w:val="none"/>
        </w:rPr>
        <w:t>取值范围</w:t>
      </w:r>
    </w:p>
    <w:tbl>
      <w:tblPr>
        <w:tblStyle w:val="180"/>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6"/>
        <w:gridCol w:w="1190"/>
        <w:gridCol w:w="1190"/>
        <w:gridCol w:w="1190"/>
        <w:gridCol w:w="1191"/>
        <w:gridCol w:w="1158"/>
        <w:gridCol w:w="1270"/>
        <w:gridCol w:w="1155"/>
      </w:tblGrid>
      <w:tr w14:paraId="0C602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jc w:val="center"/>
        </w:trPr>
        <w:tc>
          <w:tcPr>
            <w:tcW w:w="1216" w:type="dxa"/>
            <w:noWrap w:val="0"/>
            <w:vAlign w:val="top"/>
          </w:tcPr>
          <w:p w14:paraId="35AA2542">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球</w:t>
            </w:r>
            <w:r>
              <w:rPr>
                <w:rFonts w:hint="eastAsia" w:ascii="仿宋" w:hAnsi="仿宋" w:eastAsia="仿宋" w:cs="仿宋"/>
                <w:color w:val="auto"/>
                <w:spacing w:val="0"/>
                <w:sz w:val="24"/>
                <w:szCs w:val="24"/>
                <w:highlight w:val="none"/>
              </w:rPr>
              <w:t>号</w:t>
            </w:r>
          </w:p>
        </w:tc>
        <w:tc>
          <w:tcPr>
            <w:tcW w:w="1190" w:type="dxa"/>
            <w:noWrap w:val="0"/>
            <w:vAlign w:val="top"/>
          </w:tcPr>
          <w:p w14:paraId="2BD5D65C">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190" w:type="dxa"/>
            <w:noWrap w:val="0"/>
            <w:vAlign w:val="top"/>
          </w:tcPr>
          <w:p w14:paraId="1F12A4B2">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190" w:type="dxa"/>
            <w:noWrap w:val="0"/>
            <w:vAlign w:val="top"/>
          </w:tcPr>
          <w:p w14:paraId="160ADE8D">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191" w:type="dxa"/>
            <w:noWrap w:val="0"/>
            <w:vAlign w:val="top"/>
          </w:tcPr>
          <w:p w14:paraId="7CFC877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158" w:type="dxa"/>
            <w:noWrap w:val="0"/>
            <w:vAlign w:val="top"/>
          </w:tcPr>
          <w:p w14:paraId="310CF53B">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270" w:type="dxa"/>
            <w:noWrap w:val="0"/>
            <w:vAlign w:val="top"/>
          </w:tcPr>
          <w:p w14:paraId="0E2DECF2">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155" w:type="dxa"/>
            <w:noWrap w:val="0"/>
            <w:vAlign w:val="top"/>
          </w:tcPr>
          <w:p w14:paraId="6746652C">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r>
      <w:tr w14:paraId="6930E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1216" w:type="dxa"/>
            <w:noWrap w:val="0"/>
            <w:vAlign w:val="top"/>
          </w:tcPr>
          <w:p w14:paraId="4C0CE3D2">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代表值</w:t>
            </w:r>
          </w:p>
        </w:tc>
        <w:tc>
          <w:tcPr>
            <w:tcW w:w="1190" w:type="dxa"/>
            <w:noWrap w:val="0"/>
            <w:vAlign w:val="top"/>
          </w:tcPr>
          <w:p w14:paraId="6B9EE253">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5.00</w:t>
            </w:r>
            <w:r>
              <w:rPr>
                <w:rFonts w:hint="eastAsia" w:ascii="仿宋" w:hAnsi="仿宋" w:eastAsia="仿宋" w:cs="仿宋"/>
                <w:color w:val="auto"/>
                <w:spacing w:val="0"/>
                <w:sz w:val="24"/>
                <w:szCs w:val="24"/>
                <w:highlight w:val="none"/>
              </w:rPr>
              <w:t>%</w:t>
            </w:r>
          </w:p>
        </w:tc>
        <w:tc>
          <w:tcPr>
            <w:tcW w:w="1190" w:type="dxa"/>
            <w:noWrap w:val="0"/>
            <w:vAlign w:val="top"/>
          </w:tcPr>
          <w:p w14:paraId="776B74F3">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5</w:t>
            </w:r>
            <w:r>
              <w:rPr>
                <w:rFonts w:hint="eastAsia" w:ascii="仿宋" w:hAnsi="仿宋" w:eastAsia="仿宋" w:cs="仿宋"/>
                <w:color w:val="auto"/>
                <w:spacing w:val="0"/>
                <w:sz w:val="24"/>
                <w:szCs w:val="24"/>
                <w:highlight w:val="none"/>
              </w:rPr>
              <w:t>.2</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0" w:type="dxa"/>
            <w:noWrap w:val="0"/>
            <w:vAlign w:val="top"/>
          </w:tcPr>
          <w:p w14:paraId="6E535C9F">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5</w:t>
            </w:r>
            <w:r>
              <w:rPr>
                <w:rFonts w:hint="eastAsia" w:ascii="仿宋" w:hAnsi="仿宋" w:eastAsia="仿宋" w:cs="仿宋"/>
                <w:color w:val="auto"/>
                <w:spacing w:val="0"/>
                <w:sz w:val="24"/>
                <w:szCs w:val="24"/>
                <w:highlight w:val="none"/>
              </w:rPr>
              <w:t>.4</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1" w:type="dxa"/>
            <w:noWrap w:val="0"/>
            <w:vAlign w:val="top"/>
          </w:tcPr>
          <w:p w14:paraId="4A307977">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5</w:t>
            </w:r>
            <w:r>
              <w:rPr>
                <w:rFonts w:hint="eastAsia" w:ascii="仿宋" w:hAnsi="仿宋" w:eastAsia="仿宋" w:cs="仿宋"/>
                <w:color w:val="auto"/>
                <w:spacing w:val="0"/>
                <w:sz w:val="24"/>
                <w:szCs w:val="24"/>
                <w:highlight w:val="none"/>
              </w:rPr>
              <w:t>.6</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58" w:type="dxa"/>
            <w:noWrap w:val="0"/>
            <w:vAlign w:val="top"/>
          </w:tcPr>
          <w:p w14:paraId="0876AE67">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5</w:t>
            </w:r>
            <w:r>
              <w:rPr>
                <w:rFonts w:hint="eastAsia" w:ascii="仿宋" w:hAnsi="仿宋" w:eastAsia="仿宋" w:cs="仿宋"/>
                <w:color w:val="auto"/>
                <w:spacing w:val="0"/>
                <w:sz w:val="24"/>
                <w:szCs w:val="24"/>
                <w:highlight w:val="none"/>
              </w:rPr>
              <w:t>.8</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270" w:type="dxa"/>
            <w:noWrap w:val="0"/>
            <w:vAlign w:val="top"/>
          </w:tcPr>
          <w:p w14:paraId="7ED0E9F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.0</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55" w:type="dxa"/>
            <w:noWrap w:val="0"/>
            <w:vAlign w:val="top"/>
          </w:tcPr>
          <w:p w14:paraId="7D2E2D5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.2</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r>
      <w:tr w14:paraId="4E7A5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1216" w:type="dxa"/>
            <w:noWrap w:val="0"/>
            <w:vAlign w:val="top"/>
          </w:tcPr>
          <w:p w14:paraId="132FFE69">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球</w:t>
            </w:r>
            <w:r>
              <w:rPr>
                <w:rFonts w:hint="eastAsia" w:ascii="仿宋" w:hAnsi="仿宋" w:eastAsia="仿宋" w:cs="仿宋"/>
                <w:color w:val="auto"/>
                <w:spacing w:val="0"/>
                <w:sz w:val="24"/>
                <w:szCs w:val="24"/>
                <w:highlight w:val="none"/>
              </w:rPr>
              <w:t>号</w:t>
            </w:r>
          </w:p>
        </w:tc>
        <w:tc>
          <w:tcPr>
            <w:tcW w:w="1190" w:type="dxa"/>
            <w:noWrap w:val="0"/>
            <w:vAlign w:val="top"/>
          </w:tcPr>
          <w:p w14:paraId="41BBF5ED">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1190" w:type="dxa"/>
            <w:noWrap w:val="0"/>
            <w:vAlign w:val="top"/>
          </w:tcPr>
          <w:p w14:paraId="55ADA304">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p>
        </w:tc>
        <w:tc>
          <w:tcPr>
            <w:tcW w:w="1190" w:type="dxa"/>
            <w:noWrap w:val="0"/>
            <w:vAlign w:val="top"/>
          </w:tcPr>
          <w:p w14:paraId="0AAE8CD1">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10</w:t>
            </w:r>
          </w:p>
        </w:tc>
        <w:tc>
          <w:tcPr>
            <w:tcW w:w="1191" w:type="dxa"/>
            <w:noWrap w:val="0"/>
            <w:vAlign w:val="top"/>
          </w:tcPr>
          <w:p w14:paraId="1722FC2E">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11</w:t>
            </w:r>
          </w:p>
        </w:tc>
        <w:tc>
          <w:tcPr>
            <w:tcW w:w="1158" w:type="dxa"/>
            <w:noWrap w:val="0"/>
            <w:vAlign w:val="top"/>
          </w:tcPr>
          <w:p w14:paraId="1B0A0B75">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12</w:t>
            </w:r>
          </w:p>
        </w:tc>
        <w:tc>
          <w:tcPr>
            <w:tcW w:w="1270" w:type="dxa"/>
            <w:noWrap w:val="0"/>
            <w:vAlign w:val="top"/>
          </w:tcPr>
          <w:p w14:paraId="3D029B4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13</w:t>
            </w:r>
          </w:p>
        </w:tc>
        <w:tc>
          <w:tcPr>
            <w:tcW w:w="1155" w:type="dxa"/>
            <w:noWrap w:val="0"/>
            <w:vAlign w:val="top"/>
          </w:tcPr>
          <w:p w14:paraId="35893A1C">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14</w:t>
            </w:r>
          </w:p>
        </w:tc>
      </w:tr>
      <w:tr w14:paraId="03296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216" w:type="dxa"/>
            <w:noWrap w:val="0"/>
            <w:vAlign w:val="top"/>
          </w:tcPr>
          <w:p w14:paraId="2817B018">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代表值</w:t>
            </w:r>
          </w:p>
        </w:tc>
        <w:tc>
          <w:tcPr>
            <w:tcW w:w="1190" w:type="dxa"/>
            <w:noWrap w:val="0"/>
            <w:vAlign w:val="top"/>
          </w:tcPr>
          <w:p w14:paraId="093FF244">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.4</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0" w:type="dxa"/>
            <w:noWrap w:val="0"/>
            <w:vAlign w:val="top"/>
          </w:tcPr>
          <w:p w14:paraId="4C00902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.6</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0" w:type="dxa"/>
            <w:noWrap w:val="0"/>
            <w:vAlign w:val="top"/>
          </w:tcPr>
          <w:p w14:paraId="57C89EA5">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6</w:t>
            </w:r>
            <w:r>
              <w:rPr>
                <w:rFonts w:hint="eastAsia" w:ascii="仿宋" w:hAnsi="仿宋" w:eastAsia="仿宋" w:cs="仿宋"/>
                <w:color w:val="auto"/>
                <w:spacing w:val="0"/>
                <w:sz w:val="24"/>
                <w:szCs w:val="24"/>
                <w:highlight w:val="none"/>
              </w:rPr>
              <w:t>.8</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1" w:type="dxa"/>
            <w:noWrap w:val="0"/>
            <w:vAlign w:val="top"/>
          </w:tcPr>
          <w:p w14:paraId="4945BC03">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7</w:t>
            </w:r>
            <w:r>
              <w:rPr>
                <w:rFonts w:hint="eastAsia" w:ascii="仿宋" w:hAnsi="仿宋" w:eastAsia="仿宋" w:cs="仿宋"/>
                <w:color w:val="auto"/>
                <w:spacing w:val="0"/>
                <w:sz w:val="24"/>
                <w:szCs w:val="24"/>
                <w:highlight w:val="none"/>
              </w:rPr>
              <w:t>.0</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58" w:type="dxa"/>
            <w:noWrap w:val="0"/>
            <w:vAlign w:val="top"/>
          </w:tcPr>
          <w:p w14:paraId="71D76A2B">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7</w:t>
            </w:r>
            <w:r>
              <w:rPr>
                <w:rFonts w:hint="eastAsia" w:ascii="仿宋" w:hAnsi="仿宋" w:eastAsia="仿宋" w:cs="仿宋"/>
                <w:color w:val="auto"/>
                <w:spacing w:val="0"/>
                <w:sz w:val="24"/>
                <w:szCs w:val="24"/>
                <w:highlight w:val="none"/>
              </w:rPr>
              <w:t>.2</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270" w:type="dxa"/>
            <w:noWrap w:val="0"/>
            <w:vAlign w:val="top"/>
          </w:tcPr>
          <w:p w14:paraId="3ADF437B">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7</w:t>
            </w:r>
            <w:r>
              <w:rPr>
                <w:rFonts w:hint="eastAsia" w:ascii="仿宋" w:hAnsi="仿宋" w:eastAsia="仿宋" w:cs="仿宋"/>
                <w:color w:val="auto"/>
                <w:spacing w:val="0"/>
                <w:sz w:val="24"/>
                <w:szCs w:val="24"/>
                <w:highlight w:val="none"/>
              </w:rPr>
              <w:t>.4</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55" w:type="dxa"/>
            <w:noWrap w:val="0"/>
            <w:vAlign w:val="top"/>
          </w:tcPr>
          <w:p w14:paraId="1D8053B7">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7</w:t>
            </w:r>
            <w:r>
              <w:rPr>
                <w:rFonts w:hint="eastAsia" w:ascii="仿宋" w:hAnsi="仿宋" w:eastAsia="仿宋" w:cs="仿宋"/>
                <w:color w:val="auto"/>
                <w:spacing w:val="0"/>
                <w:sz w:val="24"/>
                <w:szCs w:val="24"/>
                <w:highlight w:val="none"/>
              </w:rPr>
              <w:t>.6</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r>
      <w:tr w14:paraId="7DD54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216" w:type="dxa"/>
            <w:noWrap w:val="0"/>
            <w:vAlign w:val="top"/>
          </w:tcPr>
          <w:p w14:paraId="2C092A0C">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球</w:t>
            </w:r>
            <w:r>
              <w:rPr>
                <w:rFonts w:hint="eastAsia" w:ascii="仿宋" w:hAnsi="仿宋" w:eastAsia="仿宋" w:cs="仿宋"/>
                <w:color w:val="auto"/>
                <w:spacing w:val="0"/>
                <w:sz w:val="24"/>
                <w:szCs w:val="24"/>
                <w:highlight w:val="none"/>
              </w:rPr>
              <w:t>号</w:t>
            </w:r>
          </w:p>
        </w:tc>
        <w:tc>
          <w:tcPr>
            <w:tcW w:w="1190" w:type="dxa"/>
            <w:noWrap w:val="0"/>
            <w:vAlign w:val="top"/>
          </w:tcPr>
          <w:p w14:paraId="7FA2330D">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15</w:t>
            </w:r>
          </w:p>
        </w:tc>
        <w:tc>
          <w:tcPr>
            <w:tcW w:w="1190" w:type="dxa"/>
            <w:noWrap w:val="0"/>
            <w:vAlign w:val="top"/>
          </w:tcPr>
          <w:p w14:paraId="1310A82F">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16</w:t>
            </w:r>
          </w:p>
        </w:tc>
        <w:tc>
          <w:tcPr>
            <w:tcW w:w="1190" w:type="dxa"/>
            <w:noWrap w:val="0"/>
            <w:vAlign w:val="top"/>
          </w:tcPr>
          <w:p w14:paraId="19F8B99A">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17</w:t>
            </w:r>
          </w:p>
        </w:tc>
        <w:tc>
          <w:tcPr>
            <w:tcW w:w="1191" w:type="dxa"/>
            <w:noWrap w:val="0"/>
            <w:vAlign w:val="top"/>
          </w:tcPr>
          <w:p w14:paraId="25258EFD">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18</w:t>
            </w:r>
          </w:p>
        </w:tc>
        <w:tc>
          <w:tcPr>
            <w:tcW w:w="1158" w:type="dxa"/>
            <w:noWrap w:val="0"/>
            <w:vAlign w:val="top"/>
          </w:tcPr>
          <w:p w14:paraId="3511C847">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19</w:t>
            </w:r>
          </w:p>
        </w:tc>
        <w:tc>
          <w:tcPr>
            <w:tcW w:w="1270" w:type="dxa"/>
            <w:noWrap w:val="0"/>
            <w:vAlign w:val="top"/>
          </w:tcPr>
          <w:p w14:paraId="5CE7720C">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20</w:t>
            </w:r>
          </w:p>
        </w:tc>
        <w:tc>
          <w:tcPr>
            <w:tcW w:w="1155" w:type="dxa"/>
            <w:noWrap w:val="0"/>
            <w:vAlign w:val="top"/>
          </w:tcPr>
          <w:p w14:paraId="67F256E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21</w:t>
            </w:r>
          </w:p>
        </w:tc>
      </w:tr>
      <w:tr w14:paraId="2579E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1216" w:type="dxa"/>
            <w:noWrap w:val="0"/>
            <w:vAlign w:val="top"/>
          </w:tcPr>
          <w:p w14:paraId="507470AB">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代表值</w:t>
            </w:r>
          </w:p>
        </w:tc>
        <w:tc>
          <w:tcPr>
            <w:tcW w:w="1190" w:type="dxa"/>
            <w:noWrap w:val="0"/>
            <w:vAlign w:val="top"/>
          </w:tcPr>
          <w:p w14:paraId="386CA8EF">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7</w:t>
            </w:r>
            <w:r>
              <w:rPr>
                <w:rFonts w:hint="eastAsia" w:ascii="仿宋" w:hAnsi="仿宋" w:eastAsia="仿宋" w:cs="仿宋"/>
                <w:color w:val="auto"/>
                <w:spacing w:val="0"/>
                <w:sz w:val="24"/>
                <w:szCs w:val="24"/>
                <w:highlight w:val="none"/>
              </w:rPr>
              <w:t>.8</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0" w:type="dxa"/>
            <w:noWrap w:val="0"/>
            <w:vAlign w:val="top"/>
          </w:tcPr>
          <w:p w14:paraId="43A3C030">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8</w:t>
            </w:r>
            <w:r>
              <w:rPr>
                <w:rFonts w:hint="eastAsia" w:ascii="仿宋" w:hAnsi="仿宋" w:eastAsia="仿宋" w:cs="仿宋"/>
                <w:color w:val="auto"/>
                <w:spacing w:val="0"/>
                <w:sz w:val="24"/>
                <w:szCs w:val="24"/>
                <w:highlight w:val="none"/>
              </w:rPr>
              <w:t>.0</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0" w:type="dxa"/>
            <w:noWrap w:val="0"/>
            <w:vAlign w:val="top"/>
          </w:tcPr>
          <w:p w14:paraId="690073C8">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8</w:t>
            </w:r>
            <w:r>
              <w:rPr>
                <w:rFonts w:hint="eastAsia" w:ascii="仿宋" w:hAnsi="仿宋" w:eastAsia="仿宋" w:cs="仿宋"/>
                <w:color w:val="auto"/>
                <w:spacing w:val="0"/>
                <w:sz w:val="24"/>
                <w:szCs w:val="24"/>
                <w:highlight w:val="none"/>
              </w:rPr>
              <w:t>.2</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91" w:type="dxa"/>
            <w:noWrap w:val="0"/>
            <w:vAlign w:val="top"/>
          </w:tcPr>
          <w:p w14:paraId="1FC0AF39">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8</w:t>
            </w:r>
            <w:r>
              <w:rPr>
                <w:rFonts w:hint="eastAsia" w:ascii="仿宋" w:hAnsi="仿宋" w:eastAsia="仿宋" w:cs="仿宋"/>
                <w:color w:val="auto"/>
                <w:spacing w:val="0"/>
                <w:sz w:val="24"/>
                <w:szCs w:val="24"/>
                <w:highlight w:val="none"/>
              </w:rPr>
              <w:t>.4</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58" w:type="dxa"/>
            <w:noWrap w:val="0"/>
            <w:vAlign w:val="top"/>
          </w:tcPr>
          <w:p w14:paraId="2D394C76">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8</w:t>
            </w:r>
            <w:r>
              <w:rPr>
                <w:rFonts w:hint="eastAsia" w:ascii="仿宋" w:hAnsi="仿宋" w:eastAsia="仿宋" w:cs="仿宋"/>
                <w:color w:val="auto"/>
                <w:spacing w:val="0"/>
                <w:sz w:val="24"/>
                <w:szCs w:val="24"/>
                <w:highlight w:val="none"/>
              </w:rPr>
              <w:t>.6</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270" w:type="dxa"/>
            <w:noWrap w:val="0"/>
            <w:vAlign w:val="top"/>
          </w:tcPr>
          <w:p w14:paraId="5FEA3A6C">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8</w:t>
            </w:r>
            <w:r>
              <w:rPr>
                <w:rFonts w:hint="eastAsia" w:ascii="仿宋" w:hAnsi="仿宋" w:eastAsia="仿宋" w:cs="仿宋"/>
                <w:color w:val="auto"/>
                <w:spacing w:val="0"/>
                <w:sz w:val="24"/>
                <w:szCs w:val="24"/>
                <w:highlight w:val="none"/>
              </w:rPr>
              <w:t>.8</w:t>
            </w:r>
            <w:r>
              <w:rPr>
                <w:rFonts w:hint="eastAsia" w:ascii="仿宋" w:hAnsi="仿宋" w:eastAsia="仿宋" w:cs="仿宋"/>
                <w:color w:val="auto"/>
                <w:spacing w:val="0"/>
                <w:sz w:val="24"/>
                <w:szCs w:val="24"/>
                <w:highlight w:val="none"/>
                <w:lang w:val="en-US" w:eastAsia="zh-CN"/>
              </w:rPr>
              <w:t>0</w:t>
            </w:r>
            <w:r>
              <w:rPr>
                <w:rFonts w:hint="eastAsia" w:ascii="仿宋" w:hAnsi="仿宋" w:eastAsia="仿宋" w:cs="仿宋"/>
                <w:color w:val="auto"/>
                <w:spacing w:val="0"/>
                <w:sz w:val="24"/>
                <w:szCs w:val="24"/>
                <w:highlight w:val="none"/>
              </w:rPr>
              <w:t>%</w:t>
            </w:r>
          </w:p>
        </w:tc>
        <w:tc>
          <w:tcPr>
            <w:tcW w:w="1155" w:type="dxa"/>
            <w:noWrap w:val="0"/>
            <w:vAlign w:val="top"/>
          </w:tcPr>
          <w:p w14:paraId="799A0AEF">
            <w:pPr>
              <w:pStyle w:val="179"/>
              <w:spacing w:before="159"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lang w:val="en-US" w:eastAsia="zh-CN"/>
              </w:rPr>
              <w:t>9</w:t>
            </w:r>
            <w:r>
              <w:rPr>
                <w:rFonts w:hint="eastAsia" w:ascii="仿宋" w:hAnsi="仿宋" w:eastAsia="仿宋" w:cs="仿宋"/>
                <w:color w:val="auto"/>
                <w:sz w:val="24"/>
                <w:szCs w:val="24"/>
                <w:highlight w:val="none"/>
              </w:rPr>
              <w:t>.0</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w:t>
            </w:r>
          </w:p>
        </w:tc>
      </w:tr>
      <w:tr w14:paraId="06B90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1216" w:type="dxa"/>
            <w:noWrap w:val="0"/>
            <w:vAlign w:val="top"/>
          </w:tcPr>
          <w:p w14:paraId="753B1D04">
            <w:pPr>
              <w:pStyle w:val="179"/>
              <w:spacing w:before="159" w:line="219" w:lineRule="auto"/>
              <w:ind w:left="0" w:leftChars="0"/>
              <w:jc w:val="center"/>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lang w:val="en-US" w:eastAsia="zh-CN"/>
              </w:rPr>
              <w:t>球</w:t>
            </w:r>
            <w:r>
              <w:rPr>
                <w:rFonts w:hint="eastAsia" w:ascii="仿宋" w:hAnsi="仿宋" w:eastAsia="仿宋" w:cs="仿宋"/>
                <w:color w:val="auto"/>
                <w:spacing w:val="0"/>
                <w:sz w:val="24"/>
                <w:szCs w:val="24"/>
                <w:highlight w:val="none"/>
              </w:rPr>
              <w:t>号</w:t>
            </w:r>
          </w:p>
        </w:tc>
        <w:tc>
          <w:tcPr>
            <w:tcW w:w="1190" w:type="dxa"/>
            <w:noWrap w:val="0"/>
            <w:vAlign w:val="top"/>
          </w:tcPr>
          <w:p w14:paraId="066B902C">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22</w:t>
            </w:r>
          </w:p>
        </w:tc>
        <w:tc>
          <w:tcPr>
            <w:tcW w:w="1190" w:type="dxa"/>
            <w:noWrap w:val="0"/>
            <w:vAlign w:val="top"/>
          </w:tcPr>
          <w:p w14:paraId="0876D24D">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23</w:t>
            </w:r>
          </w:p>
        </w:tc>
        <w:tc>
          <w:tcPr>
            <w:tcW w:w="1190" w:type="dxa"/>
            <w:noWrap w:val="0"/>
            <w:vAlign w:val="top"/>
          </w:tcPr>
          <w:p w14:paraId="2B60C62E">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24</w:t>
            </w:r>
          </w:p>
        </w:tc>
        <w:tc>
          <w:tcPr>
            <w:tcW w:w="1191" w:type="dxa"/>
            <w:noWrap w:val="0"/>
            <w:vAlign w:val="top"/>
          </w:tcPr>
          <w:p w14:paraId="72A03C94">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25</w:t>
            </w:r>
          </w:p>
        </w:tc>
        <w:tc>
          <w:tcPr>
            <w:tcW w:w="1158" w:type="dxa"/>
            <w:noWrap w:val="0"/>
            <w:vAlign w:val="top"/>
          </w:tcPr>
          <w:p w14:paraId="75136E56">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26</w:t>
            </w:r>
          </w:p>
        </w:tc>
        <w:tc>
          <w:tcPr>
            <w:tcW w:w="1270" w:type="dxa"/>
            <w:noWrap w:val="0"/>
            <w:vAlign w:val="top"/>
          </w:tcPr>
          <w:p w14:paraId="437A902D">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p>
        </w:tc>
        <w:tc>
          <w:tcPr>
            <w:tcW w:w="1155" w:type="dxa"/>
            <w:noWrap w:val="0"/>
            <w:vAlign w:val="top"/>
          </w:tcPr>
          <w:p w14:paraId="60C66000">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p>
        </w:tc>
      </w:tr>
      <w:tr w14:paraId="32D7A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1216" w:type="dxa"/>
            <w:noWrap w:val="0"/>
            <w:vAlign w:val="top"/>
          </w:tcPr>
          <w:p w14:paraId="279895D1">
            <w:pPr>
              <w:pStyle w:val="179"/>
              <w:spacing w:before="159" w:line="219" w:lineRule="auto"/>
              <w:ind w:left="0" w:leftChars="0"/>
              <w:jc w:val="center"/>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rPr>
              <w:t>代表值</w:t>
            </w:r>
          </w:p>
        </w:tc>
        <w:tc>
          <w:tcPr>
            <w:tcW w:w="1190" w:type="dxa"/>
            <w:noWrap w:val="0"/>
            <w:vAlign w:val="top"/>
          </w:tcPr>
          <w:p w14:paraId="712A4CC5">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9.20</w:t>
            </w:r>
            <w:r>
              <w:rPr>
                <w:rFonts w:hint="eastAsia" w:ascii="仿宋" w:hAnsi="仿宋" w:eastAsia="仿宋" w:cs="仿宋"/>
                <w:color w:val="auto"/>
                <w:spacing w:val="0"/>
                <w:sz w:val="24"/>
                <w:szCs w:val="24"/>
                <w:highlight w:val="none"/>
              </w:rPr>
              <w:t>%</w:t>
            </w:r>
          </w:p>
        </w:tc>
        <w:tc>
          <w:tcPr>
            <w:tcW w:w="1190" w:type="dxa"/>
            <w:noWrap w:val="0"/>
            <w:vAlign w:val="top"/>
          </w:tcPr>
          <w:p w14:paraId="2D3F4F53">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9.40</w:t>
            </w:r>
            <w:r>
              <w:rPr>
                <w:rFonts w:hint="eastAsia" w:ascii="仿宋" w:hAnsi="仿宋" w:eastAsia="仿宋" w:cs="仿宋"/>
                <w:color w:val="auto"/>
                <w:spacing w:val="0"/>
                <w:sz w:val="24"/>
                <w:szCs w:val="24"/>
                <w:highlight w:val="none"/>
              </w:rPr>
              <w:t>%</w:t>
            </w:r>
          </w:p>
        </w:tc>
        <w:tc>
          <w:tcPr>
            <w:tcW w:w="1190" w:type="dxa"/>
            <w:noWrap w:val="0"/>
            <w:vAlign w:val="top"/>
          </w:tcPr>
          <w:p w14:paraId="4A85A502">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9.60</w:t>
            </w:r>
            <w:r>
              <w:rPr>
                <w:rFonts w:hint="eastAsia" w:ascii="仿宋" w:hAnsi="仿宋" w:eastAsia="仿宋" w:cs="仿宋"/>
                <w:color w:val="auto"/>
                <w:spacing w:val="0"/>
                <w:sz w:val="24"/>
                <w:szCs w:val="24"/>
                <w:highlight w:val="none"/>
              </w:rPr>
              <w:t>%</w:t>
            </w:r>
          </w:p>
        </w:tc>
        <w:tc>
          <w:tcPr>
            <w:tcW w:w="1191" w:type="dxa"/>
            <w:noWrap w:val="0"/>
            <w:vAlign w:val="top"/>
          </w:tcPr>
          <w:p w14:paraId="078118BE">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9.80</w:t>
            </w:r>
            <w:r>
              <w:rPr>
                <w:rFonts w:hint="eastAsia" w:ascii="仿宋" w:hAnsi="仿宋" w:eastAsia="仿宋" w:cs="仿宋"/>
                <w:color w:val="auto"/>
                <w:spacing w:val="0"/>
                <w:sz w:val="24"/>
                <w:szCs w:val="24"/>
                <w:highlight w:val="none"/>
              </w:rPr>
              <w:t>%</w:t>
            </w:r>
          </w:p>
        </w:tc>
        <w:tc>
          <w:tcPr>
            <w:tcW w:w="1158" w:type="dxa"/>
            <w:noWrap w:val="0"/>
            <w:vAlign w:val="top"/>
          </w:tcPr>
          <w:p w14:paraId="086C098D">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lang w:val="en-US" w:eastAsia="zh-CN"/>
              </w:rPr>
              <w:t>10.00</w:t>
            </w:r>
            <w:r>
              <w:rPr>
                <w:rFonts w:hint="eastAsia" w:ascii="仿宋" w:hAnsi="仿宋" w:eastAsia="仿宋" w:cs="仿宋"/>
                <w:color w:val="auto"/>
                <w:spacing w:val="0"/>
                <w:sz w:val="24"/>
                <w:szCs w:val="24"/>
                <w:highlight w:val="none"/>
              </w:rPr>
              <w:t>%</w:t>
            </w:r>
          </w:p>
        </w:tc>
        <w:tc>
          <w:tcPr>
            <w:tcW w:w="1270" w:type="dxa"/>
            <w:noWrap w:val="0"/>
            <w:vAlign w:val="top"/>
          </w:tcPr>
          <w:p w14:paraId="11F0FB87">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p>
        </w:tc>
        <w:tc>
          <w:tcPr>
            <w:tcW w:w="1155" w:type="dxa"/>
            <w:noWrap w:val="0"/>
            <w:vAlign w:val="top"/>
          </w:tcPr>
          <w:p w14:paraId="53C375D5">
            <w:pPr>
              <w:pStyle w:val="179"/>
              <w:spacing w:before="159" w:line="219" w:lineRule="auto"/>
              <w:ind w:left="0" w:leftChars="0"/>
              <w:jc w:val="center"/>
              <w:rPr>
                <w:rFonts w:hint="eastAsia" w:ascii="仿宋" w:hAnsi="仿宋" w:eastAsia="仿宋" w:cs="仿宋"/>
                <w:color w:val="auto"/>
                <w:spacing w:val="0"/>
                <w:sz w:val="24"/>
                <w:szCs w:val="24"/>
                <w:highlight w:val="none"/>
                <w:lang w:val="en-US" w:eastAsia="zh-CN"/>
              </w:rPr>
            </w:pPr>
          </w:p>
        </w:tc>
      </w:tr>
    </w:tbl>
    <w:p w14:paraId="173AB2A2">
      <w:pPr>
        <w:pStyle w:val="2"/>
        <w:ind w:firstLine="1533" w:firstLineChars="700"/>
        <w:jc w:val="center"/>
        <w:rPr>
          <w:rFonts w:hint="eastAsia" w:ascii="仿宋" w:hAnsi="仿宋" w:eastAsia="仿宋" w:cs="仿宋"/>
          <w:b/>
          <w:bCs/>
          <w:color w:val="auto"/>
          <w:spacing w:val="-11"/>
          <w:sz w:val="24"/>
          <w:szCs w:val="24"/>
          <w:highlight w:val="none"/>
        </w:rPr>
      </w:pPr>
    </w:p>
    <w:p w14:paraId="049123FE">
      <w:pPr>
        <w:pStyle w:val="2"/>
        <w:ind w:firstLine="0" w:firstLineChars="0"/>
        <w:jc w:val="both"/>
        <w:rPr>
          <w:rFonts w:hint="eastAsia" w:ascii="仿宋" w:hAnsi="仿宋" w:eastAsia="仿宋" w:cs="仿宋"/>
          <w:b/>
          <w:bCs/>
          <w:color w:val="auto"/>
          <w:spacing w:val="-11"/>
          <w:sz w:val="24"/>
          <w:szCs w:val="24"/>
          <w:highlight w:val="none"/>
        </w:rPr>
      </w:pPr>
    </w:p>
    <w:p w14:paraId="68229F41">
      <w:pPr>
        <w:spacing w:before="78" w:line="212" w:lineRule="auto"/>
        <w:ind w:left="0"/>
        <w:rPr>
          <w:rFonts w:hint="eastAsia" w:ascii="仿宋" w:hAnsi="仿宋" w:eastAsia="仿宋" w:cs="仿宋"/>
          <w:color w:val="auto"/>
          <w:sz w:val="24"/>
          <w:szCs w:val="24"/>
          <w:highlight w:val="none"/>
        </w:rPr>
      </w:pPr>
      <w:r>
        <w:rPr>
          <w:rFonts w:hint="eastAsia" w:ascii="仿宋" w:hAnsi="仿宋" w:eastAsia="仿宋" w:cs="仿宋"/>
          <w:b/>
          <w:bCs/>
          <w:color w:val="auto"/>
          <w:spacing w:val="-11"/>
          <w:sz w:val="24"/>
          <w:szCs w:val="24"/>
          <w:highlight w:val="none"/>
        </w:rPr>
        <w:t>附表</w:t>
      </w:r>
      <w:r>
        <w:rPr>
          <w:rFonts w:hint="eastAsia" w:ascii="仿宋" w:hAnsi="仿宋" w:eastAsia="仿宋" w:cs="仿宋"/>
          <w:b/>
          <w:bCs/>
          <w:color w:val="auto"/>
          <w:spacing w:val="-11"/>
          <w:sz w:val="24"/>
          <w:szCs w:val="24"/>
          <w:highlight w:val="none"/>
          <w:lang w:val="en-US" w:eastAsia="zh-CN"/>
        </w:rPr>
        <w:t>3</w:t>
      </w:r>
      <w:r>
        <w:rPr>
          <w:rFonts w:hint="eastAsia" w:ascii="仿宋" w:hAnsi="仿宋" w:eastAsia="仿宋" w:cs="仿宋"/>
          <w:b/>
          <w:bCs/>
          <w:color w:val="auto"/>
          <w:spacing w:val="-11"/>
          <w:sz w:val="24"/>
          <w:szCs w:val="24"/>
          <w:highlight w:val="none"/>
        </w:rPr>
        <w:t>：F1 取值范围</w:t>
      </w:r>
    </w:p>
    <w:tbl>
      <w:tblPr>
        <w:tblStyle w:val="180"/>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3"/>
        <w:gridCol w:w="903"/>
        <w:gridCol w:w="873"/>
        <w:gridCol w:w="874"/>
        <w:gridCol w:w="969"/>
        <w:gridCol w:w="957"/>
        <w:gridCol w:w="948"/>
        <w:gridCol w:w="933"/>
        <w:gridCol w:w="895"/>
        <w:gridCol w:w="899"/>
      </w:tblGrid>
      <w:tr w14:paraId="1AA4C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jc w:val="center"/>
        </w:trPr>
        <w:tc>
          <w:tcPr>
            <w:tcW w:w="1403" w:type="dxa"/>
            <w:noWrap w:val="0"/>
            <w:vAlign w:val="top"/>
          </w:tcPr>
          <w:p w14:paraId="3FD411D6">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编号</w:t>
            </w:r>
          </w:p>
        </w:tc>
        <w:tc>
          <w:tcPr>
            <w:tcW w:w="903" w:type="dxa"/>
            <w:noWrap w:val="0"/>
            <w:vAlign w:val="top"/>
          </w:tcPr>
          <w:p w14:paraId="119E9069">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873" w:type="dxa"/>
            <w:noWrap w:val="0"/>
            <w:vAlign w:val="top"/>
          </w:tcPr>
          <w:p w14:paraId="6EB81A20">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874" w:type="dxa"/>
            <w:noWrap w:val="0"/>
            <w:vAlign w:val="top"/>
          </w:tcPr>
          <w:p w14:paraId="248AADF5">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969" w:type="dxa"/>
            <w:noWrap w:val="0"/>
            <w:vAlign w:val="top"/>
          </w:tcPr>
          <w:p w14:paraId="1C087B93">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957" w:type="dxa"/>
            <w:noWrap w:val="0"/>
            <w:vAlign w:val="top"/>
          </w:tcPr>
          <w:p w14:paraId="047D2E0D">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948" w:type="dxa"/>
            <w:noWrap w:val="0"/>
            <w:vAlign w:val="top"/>
          </w:tcPr>
          <w:p w14:paraId="1DC5A448">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933" w:type="dxa"/>
            <w:noWrap w:val="0"/>
            <w:vAlign w:val="top"/>
          </w:tcPr>
          <w:p w14:paraId="2221AE50">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895" w:type="dxa"/>
            <w:noWrap w:val="0"/>
            <w:vAlign w:val="top"/>
          </w:tcPr>
          <w:p w14:paraId="05F986D5">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899" w:type="dxa"/>
            <w:noWrap w:val="0"/>
            <w:vAlign w:val="top"/>
          </w:tcPr>
          <w:p w14:paraId="46B016BA">
            <w:pPr>
              <w:pStyle w:val="179"/>
              <w:spacing w:before="183" w:line="219" w:lineRule="auto"/>
              <w:ind w:left="3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p>
        </w:tc>
      </w:tr>
      <w:tr w14:paraId="3A64B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403" w:type="dxa"/>
            <w:noWrap w:val="0"/>
            <w:vAlign w:val="top"/>
          </w:tcPr>
          <w:p w14:paraId="66AE689A">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代表值</w:t>
            </w:r>
          </w:p>
        </w:tc>
        <w:tc>
          <w:tcPr>
            <w:tcW w:w="903" w:type="dxa"/>
            <w:noWrap w:val="0"/>
            <w:vAlign w:val="top"/>
          </w:tcPr>
          <w:p w14:paraId="687908A3">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0.40</w:t>
            </w:r>
          </w:p>
        </w:tc>
        <w:tc>
          <w:tcPr>
            <w:tcW w:w="873" w:type="dxa"/>
            <w:noWrap w:val="0"/>
            <w:vAlign w:val="top"/>
          </w:tcPr>
          <w:p w14:paraId="11BB97ED">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0.45</w:t>
            </w:r>
          </w:p>
        </w:tc>
        <w:tc>
          <w:tcPr>
            <w:tcW w:w="874" w:type="dxa"/>
            <w:noWrap w:val="0"/>
            <w:vAlign w:val="top"/>
          </w:tcPr>
          <w:p w14:paraId="7B965194">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0.50</w:t>
            </w:r>
          </w:p>
        </w:tc>
        <w:tc>
          <w:tcPr>
            <w:tcW w:w="969" w:type="dxa"/>
            <w:noWrap w:val="0"/>
            <w:vAlign w:val="top"/>
          </w:tcPr>
          <w:p w14:paraId="4AB5B498">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0.55</w:t>
            </w:r>
          </w:p>
        </w:tc>
        <w:tc>
          <w:tcPr>
            <w:tcW w:w="957" w:type="dxa"/>
            <w:noWrap w:val="0"/>
            <w:vAlign w:val="top"/>
          </w:tcPr>
          <w:p w14:paraId="7A581C8B">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0.60</w:t>
            </w:r>
          </w:p>
        </w:tc>
        <w:tc>
          <w:tcPr>
            <w:tcW w:w="948" w:type="dxa"/>
            <w:noWrap w:val="0"/>
            <w:vAlign w:val="top"/>
          </w:tcPr>
          <w:p w14:paraId="574F552A">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0.65</w:t>
            </w:r>
          </w:p>
        </w:tc>
        <w:tc>
          <w:tcPr>
            <w:tcW w:w="933" w:type="dxa"/>
            <w:noWrap w:val="0"/>
            <w:vAlign w:val="top"/>
          </w:tcPr>
          <w:p w14:paraId="1272561B">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0.70</w:t>
            </w:r>
          </w:p>
        </w:tc>
        <w:tc>
          <w:tcPr>
            <w:tcW w:w="895" w:type="dxa"/>
            <w:noWrap w:val="0"/>
            <w:vAlign w:val="top"/>
          </w:tcPr>
          <w:p w14:paraId="320F3A98">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0.75</w:t>
            </w:r>
          </w:p>
        </w:tc>
        <w:tc>
          <w:tcPr>
            <w:tcW w:w="899" w:type="dxa"/>
            <w:noWrap w:val="0"/>
            <w:vAlign w:val="top"/>
          </w:tcPr>
          <w:p w14:paraId="07A00310">
            <w:pPr>
              <w:pStyle w:val="179"/>
              <w:spacing w:before="183" w:line="219" w:lineRule="auto"/>
              <w:ind w:left="0"/>
              <w:jc w:val="center"/>
              <w:rPr>
                <w:rFonts w:hint="eastAsia" w:ascii="仿宋" w:hAnsi="仿宋" w:eastAsia="仿宋" w:cs="仿宋"/>
                <w:color w:val="auto"/>
                <w:sz w:val="24"/>
                <w:szCs w:val="24"/>
                <w:highlight w:val="none"/>
              </w:rPr>
            </w:pPr>
            <w:r>
              <w:rPr>
                <w:rFonts w:hint="eastAsia" w:ascii="仿宋" w:hAnsi="仿宋" w:eastAsia="仿宋" w:cs="仿宋"/>
                <w:color w:val="auto"/>
                <w:spacing w:val="0"/>
                <w:sz w:val="24"/>
                <w:szCs w:val="24"/>
                <w:highlight w:val="none"/>
              </w:rPr>
              <w:t>0.80</w:t>
            </w:r>
          </w:p>
        </w:tc>
      </w:tr>
    </w:tbl>
    <w:p w14:paraId="3E631E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highlight w:val="none"/>
        </w:rPr>
      </w:pPr>
    </w:p>
    <w:p w14:paraId="1F74AF30">
      <w:pPr>
        <w:pStyle w:val="49"/>
        <w:rPr>
          <w:rFonts w:hint="eastAsia" w:ascii="仿宋" w:hAnsi="仿宋" w:eastAsia="仿宋" w:cs="仿宋"/>
          <w:color w:val="auto"/>
          <w:highlight w:val="none"/>
        </w:rPr>
      </w:pPr>
    </w:p>
    <w:p w14:paraId="4DB40FF7">
      <w:pPr>
        <w:rPr>
          <w:rFonts w:hint="eastAsia" w:ascii="仿宋" w:hAnsi="仿宋" w:eastAsia="仿宋" w:cs="仿宋"/>
          <w:b/>
          <w:bCs/>
          <w:color w:val="auto"/>
          <w:kern w:val="0"/>
          <w:sz w:val="44"/>
          <w:szCs w:val="44"/>
          <w:highlight w:val="none"/>
        </w:rPr>
      </w:pPr>
      <w:bookmarkStart w:id="583" w:name="_Toc2072"/>
      <w:r>
        <w:rPr>
          <w:rFonts w:hint="eastAsia" w:ascii="仿宋" w:hAnsi="仿宋" w:eastAsia="仿宋" w:cs="仿宋"/>
          <w:b/>
          <w:bCs/>
          <w:color w:val="auto"/>
          <w:kern w:val="0"/>
          <w:sz w:val="44"/>
          <w:szCs w:val="44"/>
          <w:highlight w:val="none"/>
        </w:rPr>
        <w:br w:type="page"/>
      </w:r>
    </w:p>
    <w:p w14:paraId="2D203001">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0"/>
        <w:rPr>
          <w:rFonts w:hint="eastAsia" w:ascii="仿宋" w:hAnsi="仿宋" w:eastAsia="仿宋" w:cs="仿宋"/>
          <w:b/>
          <w:bCs/>
          <w:color w:val="auto"/>
          <w:kern w:val="44"/>
          <w:sz w:val="36"/>
          <w:szCs w:val="44"/>
          <w:highlight w:val="none"/>
        </w:rPr>
      </w:pPr>
      <w:r>
        <w:rPr>
          <w:rFonts w:hint="eastAsia" w:ascii="仿宋" w:hAnsi="仿宋" w:eastAsia="仿宋" w:cs="仿宋"/>
          <w:b/>
          <w:bCs/>
          <w:color w:val="auto"/>
          <w:kern w:val="0"/>
          <w:sz w:val="44"/>
          <w:szCs w:val="44"/>
          <w:highlight w:val="none"/>
        </w:rPr>
        <w:t>附件二  外包装封面参考格式</w:t>
      </w:r>
      <w:bookmarkEnd w:id="583"/>
    </w:p>
    <w:tbl>
      <w:tblPr>
        <w:tblStyle w:val="41"/>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5"/>
      </w:tblGrid>
      <w:tr w14:paraId="2323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5" w:hRule="atLeast"/>
          <w:jc w:val="center"/>
        </w:trPr>
        <w:tc>
          <w:tcPr>
            <w:tcW w:w="9215" w:type="dxa"/>
          </w:tcPr>
          <w:p w14:paraId="3059A39B">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497A6169">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p>
          <w:p w14:paraId="5DC713E4">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r>
              <w:rPr>
                <w:rFonts w:hint="eastAsia" w:ascii="仿宋" w:hAnsi="仿宋" w:eastAsia="仿宋" w:cs="仿宋"/>
                <w:b/>
                <w:color w:val="auto"/>
                <w:spacing w:val="100"/>
                <w:w w:val="110"/>
                <w:kern w:val="0"/>
                <w:sz w:val="44"/>
                <w:szCs w:val="44"/>
                <w:highlight w:val="none"/>
              </w:rPr>
              <w:t>资格审查文件</w:t>
            </w:r>
          </w:p>
          <w:p w14:paraId="2FF2B5CA">
            <w:pPr>
              <w:pStyle w:val="17"/>
              <w:tabs>
                <w:tab w:val="left" w:pos="1260"/>
              </w:tabs>
              <w:spacing w:line="360" w:lineRule="auto"/>
              <w:jc w:val="center"/>
              <w:rPr>
                <w:rFonts w:hint="eastAsia" w:ascii="仿宋" w:hAnsi="仿宋" w:eastAsia="仿宋" w:cs="仿宋"/>
                <w:b/>
                <w:color w:val="auto"/>
                <w:spacing w:val="100"/>
                <w:w w:val="110"/>
                <w:sz w:val="44"/>
                <w:szCs w:val="44"/>
                <w:highlight w:val="none"/>
              </w:rPr>
            </w:pPr>
            <w:r>
              <w:rPr>
                <w:rFonts w:hint="eastAsia" w:ascii="仿宋" w:hAnsi="仿宋" w:eastAsia="仿宋" w:cs="仿宋"/>
                <w:b/>
                <w:color w:val="auto"/>
                <w:spacing w:val="100"/>
                <w:w w:val="110"/>
                <w:kern w:val="0"/>
                <w:sz w:val="44"/>
                <w:szCs w:val="44"/>
                <w:highlight w:val="none"/>
              </w:rPr>
              <w:t>/投标文件</w:t>
            </w:r>
          </w:p>
          <w:p w14:paraId="5DB43354">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r>
              <w:rPr>
                <w:rFonts w:hint="eastAsia" w:ascii="仿宋" w:hAnsi="仿宋" w:eastAsia="仿宋" w:cs="仿宋"/>
                <w:b/>
                <w:color w:val="auto"/>
                <w:spacing w:val="100"/>
                <w:w w:val="110"/>
                <w:kern w:val="0"/>
                <w:sz w:val="44"/>
                <w:szCs w:val="44"/>
                <w:highlight w:val="none"/>
              </w:rPr>
              <w:t>/开标一览表</w:t>
            </w:r>
          </w:p>
          <w:p w14:paraId="09AB2151">
            <w:pPr>
              <w:pStyle w:val="17"/>
              <w:tabs>
                <w:tab w:val="left" w:pos="1260"/>
              </w:tabs>
              <w:spacing w:line="360" w:lineRule="auto"/>
              <w:jc w:val="center"/>
              <w:rPr>
                <w:rFonts w:hint="eastAsia" w:ascii="仿宋" w:hAnsi="仿宋" w:eastAsia="仿宋" w:cs="仿宋"/>
                <w:b/>
                <w:color w:val="auto"/>
                <w:spacing w:val="100"/>
                <w:w w:val="110"/>
                <w:kern w:val="0"/>
                <w:sz w:val="44"/>
                <w:szCs w:val="44"/>
                <w:highlight w:val="none"/>
              </w:rPr>
            </w:pPr>
            <w:r>
              <w:rPr>
                <w:rFonts w:hint="eastAsia" w:ascii="仿宋" w:hAnsi="仿宋" w:eastAsia="仿宋" w:cs="仿宋"/>
                <w:b/>
                <w:color w:val="auto"/>
                <w:spacing w:val="100"/>
                <w:w w:val="110"/>
                <w:kern w:val="0"/>
                <w:sz w:val="44"/>
                <w:szCs w:val="44"/>
                <w:highlight w:val="none"/>
              </w:rPr>
              <w:t>/投标文件电子版</w:t>
            </w:r>
          </w:p>
          <w:p w14:paraId="30B86EAC">
            <w:pPr>
              <w:pStyle w:val="17"/>
              <w:spacing w:line="360" w:lineRule="auto"/>
              <w:rPr>
                <w:rFonts w:hint="eastAsia" w:ascii="仿宋" w:hAnsi="仿宋" w:eastAsia="仿宋" w:cs="仿宋"/>
                <w:b/>
                <w:color w:val="auto"/>
                <w:sz w:val="28"/>
                <w:szCs w:val="28"/>
                <w:highlight w:val="none"/>
              </w:rPr>
            </w:pPr>
          </w:p>
          <w:p w14:paraId="57284263">
            <w:pPr>
              <w:pStyle w:val="17"/>
              <w:spacing w:line="360" w:lineRule="auto"/>
              <w:rPr>
                <w:rFonts w:hint="eastAsia" w:ascii="仿宋" w:hAnsi="仿宋" w:eastAsia="仿宋" w:cs="仿宋"/>
                <w:b/>
                <w:color w:val="auto"/>
                <w:sz w:val="28"/>
                <w:szCs w:val="28"/>
                <w:highlight w:val="none"/>
              </w:rPr>
            </w:pPr>
          </w:p>
          <w:p w14:paraId="42AF7146">
            <w:pPr>
              <w:pStyle w:val="17"/>
              <w:spacing w:line="360" w:lineRule="auto"/>
              <w:ind w:left="1260" w:leftChars="600"/>
              <w:jc w:val="left"/>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采购项目编号：</w:t>
            </w:r>
            <w:r>
              <w:rPr>
                <w:rFonts w:hint="eastAsia" w:ascii="仿宋" w:hAnsi="仿宋" w:eastAsia="仿宋" w:cs="仿宋"/>
                <w:b/>
                <w:color w:val="auto"/>
                <w:sz w:val="28"/>
                <w:szCs w:val="28"/>
                <w:highlight w:val="none"/>
                <w:u w:val="single"/>
              </w:rPr>
              <w:t xml:space="preserve">                        </w:t>
            </w:r>
          </w:p>
          <w:p w14:paraId="232DB74F">
            <w:pPr>
              <w:rPr>
                <w:rFonts w:hint="eastAsia" w:ascii="仿宋" w:hAnsi="仿宋" w:eastAsia="仿宋" w:cs="仿宋"/>
                <w:color w:val="auto"/>
                <w:highlight w:val="none"/>
              </w:rPr>
            </w:pPr>
          </w:p>
          <w:p w14:paraId="47FA1FDE">
            <w:pPr>
              <w:pStyle w:val="17"/>
              <w:spacing w:line="360" w:lineRule="auto"/>
              <w:ind w:left="1260" w:leftChars="600"/>
              <w:jc w:val="left"/>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采购项目名称：</w:t>
            </w:r>
            <w:r>
              <w:rPr>
                <w:rFonts w:hint="eastAsia" w:ascii="仿宋" w:hAnsi="仿宋" w:eastAsia="仿宋" w:cs="仿宋"/>
                <w:b/>
                <w:color w:val="auto"/>
                <w:sz w:val="28"/>
                <w:szCs w:val="28"/>
                <w:highlight w:val="none"/>
                <w:u w:val="single"/>
              </w:rPr>
              <w:t xml:space="preserve">                        </w:t>
            </w:r>
          </w:p>
          <w:p w14:paraId="790656F8">
            <w:pPr>
              <w:pStyle w:val="17"/>
              <w:spacing w:line="360" w:lineRule="auto"/>
              <w:ind w:left="1260" w:leftChars="600"/>
              <w:jc w:val="left"/>
              <w:rPr>
                <w:rFonts w:hint="eastAsia" w:ascii="仿宋" w:hAnsi="仿宋" w:eastAsia="仿宋" w:cs="仿宋"/>
                <w:b/>
                <w:color w:val="auto"/>
                <w:sz w:val="28"/>
                <w:szCs w:val="28"/>
                <w:highlight w:val="none"/>
              </w:rPr>
            </w:pPr>
          </w:p>
          <w:p w14:paraId="7117003D">
            <w:pPr>
              <w:pStyle w:val="17"/>
              <w:spacing w:line="360" w:lineRule="auto"/>
              <w:ind w:left="1260" w:leftChars="600"/>
              <w:jc w:val="left"/>
              <w:rPr>
                <w:rFonts w:hint="eastAsia"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投标人名称：</w:t>
            </w:r>
            <w:r>
              <w:rPr>
                <w:rFonts w:hint="eastAsia" w:ascii="仿宋" w:hAnsi="仿宋" w:eastAsia="仿宋" w:cs="仿宋"/>
                <w:b/>
                <w:color w:val="auto"/>
                <w:sz w:val="28"/>
                <w:szCs w:val="28"/>
                <w:highlight w:val="none"/>
                <w:u w:val="single"/>
              </w:rPr>
              <w:t xml:space="preserve">              </w:t>
            </w:r>
          </w:p>
          <w:p w14:paraId="253D1A6F">
            <w:pPr>
              <w:spacing w:line="360" w:lineRule="auto"/>
              <w:ind w:left="1260" w:leftChars="600"/>
              <w:jc w:val="lef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投标人地址：</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 xml:space="preserve">      </w:t>
            </w:r>
          </w:p>
          <w:p w14:paraId="03970E33">
            <w:pPr>
              <w:spacing w:line="360" w:lineRule="auto"/>
              <w:ind w:left="1260" w:leftChars="600"/>
              <w:jc w:val="lef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联系电话：</w:t>
            </w:r>
            <w:r>
              <w:rPr>
                <w:rFonts w:hint="eastAsia" w:ascii="仿宋" w:hAnsi="仿宋" w:eastAsia="仿宋" w:cs="仿宋"/>
                <w:b/>
                <w:color w:val="auto"/>
                <w:sz w:val="28"/>
                <w:szCs w:val="28"/>
                <w:highlight w:val="none"/>
                <w:u w:val="single"/>
              </w:rPr>
              <w:t xml:space="preserve">                </w:t>
            </w:r>
          </w:p>
          <w:p w14:paraId="3703FC97">
            <w:pPr>
              <w:spacing w:line="360" w:lineRule="auto"/>
              <w:ind w:left="1260" w:leftChars="600"/>
              <w:jc w:val="left"/>
              <w:rPr>
                <w:rFonts w:hint="eastAsia" w:ascii="仿宋" w:hAnsi="仿宋" w:eastAsia="仿宋" w:cs="仿宋"/>
                <w:color w:val="auto"/>
                <w:highlight w:val="none"/>
              </w:rPr>
            </w:pPr>
            <w:r>
              <w:rPr>
                <w:rFonts w:hint="eastAsia" w:ascii="仿宋" w:hAnsi="仿宋" w:eastAsia="仿宋" w:cs="仿宋"/>
                <w:b/>
                <w:color w:val="auto"/>
                <w:sz w:val="28"/>
                <w:szCs w:val="28"/>
                <w:highlight w:val="none"/>
              </w:rPr>
              <w:t>在</w:t>
            </w:r>
            <w:r>
              <w:rPr>
                <w:rFonts w:hint="eastAsia" w:ascii="仿宋" w:hAnsi="仿宋" w:eastAsia="仿宋" w:cs="仿宋"/>
                <w:b/>
                <w:color w:val="auto"/>
                <w:sz w:val="28"/>
                <w:szCs w:val="28"/>
                <w:highlight w:val="none"/>
                <w:lang w:val="en-US" w:eastAsia="zh-CN"/>
              </w:rPr>
              <w:t>2026年</w:t>
            </w:r>
            <w:r>
              <w:rPr>
                <w:rFonts w:hint="eastAsia" w:ascii="仿宋" w:hAnsi="仿宋" w:eastAsia="仿宋" w:cs="仿宋"/>
                <w:b/>
                <w:color w:val="auto"/>
                <w:sz w:val="28"/>
                <w:szCs w:val="28"/>
                <w:highlight w:val="none"/>
              </w:rPr>
              <w:t xml:space="preserve">  月  日  时  分之前不得启封</w:t>
            </w:r>
          </w:p>
        </w:tc>
      </w:tr>
    </w:tbl>
    <w:p w14:paraId="7B07565E">
      <w:pPr>
        <w:spacing w:line="360" w:lineRule="auto"/>
        <w:ind w:firstLine="630" w:firstLineChars="300"/>
        <w:jc w:val="left"/>
        <w:rPr>
          <w:rFonts w:hint="eastAsia" w:ascii="仿宋" w:hAnsi="仿宋" w:eastAsia="仿宋" w:cs="仿宋"/>
          <w:color w:val="auto"/>
          <w:highlight w:val="none"/>
        </w:rPr>
      </w:pPr>
      <w:r>
        <w:rPr>
          <w:rFonts w:hint="eastAsia" w:ascii="仿宋" w:hAnsi="仿宋" w:eastAsia="仿宋" w:cs="仿宋"/>
          <w:color w:val="auto"/>
          <w:highlight w:val="none"/>
        </w:rPr>
        <w:t>注：以上</w:t>
      </w:r>
      <w:bookmarkStart w:id="584" w:name="OLE_LINK52"/>
      <w:r>
        <w:rPr>
          <w:rFonts w:hint="eastAsia" w:ascii="仿宋" w:hAnsi="仿宋" w:eastAsia="仿宋" w:cs="仿宋"/>
          <w:color w:val="auto"/>
          <w:highlight w:val="none"/>
        </w:rPr>
        <w:t>“资格审查文件/投标文件/开标一览表/投标文件电子版”</w:t>
      </w:r>
      <w:bookmarkEnd w:id="584"/>
      <w:r>
        <w:rPr>
          <w:rFonts w:hint="eastAsia" w:ascii="仿宋" w:hAnsi="仿宋" w:eastAsia="仿宋" w:cs="仿宋"/>
          <w:color w:val="auto"/>
          <w:highlight w:val="none"/>
        </w:rPr>
        <w:t>标记的位置，根据“资格审查文件”、“投标文件”、“开标一览表”、“投标文件电子版”实际内容分别标记于不同信封或文件袋中。</w:t>
      </w:r>
    </w:p>
    <w:p w14:paraId="68819713">
      <w:pPr>
        <w:rPr>
          <w:rFonts w:hint="eastAsia" w:ascii="仿宋" w:hAnsi="仿宋" w:eastAsia="仿宋" w:cs="仿宋"/>
          <w:b/>
          <w:color w:val="auto"/>
          <w:sz w:val="24"/>
          <w:highlight w:val="none"/>
        </w:rPr>
      </w:pPr>
    </w:p>
    <w:sectPr>
      <w:headerReference r:id="rId12" w:type="default"/>
      <w:footerReference r:id="rId13" w:type="default"/>
      <w:pgSz w:w="11906" w:h="16838"/>
      <w:pgMar w:top="1440" w:right="1080" w:bottom="1440" w:left="1080" w:header="737" w:footer="737" w:gutter="0"/>
      <w:pgNumType w:fmt="decimal"/>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decorative"/>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decorative"/>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AFB7A">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7770">
    <w:pPr>
      <w:pStyle w:val="23"/>
      <w:jc w:val="center"/>
    </w:pPr>
    <w:r>
      <w:fldChar w:fldCharType="begin"/>
    </w:r>
    <w:r>
      <w:rPr>
        <w:rStyle w:val="45"/>
      </w:rPr>
      <w:instrText xml:space="preserve"> PAGE </w:instrText>
    </w:r>
    <w:r>
      <w:fldChar w:fldCharType="separate"/>
    </w:r>
    <w:r>
      <w:rPr>
        <w:rStyle w:val="45"/>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F6AD0">
    <w:pPr>
      <w:pStyle w:val="2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C0D9F">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F4C0D9F">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5F2B">
    <w:pPr>
      <w:widowControl w:val="0"/>
      <w:snapToGrid w:val="0"/>
      <w:jc w:val="left"/>
      <w:rPr>
        <w:rFonts w:ascii="Calibri" w:hAnsi="Calibri" w:eastAsia="Times New Roman" w:cs="Times New Roman"/>
        <w:kern w:val="2"/>
        <w:sz w:val="18"/>
        <w:szCs w:val="18"/>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4354C">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524354C">
                    <w:pPr>
                      <w:pStyle w:val="23"/>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9412D">
                          <w:pPr>
                            <w:widowControl w:val="0"/>
                            <w:snapToGrid w:val="0"/>
                            <w:jc w:val="left"/>
                          </w:pPr>
                        </w:p>
                        <w:p w14:paraId="0F234F8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89412D">
                    <w:pPr>
                      <w:widowControl w:val="0"/>
                      <w:snapToGrid w:val="0"/>
                      <w:jc w:val="left"/>
                    </w:pPr>
                  </w:p>
                  <w:p w14:paraId="0F234F8D"/>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2890">
    <w:pPr>
      <w:pStyle w:val="23"/>
      <w:tabs>
        <w:tab w:val="center" w:pos="4677"/>
        <w:tab w:val="clear" w:pos="4153"/>
      </w:tabs>
      <w:rPr>
        <w:rFonts w:hint="eastAsia" w:eastAsia="仿宋_GB2312"/>
        <w:sz w:val="21"/>
        <w:szCs w:val="21"/>
        <w:lang w:eastAsia="zh-C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6C2AC">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BA6C2AC">
                    <w:pPr>
                      <w:pStyle w:val="2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sz w:val="21"/>
        <w:szCs w:val="21"/>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22FDC">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3F404">
                          <w:pPr>
                            <w:pStyle w:val="2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283F404">
                    <w:pPr>
                      <w:pStyle w:val="23"/>
                    </w:pPr>
                    <w:r>
                      <w:fldChar w:fldCharType="begin"/>
                    </w:r>
                    <w:r>
                      <w:instrText xml:space="preserve"> PAGE  \* MERGEFORMAT </w:instrText>
                    </w:r>
                    <w:r>
                      <w:fldChar w:fldCharType="separate"/>
                    </w:r>
                    <w:r>
                      <w:t>54</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0BAEB">
                          <w:pPr>
                            <w:widowControl w:val="0"/>
                            <w:tabs>
                              <w:tab w:val="center" w:pos="4153"/>
                              <w:tab w:val="right" w:pos="8306"/>
                            </w:tabs>
                            <w:snapToGrid w:val="0"/>
                            <w:jc w:val="center"/>
                          </w:pPr>
                        </w:p>
                        <w:p w14:paraId="64EC89B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B0BAEB">
                    <w:pPr>
                      <w:widowControl w:val="0"/>
                      <w:tabs>
                        <w:tab w:val="center" w:pos="4153"/>
                        <w:tab w:val="right" w:pos="8306"/>
                      </w:tabs>
                      <w:snapToGrid w:val="0"/>
                      <w:jc w:val="center"/>
                    </w:pPr>
                  </w:p>
                  <w:p w14:paraId="64EC89BD"/>
                </w:txbxContent>
              </v:textbox>
            </v:shape>
          </w:pict>
        </mc:Fallback>
      </mc:AlternateContent>
    </w:r>
  </w:p>
  <w:p w14:paraId="56CC8FC2">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10097">
    <w:pPr>
      <w:pStyle w:val="23"/>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00AA6">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FA00AA6">
                    <w:pPr>
                      <w:pStyle w:val="23"/>
                    </w:pPr>
                    <w:r>
                      <w:fldChar w:fldCharType="begin"/>
                    </w:r>
                    <w:r>
                      <w:instrText xml:space="preserve"> PAGE  \* MERGEFORMAT </w:instrText>
                    </w:r>
                    <w:r>
                      <w:fldChar w:fldCharType="separate"/>
                    </w:r>
                    <w:r>
                      <w:t>1</w:t>
                    </w:r>
                    <w:r>
                      <w:fldChar w:fldCharType="end"/>
                    </w:r>
                  </w:p>
                </w:txbxContent>
              </v:textbox>
            </v:shape>
          </w:pict>
        </mc:Fallback>
      </mc:AlternateContent>
    </w:r>
  </w:p>
  <w:p w14:paraId="35522DCA">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B3070">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E8D95">
    <w:pPr>
      <w:pStyle w:val="24"/>
      <w:pBdr>
        <w:bottom w:val="none" w:color="auto" w:sz="0" w:space="1"/>
      </w:pBdr>
      <w:jc w:val="both"/>
      <w:rPr>
        <w:rFonts w:ascii="仿宋" w:hAnsi="仿宋" w:eastAsia="仿宋" w:cs="仿宋"/>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59FF8">
    <w:pPr>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09D62">
    <w:pPr>
      <w:pStyle w:val="24"/>
      <w:pBdr>
        <w:bottom w:val="none" w:color="auto" w:sz="0" w:space="1"/>
      </w:pBdr>
      <w:jc w:val="both"/>
      <w:rPr>
        <w:rFonts w:ascii="仿宋" w:hAnsi="仿宋" w:eastAsia="仿宋" w:cs="仿宋"/>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47AA7"/>
    <w:multiLevelType w:val="singleLevel"/>
    <w:tmpl w:val="93547AA7"/>
    <w:lvl w:ilvl="0" w:tentative="0">
      <w:start w:val="2"/>
      <w:numFmt w:val="decimal"/>
      <w:lvlText w:val="%1."/>
      <w:lvlJc w:val="left"/>
      <w:pPr>
        <w:tabs>
          <w:tab w:val="left" w:pos="312"/>
        </w:tabs>
      </w:pPr>
    </w:lvl>
  </w:abstractNum>
  <w:abstractNum w:abstractNumId="1">
    <w:nsid w:val="A77E33FD"/>
    <w:multiLevelType w:val="singleLevel"/>
    <w:tmpl w:val="A77E33FD"/>
    <w:lvl w:ilvl="0" w:tentative="0">
      <w:start w:val="1"/>
      <w:numFmt w:val="chineseCounting"/>
      <w:suff w:val="nothing"/>
      <w:lvlText w:val="%1、"/>
      <w:lvlJc w:val="left"/>
      <w:pPr>
        <w:ind w:left="0" w:firstLine="420"/>
      </w:pPr>
      <w:rPr>
        <w:rFonts w:hint="eastAsia"/>
      </w:rPr>
    </w:lvl>
  </w:abstractNum>
  <w:abstractNum w:abstractNumId="2">
    <w:nsid w:val="BCB5AE9A"/>
    <w:multiLevelType w:val="singleLevel"/>
    <w:tmpl w:val="BCB5AE9A"/>
    <w:lvl w:ilvl="0" w:tentative="0">
      <w:start w:val="1"/>
      <w:numFmt w:val="decimal"/>
      <w:lvlText w:val="%1."/>
      <w:lvlJc w:val="left"/>
      <w:pPr>
        <w:tabs>
          <w:tab w:val="left" w:pos="312"/>
        </w:tabs>
      </w:pPr>
    </w:lvl>
  </w:abstractNum>
  <w:abstractNum w:abstractNumId="3">
    <w:nsid w:val="EF844D4F"/>
    <w:multiLevelType w:val="singleLevel"/>
    <w:tmpl w:val="EF844D4F"/>
    <w:lvl w:ilvl="0" w:tentative="0">
      <w:start w:val="2"/>
      <w:numFmt w:val="decimal"/>
      <w:suff w:val="nothing"/>
      <w:lvlText w:val="%1、"/>
      <w:lvlJc w:val="left"/>
    </w:lvl>
  </w:abstractNum>
  <w:abstractNum w:abstractNumId="4">
    <w:nsid w:val="00000003"/>
    <w:multiLevelType w:val="multilevel"/>
    <w:tmpl w:val="00000003"/>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C"/>
    <w:multiLevelType w:val="multilevel"/>
    <w:tmpl w:val="0000000C"/>
    <w:lvl w:ilvl="0" w:tentative="0">
      <w:start w:val="1"/>
      <w:numFmt w:val="decimal"/>
      <w:lvlText w:val="%1."/>
      <w:lvlJc w:val="left"/>
      <w:pPr>
        <w:ind w:left="425" w:hanging="425"/>
      </w:pPr>
      <w:rPr>
        <w:rFonts w:hint="default"/>
      </w:rPr>
    </w:lvl>
    <w:lvl w:ilvl="1" w:tentative="0">
      <w:start w:val="1"/>
      <w:numFmt w:val="decimal"/>
      <w:suff w:val="space"/>
      <w:lvlText w:val="%1.%2."/>
      <w:lvlJc w:val="left"/>
      <w:pPr>
        <w:tabs>
          <w:tab w:val="left" w:pos="0"/>
        </w:tabs>
        <w:ind w:left="0" w:firstLine="0"/>
      </w:pPr>
      <w:rPr>
        <w:rFonts w:hint="default" w:ascii="仿宋_GB2312" w:hAnsi="仿宋_GB2312" w:eastAsia="仿宋_GB2312" w:cs="仿宋_GB2312"/>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12916F94"/>
    <w:multiLevelType w:val="multilevel"/>
    <w:tmpl w:val="12916F94"/>
    <w:lvl w:ilvl="0" w:tentative="0">
      <w:start w:val="1"/>
      <w:numFmt w:val="decimalEnclosedCircle"/>
      <w:lvlText w:val="%1"/>
      <w:lvlJc w:val="left"/>
      <w:pPr>
        <w:tabs>
          <w:tab w:val="left" w:pos="883"/>
        </w:tabs>
        <w:ind w:left="883" w:hanging="360"/>
      </w:pPr>
      <w:rPr>
        <w:spacing w:val="-20"/>
      </w:rPr>
    </w:lvl>
    <w:lvl w:ilvl="1" w:tentative="0">
      <w:start w:val="1"/>
      <w:numFmt w:val="decimal"/>
      <w:lvlText w:val="%2、"/>
      <w:lvlJc w:val="left"/>
      <w:pPr>
        <w:tabs>
          <w:tab w:val="left" w:pos="1783"/>
        </w:tabs>
        <w:ind w:left="1783" w:hanging="840"/>
      </w:pPr>
    </w:lvl>
    <w:lvl w:ilvl="2" w:tentative="0">
      <w:start w:val="1"/>
      <w:numFmt w:val="lowerRoman"/>
      <w:lvlText w:val="%3."/>
      <w:lvlJc w:val="right"/>
      <w:pPr>
        <w:tabs>
          <w:tab w:val="left" w:pos="1783"/>
        </w:tabs>
        <w:ind w:left="1783" w:hanging="420"/>
      </w:pPr>
    </w:lvl>
    <w:lvl w:ilvl="3" w:tentative="0">
      <w:start w:val="1"/>
      <w:numFmt w:val="decimal"/>
      <w:lvlText w:val="%4."/>
      <w:lvlJc w:val="left"/>
      <w:pPr>
        <w:tabs>
          <w:tab w:val="left" w:pos="2203"/>
        </w:tabs>
        <w:ind w:left="2203" w:hanging="420"/>
      </w:pPr>
    </w:lvl>
    <w:lvl w:ilvl="4" w:tentative="0">
      <w:start w:val="1"/>
      <w:numFmt w:val="lowerLetter"/>
      <w:lvlText w:val="%5)"/>
      <w:lvlJc w:val="left"/>
      <w:pPr>
        <w:tabs>
          <w:tab w:val="left" w:pos="2623"/>
        </w:tabs>
        <w:ind w:left="2623" w:hanging="420"/>
      </w:pPr>
    </w:lvl>
    <w:lvl w:ilvl="5" w:tentative="0">
      <w:start w:val="1"/>
      <w:numFmt w:val="lowerRoman"/>
      <w:lvlText w:val="%6."/>
      <w:lvlJc w:val="right"/>
      <w:pPr>
        <w:tabs>
          <w:tab w:val="left" w:pos="3043"/>
        </w:tabs>
        <w:ind w:left="3043" w:hanging="420"/>
      </w:pPr>
    </w:lvl>
    <w:lvl w:ilvl="6" w:tentative="0">
      <w:start w:val="1"/>
      <w:numFmt w:val="decimal"/>
      <w:lvlText w:val="%7."/>
      <w:lvlJc w:val="left"/>
      <w:pPr>
        <w:tabs>
          <w:tab w:val="left" w:pos="3463"/>
        </w:tabs>
        <w:ind w:left="3463" w:hanging="420"/>
      </w:pPr>
    </w:lvl>
    <w:lvl w:ilvl="7" w:tentative="0">
      <w:start w:val="1"/>
      <w:numFmt w:val="lowerLetter"/>
      <w:lvlText w:val="%8)"/>
      <w:lvlJc w:val="left"/>
      <w:pPr>
        <w:tabs>
          <w:tab w:val="left" w:pos="3883"/>
        </w:tabs>
        <w:ind w:left="3883" w:hanging="420"/>
      </w:pPr>
    </w:lvl>
    <w:lvl w:ilvl="8" w:tentative="0">
      <w:start w:val="1"/>
      <w:numFmt w:val="lowerRoman"/>
      <w:lvlText w:val="%9."/>
      <w:lvlJc w:val="right"/>
      <w:pPr>
        <w:tabs>
          <w:tab w:val="left" w:pos="4303"/>
        </w:tabs>
        <w:ind w:left="4303" w:hanging="420"/>
      </w:pPr>
    </w:lvl>
  </w:abstractNum>
  <w:abstractNum w:abstractNumId="7">
    <w:nsid w:val="461E2365"/>
    <w:multiLevelType w:val="multilevel"/>
    <w:tmpl w:val="461E2365"/>
    <w:lvl w:ilvl="0" w:tentative="0">
      <w:start w:val="1"/>
      <w:numFmt w:val="decimalEnclosedCircle"/>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7B35D06"/>
    <w:multiLevelType w:val="multilevel"/>
    <w:tmpl w:val="47B35D06"/>
    <w:lvl w:ilvl="0" w:tentative="0">
      <w:start w:val="1"/>
      <w:numFmt w:val="decimalEnclosedCircle"/>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952563C"/>
    <w:multiLevelType w:val="singleLevel"/>
    <w:tmpl w:val="5952563C"/>
    <w:lvl w:ilvl="0" w:tentative="0">
      <w:start w:val="1"/>
      <w:numFmt w:val="decimal"/>
      <w:pStyle w:val="105"/>
      <w:suff w:val="nothing"/>
      <w:lvlText w:val="(%1)"/>
      <w:lvlJc w:val="left"/>
    </w:lvl>
  </w:abstractNum>
  <w:abstractNum w:abstractNumId="10">
    <w:nsid w:val="59B67ECB"/>
    <w:multiLevelType w:val="multilevel"/>
    <w:tmpl w:val="59B67ECB"/>
    <w:lvl w:ilvl="0" w:tentative="0">
      <w:start w:val="1"/>
      <w:numFmt w:val="decimal"/>
      <w:pStyle w:val="100"/>
      <w:lvlText w:val="%1."/>
      <w:lvlJc w:val="left"/>
      <w:pPr>
        <w:tabs>
          <w:tab w:val="left" w:pos="0"/>
        </w:tabs>
        <w:ind w:left="0" w:firstLine="0"/>
      </w:pPr>
      <w:rPr>
        <w:rFonts w:hint="default" w:ascii="仿宋" w:hAnsi="仿宋" w:eastAsia="仿宋"/>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1">
    <w:nsid w:val="59B68121"/>
    <w:multiLevelType w:val="multilevel"/>
    <w:tmpl w:val="59B68121"/>
    <w:lvl w:ilvl="0" w:tentative="0">
      <w:start w:val="1"/>
      <w:numFmt w:val="decimal"/>
      <w:suff w:val="nothing"/>
      <w:lvlText w:val="%1．"/>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2">
    <w:nsid w:val="59B681C0"/>
    <w:multiLevelType w:val="multilevel"/>
    <w:tmpl w:val="59B681C0"/>
    <w:lvl w:ilvl="0" w:tentative="0">
      <w:start w:val="1"/>
      <w:numFmt w:val="decimal"/>
      <w:suff w:val="nothing"/>
      <w:lvlText w:val="%1．"/>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3">
    <w:nsid w:val="59B68345"/>
    <w:multiLevelType w:val="multilevel"/>
    <w:tmpl w:val="59B68345"/>
    <w:lvl w:ilvl="0" w:tentative="0">
      <w:start w:val="1"/>
      <w:numFmt w:val="decimalEnclosedCircleChinese"/>
      <w:suff w:val="nothing"/>
      <w:lvlText w:val="%1　"/>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4">
    <w:nsid w:val="59B68381"/>
    <w:multiLevelType w:val="multilevel"/>
    <w:tmpl w:val="59B68381"/>
    <w:lvl w:ilvl="0" w:tentative="0">
      <w:start w:val="1"/>
      <w:numFmt w:val="decimalEnclosedCircleChinese"/>
      <w:suff w:val="nothing"/>
      <w:lvlText w:val="%1　"/>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5">
    <w:nsid w:val="59B683A3"/>
    <w:multiLevelType w:val="multilevel"/>
    <w:tmpl w:val="59B683A3"/>
    <w:lvl w:ilvl="0" w:tentative="0">
      <w:start w:val="1"/>
      <w:numFmt w:val="decimalEnclosedCircleChinese"/>
      <w:suff w:val="nothing"/>
      <w:lvlText w:val="%1　"/>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6">
    <w:nsid w:val="59B683CA"/>
    <w:multiLevelType w:val="multilevel"/>
    <w:tmpl w:val="59B683CA"/>
    <w:lvl w:ilvl="0" w:tentative="0">
      <w:start w:val="1"/>
      <w:numFmt w:val="decimal"/>
      <w:suff w:val="nothing"/>
      <w:lvlText w:val="%1．"/>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7">
    <w:nsid w:val="59B6862E"/>
    <w:multiLevelType w:val="multilevel"/>
    <w:tmpl w:val="59B6862E"/>
    <w:lvl w:ilvl="0" w:tentative="0">
      <w:start w:val="1"/>
      <w:numFmt w:val="decimalEnclosedCircleChinese"/>
      <w:suff w:val="nothing"/>
      <w:lvlText w:val="%1　"/>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8">
    <w:nsid w:val="59B68798"/>
    <w:multiLevelType w:val="multilevel"/>
    <w:tmpl w:val="59B68798"/>
    <w:lvl w:ilvl="0" w:tentative="0">
      <w:start w:val="1"/>
      <w:numFmt w:val="decimalEnclosedCircleChinese"/>
      <w:suff w:val="nothing"/>
      <w:lvlText w:val="%1　"/>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19">
    <w:nsid w:val="59B687CE"/>
    <w:multiLevelType w:val="multilevel"/>
    <w:tmpl w:val="59B687CE"/>
    <w:lvl w:ilvl="0" w:tentative="0">
      <w:start w:val="1"/>
      <w:numFmt w:val="decimal"/>
      <w:suff w:val="nothing"/>
      <w:lvlText w:val="%1．"/>
      <w:lvlJc w:val="left"/>
      <w:pPr>
        <w:ind w:left="0" w:firstLine="400"/>
      </w:pPr>
      <w:rPr>
        <w:rFonts w:hint="default"/>
        <w:u w:val="none"/>
      </w:rPr>
    </w:lvl>
    <w:lvl w:ilvl="1" w:tentative="0">
      <w:start w:val="1"/>
      <w:numFmt w:val="decimal"/>
      <w:lvlText w:val=""/>
      <w:lvlJc w:val="left"/>
      <w:rPr>
        <w:rFonts w:hint="default"/>
        <w:u w:val="none"/>
      </w:rPr>
    </w:lvl>
    <w:lvl w:ilvl="2" w:tentative="0">
      <w:start w:val="1"/>
      <w:numFmt w:val="decimal"/>
      <w:lvlText w:val=""/>
      <w:lvlJc w:val="left"/>
      <w:rPr>
        <w:rFonts w:hint="default"/>
        <w:u w:val="none"/>
      </w:rPr>
    </w:lvl>
    <w:lvl w:ilvl="3" w:tentative="0">
      <w:start w:val="1"/>
      <w:numFmt w:val="decimal"/>
      <w:lvlText w:val=""/>
      <w:lvlJc w:val="left"/>
      <w:rPr>
        <w:rFonts w:hint="default"/>
        <w:u w:val="none"/>
      </w:rPr>
    </w:lvl>
    <w:lvl w:ilvl="4" w:tentative="0">
      <w:start w:val="1"/>
      <w:numFmt w:val="decimal"/>
      <w:lvlText w:val=""/>
      <w:lvlJc w:val="left"/>
      <w:rPr>
        <w:rFonts w:hint="default"/>
        <w:u w:val="none"/>
      </w:rPr>
    </w:lvl>
    <w:lvl w:ilvl="5" w:tentative="0">
      <w:start w:val="1"/>
      <w:numFmt w:val="decimal"/>
      <w:lvlText w:val=""/>
      <w:lvlJc w:val="left"/>
      <w:rPr>
        <w:rFonts w:hint="default"/>
        <w:u w:val="none"/>
      </w:rPr>
    </w:lvl>
    <w:lvl w:ilvl="6" w:tentative="0">
      <w:start w:val="1"/>
      <w:numFmt w:val="decimal"/>
      <w:lvlText w:val=""/>
      <w:lvlJc w:val="left"/>
      <w:rPr>
        <w:rFonts w:hint="default"/>
        <w:u w:val="none"/>
      </w:rPr>
    </w:lvl>
    <w:lvl w:ilvl="7" w:tentative="0">
      <w:start w:val="1"/>
      <w:numFmt w:val="decimal"/>
      <w:lvlText w:val=""/>
      <w:lvlJc w:val="left"/>
      <w:rPr>
        <w:rFonts w:hint="default"/>
        <w:u w:val="none"/>
      </w:rPr>
    </w:lvl>
    <w:lvl w:ilvl="8" w:tentative="0">
      <w:start w:val="1"/>
      <w:numFmt w:val="decimal"/>
      <w:lvlText w:val=""/>
      <w:lvlJc w:val="left"/>
      <w:rPr>
        <w:rFonts w:hint="default"/>
        <w:u w:val="none"/>
      </w:rPr>
    </w:lvl>
  </w:abstractNum>
  <w:abstractNum w:abstractNumId="20">
    <w:nsid w:val="6E9CD95F"/>
    <w:multiLevelType w:val="singleLevel"/>
    <w:tmpl w:val="6E9CD95F"/>
    <w:lvl w:ilvl="0" w:tentative="0">
      <w:start w:val="2"/>
      <w:numFmt w:val="decimal"/>
      <w:suff w:val="nothing"/>
      <w:lvlText w:val="%1、"/>
      <w:lvlJc w:val="left"/>
    </w:lvl>
  </w:abstractNum>
  <w:num w:numId="1">
    <w:abstractNumId w:val="10"/>
  </w:num>
  <w:num w:numId="2">
    <w:abstractNumId w:val="9"/>
  </w:num>
  <w:num w:numId="3">
    <w:abstractNumId w:val="2"/>
  </w:num>
  <w:num w:numId="4">
    <w:abstractNumId w:val="7"/>
    <w:lvlOverride w:ilvl="0">
      <w:startOverride w:val="1"/>
    </w:lvlOverride>
  </w:num>
  <w:num w:numId="5">
    <w:abstractNumId w:val="1"/>
  </w:num>
  <w:num w:numId="6">
    <w:abstractNumId w:val="5"/>
  </w:num>
  <w:num w:numId="7">
    <w:abstractNumId w:val="3"/>
  </w:num>
  <w:num w:numId="8">
    <w:abstractNumId w:val="6"/>
    <w:lvlOverride w:ilvl="0">
      <w:startOverride w:val="1"/>
    </w:lvlOverride>
  </w:num>
  <w:num w:numId="9">
    <w:abstractNumId w:val="8"/>
    <w:lvlOverride w:ilvl="0">
      <w:startOverride w:val="1"/>
    </w:lvlOverride>
  </w:num>
  <w:num w:numId="10">
    <w:abstractNumId w:val="2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12"/>
  </w:num>
  <w:num w:numId="15">
    <w:abstractNumId w:val="17"/>
  </w:num>
  <w:num w:numId="16">
    <w:abstractNumId w:val="13"/>
  </w:num>
  <w:num w:numId="17">
    <w:abstractNumId w:val="14"/>
  </w:num>
  <w:num w:numId="18">
    <w:abstractNumId w:val="15"/>
  </w:num>
  <w:num w:numId="19">
    <w:abstractNumId w:val="16"/>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trackRevisions w:val="1"/>
  <w:documentProtection w:enforcement="0"/>
  <w:defaultTabStop w:val="420"/>
  <w:drawingGridHorizontalSpacing w:val="105"/>
  <w:drawingGridVerticalSpacing w:val="2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4ZDdmN2NhZmY5OWM4YTdmMTIzM2U0OWZlMzQxYTYifQ=="/>
  </w:docVars>
  <w:rsids>
    <w:rsidRoot w:val="00172A27"/>
    <w:rsid w:val="000007F6"/>
    <w:rsid w:val="000047FC"/>
    <w:rsid w:val="000229F4"/>
    <w:rsid w:val="00027D98"/>
    <w:rsid w:val="00031236"/>
    <w:rsid w:val="00036DA6"/>
    <w:rsid w:val="00037F23"/>
    <w:rsid w:val="0004421F"/>
    <w:rsid w:val="000502DA"/>
    <w:rsid w:val="00051384"/>
    <w:rsid w:val="00056E36"/>
    <w:rsid w:val="00056E76"/>
    <w:rsid w:val="000573F2"/>
    <w:rsid w:val="00060C6A"/>
    <w:rsid w:val="000648A0"/>
    <w:rsid w:val="0006761B"/>
    <w:rsid w:val="00067E3B"/>
    <w:rsid w:val="00072B97"/>
    <w:rsid w:val="00072E3E"/>
    <w:rsid w:val="00076D34"/>
    <w:rsid w:val="00082DDC"/>
    <w:rsid w:val="00090CA3"/>
    <w:rsid w:val="000939DC"/>
    <w:rsid w:val="00094B71"/>
    <w:rsid w:val="00094E30"/>
    <w:rsid w:val="000A0796"/>
    <w:rsid w:val="000A17E4"/>
    <w:rsid w:val="000A359A"/>
    <w:rsid w:val="000A53A5"/>
    <w:rsid w:val="000A60F1"/>
    <w:rsid w:val="000B0B4D"/>
    <w:rsid w:val="000B79EF"/>
    <w:rsid w:val="000D6627"/>
    <w:rsid w:val="000D72FE"/>
    <w:rsid w:val="000E37F6"/>
    <w:rsid w:val="000E4218"/>
    <w:rsid w:val="000F11DD"/>
    <w:rsid w:val="0010695D"/>
    <w:rsid w:val="0010733E"/>
    <w:rsid w:val="001120C0"/>
    <w:rsid w:val="00112544"/>
    <w:rsid w:val="00115A49"/>
    <w:rsid w:val="0012620A"/>
    <w:rsid w:val="001307A4"/>
    <w:rsid w:val="00130A9F"/>
    <w:rsid w:val="001365AF"/>
    <w:rsid w:val="00137408"/>
    <w:rsid w:val="00137EF0"/>
    <w:rsid w:val="00147162"/>
    <w:rsid w:val="0015239A"/>
    <w:rsid w:val="00153EDE"/>
    <w:rsid w:val="00162032"/>
    <w:rsid w:val="0016604D"/>
    <w:rsid w:val="0016726D"/>
    <w:rsid w:val="00172A27"/>
    <w:rsid w:val="00173963"/>
    <w:rsid w:val="00174455"/>
    <w:rsid w:val="001850E5"/>
    <w:rsid w:val="00187023"/>
    <w:rsid w:val="00190058"/>
    <w:rsid w:val="00192098"/>
    <w:rsid w:val="00195B91"/>
    <w:rsid w:val="001A1F6F"/>
    <w:rsid w:val="001A6684"/>
    <w:rsid w:val="001B2702"/>
    <w:rsid w:val="001B5F3F"/>
    <w:rsid w:val="001B6E3B"/>
    <w:rsid w:val="001C39E4"/>
    <w:rsid w:val="001D1DE5"/>
    <w:rsid w:val="001D565C"/>
    <w:rsid w:val="001D6BB3"/>
    <w:rsid w:val="001D6CBD"/>
    <w:rsid w:val="001E5A1E"/>
    <w:rsid w:val="001E6D17"/>
    <w:rsid w:val="00205456"/>
    <w:rsid w:val="00207E8E"/>
    <w:rsid w:val="00216D53"/>
    <w:rsid w:val="002248E6"/>
    <w:rsid w:val="0023587C"/>
    <w:rsid w:val="00246657"/>
    <w:rsid w:val="00251F6F"/>
    <w:rsid w:val="002549D0"/>
    <w:rsid w:val="002625D0"/>
    <w:rsid w:val="002645C0"/>
    <w:rsid w:val="00267AF6"/>
    <w:rsid w:val="00267D5B"/>
    <w:rsid w:val="002700D3"/>
    <w:rsid w:val="00270BE5"/>
    <w:rsid w:val="00280344"/>
    <w:rsid w:val="0028111B"/>
    <w:rsid w:val="0029717A"/>
    <w:rsid w:val="002B428C"/>
    <w:rsid w:val="002B7676"/>
    <w:rsid w:val="002C34BB"/>
    <w:rsid w:val="002C5E70"/>
    <w:rsid w:val="002C60AF"/>
    <w:rsid w:val="002D1775"/>
    <w:rsid w:val="002D2614"/>
    <w:rsid w:val="002D2EC9"/>
    <w:rsid w:val="002D3820"/>
    <w:rsid w:val="002D3854"/>
    <w:rsid w:val="002D473A"/>
    <w:rsid w:val="002D68A0"/>
    <w:rsid w:val="002D6B61"/>
    <w:rsid w:val="002E7479"/>
    <w:rsid w:val="002F60CE"/>
    <w:rsid w:val="002F6E64"/>
    <w:rsid w:val="00301730"/>
    <w:rsid w:val="00303149"/>
    <w:rsid w:val="003200D0"/>
    <w:rsid w:val="00320D97"/>
    <w:rsid w:val="00324941"/>
    <w:rsid w:val="003306BC"/>
    <w:rsid w:val="00330F0A"/>
    <w:rsid w:val="00335153"/>
    <w:rsid w:val="00336BF3"/>
    <w:rsid w:val="00345C10"/>
    <w:rsid w:val="00351DCA"/>
    <w:rsid w:val="00353D44"/>
    <w:rsid w:val="00356DDF"/>
    <w:rsid w:val="003577A2"/>
    <w:rsid w:val="00366E89"/>
    <w:rsid w:val="00372A95"/>
    <w:rsid w:val="0037328D"/>
    <w:rsid w:val="00381B38"/>
    <w:rsid w:val="003830D6"/>
    <w:rsid w:val="00383833"/>
    <w:rsid w:val="00386DFC"/>
    <w:rsid w:val="00387CDC"/>
    <w:rsid w:val="00392633"/>
    <w:rsid w:val="0039628E"/>
    <w:rsid w:val="003979A5"/>
    <w:rsid w:val="003A1FE4"/>
    <w:rsid w:val="003A67D0"/>
    <w:rsid w:val="003B4C0B"/>
    <w:rsid w:val="003B6093"/>
    <w:rsid w:val="003B643A"/>
    <w:rsid w:val="003B77EE"/>
    <w:rsid w:val="003C53D1"/>
    <w:rsid w:val="003D1791"/>
    <w:rsid w:val="003D56AE"/>
    <w:rsid w:val="003E133D"/>
    <w:rsid w:val="003F5F1E"/>
    <w:rsid w:val="003F7840"/>
    <w:rsid w:val="00411A48"/>
    <w:rsid w:val="004121C8"/>
    <w:rsid w:val="00416146"/>
    <w:rsid w:val="004165D7"/>
    <w:rsid w:val="00417631"/>
    <w:rsid w:val="004306C0"/>
    <w:rsid w:val="004439D8"/>
    <w:rsid w:val="0045283B"/>
    <w:rsid w:val="00454628"/>
    <w:rsid w:val="00460A64"/>
    <w:rsid w:val="0046319D"/>
    <w:rsid w:val="00464DC7"/>
    <w:rsid w:val="0047212F"/>
    <w:rsid w:val="00473031"/>
    <w:rsid w:val="00473D3C"/>
    <w:rsid w:val="0047606D"/>
    <w:rsid w:val="00480507"/>
    <w:rsid w:val="00486658"/>
    <w:rsid w:val="0049336B"/>
    <w:rsid w:val="00494168"/>
    <w:rsid w:val="00497D86"/>
    <w:rsid w:val="004A2281"/>
    <w:rsid w:val="004B0C35"/>
    <w:rsid w:val="004B0CFC"/>
    <w:rsid w:val="004B2EB7"/>
    <w:rsid w:val="004B4991"/>
    <w:rsid w:val="004C2C3E"/>
    <w:rsid w:val="004C3A95"/>
    <w:rsid w:val="004C456C"/>
    <w:rsid w:val="004D4D09"/>
    <w:rsid w:val="004F26B6"/>
    <w:rsid w:val="004F4A8A"/>
    <w:rsid w:val="005071F4"/>
    <w:rsid w:val="00524E0B"/>
    <w:rsid w:val="005314FD"/>
    <w:rsid w:val="005318CB"/>
    <w:rsid w:val="00531F16"/>
    <w:rsid w:val="00532F07"/>
    <w:rsid w:val="00541DCF"/>
    <w:rsid w:val="0054468A"/>
    <w:rsid w:val="00554579"/>
    <w:rsid w:val="00560237"/>
    <w:rsid w:val="00561D19"/>
    <w:rsid w:val="00565500"/>
    <w:rsid w:val="00567909"/>
    <w:rsid w:val="00572FC4"/>
    <w:rsid w:val="00574C13"/>
    <w:rsid w:val="005814A3"/>
    <w:rsid w:val="0058365E"/>
    <w:rsid w:val="005852EA"/>
    <w:rsid w:val="00592E01"/>
    <w:rsid w:val="005A2880"/>
    <w:rsid w:val="005A2D64"/>
    <w:rsid w:val="005A3CA4"/>
    <w:rsid w:val="005A4AAA"/>
    <w:rsid w:val="005B4EBD"/>
    <w:rsid w:val="005B57BF"/>
    <w:rsid w:val="005C66A5"/>
    <w:rsid w:val="005C6EB2"/>
    <w:rsid w:val="005D38B8"/>
    <w:rsid w:val="005D65EE"/>
    <w:rsid w:val="005F00E5"/>
    <w:rsid w:val="005F3436"/>
    <w:rsid w:val="005F45A7"/>
    <w:rsid w:val="005F52E0"/>
    <w:rsid w:val="00605193"/>
    <w:rsid w:val="00607C96"/>
    <w:rsid w:val="0061171A"/>
    <w:rsid w:val="006144A3"/>
    <w:rsid w:val="0061454F"/>
    <w:rsid w:val="006162E4"/>
    <w:rsid w:val="0062003A"/>
    <w:rsid w:val="006229CC"/>
    <w:rsid w:val="00626213"/>
    <w:rsid w:val="00637A5B"/>
    <w:rsid w:val="00645B0E"/>
    <w:rsid w:val="00657D2D"/>
    <w:rsid w:val="006714FA"/>
    <w:rsid w:val="006812DE"/>
    <w:rsid w:val="00691B43"/>
    <w:rsid w:val="00693DB2"/>
    <w:rsid w:val="00696496"/>
    <w:rsid w:val="006A2353"/>
    <w:rsid w:val="006A6DD0"/>
    <w:rsid w:val="006B096E"/>
    <w:rsid w:val="006B5315"/>
    <w:rsid w:val="006B5650"/>
    <w:rsid w:val="006B5835"/>
    <w:rsid w:val="006D1042"/>
    <w:rsid w:val="006D3029"/>
    <w:rsid w:val="006D3A30"/>
    <w:rsid w:val="006E0BC7"/>
    <w:rsid w:val="006E19EA"/>
    <w:rsid w:val="006E257B"/>
    <w:rsid w:val="006F2DB5"/>
    <w:rsid w:val="006F3DD2"/>
    <w:rsid w:val="006F7732"/>
    <w:rsid w:val="0070154E"/>
    <w:rsid w:val="0070659B"/>
    <w:rsid w:val="007142C0"/>
    <w:rsid w:val="00716D7E"/>
    <w:rsid w:val="007226D7"/>
    <w:rsid w:val="00730D83"/>
    <w:rsid w:val="00746E15"/>
    <w:rsid w:val="00747678"/>
    <w:rsid w:val="0075350A"/>
    <w:rsid w:val="0075668B"/>
    <w:rsid w:val="00761D35"/>
    <w:rsid w:val="00770989"/>
    <w:rsid w:val="00772DEC"/>
    <w:rsid w:val="007813C9"/>
    <w:rsid w:val="007933DE"/>
    <w:rsid w:val="00794A3F"/>
    <w:rsid w:val="00796FBA"/>
    <w:rsid w:val="007B665B"/>
    <w:rsid w:val="007C0E70"/>
    <w:rsid w:val="007C27F0"/>
    <w:rsid w:val="007C3097"/>
    <w:rsid w:val="007C3C55"/>
    <w:rsid w:val="007C4755"/>
    <w:rsid w:val="007C540D"/>
    <w:rsid w:val="007D172A"/>
    <w:rsid w:val="007D53C8"/>
    <w:rsid w:val="007F0A1D"/>
    <w:rsid w:val="007F0B95"/>
    <w:rsid w:val="007F1AB2"/>
    <w:rsid w:val="007F536C"/>
    <w:rsid w:val="008007B9"/>
    <w:rsid w:val="00812E24"/>
    <w:rsid w:val="00817AE9"/>
    <w:rsid w:val="00820734"/>
    <w:rsid w:val="00821E9A"/>
    <w:rsid w:val="00825229"/>
    <w:rsid w:val="00834B8C"/>
    <w:rsid w:val="008350EA"/>
    <w:rsid w:val="00835B5A"/>
    <w:rsid w:val="00836F57"/>
    <w:rsid w:val="008402A0"/>
    <w:rsid w:val="00850551"/>
    <w:rsid w:val="00854571"/>
    <w:rsid w:val="00857034"/>
    <w:rsid w:val="00866422"/>
    <w:rsid w:val="00870649"/>
    <w:rsid w:val="0087423C"/>
    <w:rsid w:val="008826F6"/>
    <w:rsid w:val="008852EE"/>
    <w:rsid w:val="00886E6B"/>
    <w:rsid w:val="00893A57"/>
    <w:rsid w:val="008947B5"/>
    <w:rsid w:val="008A0A0B"/>
    <w:rsid w:val="008A1D50"/>
    <w:rsid w:val="008B5061"/>
    <w:rsid w:val="008B57AF"/>
    <w:rsid w:val="008B6D53"/>
    <w:rsid w:val="008C7409"/>
    <w:rsid w:val="008D228A"/>
    <w:rsid w:val="008E0961"/>
    <w:rsid w:val="008E492F"/>
    <w:rsid w:val="00905ECE"/>
    <w:rsid w:val="00906117"/>
    <w:rsid w:val="009063CB"/>
    <w:rsid w:val="0092534A"/>
    <w:rsid w:val="009277A1"/>
    <w:rsid w:val="00942EC2"/>
    <w:rsid w:val="0094575F"/>
    <w:rsid w:val="00952683"/>
    <w:rsid w:val="00961501"/>
    <w:rsid w:val="0096664A"/>
    <w:rsid w:val="00967876"/>
    <w:rsid w:val="00971940"/>
    <w:rsid w:val="00987EF2"/>
    <w:rsid w:val="00996D23"/>
    <w:rsid w:val="009A1249"/>
    <w:rsid w:val="009A3A84"/>
    <w:rsid w:val="009A408E"/>
    <w:rsid w:val="009A5BF0"/>
    <w:rsid w:val="009C041D"/>
    <w:rsid w:val="009D631A"/>
    <w:rsid w:val="009E1E13"/>
    <w:rsid w:val="009E296A"/>
    <w:rsid w:val="009F4BCC"/>
    <w:rsid w:val="009F59EA"/>
    <w:rsid w:val="009F694A"/>
    <w:rsid w:val="00A112F6"/>
    <w:rsid w:val="00A15139"/>
    <w:rsid w:val="00A2333C"/>
    <w:rsid w:val="00A270A8"/>
    <w:rsid w:val="00A344D2"/>
    <w:rsid w:val="00A40157"/>
    <w:rsid w:val="00A47465"/>
    <w:rsid w:val="00A5364B"/>
    <w:rsid w:val="00A55BF4"/>
    <w:rsid w:val="00A57326"/>
    <w:rsid w:val="00A72CCD"/>
    <w:rsid w:val="00A75261"/>
    <w:rsid w:val="00A814FA"/>
    <w:rsid w:val="00A82189"/>
    <w:rsid w:val="00A855B9"/>
    <w:rsid w:val="00A90AFC"/>
    <w:rsid w:val="00A92BED"/>
    <w:rsid w:val="00A93336"/>
    <w:rsid w:val="00AA3EFB"/>
    <w:rsid w:val="00AB1E83"/>
    <w:rsid w:val="00AB414E"/>
    <w:rsid w:val="00AB5A4A"/>
    <w:rsid w:val="00AC0E8F"/>
    <w:rsid w:val="00AC2230"/>
    <w:rsid w:val="00AC32EA"/>
    <w:rsid w:val="00AE103A"/>
    <w:rsid w:val="00AE2F08"/>
    <w:rsid w:val="00AE4DA5"/>
    <w:rsid w:val="00AE6C4B"/>
    <w:rsid w:val="00AF7202"/>
    <w:rsid w:val="00AF7399"/>
    <w:rsid w:val="00B01BCB"/>
    <w:rsid w:val="00B0320E"/>
    <w:rsid w:val="00B06A71"/>
    <w:rsid w:val="00B37603"/>
    <w:rsid w:val="00B413D5"/>
    <w:rsid w:val="00B42C20"/>
    <w:rsid w:val="00B44D8D"/>
    <w:rsid w:val="00B47BDE"/>
    <w:rsid w:val="00B513A8"/>
    <w:rsid w:val="00B56C8B"/>
    <w:rsid w:val="00B6035B"/>
    <w:rsid w:val="00B61EEE"/>
    <w:rsid w:val="00B6619A"/>
    <w:rsid w:val="00B674BD"/>
    <w:rsid w:val="00B701B7"/>
    <w:rsid w:val="00B738D9"/>
    <w:rsid w:val="00B77FCA"/>
    <w:rsid w:val="00B93B81"/>
    <w:rsid w:val="00B960B4"/>
    <w:rsid w:val="00BC272D"/>
    <w:rsid w:val="00BC4E0F"/>
    <w:rsid w:val="00BD5CC0"/>
    <w:rsid w:val="00BD5F87"/>
    <w:rsid w:val="00BD6A33"/>
    <w:rsid w:val="00BE361F"/>
    <w:rsid w:val="00BE477A"/>
    <w:rsid w:val="00BE5B88"/>
    <w:rsid w:val="00BF4019"/>
    <w:rsid w:val="00BF5390"/>
    <w:rsid w:val="00BF6E41"/>
    <w:rsid w:val="00BF706B"/>
    <w:rsid w:val="00C00CC0"/>
    <w:rsid w:val="00C03208"/>
    <w:rsid w:val="00C070A4"/>
    <w:rsid w:val="00C11FE6"/>
    <w:rsid w:val="00C12002"/>
    <w:rsid w:val="00C1295F"/>
    <w:rsid w:val="00C215B9"/>
    <w:rsid w:val="00C21E41"/>
    <w:rsid w:val="00C26E6E"/>
    <w:rsid w:val="00C31FA5"/>
    <w:rsid w:val="00C427EA"/>
    <w:rsid w:val="00C55F10"/>
    <w:rsid w:val="00C56FBE"/>
    <w:rsid w:val="00C614FC"/>
    <w:rsid w:val="00C64968"/>
    <w:rsid w:val="00C668E8"/>
    <w:rsid w:val="00C72AD4"/>
    <w:rsid w:val="00C8168F"/>
    <w:rsid w:val="00CC75FC"/>
    <w:rsid w:val="00CE16CF"/>
    <w:rsid w:val="00CE17B4"/>
    <w:rsid w:val="00CE2017"/>
    <w:rsid w:val="00CE2878"/>
    <w:rsid w:val="00CF39A6"/>
    <w:rsid w:val="00CF4007"/>
    <w:rsid w:val="00D00A5A"/>
    <w:rsid w:val="00D03176"/>
    <w:rsid w:val="00D04532"/>
    <w:rsid w:val="00D15A9D"/>
    <w:rsid w:val="00D22C6F"/>
    <w:rsid w:val="00D25BF8"/>
    <w:rsid w:val="00D36918"/>
    <w:rsid w:val="00D41C09"/>
    <w:rsid w:val="00D450D7"/>
    <w:rsid w:val="00D47CE3"/>
    <w:rsid w:val="00D567DA"/>
    <w:rsid w:val="00D674AE"/>
    <w:rsid w:val="00D70DC7"/>
    <w:rsid w:val="00D735D1"/>
    <w:rsid w:val="00D75F02"/>
    <w:rsid w:val="00D93185"/>
    <w:rsid w:val="00DA1900"/>
    <w:rsid w:val="00DA2907"/>
    <w:rsid w:val="00DA4F07"/>
    <w:rsid w:val="00DB1BEE"/>
    <w:rsid w:val="00DB32C4"/>
    <w:rsid w:val="00DC5958"/>
    <w:rsid w:val="00DC612B"/>
    <w:rsid w:val="00DD39B9"/>
    <w:rsid w:val="00DD4B23"/>
    <w:rsid w:val="00DF3065"/>
    <w:rsid w:val="00E130A6"/>
    <w:rsid w:val="00E13486"/>
    <w:rsid w:val="00E16EC7"/>
    <w:rsid w:val="00E21F39"/>
    <w:rsid w:val="00E24DA9"/>
    <w:rsid w:val="00E412D8"/>
    <w:rsid w:val="00E46E5E"/>
    <w:rsid w:val="00E53E92"/>
    <w:rsid w:val="00E56627"/>
    <w:rsid w:val="00E645F8"/>
    <w:rsid w:val="00E7084E"/>
    <w:rsid w:val="00E87B0E"/>
    <w:rsid w:val="00EA133E"/>
    <w:rsid w:val="00EA3266"/>
    <w:rsid w:val="00EA32DA"/>
    <w:rsid w:val="00EA40E8"/>
    <w:rsid w:val="00EA60C1"/>
    <w:rsid w:val="00EA64A5"/>
    <w:rsid w:val="00EB165C"/>
    <w:rsid w:val="00EC7E21"/>
    <w:rsid w:val="00EE1C10"/>
    <w:rsid w:val="00EE2E07"/>
    <w:rsid w:val="00EE3B9F"/>
    <w:rsid w:val="00EE4D4E"/>
    <w:rsid w:val="00EF10FE"/>
    <w:rsid w:val="00F05A88"/>
    <w:rsid w:val="00F073F5"/>
    <w:rsid w:val="00F140C9"/>
    <w:rsid w:val="00F44482"/>
    <w:rsid w:val="00F55C82"/>
    <w:rsid w:val="00F57624"/>
    <w:rsid w:val="00F62028"/>
    <w:rsid w:val="00F62E37"/>
    <w:rsid w:val="00F66273"/>
    <w:rsid w:val="00F823B7"/>
    <w:rsid w:val="00F82A40"/>
    <w:rsid w:val="00F9432B"/>
    <w:rsid w:val="00FB2102"/>
    <w:rsid w:val="00FB3043"/>
    <w:rsid w:val="00FB7C11"/>
    <w:rsid w:val="00FC410C"/>
    <w:rsid w:val="00FC6C9F"/>
    <w:rsid w:val="00FD0DF9"/>
    <w:rsid w:val="00FD6A34"/>
    <w:rsid w:val="00FE333E"/>
    <w:rsid w:val="00FE7DA4"/>
    <w:rsid w:val="00FF0691"/>
    <w:rsid w:val="00FF12A5"/>
    <w:rsid w:val="00FF72E0"/>
    <w:rsid w:val="00FF7B4D"/>
    <w:rsid w:val="01001B5E"/>
    <w:rsid w:val="01045BAD"/>
    <w:rsid w:val="01172A03"/>
    <w:rsid w:val="012515C4"/>
    <w:rsid w:val="01273F82"/>
    <w:rsid w:val="012B53F6"/>
    <w:rsid w:val="012B571B"/>
    <w:rsid w:val="0132323D"/>
    <w:rsid w:val="0138448B"/>
    <w:rsid w:val="013C35B2"/>
    <w:rsid w:val="013C7BC5"/>
    <w:rsid w:val="014A3F8F"/>
    <w:rsid w:val="01502644"/>
    <w:rsid w:val="01581DF8"/>
    <w:rsid w:val="0159126E"/>
    <w:rsid w:val="0160606B"/>
    <w:rsid w:val="01714772"/>
    <w:rsid w:val="01736D2C"/>
    <w:rsid w:val="01802C9E"/>
    <w:rsid w:val="018D0FD6"/>
    <w:rsid w:val="0193401C"/>
    <w:rsid w:val="01964270"/>
    <w:rsid w:val="019D55FE"/>
    <w:rsid w:val="01A2719B"/>
    <w:rsid w:val="01AA7D1B"/>
    <w:rsid w:val="01AB7E02"/>
    <w:rsid w:val="01AF0E8E"/>
    <w:rsid w:val="01BC24A9"/>
    <w:rsid w:val="01BF6A73"/>
    <w:rsid w:val="01CD7566"/>
    <w:rsid w:val="01D86637"/>
    <w:rsid w:val="01DD1E9F"/>
    <w:rsid w:val="01EC16DA"/>
    <w:rsid w:val="0200793B"/>
    <w:rsid w:val="020236B3"/>
    <w:rsid w:val="02072A78"/>
    <w:rsid w:val="020C008E"/>
    <w:rsid w:val="020F48EF"/>
    <w:rsid w:val="022A7A60"/>
    <w:rsid w:val="02377801"/>
    <w:rsid w:val="024D2427"/>
    <w:rsid w:val="02557C87"/>
    <w:rsid w:val="025B50BC"/>
    <w:rsid w:val="026A5994"/>
    <w:rsid w:val="027619AC"/>
    <w:rsid w:val="027A4A46"/>
    <w:rsid w:val="027A5940"/>
    <w:rsid w:val="027F4D04"/>
    <w:rsid w:val="027F6AB2"/>
    <w:rsid w:val="028020F4"/>
    <w:rsid w:val="029A1B3E"/>
    <w:rsid w:val="029C3145"/>
    <w:rsid w:val="02B20C36"/>
    <w:rsid w:val="02F07E56"/>
    <w:rsid w:val="02F54FC6"/>
    <w:rsid w:val="030773AE"/>
    <w:rsid w:val="03105D4D"/>
    <w:rsid w:val="03194519"/>
    <w:rsid w:val="03321D76"/>
    <w:rsid w:val="03597303"/>
    <w:rsid w:val="035C5045"/>
    <w:rsid w:val="03726617"/>
    <w:rsid w:val="03771E7F"/>
    <w:rsid w:val="039504BE"/>
    <w:rsid w:val="03965C2D"/>
    <w:rsid w:val="03A27061"/>
    <w:rsid w:val="03B61E5B"/>
    <w:rsid w:val="03C36E72"/>
    <w:rsid w:val="03E0767B"/>
    <w:rsid w:val="03E80687"/>
    <w:rsid w:val="03F10EDE"/>
    <w:rsid w:val="03F31506"/>
    <w:rsid w:val="03FD05D6"/>
    <w:rsid w:val="03FE7EAB"/>
    <w:rsid w:val="04022F19"/>
    <w:rsid w:val="040A2547"/>
    <w:rsid w:val="042913CB"/>
    <w:rsid w:val="042A2515"/>
    <w:rsid w:val="042E590B"/>
    <w:rsid w:val="043152A4"/>
    <w:rsid w:val="043757FC"/>
    <w:rsid w:val="04410539"/>
    <w:rsid w:val="04412B4C"/>
    <w:rsid w:val="04466855"/>
    <w:rsid w:val="045437FD"/>
    <w:rsid w:val="0461392D"/>
    <w:rsid w:val="047D1CBF"/>
    <w:rsid w:val="04966B22"/>
    <w:rsid w:val="04AB524A"/>
    <w:rsid w:val="04B24C31"/>
    <w:rsid w:val="04B3251D"/>
    <w:rsid w:val="04D16A79"/>
    <w:rsid w:val="04D1736D"/>
    <w:rsid w:val="04D213A5"/>
    <w:rsid w:val="04D841F1"/>
    <w:rsid w:val="04DD5D12"/>
    <w:rsid w:val="04F131C0"/>
    <w:rsid w:val="04FD3B5A"/>
    <w:rsid w:val="05087233"/>
    <w:rsid w:val="05110DF2"/>
    <w:rsid w:val="051200D8"/>
    <w:rsid w:val="05145E61"/>
    <w:rsid w:val="05182245"/>
    <w:rsid w:val="051C6332"/>
    <w:rsid w:val="052120A3"/>
    <w:rsid w:val="05271EE5"/>
    <w:rsid w:val="054746B6"/>
    <w:rsid w:val="055002E1"/>
    <w:rsid w:val="055A1F8E"/>
    <w:rsid w:val="05620729"/>
    <w:rsid w:val="0578144E"/>
    <w:rsid w:val="058E048D"/>
    <w:rsid w:val="05971CE5"/>
    <w:rsid w:val="059B01EA"/>
    <w:rsid w:val="05A36F5B"/>
    <w:rsid w:val="05A7662C"/>
    <w:rsid w:val="05AF76AE"/>
    <w:rsid w:val="05C40282"/>
    <w:rsid w:val="05C50C80"/>
    <w:rsid w:val="05C64E5C"/>
    <w:rsid w:val="05EB2CDC"/>
    <w:rsid w:val="05F65126"/>
    <w:rsid w:val="060914B4"/>
    <w:rsid w:val="060C2D53"/>
    <w:rsid w:val="061340E1"/>
    <w:rsid w:val="061D286A"/>
    <w:rsid w:val="063127B9"/>
    <w:rsid w:val="06524F3A"/>
    <w:rsid w:val="06540912"/>
    <w:rsid w:val="066302AD"/>
    <w:rsid w:val="06652463"/>
    <w:rsid w:val="06654211"/>
    <w:rsid w:val="06905732"/>
    <w:rsid w:val="06984DAC"/>
    <w:rsid w:val="06B34F7C"/>
    <w:rsid w:val="06C4362D"/>
    <w:rsid w:val="06C453DB"/>
    <w:rsid w:val="06D25D4A"/>
    <w:rsid w:val="06D575E9"/>
    <w:rsid w:val="06F72C2A"/>
    <w:rsid w:val="070043F6"/>
    <w:rsid w:val="0701218C"/>
    <w:rsid w:val="071518DB"/>
    <w:rsid w:val="07153E89"/>
    <w:rsid w:val="07220C1C"/>
    <w:rsid w:val="072639A0"/>
    <w:rsid w:val="07487DBA"/>
    <w:rsid w:val="07504308"/>
    <w:rsid w:val="077A6521"/>
    <w:rsid w:val="078D34A1"/>
    <w:rsid w:val="078D3A1F"/>
    <w:rsid w:val="07A96B9D"/>
    <w:rsid w:val="07B0770E"/>
    <w:rsid w:val="07BB67DE"/>
    <w:rsid w:val="07D4164E"/>
    <w:rsid w:val="08014E19"/>
    <w:rsid w:val="08097B3E"/>
    <w:rsid w:val="08175E6F"/>
    <w:rsid w:val="082729BE"/>
    <w:rsid w:val="083420ED"/>
    <w:rsid w:val="083813B7"/>
    <w:rsid w:val="08381BDD"/>
    <w:rsid w:val="08393BA7"/>
    <w:rsid w:val="083E2F6B"/>
    <w:rsid w:val="085B1D6F"/>
    <w:rsid w:val="086F6867"/>
    <w:rsid w:val="08730E67"/>
    <w:rsid w:val="08752E31"/>
    <w:rsid w:val="08777D0E"/>
    <w:rsid w:val="087E4161"/>
    <w:rsid w:val="08803584"/>
    <w:rsid w:val="089B03BE"/>
    <w:rsid w:val="089F56CF"/>
    <w:rsid w:val="08B54678"/>
    <w:rsid w:val="08CA22DF"/>
    <w:rsid w:val="08E27D9B"/>
    <w:rsid w:val="08F655F4"/>
    <w:rsid w:val="09063C7B"/>
    <w:rsid w:val="0911695B"/>
    <w:rsid w:val="09491BC8"/>
    <w:rsid w:val="094C5B48"/>
    <w:rsid w:val="09511B49"/>
    <w:rsid w:val="09620342"/>
    <w:rsid w:val="096535AA"/>
    <w:rsid w:val="096802A0"/>
    <w:rsid w:val="097B1635"/>
    <w:rsid w:val="097F713A"/>
    <w:rsid w:val="09815806"/>
    <w:rsid w:val="098D5F59"/>
    <w:rsid w:val="099866AB"/>
    <w:rsid w:val="099E616D"/>
    <w:rsid w:val="09A14852"/>
    <w:rsid w:val="09AA5B6A"/>
    <w:rsid w:val="09C53944"/>
    <w:rsid w:val="09C83435"/>
    <w:rsid w:val="09D4521A"/>
    <w:rsid w:val="09D92F4C"/>
    <w:rsid w:val="09E813E1"/>
    <w:rsid w:val="09E87633"/>
    <w:rsid w:val="09F93BE8"/>
    <w:rsid w:val="0A040BE9"/>
    <w:rsid w:val="0A051F93"/>
    <w:rsid w:val="0A053D41"/>
    <w:rsid w:val="0A08113A"/>
    <w:rsid w:val="0A0919D8"/>
    <w:rsid w:val="0A0F4BBF"/>
    <w:rsid w:val="0A222B45"/>
    <w:rsid w:val="0A314B36"/>
    <w:rsid w:val="0A33323C"/>
    <w:rsid w:val="0A3C0468"/>
    <w:rsid w:val="0A634F0B"/>
    <w:rsid w:val="0A7D4792"/>
    <w:rsid w:val="0A875314"/>
    <w:rsid w:val="0A9E2F88"/>
    <w:rsid w:val="0AC21C32"/>
    <w:rsid w:val="0ACE6829"/>
    <w:rsid w:val="0AE61CA3"/>
    <w:rsid w:val="0AE748B8"/>
    <w:rsid w:val="0AEA6BFB"/>
    <w:rsid w:val="0AEB3DCE"/>
    <w:rsid w:val="0AEE58C2"/>
    <w:rsid w:val="0AEF0200"/>
    <w:rsid w:val="0B00275A"/>
    <w:rsid w:val="0B151C57"/>
    <w:rsid w:val="0B196AF3"/>
    <w:rsid w:val="0B1D155E"/>
    <w:rsid w:val="0B286835"/>
    <w:rsid w:val="0B4E79DF"/>
    <w:rsid w:val="0B624CA7"/>
    <w:rsid w:val="0B724E9D"/>
    <w:rsid w:val="0B771053"/>
    <w:rsid w:val="0B8B64C8"/>
    <w:rsid w:val="0BAA1044"/>
    <w:rsid w:val="0BB04CBB"/>
    <w:rsid w:val="0BB51797"/>
    <w:rsid w:val="0BCB2D68"/>
    <w:rsid w:val="0BCE108D"/>
    <w:rsid w:val="0BCF2858"/>
    <w:rsid w:val="0BE514EB"/>
    <w:rsid w:val="0BFE6C9A"/>
    <w:rsid w:val="0C05708F"/>
    <w:rsid w:val="0C1153CF"/>
    <w:rsid w:val="0C193AD3"/>
    <w:rsid w:val="0C227D3C"/>
    <w:rsid w:val="0C265565"/>
    <w:rsid w:val="0C36406D"/>
    <w:rsid w:val="0C4169D6"/>
    <w:rsid w:val="0C48260B"/>
    <w:rsid w:val="0C540FAF"/>
    <w:rsid w:val="0C547339"/>
    <w:rsid w:val="0C6008CA"/>
    <w:rsid w:val="0C774C9E"/>
    <w:rsid w:val="0C7D22B4"/>
    <w:rsid w:val="0C8E63F0"/>
    <w:rsid w:val="0C971E1C"/>
    <w:rsid w:val="0C9D2956"/>
    <w:rsid w:val="0CAC4515"/>
    <w:rsid w:val="0CAD14FE"/>
    <w:rsid w:val="0CBB70A1"/>
    <w:rsid w:val="0CBE15D0"/>
    <w:rsid w:val="0CC779D3"/>
    <w:rsid w:val="0CCF0FB0"/>
    <w:rsid w:val="0CE140B1"/>
    <w:rsid w:val="0CE71B86"/>
    <w:rsid w:val="0CF93EC3"/>
    <w:rsid w:val="0D054058"/>
    <w:rsid w:val="0D236646"/>
    <w:rsid w:val="0D242DDD"/>
    <w:rsid w:val="0D363F3D"/>
    <w:rsid w:val="0D3D0DE8"/>
    <w:rsid w:val="0D3D7C96"/>
    <w:rsid w:val="0D3F2E3B"/>
    <w:rsid w:val="0D556257"/>
    <w:rsid w:val="0D5A25F6"/>
    <w:rsid w:val="0D6F6624"/>
    <w:rsid w:val="0D6F6E94"/>
    <w:rsid w:val="0D991370"/>
    <w:rsid w:val="0D9B5082"/>
    <w:rsid w:val="0DAC6509"/>
    <w:rsid w:val="0DAE550E"/>
    <w:rsid w:val="0DB8556E"/>
    <w:rsid w:val="0DC7755F"/>
    <w:rsid w:val="0DEC0073"/>
    <w:rsid w:val="0E083E00"/>
    <w:rsid w:val="0E0E083C"/>
    <w:rsid w:val="0E230C39"/>
    <w:rsid w:val="0E2C21E4"/>
    <w:rsid w:val="0E6A0AE9"/>
    <w:rsid w:val="0E6B438E"/>
    <w:rsid w:val="0E6F3E7F"/>
    <w:rsid w:val="0E76520D"/>
    <w:rsid w:val="0EA77ABC"/>
    <w:rsid w:val="0EAA4EB7"/>
    <w:rsid w:val="0EBD37D3"/>
    <w:rsid w:val="0ECF491D"/>
    <w:rsid w:val="0EDB1514"/>
    <w:rsid w:val="0EE83C31"/>
    <w:rsid w:val="0EE91E83"/>
    <w:rsid w:val="0EF519D9"/>
    <w:rsid w:val="0F182768"/>
    <w:rsid w:val="0F1979A3"/>
    <w:rsid w:val="0F1C5092"/>
    <w:rsid w:val="0F262EBF"/>
    <w:rsid w:val="0F380715"/>
    <w:rsid w:val="0F384BB8"/>
    <w:rsid w:val="0F4437D9"/>
    <w:rsid w:val="0F784FB5"/>
    <w:rsid w:val="0F820196"/>
    <w:rsid w:val="0F89675E"/>
    <w:rsid w:val="0F932DD3"/>
    <w:rsid w:val="0FAA7E6E"/>
    <w:rsid w:val="0FBF7EFE"/>
    <w:rsid w:val="0FC46FEB"/>
    <w:rsid w:val="0FC84B70"/>
    <w:rsid w:val="0FCF6121"/>
    <w:rsid w:val="0FE16270"/>
    <w:rsid w:val="0FE443F8"/>
    <w:rsid w:val="0FE5573A"/>
    <w:rsid w:val="0FF90109"/>
    <w:rsid w:val="0FFD6C56"/>
    <w:rsid w:val="10022AD1"/>
    <w:rsid w:val="100A0741"/>
    <w:rsid w:val="10117512"/>
    <w:rsid w:val="101D057F"/>
    <w:rsid w:val="10207872"/>
    <w:rsid w:val="1021564D"/>
    <w:rsid w:val="10233173"/>
    <w:rsid w:val="103A670E"/>
    <w:rsid w:val="10584399"/>
    <w:rsid w:val="105F3DEA"/>
    <w:rsid w:val="10771710"/>
    <w:rsid w:val="10853E2D"/>
    <w:rsid w:val="10881228"/>
    <w:rsid w:val="10976F8D"/>
    <w:rsid w:val="10A01CF5"/>
    <w:rsid w:val="10A073DB"/>
    <w:rsid w:val="10B85FB1"/>
    <w:rsid w:val="10C65700"/>
    <w:rsid w:val="10CC6C5D"/>
    <w:rsid w:val="10D17073"/>
    <w:rsid w:val="10E44043"/>
    <w:rsid w:val="10EA3C90"/>
    <w:rsid w:val="10F644F5"/>
    <w:rsid w:val="11001E4B"/>
    <w:rsid w:val="110A4338"/>
    <w:rsid w:val="11132F01"/>
    <w:rsid w:val="11352F20"/>
    <w:rsid w:val="113D64B6"/>
    <w:rsid w:val="113F222E"/>
    <w:rsid w:val="117B2B3A"/>
    <w:rsid w:val="117F262B"/>
    <w:rsid w:val="1186739D"/>
    <w:rsid w:val="11953A3E"/>
    <w:rsid w:val="11980FAB"/>
    <w:rsid w:val="11A60C8D"/>
    <w:rsid w:val="11BA13F0"/>
    <w:rsid w:val="11EE77B0"/>
    <w:rsid w:val="11F41CA7"/>
    <w:rsid w:val="11FA43A7"/>
    <w:rsid w:val="12072620"/>
    <w:rsid w:val="122D2087"/>
    <w:rsid w:val="123258EF"/>
    <w:rsid w:val="12357E48"/>
    <w:rsid w:val="123878EF"/>
    <w:rsid w:val="123E4294"/>
    <w:rsid w:val="12420502"/>
    <w:rsid w:val="12422BD6"/>
    <w:rsid w:val="125A4E46"/>
    <w:rsid w:val="125D0492"/>
    <w:rsid w:val="12614426"/>
    <w:rsid w:val="126F08F1"/>
    <w:rsid w:val="127B5451"/>
    <w:rsid w:val="127D6BE6"/>
    <w:rsid w:val="12851EC3"/>
    <w:rsid w:val="128B14A3"/>
    <w:rsid w:val="129567E6"/>
    <w:rsid w:val="12957C2C"/>
    <w:rsid w:val="12A12A75"/>
    <w:rsid w:val="12B74046"/>
    <w:rsid w:val="12CF313E"/>
    <w:rsid w:val="12DA58D4"/>
    <w:rsid w:val="12E419A5"/>
    <w:rsid w:val="12E449FA"/>
    <w:rsid w:val="12EB3CF0"/>
    <w:rsid w:val="12F5292A"/>
    <w:rsid w:val="12FE2F15"/>
    <w:rsid w:val="131307D5"/>
    <w:rsid w:val="13144FF5"/>
    <w:rsid w:val="13255454"/>
    <w:rsid w:val="134436C8"/>
    <w:rsid w:val="13551E1A"/>
    <w:rsid w:val="1361259D"/>
    <w:rsid w:val="13623FB2"/>
    <w:rsid w:val="136E0BA9"/>
    <w:rsid w:val="137F4B64"/>
    <w:rsid w:val="13A4281C"/>
    <w:rsid w:val="13AB2DD8"/>
    <w:rsid w:val="13AB3BAB"/>
    <w:rsid w:val="13B07F36"/>
    <w:rsid w:val="13CA1B57"/>
    <w:rsid w:val="13E34B8D"/>
    <w:rsid w:val="13EE5846"/>
    <w:rsid w:val="13FA12B3"/>
    <w:rsid w:val="1403710C"/>
    <w:rsid w:val="140E385D"/>
    <w:rsid w:val="141561D4"/>
    <w:rsid w:val="141B0512"/>
    <w:rsid w:val="141E62F7"/>
    <w:rsid w:val="143472E0"/>
    <w:rsid w:val="143B5498"/>
    <w:rsid w:val="144320D1"/>
    <w:rsid w:val="14443EB2"/>
    <w:rsid w:val="144E3052"/>
    <w:rsid w:val="144E5BFE"/>
    <w:rsid w:val="14515DD5"/>
    <w:rsid w:val="14741DE5"/>
    <w:rsid w:val="147F0B94"/>
    <w:rsid w:val="14812B5E"/>
    <w:rsid w:val="14866CA9"/>
    <w:rsid w:val="14874C77"/>
    <w:rsid w:val="148F5CDC"/>
    <w:rsid w:val="14AB3737"/>
    <w:rsid w:val="14AC41F4"/>
    <w:rsid w:val="14AD1E7B"/>
    <w:rsid w:val="14C37122"/>
    <w:rsid w:val="14C91E0F"/>
    <w:rsid w:val="14D82CC8"/>
    <w:rsid w:val="14D916BA"/>
    <w:rsid w:val="14D97A5E"/>
    <w:rsid w:val="14DC5FE6"/>
    <w:rsid w:val="14E0286A"/>
    <w:rsid w:val="14E629C1"/>
    <w:rsid w:val="14E94FDE"/>
    <w:rsid w:val="14EC04AB"/>
    <w:rsid w:val="14EE2A03"/>
    <w:rsid w:val="14F440C8"/>
    <w:rsid w:val="15023C9F"/>
    <w:rsid w:val="150E33F9"/>
    <w:rsid w:val="15170610"/>
    <w:rsid w:val="15333EEC"/>
    <w:rsid w:val="15390CC5"/>
    <w:rsid w:val="153C0833"/>
    <w:rsid w:val="15415E49"/>
    <w:rsid w:val="1544518A"/>
    <w:rsid w:val="154D0C92"/>
    <w:rsid w:val="154F16BA"/>
    <w:rsid w:val="156307DA"/>
    <w:rsid w:val="1573694A"/>
    <w:rsid w:val="15746128"/>
    <w:rsid w:val="1575669D"/>
    <w:rsid w:val="159B37AB"/>
    <w:rsid w:val="15AD2EF4"/>
    <w:rsid w:val="15BA5E1A"/>
    <w:rsid w:val="15C161BB"/>
    <w:rsid w:val="15D13671"/>
    <w:rsid w:val="15EA64E1"/>
    <w:rsid w:val="15EF58A5"/>
    <w:rsid w:val="15F829AC"/>
    <w:rsid w:val="16010B0A"/>
    <w:rsid w:val="160C28FB"/>
    <w:rsid w:val="160C46A9"/>
    <w:rsid w:val="1623663A"/>
    <w:rsid w:val="16252E79"/>
    <w:rsid w:val="16480BD6"/>
    <w:rsid w:val="167744D4"/>
    <w:rsid w:val="169E17A5"/>
    <w:rsid w:val="16A029FF"/>
    <w:rsid w:val="16A11295"/>
    <w:rsid w:val="16A91EF8"/>
    <w:rsid w:val="16A941E7"/>
    <w:rsid w:val="16D2144F"/>
    <w:rsid w:val="16D53851"/>
    <w:rsid w:val="16D85C88"/>
    <w:rsid w:val="16DA0303"/>
    <w:rsid w:val="16E15B36"/>
    <w:rsid w:val="16F20C3A"/>
    <w:rsid w:val="16FA2753"/>
    <w:rsid w:val="16FC2A90"/>
    <w:rsid w:val="17075B7B"/>
    <w:rsid w:val="170D6EB0"/>
    <w:rsid w:val="17124724"/>
    <w:rsid w:val="171946D6"/>
    <w:rsid w:val="171C4612"/>
    <w:rsid w:val="171C4BF6"/>
    <w:rsid w:val="17250B0F"/>
    <w:rsid w:val="17311616"/>
    <w:rsid w:val="174D4F79"/>
    <w:rsid w:val="17615F65"/>
    <w:rsid w:val="17686265"/>
    <w:rsid w:val="177C13BA"/>
    <w:rsid w:val="17847037"/>
    <w:rsid w:val="1787620E"/>
    <w:rsid w:val="179039C4"/>
    <w:rsid w:val="17A252C5"/>
    <w:rsid w:val="17B5012D"/>
    <w:rsid w:val="17C0574B"/>
    <w:rsid w:val="17CC0594"/>
    <w:rsid w:val="17D244D2"/>
    <w:rsid w:val="180F222F"/>
    <w:rsid w:val="181A7FD1"/>
    <w:rsid w:val="183F1D57"/>
    <w:rsid w:val="185A5BA0"/>
    <w:rsid w:val="18644328"/>
    <w:rsid w:val="186912EF"/>
    <w:rsid w:val="18867F70"/>
    <w:rsid w:val="18982224"/>
    <w:rsid w:val="18A4700B"/>
    <w:rsid w:val="18A920E9"/>
    <w:rsid w:val="18B24570"/>
    <w:rsid w:val="18B74DA0"/>
    <w:rsid w:val="18BB74F7"/>
    <w:rsid w:val="18BF25DE"/>
    <w:rsid w:val="18DD6823"/>
    <w:rsid w:val="18EB43EE"/>
    <w:rsid w:val="18F02060"/>
    <w:rsid w:val="18F06D07"/>
    <w:rsid w:val="19461887"/>
    <w:rsid w:val="196B54E7"/>
    <w:rsid w:val="19842706"/>
    <w:rsid w:val="19866520"/>
    <w:rsid w:val="19874772"/>
    <w:rsid w:val="19A41E6C"/>
    <w:rsid w:val="19A801A4"/>
    <w:rsid w:val="19AC3D7C"/>
    <w:rsid w:val="19AD1CFF"/>
    <w:rsid w:val="19B27315"/>
    <w:rsid w:val="19B93D38"/>
    <w:rsid w:val="19BA176A"/>
    <w:rsid w:val="19C332D1"/>
    <w:rsid w:val="19CE05F3"/>
    <w:rsid w:val="19D10C12"/>
    <w:rsid w:val="19D11E91"/>
    <w:rsid w:val="19D436F7"/>
    <w:rsid w:val="19D76D7C"/>
    <w:rsid w:val="19E503CD"/>
    <w:rsid w:val="19EC0A79"/>
    <w:rsid w:val="1A08264E"/>
    <w:rsid w:val="1A1949F7"/>
    <w:rsid w:val="1A3441CE"/>
    <w:rsid w:val="1A4A57A0"/>
    <w:rsid w:val="1A530AF8"/>
    <w:rsid w:val="1A62278E"/>
    <w:rsid w:val="1A6E1B58"/>
    <w:rsid w:val="1A79495F"/>
    <w:rsid w:val="1A864A2A"/>
    <w:rsid w:val="1A8D13E5"/>
    <w:rsid w:val="1A9267D1"/>
    <w:rsid w:val="1A9A2283"/>
    <w:rsid w:val="1A9D7EE5"/>
    <w:rsid w:val="1AA44EB0"/>
    <w:rsid w:val="1AA63BFF"/>
    <w:rsid w:val="1AA90718"/>
    <w:rsid w:val="1AAA6131"/>
    <w:rsid w:val="1AB37ED3"/>
    <w:rsid w:val="1AD41657"/>
    <w:rsid w:val="1ADC466A"/>
    <w:rsid w:val="1AF81E17"/>
    <w:rsid w:val="1AFA5303"/>
    <w:rsid w:val="1AFC2865"/>
    <w:rsid w:val="1B2D759B"/>
    <w:rsid w:val="1B320F17"/>
    <w:rsid w:val="1B395F40"/>
    <w:rsid w:val="1B4D5548"/>
    <w:rsid w:val="1B4F1D24"/>
    <w:rsid w:val="1B506DE6"/>
    <w:rsid w:val="1B5B3916"/>
    <w:rsid w:val="1B5D1C74"/>
    <w:rsid w:val="1B61754C"/>
    <w:rsid w:val="1B6603B7"/>
    <w:rsid w:val="1B701236"/>
    <w:rsid w:val="1B754A9E"/>
    <w:rsid w:val="1B7C4F57"/>
    <w:rsid w:val="1B8151F1"/>
    <w:rsid w:val="1B84191A"/>
    <w:rsid w:val="1B9C195F"/>
    <w:rsid w:val="1BA90499"/>
    <w:rsid w:val="1BB92BDD"/>
    <w:rsid w:val="1BC0585B"/>
    <w:rsid w:val="1BC53330"/>
    <w:rsid w:val="1BE0460E"/>
    <w:rsid w:val="1BEA0FE8"/>
    <w:rsid w:val="1BED52F8"/>
    <w:rsid w:val="1C026332"/>
    <w:rsid w:val="1C077DEC"/>
    <w:rsid w:val="1C1737F0"/>
    <w:rsid w:val="1C3C0B2B"/>
    <w:rsid w:val="1C525A13"/>
    <w:rsid w:val="1C694603"/>
    <w:rsid w:val="1C6D3DC3"/>
    <w:rsid w:val="1C782A98"/>
    <w:rsid w:val="1C821221"/>
    <w:rsid w:val="1C8E7BC6"/>
    <w:rsid w:val="1C9A2A0F"/>
    <w:rsid w:val="1CA37FB6"/>
    <w:rsid w:val="1CAB71FB"/>
    <w:rsid w:val="1CBB2985"/>
    <w:rsid w:val="1CC10927"/>
    <w:rsid w:val="1CC730D8"/>
    <w:rsid w:val="1D0936F0"/>
    <w:rsid w:val="1D102CD1"/>
    <w:rsid w:val="1D18084B"/>
    <w:rsid w:val="1D200A73"/>
    <w:rsid w:val="1D2B5130"/>
    <w:rsid w:val="1D2D3883"/>
    <w:rsid w:val="1D385C06"/>
    <w:rsid w:val="1D6B7B93"/>
    <w:rsid w:val="1D6C0A27"/>
    <w:rsid w:val="1D7D0B12"/>
    <w:rsid w:val="1D7E4067"/>
    <w:rsid w:val="1D9535F5"/>
    <w:rsid w:val="1D9F0C4E"/>
    <w:rsid w:val="1DA13929"/>
    <w:rsid w:val="1DA56A39"/>
    <w:rsid w:val="1DA97F2A"/>
    <w:rsid w:val="1DAB48D5"/>
    <w:rsid w:val="1DB81C96"/>
    <w:rsid w:val="1DC01825"/>
    <w:rsid w:val="1DC53ABB"/>
    <w:rsid w:val="1DD016F9"/>
    <w:rsid w:val="1DD37DB6"/>
    <w:rsid w:val="1DDE2DCF"/>
    <w:rsid w:val="1E0B4056"/>
    <w:rsid w:val="1E1D56A5"/>
    <w:rsid w:val="1E3F0699"/>
    <w:rsid w:val="1E4B2105"/>
    <w:rsid w:val="1E4D511A"/>
    <w:rsid w:val="1E5310C7"/>
    <w:rsid w:val="1E634C22"/>
    <w:rsid w:val="1E736DD8"/>
    <w:rsid w:val="1E7458AC"/>
    <w:rsid w:val="1E845ECB"/>
    <w:rsid w:val="1E8F2A01"/>
    <w:rsid w:val="1E9052FB"/>
    <w:rsid w:val="1EA336D1"/>
    <w:rsid w:val="1EB27374"/>
    <w:rsid w:val="1EC2624D"/>
    <w:rsid w:val="1EC51899"/>
    <w:rsid w:val="1EDB10BC"/>
    <w:rsid w:val="1EDF0BAD"/>
    <w:rsid w:val="1EDF6DFF"/>
    <w:rsid w:val="1EEB7551"/>
    <w:rsid w:val="1EF96BA6"/>
    <w:rsid w:val="1EFC4C0E"/>
    <w:rsid w:val="1F006212"/>
    <w:rsid w:val="1F1A4628"/>
    <w:rsid w:val="1F1C3180"/>
    <w:rsid w:val="1F1E4C22"/>
    <w:rsid w:val="1F27235B"/>
    <w:rsid w:val="1F2A5357"/>
    <w:rsid w:val="1F33353E"/>
    <w:rsid w:val="1F5546CB"/>
    <w:rsid w:val="1F5A46D7"/>
    <w:rsid w:val="1F6A7927"/>
    <w:rsid w:val="1F6B21D5"/>
    <w:rsid w:val="1F75506D"/>
    <w:rsid w:val="1F775289"/>
    <w:rsid w:val="1F7B1769"/>
    <w:rsid w:val="1F824712"/>
    <w:rsid w:val="1F85526A"/>
    <w:rsid w:val="1F8D7EE5"/>
    <w:rsid w:val="1FA3607E"/>
    <w:rsid w:val="1FA63478"/>
    <w:rsid w:val="1FAE057F"/>
    <w:rsid w:val="1FB931AC"/>
    <w:rsid w:val="1FCA53B9"/>
    <w:rsid w:val="1FEC17D3"/>
    <w:rsid w:val="1FF02946"/>
    <w:rsid w:val="1FF75574"/>
    <w:rsid w:val="1FFB37C4"/>
    <w:rsid w:val="1FFE011B"/>
    <w:rsid w:val="20144886"/>
    <w:rsid w:val="20166850"/>
    <w:rsid w:val="202F346E"/>
    <w:rsid w:val="20367F0C"/>
    <w:rsid w:val="20621A95"/>
    <w:rsid w:val="206E6F5B"/>
    <w:rsid w:val="206F7D0E"/>
    <w:rsid w:val="20710CC6"/>
    <w:rsid w:val="2085747C"/>
    <w:rsid w:val="20887022"/>
    <w:rsid w:val="20BB274B"/>
    <w:rsid w:val="20CA58B5"/>
    <w:rsid w:val="20CA763A"/>
    <w:rsid w:val="20DC6589"/>
    <w:rsid w:val="20E16318"/>
    <w:rsid w:val="20E424AA"/>
    <w:rsid w:val="20EE3329"/>
    <w:rsid w:val="20F80F7C"/>
    <w:rsid w:val="211010E9"/>
    <w:rsid w:val="21123F42"/>
    <w:rsid w:val="2129610F"/>
    <w:rsid w:val="212A1E87"/>
    <w:rsid w:val="213264FE"/>
    <w:rsid w:val="21365412"/>
    <w:rsid w:val="213A5E71"/>
    <w:rsid w:val="213A7CF3"/>
    <w:rsid w:val="214178FD"/>
    <w:rsid w:val="215A4069"/>
    <w:rsid w:val="215D400B"/>
    <w:rsid w:val="215F5629"/>
    <w:rsid w:val="21635AC5"/>
    <w:rsid w:val="216A0667"/>
    <w:rsid w:val="216E7FC6"/>
    <w:rsid w:val="217A2E0F"/>
    <w:rsid w:val="21823A71"/>
    <w:rsid w:val="21935C7E"/>
    <w:rsid w:val="21A317AD"/>
    <w:rsid w:val="21B55F44"/>
    <w:rsid w:val="21BC51D5"/>
    <w:rsid w:val="21BC6F83"/>
    <w:rsid w:val="21C23CBC"/>
    <w:rsid w:val="21C34C98"/>
    <w:rsid w:val="21C61BB0"/>
    <w:rsid w:val="21CE54A8"/>
    <w:rsid w:val="21E5472C"/>
    <w:rsid w:val="21E93AF0"/>
    <w:rsid w:val="21F118BF"/>
    <w:rsid w:val="22002045"/>
    <w:rsid w:val="2205410A"/>
    <w:rsid w:val="220D7F1E"/>
    <w:rsid w:val="220E4332"/>
    <w:rsid w:val="221E7C3E"/>
    <w:rsid w:val="222B3327"/>
    <w:rsid w:val="222E47BD"/>
    <w:rsid w:val="223670B3"/>
    <w:rsid w:val="2244516D"/>
    <w:rsid w:val="22580F57"/>
    <w:rsid w:val="2259047A"/>
    <w:rsid w:val="22592A24"/>
    <w:rsid w:val="22714212"/>
    <w:rsid w:val="228D34EE"/>
    <w:rsid w:val="22A91FA2"/>
    <w:rsid w:val="22B440FE"/>
    <w:rsid w:val="22C15F26"/>
    <w:rsid w:val="22C81958"/>
    <w:rsid w:val="22F83EE6"/>
    <w:rsid w:val="230422C9"/>
    <w:rsid w:val="23084F5F"/>
    <w:rsid w:val="232E3EB1"/>
    <w:rsid w:val="233174FD"/>
    <w:rsid w:val="23447230"/>
    <w:rsid w:val="2346744C"/>
    <w:rsid w:val="237A00B5"/>
    <w:rsid w:val="237C0FB2"/>
    <w:rsid w:val="237C2E6E"/>
    <w:rsid w:val="23804408"/>
    <w:rsid w:val="23814C20"/>
    <w:rsid w:val="2382155F"/>
    <w:rsid w:val="23843AD1"/>
    <w:rsid w:val="238F5B75"/>
    <w:rsid w:val="2397106A"/>
    <w:rsid w:val="239E3BB1"/>
    <w:rsid w:val="23D97A5F"/>
    <w:rsid w:val="23DA7039"/>
    <w:rsid w:val="23E629DD"/>
    <w:rsid w:val="23EA2416"/>
    <w:rsid w:val="23F55D32"/>
    <w:rsid w:val="23F70746"/>
    <w:rsid w:val="2409047A"/>
    <w:rsid w:val="240B5FA0"/>
    <w:rsid w:val="2419690F"/>
    <w:rsid w:val="241F2232"/>
    <w:rsid w:val="2432352D"/>
    <w:rsid w:val="24435F62"/>
    <w:rsid w:val="24455956"/>
    <w:rsid w:val="246F248A"/>
    <w:rsid w:val="24747FE9"/>
    <w:rsid w:val="247578C7"/>
    <w:rsid w:val="24771887"/>
    <w:rsid w:val="247E3EBA"/>
    <w:rsid w:val="24850201"/>
    <w:rsid w:val="24877D1C"/>
    <w:rsid w:val="248E7442"/>
    <w:rsid w:val="24961D0D"/>
    <w:rsid w:val="249D381C"/>
    <w:rsid w:val="24CE59CE"/>
    <w:rsid w:val="24DB1E16"/>
    <w:rsid w:val="24FA2BAF"/>
    <w:rsid w:val="24FB7F7A"/>
    <w:rsid w:val="250E0335"/>
    <w:rsid w:val="25282E7B"/>
    <w:rsid w:val="252B4B4C"/>
    <w:rsid w:val="252C4420"/>
    <w:rsid w:val="252E63EA"/>
    <w:rsid w:val="252F16D1"/>
    <w:rsid w:val="252F1C69"/>
    <w:rsid w:val="253E4C1E"/>
    <w:rsid w:val="254A7661"/>
    <w:rsid w:val="254C2D14"/>
    <w:rsid w:val="2550699B"/>
    <w:rsid w:val="25511702"/>
    <w:rsid w:val="25553977"/>
    <w:rsid w:val="255F2A47"/>
    <w:rsid w:val="25607E4B"/>
    <w:rsid w:val="256242E5"/>
    <w:rsid w:val="256516E0"/>
    <w:rsid w:val="25657932"/>
    <w:rsid w:val="257858B7"/>
    <w:rsid w:val="257C291B"/>
    <w:rsid w:val="25981AB5"/>
    <w:rsid w:val="259F4BF2"/>
    <w:rsid w:val="25A32982"/>
    <w:rsid w:val="25A55F80"/>
    <w:rsid w:val="25BF404A"/>
    <w:rsid w:val="25C40AFC"/>
    <w:rsid w:val="25DD527F"/>
    <w:rsid w:val="25DD571A"/>
    <w:rsid w:val="25F82512"/>
    <w:rsid w:val="25FD5DBC"/>
    <w:rsid w:val="260761B0"/>
    <w:rsid w:val="26084E8D"/>
    <w:rsid w:val="260D5FFF"/>
    <w:rsid w:val="26153106"/>
    <w:rsid w:val="26527EB6"/>
    <w:rsid w:val="26606A77"/>
    <w:rsid w:val="26613EB7"/>
    <w:rsid w:val="26741F10"/>
    <w:rsid w:val="26832765"/>
    <w:rsid w:val="26834513"/>
    <w:rsid w:val="268B33C8"/>
    <w:rsid w:val="269D5C81"/>
    <w:rsid w:val="26A30712"/>
    <w:rsid w:val="26AA7CF2"/>
    <w:rsid w:val="26B26BA7"/>
    <w:rsid w:val="26BE1DEB"/>
    <w:rsid w:val="26C501E3"/>
    <w:rsid w:val="26CB1A16"/>
    <w:rsid w:val="26D20FF7"/>
    <w:rsid w:val="26E50AF5"/>
    <w:rsid w:val="26E50D2A"/>
    <w:rsid w:val="26E839F6"/>
    <w:rsid w:val="26EA6277"/>
    <w:rsid w:val="26ED19A3"/>
    <w:rsid w:val="26EF7DFB"/>
    <w:rsid w:val="26F62F37"/>
    <w:rsid w:val="270616D7"/>
    <w:rsid w:val="27093E1B"/>
    <w:rsid w:val="271B6D61"/>
    <w:rsid w:val="272A6643"/>
    <w:rsid w:val="273677D8"/>
    <w:rsid w:val="275D7F89"/>
    <w:rsid w:val="275F0ADD"/>
    <w:rsid w:val="27713A1D"/>
    <w:rsid w:val="2771498E"/>
    <w:rsid w:val="279251E3"/>
    <w:rsid w:val="27962024"/>
    <w:rsid w:val="279B763B"/>
    <w:rsid w:val="27A45E31"/>
    <w:rsid w:val="27B42955"/>
    <w:rsid w:val="27CE2ADD"/>
    <w:rsid w:val="27D237A2"/>
    <w:rsid w:val="27DD40F7"/>
    <w:rsid w:val="27E965F8"/>
    <w:rsid w:val="27F03E2A"/>
    <w:rsid w:val="27F07987"/>
    <w:rsid w:val="2804663F"/>
    <w:rsid w:val="28094EEC"/>
    <w:rsid w:val="28100029"/>
    <w:rsid w:val="2834181A"/>
    <w:rsid w:val="284657F9"/>
    <w:rsid w:val="28504F24"/>
    <w:rsid w:val="286C64BE"/>
    <w:rsid w:val="28702875"/>
    <w:rsid w:val="2878138E"/>
    <w:rsid w:val="287A36F4"/>
    <w:rsid w:val="287C56BE"/>
    <w:rsid w:val="28814A83"/>
    <w:rsid w:val="28817DD6"/>
    <w:rsid w:val="288E0F4E"/>
    <w:rsid w:val="2897636F"/>
    <w:rsid w:val="289D3B41"/>
    <w:rsid w:val="28AA3FD9"/>
    <w:rsid w:val="28B55AA2"/>
    <w:rsid w:val="28B704A4"/>
    <w:rsid w:val="28BE064F"/>
    <w:rsid w:val="28C22AF5"/>
    <w:rsid w:val="28EE484D"/>
    <w:rsid w:val="290731DA"/>
    <w:rsid w:val="290D0F26"/>
    <w:rsid w:val="29183834"/>
    <w:rsid w:val="294206B6"/>
    <w:rsid w:val="294778BF"/>
    <w:rsid w:val="294B1089"/>
    <w:rsid w:val="295D729E"/>
    <w:rsid w:val="29606D8E"/>
    <w:rsid w:val="29791BFE"/>
    <w:rsid w:val="299A22A0"/>
    <w:rsid w:val="29A44ECD"/>
    <w:rsid w:val="29A529F3"/>
    <w:rsid w:val="29B06B85"/>
    <w:rsid w:val="29B844D4"/>
    <w:rsid w:val="29C16C41"/>
    <w:rsid w:val="29E452C9"/>
    <w:rsid w:val="29F3304F"/>
    <w:rsid w:val="2A016E13"/>
    <w:rsid w:val="2A0D4376"/>
    <w:rsid w:val="2A25197D"/>
    <w:rsid w:val="2A2E2048"/>
    <w:rsid w:val="2A355B25"/>
    <w:rsid w:val="2A3A4989"/>
    <w:rsid w:val="2A3F681E"/>
    <w:rsid w:val="2A406756"/>
    <w:rsid w:val="2A4A4DCD"/>
    <w:rsid w:val="2A522B7B"/>
    <w:rsid w:val="2A53244F"/>
    <w:rsid w:val="2A5F1A8E"/>
    <w:rsid w:val="2A5F6740"/>
    <w:rsid w:val="2A645F0F"/>
    <w:rsid w:val="2A905451"/>
    <w:rsid w:val="2A9071FF"/>
    <w:rsid w:val="2A940289"/>
    <w:rsid w:val="2AAD7DB1"/>
    <w:rsid w:val="2ABA5B52"/>
    <w:rsid w:val="2AC5334C"/>
    <w:rsid w:val="2AC76671"/>
    <w:rsid w:val="2AC944BF"/>
    <w:rsid w:val="2AF66BF8"/>
    <w:rsid w:val="2AFA7987"/>
    <w:rsid w:val="2B096FBD"/>
    <w:rsid w:val="2B0E525F"/>
    <w:rsid w:val="2B1B11BE"/>
    <w:rsid w:val="2B1B7009"/>
    <w:rsid w:val="2B1D3F18"/>
    <w:rsid w:val="2B2062B4"/>
    <w:rsid w:val="2B3706B9"/>
    <w:rsid w:val="2B42499D"/>
    <w:rsid w:val="2B503CBF"/>
    <w:rsid w:val="2B5B68A3"/>
    <w:rsid w:val="2B5E554F"/>
    <w:rsid w:val="2B724B56"/>
    <w:rsid w:val="2B7B73E4"/>
    <w:rsid w:val="2B7C408E"/>
    <w:rsid w:val="2B991C74"/>
    <w:rsid w:val="2B9A31A5"/>
    <w:rsid w:val="2BBD4024"/>
    <w:rsid w:val="2BC76C50"/>
    <w:rsid w:val="2BCF1FA9"/>
    <w:rsid w:val="2BD36CFC"/>
    <w:rsid w:val="2BDF21EC"/>
    <w:rsid w:val="2BF33EE9"/>
    <w:rsid w:val="2C0C4C0D"/>
    <w:rsid w:val="2C175720"/>
    <w:rsid w:val="2C4446B7"/>
    <w:rsid w:val="2C4A0E65"/>
    <w:rsid w:val="2C532BDA"/>
    <w:rsid w:val="2C5D1363"/>
    <w:rsid w:val="2C602C01"/>
    <w:rsid w:val="2C72421C"/>
    <w:rsid w:val="2C735F4C"/>
    <w:rsid w:val="2C7A72BD"/>
    <w:rsid w:val="2C820DC9"/>
    <w:rsid w:val="2C862667"/>
    <w:rsid w:val="2C8E3C12"/>
    <w:rsid w:val="2CA64350"/>
    <w:rsid w:val="2CA67F3B"/>
    <w:rsid w:val="2CB05936"/>
    <w:rsid w:val="2CC16F49"/>
    <w:rsid w:val="2CC47634"/>
    <w:rsid w:val="2CF021D7"/>
    <w:rsid w:val="2D006674"/>
    <w:rsid w:val="2D0F522C"/>
    <w:rsid w:val="2D114518"/>
    <w:rsid w:val="2D12214D"/>
    <w:rsid w:val="2D214660"/>
    <w:rsid w:val="2D2348EA"/>
    <w:rsid w:val="2D282473"/>
    <w:rsid w:val="2D39592C"/>
    <w:rsid w:val="2D3C541C"/>
    <w:rsid w:val="2D3F576A"/>
    <w:rsid w:val="2D4A4029"/>
    <w:rsid w:val="2D742E08"/>
    <w:rsid w:val="2D801837"/>
    <w:rsid w:val="2D857F98"/>
    <w:rsid w:val="2D92328E"/>
    <w:rsid w:val="2DAF3E40"/>
    <w:rsid w:val="2DBA18B1"/>
    <w:rsid w:val="2DBE22D5"/>
    <w:rsid w:val="2DF126AA"/>
    <w:rsid w:val="2E0028ED"/>
    <w:rsid w:val="2E0A3F24"/>
    <w:rsid w:val="2E0A72C8"/>
    <w:rsid w:val="2E114AFB"/>
    <w:rsid w:val="2E1E578B"/>
    <w:rsid w:val="2E235DF8"/>
    <w:rsid w:val="2E532A1D"/>
    <w:rsid w:val="2E554EA6"/>
    <w:rsid w:val="2E604EFF"/>
    <w:rsid w:val="2E67780F"/>
    <w:rsid w:val="2E7D7A9A"/>
    <w:rsid w:val="2E7F0C74"/>
    <w:rsid w:val="2E865E95"/>
    <w:rsid w:val="2E8A13DC"/>
    <w:rsid w:val="2E9B1015"/>
    <w:rsid w:val="2EA94167"/>
    <w:rsid w:val="2EB77450"/>
    <w:rsid w:val="2EB86C17"/>
    <w:rsid w:val="2EC2247D"/>
    <w:rsid w:val="2EC456C9"/>
    <w:rsid w:val="2EC658E5"/>
    <w:rsid w:val="2ED331D5"/>
    <w:rsid w:val="2ED33B5E"/>
    <w:rsid w:val="2EDC0C65"/>
    <w:rsid w:val="2EE80F24"/>
    <w:rsid w:val="2F006C2A"/>
    <w:rsid w:val="2F065CE2"/>
    <w:rsid w:val="2F151074"/>
    <w:rsid w:val="2F195A15"/>
    <w:rsid w:val="2F275EE9"/>
    <w:rsid w:val="2F2C7C4A"/>
    <w:rsid w:val="2F350375"/>
    <w:rsid w:val="2F527179"/>
    <w:rsid w:val="2F5E167A"/>
    <w:rsid w:val="2F5E1A42"/>
    <w:rsid w:val="2F6574A4"/>
    <w:rsid w:val="2F6B36B7"/>
    <w:rsid w:val="2F7B66D6"/>
    <w:rsid w:val="2F7F3111"/>
    <w:rsid w:val="2F8808E4"/>
    <w:rsid w:val="2F8C2CC6"/>
    <w:rsid w:val="2F963509"/>
    <w:rsid w:val="2F964B55"/>
    <w:rsid w:val="2F967065"/>
    <w:rsid w:val="2F987D84"/>
    <w:rsid w:val="2F9E23BE"/>
    <w:rsid w:val="2FB120F1"/>
    <w:rsid w:val="2FB1796D"/>
    <w:rsid w:val="2FC2246A"/>
    <w:rsid w:val="2FC242FE"/>
    <w:rsid w:val="2FD162F0"/>
    <w:rsid w:val="2FD61B58"/>
    <w:rsid w:val="2FD858D0"/>
    <w:rsid w:val="2FDD4C94"/>
    <w:rsid w:val="2FE53B49"/>
    <w:rsid w:val="2FEE5EF5"/>
    <w:rsid w:val="2FF449DA"/>
    <w:rsid w:val="2FF526F1"/>
    <w:rsid w:val="30000983"/>
    <w:rsid w:val="301639B1"/>
    <w:rsid w:val="30191A45"/>
    <w:rsid w:val="302A3C52"/>
    <w:rsid w:val="30316D8E"/>
    <w:rsid w:val="303D55F6"/>
    <w:rsid w:val="30536D05"/>
    <w:rsid w:val="30571343"/>
    <w:rsid w:val="3065757C"/>
    <w:rsid w:val="30696528"/>
    <w:rsid w:val="30714878"/>
    <w:rsid w:val="30872E52"/>
    <w:rsid w:val="308F0AED"/>
    <w:rsid w:val="30A75796"/>
    <w:rsid w:val="30BE3CFD"/>
    <w:rsid w:val="30C25277"/>
    <w:rsid w:val="30C6397A"/>
    <w:rsid w:val="30CB71E3"/>
    <w:rsid w:val="30CC5676"/>
    <w:rsid w:val="30F20B61"/>
    <w:rsid w:val="310036F7"/>
    <w:rsid w:val="31027B70"/>
    <w:rsid w:val="310B3A83"/>
    <w:rsid w:val="3112303A"/>
    <w:rsid w:val="311C0406"/>
    <w:rsid w:val="3140197F"/>
    <w:rsid w:val="3141320E"/>
    <w:rsid w:val="314174FE"/>
    <w:rsid w:val="31470EF5"/>
    <w:rsid w:val="314825E1"/>
    <w:rsid w:val="315A1D85"/>
    <w:rsid w:val="315E078B"/>
    <w:rsid w:val="318D4498"/>
    <w:rsid w:val="31927D00"/>
    <w:rsid w:val="31945DA8"/>
    <w:rsid w:val="31A43BF9"/>
    <w:rsid w:val="31BC3B35"/>
    <w:rsid w:val="31C440D6"/>
    <w:rsid w:val="31C517EA"/>
    <w:rsid w:val="31C52D59"/>
    <w:rsid w:val="31DB3455"/>
    <w:rsid w:val="31DD71CE"/>
    <w:rsid w:val="31E4268D"/>
    <w:rsid w:val="31E42843"/>
    <w:rsid w:val="31E46213"/>
    <w:rsid w:val="320C0799"/>
    <w:rsid w:val="32130E41"/>
    <w:rsid w:val="321B6036"/>
    <w:rsid w:val="321F203B"/>
    <w:rsid w:val="32261B46"/>
    <w:rsid w:val="3229027F"/>
    <w:rsid w:val="32320933"/>
    <w:rsid w:val="32485F19"/>
    <w:rsid w:val="324C7EAF"/>
    <w:rsid w:val="32520FF3"/>
    <w:rsid w:val="32584AA6"/>
    <w:rsid w:val="325B00F2"/>
    <w:rsid w:val="326571C3"/>
    <w:rsid w:val="32761A46"/>
    <w:rsid w:val="32764F2C"/>
    <w:rsid w:val="32805A9D"/>
    <w:rsid w:val="32871918"/>
    <w:rsid w:val="329E49CF"/>
    <w:rsid w:val="32A02281"/>
    <w:rsid w:val="32A41A99"/>
    <w:rsid w:val="32C47D1D"/>
    <w:rsid w:val="32C47F2D"/>
    <w:rsid w:val="32ED2674"/>
    <w:rsid w:val="32F56B2C"/>
    <w:rsid w:val="33114C55"/>
    <w:rsid w:val="336B25B7"/>
    <w:rsid w:val="336D0C3D"/>
    <w:rsid w:val="33730597"/>
    <w:rsid w:val="33745910"/>
    <w:rsid w:val="337B4EF0"/>
    <w:rsid w:val="337F42B4"/>
    <w:rsid w:val="339733AC"/>
    <w:rsid w:val="33A53BDA"/>
    <w:rsid w:val="33AD634D"/>
    <w:rsid w:val="33AF6948"/>
    <w:rsid w:val="33C17723"/>
    <w:rsid w:val="33C22406"/>
    <w:rsid w:val="33D61EEB"/>
    <w:rsid w:val="33E81E5A"/>
    <w:rsid w:val="33FC5A78"/>
    <w:rsid w:val="33FE167D"/>
    <w:rsid w:val="34164C19"/>
    <w:rsid w:val="34183FF5"/>
    <w:rsid w:val="34346E4D"/>
    <w:rsid w:val="343478AF"/>
    <w:rsid w:val="343E68AF"/>
    <w:rsid w:val="34455491"/>
    <w:rsid w:val="344C18F1"/>
    <w:rsid w:val="344F3723"/>
    <w:rsid w:val="347100A1"/>
    <w:rsid w:val="34A72543"/>
    <w:rsid w:val="34AA710F"/>
    <w:rsid w:val="34AB6186"/>
    <w:rsid w:val="34AC10D9"/>
    <w:rsid w:val="34AD3BB4"/>
    <w:rsid w:val="34D10B40"/>
    <w:rsid w:val="34D670AE"/>
    <w:rsid w:val="34E66A3C"/>
    <w:rsid w:val="34E97C37"/>
    <w:rsid w:val="34EE16F2"/>
    <w:rsid w:val="34F34F5A"/>
    <w:rsid w:val="34FD47FE"/>
    <w:rsid w:val="35067E71"/>
    <w:rsid w:val="3513636A"/>
    <w:rsid w:val="351D3D85"/>
    <w:rsid w:val="351D5B33"/>
    <w:rsid w:val="352145AB"/>
    <w:rsid w:val="353270E7"/>
    <w:rsid w:val="35347ACA"/>
    <w:rsid w:val="353D7F83"/>
    <w:rsid w:val="354C0F65"/>
    <w:rsid w:val="357339A5"/>
    <w:rsid w:val="35736215"/>
    <w:rsid w:val="358856A2"/>
    <w:rsid w:val="358931C8"/>
    <w:rsid w:val="35895CF3"/>
    <w:rsid w:val="359E4EC6"/>
    <w:rsid w:val="359F29EC"/>
    <w:rsid w:val="35BD508B"/>
    <w:rsid w:val="35BE2E72"/>
    <w:rsid w:val="35E31BD2"/>
    <w:rsid w:val="360367B9"/>
    <w:rsid w:val="36127662"/>
    <w:rsid w:val="36260A17"/>
    <w:rsid w:val="362B4280"/>
    <w:rsid w:val="362D2500"/>
    <w:rsid w:val="363B44C3"/>
    <w:rsid w:val="363C34A7"/>
    <w:rsid w:val="363D46DF"/>
    <w:rsid w:val="36407F86"/>
    <w:rsid w:val="364D41F6"/>
    <w:rsid w:val="36541A28"/>
    <w:rsid w:val="365C5CD5"/>
    <w:rsid w:val="365D3737"/>
    <w:rsid w:val="36646952"/>
    <w:rsid w:val="367B5207"/>
    <w:rsid w:val="369938DF"/>
    <w:rsid w:val="36A209E6"/>
    <w:rsid w:val="36A21212"/>
    <w:rsid w:val="36B85FBC"/>
    <w:rsid w:val="36C03FB1"/>
    <w:rsid w:val="36C337C7"/>
    <w:rsid w:val="36C63C55"/>
    <w:rsid w:val="36D641EB"/>
    <w:rsid w:val="36D95935"/>
    <w:rsid w:val="36E74138"/>
    <w:rsid w:val="36E83F1F"/>
    <w:rsid w:val="36F86858"/>
    <w:rsid w:val="37002A90"/>
    <w:rsid w:val="37024FE0"/>
    <w:rsid w:val="370D7A8A"/>
    <w:rsid w:val="3716297C"/>
    <w:rsid w:val="371F710E"/>
    <w:rsid w:val="3725794B"/>
    <w:rsid w:val="373C4996"/>
    <w:rsid w:val="374C2700"/>
    <w:rsid w:val="375813ED"/>
    <w:rsid w:val="37620175"/>
    <w:rsid w:val="3764396F"/>
    <w:rsid w:val="376F4D35"/>
    <w:rsid w:val="3772030D"/>
    <w:rsid w:val="377B4B33"/>
    <w:rsid w:val="378B147A"/>
    <w:rsid w:val="37925D2E"/>
    <w:rsid w:val="37A23476"/>
    <w:rsid w:val="37AD3810"/>
    <w:rsid w:val="37AE6F16"/>
    <w:rsid w:val="37AF2055"/>
    <w:rsid w:val="37B2343D"/>
    <w:rsid w:val="37CB7AC8"/>
    <w:rsid w:val="37CD1D99"/>
    <w:rsid w:val="37E1109A"/>
    <w:rsid w:val="37EB1F18"/>
    <w:rsid w:val="37F64572"/>
    <w:rsid w:val="37FE56CC"/>
    <w:rsid w:val="380775DF"/>
    <w:rsid w:val="385C2E16"/>
    <w:rsid w:val="385E26EA"/>
    <w:rsid w:val="38742C47"/>
    <w:rsid w:val="38750761"/>
    <w:rsid w:val="38763ED8"/>
    <w:rsid w:val="38774730"/>
    <w:rsid w:val="38784B5C"/>
    <w:rsid w:val="387C665F"/>
    <w:rsid w:val="387D5266"/>
    <w:rsid w:val="3881462B"/>
    <w:rsid w:val="3885411B"/>
    <w:rsid w:val="388A42FD"/>
    <w:rsid w:val="3890352E"/>
    <w:rsid w:val="3891486E"/>
    <w:rsid w:val="38935D30"/>
    <w:rsid w:val="389C3213"/>
    <w:rsid w:val="389E6833"/>
    <w:rsid w:val="38A071A7"/>
    <w:rsid w:val="38AC16A8"/>
    <w:rsid w:val="38AC5D5D"/>
    <w:rsid w:val="38B35A1A"/>
    <w:rsid w:val="38B60050"/>
    <w:rsid w:val="38BD0DF9"/>
    <w:rsid w:val="38BE3A9C"/>
    <w:rsid w:val="38C42E95"/>
    <w:rsid w:val="38C5276A"/>
    <w:rsid w:val="38DD1235"/>
    <w:rsid w:val="38DD5D05"/>
    <w:rsid w:val="38E01351"/>
    <w:rsid w:val="38E47094"/>
    <w:rsid w:val="38F0310F"/>
    <w:rsid w:val="38FB292C"/>
    <w:rsid w:val="390114DF"/>
    <w:rsid w:val="390E2362"/>
    <w:rsid w:val="390F142C"/>
    <w:rsid w:val="391A7A78"/>
    <w:rsid w:val="391D4305"/>
    <w:rsid w:val="392E030F"/>
    <w:rsid w:val="39363667"/>
    <w:rsid w:val="394418E0"/>
    <w:rsid w:val="395C5128"/>
    <w:rsid w:val="39602492"/>
    <w:rsid w:val="396024B0"/>
    <w:rsid w:val="396C5F31"/>
    <w:rsid w:val="39777F08"/>
    <w:rsid w:val="39900FC9"/>
    <w:rsid w:val="399124B2"/>
    <w:rsid w:val="39991390"/>
    <w:rsid w:val="399F120C"/>
    <w:rsid w:val="39A9208B"/>
    <w:rsid w:val="39AD1B7B"/>
    <w:rsid w:val="39B43459"/>
    <w:rsid w:val="39BB7D0D"/>
    <w:rsid w:val="39BC591B"/>
    <w:rsid w:val="39E51CB9"/>
    <w:rsid w:val="39E676B1"/>
    <w:rsid w:val="39F30890"/>
    <w:rsid w:val="3A0477FE"/>
    <w:rsid w:val="3A0F6392"/>
    <w:rsid w:val="3A0F7265"/>
    <w:rsid w:val="3A105C66"/>
    <w:rsid w:val="3A1C460B"/>
    <w:rsid w:val="3A1E31A5"/>
    <w:rsid w:val="3A410516"/>
    <w:rsid w:val="3A437DEA"/>
    <w:rsid w:val="3A4931E2"/>
    <w:rsid w:val="3A563FC1"/>
    <w:rsid w:val="3A687850"/>
    <w:rsid w:val="3A73585B"/>
    <w:rsid w:val="3A83468A"/>
    <w:rsid w:val="3A8A1360"/>
    <w:rsid w:val="3A8E36F9"/>
    <w:rsid w:val="3AA35FBF"/>
    <w:rsid w:val="3AA765CB"/>
    <w:rsid w:val="3ABA235E"/>
    <w:rsid w:val="3ACA150D"/>
    <w:rsid w:val="3ADB6274"/>
    <w:rsid w:val="3ADC221B"/>
    <w:rsid w:val="3ADE7B13"/>
    <w:rsid w:val="3AEE244B"/>
    <w:rsid w:val="3B3616FD"/>
    <w:rsid w:val="3B3C5B77"/>
    <w:rsid w:val="3B4D304F"/>
    <w:rsid w:val="3B530501"/>
    <w:rsid w:val="3B9823B7"/>
    <w:rsid w:val="3B9E647E"/>
    <w:rsid w:val="3BA42B0A"/>
    <w:rsid w:val="3BB140EF"/>
    <w:rsid w:val="3BB40E41"/>
    <w:rsid w:val="3BC15248"/>
    <w:rsid w:val="3BE13D5E"/>
    <w:rsid w:val="3BF525F6"/>
    <w:rsid w:val="3C090BBF"/>
    <w:rsid w:val="3C1952B8"/>
    <w:rsid w:val="3C1B3A77"/>
    <w:rsid w:val="3C1D466B"/>
    <w:rsid w:val="3C317D1B"/>
    <w:rsid w:val="3C335C3C"/>
    <w:rsid w:val="3C5A766D"/>
    <w:rsid w:val="3C8446EA"/>
    <w:rsid w:val="3C8B51A2"/>
    <w:rsid w:val="3C905427"/>
    <w:rsid w:val="3C924483"/>
    <w:rsid w:val="3CAC611A"/>
    <w:rsid w:val="3CBC3E83"/>
    <w:rsid w:val="3CC24931"/>
    <w:rsid w:val="3CCA034E"/>
    <w:rsid w:val="3CD92C87"/>
    <w:rsid w:val="3CFD34C4"/>
    <w:rsid w:val="3CFF43F6"/>
    <w:rsid w:val="3D134F60"/>
    <w:rsid w:val="3D145A6E"/>
    <w:rsid w:val="3D193084"/>
    <w:rsid w:val="3D1B32A0"/>
    <w:rsid w:val="3D477BF1"/>
    <w:rsid w:val="3D492186"/>
    <w:rsid w:val="3D606F05"/>
    <w:rsid w:val="3D6C620E"/>
    <w:rsid w:val="3D7422DB"/>
    <w:rsid w:val="3D7824A0"/>
    <w:rsid w:val="3D7F1047"/>
    <w:rsid w:val="3D9A41C5"/>
    <w:rsid w:val="3D9B55F3"/>
    <w:rsid w:val="3DA3640F"/>
    <w:rsid w:val="3DA77CAE"/>
    <w:rsid w:val="3DB334D8"/>
    <w:rsid w:val="3DC2196D"/>
    <w:rsid w:val="3DD60052"/>
    <w:rsid w:val="3DEE2762"/>
    <w:rsid w:val="3DF75C18"/>
    <w:rsid w:val="3E015FF2"/>
    <w:rsid w:val="3E09134A"/>
    <w:rsid w:val="3E1C6A04"/>
    <w:rsid w:val="3E200245"/>
    <w:rsid w:val="3E3D45F1"/>
    <w:rsid w:val="3E4C03E3"/>
    <w:rsid w:val="3E6D7239"/>
    <w:rsid w:val="3E7D75D5"/>
    <w:rsid w:val="3E9B4698"/>
    <w:rsid w:val="3ED5717B"/>
    <w:rsid w:val="3EDB4A95"/>
    <w:rsid w:val="3EF618CF"/>
    <w:rsid w:val="3EF76DA0"/>
    <w:rsid w:val="3F03223E"/>
    <w:rsid w:val="3F0401B8"/>
    <w:rsid w:val="3F085E24"/>
    <w:rsid w:val="3F285800"/>
    <w:rsid w:val="3F385ECD"/>
    <w:rsid w:val="3F424B14"/>
    <w:rsid w:val="3F4A1C1A"/>
    <w:rsid w:val="3F514D57"/>
    <w:rsid w:val="3F5D0198"/>
    <w:rsid w:val="3F6A0496"/>
    <w:rsid w:val="3F6A694D"/>
    <w:rsid w:val="3F6F51DD"/>
    <w:rsid w:val="3F77427B"/>
    <w:rsid w:val="3F854A01"/>
    <w:rsid w:val="3F8C3FE1"/>
    <w:rsid w:val="3FAE21A9"/>
    <w:rsid w:val="3FC974A7"/>
    <w:rsid w:val="3FCA68B7"/>
    <w:rsid w:val="3FE43E1D"/>
    <w:rsid w:val="3FE63CE0"/>
    <w:rsid w:val="3FEC2C1A"/>
    <w:rsid w:val="40095632"/>
    <w:rsid w:val="401364B0"/>
    <w:rsid w:val="40267F92"/>
    <w:rsid w:val="40297A82"/>
    <w:rsid w:val="40322DDA"/>
    <w:rsid w:val="40444B8F"/>
    <w:rsid w:val="40481D0D"/>
    <w:rsid w:val="40552625"/>
    <w:rsid w:val="405F16F6"/>
    <w:rsid w:val="40672358"/>
    <w:rsid w:val="406C2448"/>
    <w:rsid w:val="4071723F"/>
    <w:rsid w:val="40764A1D"/>
    <w:rsid w:val="407C5E04"/>
    <w:rsid w:val="40893105"/>
    <w:rsid w:val="408A49C4"/>
    <w:rsid w:val="408F1FDB"/>
    <w:rsid w:val="40925627"/>
    <w:rsid w:val="40A34118"/>
    <w:rsid w:val="40AB493B"/>
    <w:rsid w:val="40BB394C"/>
    <w:rsid w:val="40CF3C7C"/>
    <w:rsid w:val="40D53766"/>
    <w:rsid w:val="40DE4997"/>
    <w:rsid w:val="40E1210B"/>
    <w:rsid w:val="40E35E83"/>
    <w:rsid w:val="40EE65D6"/>
    <w:rsid w:val="40F956A6"/>
    <w:rsid w:val="41065CB3"/>
    <w:rsid w:val="411B561D"/>
    <w:rsid w:val="41214BFD"/>
    <w:rsid w:val="412A55B1"/>
    <w:rsid w:val="41377F7D"/>
    <w:rsid w:val="413F578C"/>
    <w:rsid w:val="4148218A"/>
    <w:rsid w:val="415154E2"/>
    <w:rsid w:val="41583530"/>
    <w:rsid w:val="415D1835"/>
    <w:rsid w:val="415E375B"/>
    <w:rsid w:val="416074D3"/>
    <w:rsid w:val="416824DA"/>
    <w:rsid w:val="4169229E"/>
    <w:rsid w:val="417856AA"/>
    <w:rsid w:val="417C1E33"/>
    <w:rsid w:val="41856F3A"/>
    <w:rsid w:val="41892668"/>
    <w:rsid w:val="41961DD3"/>
    <w:rsid w:val="41AD3438"/>
    <w:rsid w:val="41B55979"/>
    <w:rsid w:val="41D1217F"/>
    <w:rsid w:val="41D3376E"/>
    <w:rsid w:val="41DB2FFE"/>
    <w:rsid w:val="41DD49F4"/>
    <w:rsid w:val="41F474EA"/>
    <w:rsid w:val="41FB4723"/>
    <w:rsid w:val="420463C1"/>
    <w:rsid w:val="42276A4C"/>
    <w:rsid w:val="42331E09"/>
    <w:rsid w:val="4235270E"/>
    <w:rsid w:val="42365711"/>
    <w:rsid w:val="42510051"/>
    <w:rsid w:val="425132C0"/>
    <w:rsid w:val="425310B8"/>
    <w:rsid w:val="42690397"/>
    <w:rsid w:val="42790A04"/>
    <w:rsid w:val="42907AC8"/>
    <w:rsid w:val="42932922"/>
    <w:rsid w:val="42AF3B46"/>
    <w:rsid w:val="42B17DC2"/>
    <w:rsid w:val="42B75819"/>
    <w:rsid w:val="42E32B84"/>
    <w:rsid w:val="42E859D2"/>
    <w:rsid w:val="42FB5880"/>
    <w:rsid w:val="432177ED"/>
    <w:rsid w:val="43234C5C"/>
    <w:rsid w:val="4335189A"/>
    <w:rsid w:val="4336126E"/>
    <w:rsid w:val="433A3A75"/>
    <w:rsid w:val="433D0BEB"/>
    <w:rsid w:val="437E6337"/>
    <w:rsid w:val="438A0837"/>
    <w:rsid w:val="438D0328"/>
    <w:rsid w:val="438D657A"/>
    <w:rsid w:val="43A0005B"/>
    <w:rsid w:val="43A538C3"/>
    <w:rsid w:val="43AA57B4"/>
    <w:rsid w:val="43C7383A"/>
    <w:rsid w:val="43C75DE3"/>
    <w:rsid w:val="43CC0E50"/>
    <w:rsid w:val="43D913B6"/>
    <w:rsid w:val="43E20674"/>
    <w:rsid w:val="43E354E3"/>
    <w:rsid w:val="43E75C8A"/>
    <w:rsid w:val="43F301E8"/>
    <w:rsid w:val="43F557C9"/>
    <w:rsid w:val="44044639"/>
    <w:rsid w:val="441E39AA"/>
    <w:rsid w:val="4420626A"/>
    <w:rsid w:val="4424474E"/>
    <w:rsid w:val="44315A8D"/>
    <w:rsid w:val="44384737"/>
    <w:rsid w:val="443A376D"/>
    <w:rsid w:val="443D6D28"/>
    <w:rsid w:val="4440539A"/>
    <w:rsid w:val="444255B6"/>
    <w:rsid w:val="444A6219"/>
    <w:rsid w:val="444E72DF"/>
    <w:rsid w:val="4456696C"/>
    <w:rsid w:val="445C1832"/>
    <w:rsid w:val="44623562"/>
    <w:rsid w:val="44660CEC"/>
    <w:rsid w:val="446956A0"/>
    <w:rsid w:val="447D214A"/>
    <w:rsid w:val="44887FED"/>
    <w:rsid w:val="448C4747"/>
    <w:rsid w:val="44931076"/>
    <w:rsid w:val="44AA38D0"/>
    <w:rsid w:val="44AD6ED3"/>
    <w:rsid w:val="44C236C8"/>
    <w:rsid w:val="44C94E87"/>
    <w:rsid w:val="45196317"/>
    <w:rsid w:val="451F2E2C"/>
    <w:rsid w:val="455235D7"/>
    <w:rsid w:val="45576E3F"/>
    <w:rsid w:val="455F4B7D"/>
    <w:rsid w:val="45616F96"/>
    <w:rsid w:val="456A0921"/>
    <w:rsid w:val="459444E0"/>
    <w:rsid w:val="4597723C"/>
    <w:rsid w:val="459B4F7E"/>
    <w:rsid w:val="45AB5D47"/>
    <w:rsid w:val="45BA35BE"/>
    <w:rsid w:val="45BC6CA2"/>
    <w:rsid w:val="45C13FDA"/>
    <w:rsid w:val="45C932FB"/>
    <w:rsid w:val="45CE2D12"/>
    <w:rsid w:val="45CE4D78"/>
    <w:rsid w:val="45D24718"/>
    <w:rsid w:val="45D37F73"/>
    <w:rsid w:val="45DB181E"/>
    <w:rsid w:val="45DC5246"/>
    <w:rsid w:val="45E02BB8"/>
    <w:rsid w:val="45E2700D"/>
    <w:rsid w:val="45E35850"/>
    <w:rsid w:val="45EB19ED"/>
    <w:rsid w:val="45F87FAA"/>
    <w:rsid w:val="46014484"/>
    <w:rsid w:val="460F14C8"/>
    <w:rsid w:val="46140864"/>
    <w:rsid w:val="46201A31"/>
    <w:rsid w:val="46202A9A"/>
    <w:rsid w:val="46205483"/>
    <w:rsid w:val="46340F2E"/>
    <w:rsid w:val="463D5603"/>
    <w:rsid w:val="464078D3"/>
    <w:rsid w:val="46607F75"/>
    <w:rsid w:val="46987BCB"/>
    <w:rsid w:val="46A14D6F"/>
    <w:rsid w:val="46A936CA"/>
    <w:rsid w:val="46B1109E"/>
    <w:rsid w:val="46D35B38"/>
    <w:rsid w:val="46E46CF4"/>
    <w:rsid w:val="46F26E20"/>
    <w:rsid w:val="46F70690"/>
    <w:rsid w:val="47024B89"/>
    <w:rsid w:val="47190850"/>
    <w:rsid w:val="471C22DD"/>
    <w:rsid w:val="471E7C15"/>
    <w:rsid w:val="47213261"/>
    <w:rsid w:val="47264F48"/>
    <w:rsid w:val="472C2E7D"/>
    <w:rsid w:val="472F1E22"/>
    <w:rsid w:val="47356D0C"/>
    <w:rsid w:val="474156B1"/>
    <w:rsid w:val="47520125"/>
    <w:rsid w:val="47564997"/>
    <w:rsid w:val="47590C4D"/>
    <w:rsid w:val="475C698F"/>
    <w:rsid w:val="476E5EEF"/>
    <w:rsid w:val="47801716"/>
    <w:rsid w:val="479D3439"/>
    <w:rsid w:val="47AD0F98"/>
    <w:rsid w:val="47C52A22"/>
    <w:rsid w:val="47C62E56"/>
    <w:rsid w:val="47D40D02"/>
    <w:rsid w:val="47D740B1"/>
    <w:rsid w:val="47DA5EC9"/>
    <w:rsid w:val="47E405F3"/>
    <w:rsid w:val="47ED75E7"/>
    <w:rsid w:val="47F22E4F"/>
    <w:rsid w:val="48062D00"/>
    <w:rsid w:val="481B7DDE"/>
    <w:rsid w:val="4823219D"/>
    <w:rsid w:val="48254FD3"/>
    <w:rsid w:val="482B7E4B"/>
    <w:rsid w:val="483416BA"/>
    <w:rsid w:val="483E7875"/>
    <w:rsid w:val="4840005F"/>
    <w:rsid w:val="484C6744"/>
    <w:rsid w:val="484D0086"/>
    <w:rsid w:val="48526E23"/>
    <w:rsid w:val="48551F62"/>
    <w:rsid w:val="485C7545"/>
    <w:rsid w:val="48623B31"/>
    <w:rsid w:val="48640410"/>
    <w:rsid w:val="486F7120"/>
    <w:rsid w:val="487970CD"/>
    <w:rsid w:val="487D096B"/>
    <w:rsid w:val="487E7FF1"/>
    <w:rsid w:val="488C32A4"/>
    <w:rsid w:val="48A20483"/>
    <w:rsid w:val="48AE2419"/>
    <w:rsid w:val="48B74D04"/>
    <w:rsid w:val="48BE4C6E"/>
    <w:rsid w:val="48BF5427"/>
    <w:rsid w:val="48CB5B7A"/>
    <w:rsid w:val="48CC18F2"/>
    <w:rsid w:val="48D662CD"/>
    <w:rsid w:val="48F055E1"/>
    <w:rsid w:val="491B667E"/>
    <w:rsid w:val="491E64A7"/>
    <w:rsid w:val="492D1E1C"/>
    <w:rsid w:val="49645387"/>
    <w:rsid w:val="496B4C67"/>
    <w:rsid w:val="49752513"/>
    <w:rsid w:val="497F4119"/>
    <w:rsid w:val="49890A96"/>
    <w:rsid w:val="4989333F"/>
    <w:rsid w:val="499A5B75"/>
    <w:rsid w:val="499D4EE6"/>
    <w:rsid w:val="49AB59AC"/>
    <w:rsid w:val="49BA799D"/>
    <w:rsid w:val="49BE7494"/>
    <w:rsid w:val="49C167BA"/>
    <w:rsid w:val="49D4793A"/>
    <w:rsid w:val="49E862B8"/>
    <w:rsid w:val="49EC39F4"/>
    <w:rsid w:val="4A05330E"/>
    <w:rsid w:val="4A062EC1"/>
    <w:rsid w:val="4A111CB3"/>
    <w:rsid w:val="4A123BE6"/>
    <w:rsid w:val="4A1C6301"/>
    <w:rsid w:val="4A260300"/>
    <w:rsid w:val="4A2B43F6"/>
    <w:rsid w:val="4A325785"/>
    <w:rsid w:val="4A33698D"/>
    <w:rsid w:val="4A3B2E49"/>
    <w:rsid w:val="4A431740"/>
    <w:rsid w:val="4A65340B"/>
    <w:rsid w:val="4A682D79"/>
    <w:rsid w:val="4A8B26F6"/>
    <w:rsid w:val="4A900E74"/>
    <w:rsid w:val="4A963F66"/>
    <w:rsid w:val="4A9F5261"/>
    <w:rsid w:val="4AAA0CF0"/>
    <w:rsid w:val="4ABB39CC"/>
    <w:rsid w:val="4ABD690C"/>
    <w:rsid w:val="4AC177EE"/>
    <w:rsid w:val="4AC5345D"/>
    <w:rsid w:val="4ACC5BD9"/>
    <w:rsid w:val="4AD66A58"/>
    <w:rsid w:val="4AE20F59"/>
    <w:rsid w:val="4AE35524"/>
    <w:rsid w:val="4AF65903"/>
    <w:rsid w:val="4B054C48"/>
    <w:rsid w:val="4B142950"/>
    <w:rsid w:val="4B2C6678"/>
    <w:rsid w:val="4B3043BA"/>
    <w:rsid w:val="4B355152"/>
    <w:rsid w:val="4B3E33A3"/>
    <w:rsid w:val="4B440190"/>
    <w:rsid w:val="4B490FD8"/>
    <w:rsid w:val="4B4A2EEF"/>
    <w:rsid w:val="4B4D5699"/>
    <w:rsid w:val="4B644064"/>
    <w:rsid w:val="4B6865D4"/>
    <w:rsid w:val="4B83273C"/>
    <w:rsid w:val="4B8715A9"/>
    <w:rsid w:val="4B8B339F"/>
    <w:rsid w:val="4B8E5D02"/>
    <w:rsid w:val="4B92038C"/>
    <w:rsid w:val="4BAB1C93"/>
    <w:rsid w:val="4BBA0128"/>
    <w:rsid w:val="4BBD0CDA"/>
    <w:rsid w:val="4BD50ABE"/>
    <w:rsid w:val="4BE13F29"/>
    <w:rsid w:val="4BF74ED8"/>
    <w:rsid w:val="4BFB49C8"/>
    <w:rsid w:val="4C03562B"/>
    <w:rsid w:val="4C0563D2"/>
    <w:rsid w:val="4C0A47B7"/>
    <w:rsid w:val="4C17037E"/>
    <w:rsid w:val="4C1A3C5A"/>
    <w:rsid w:val="4C1D6705"/>
    <w:rsid w:val="4C1E06B7"/>
    <w:rsid w:val="4C2610BF"/>
    <w:rsid w:val="4C325A71"/>
    <w:rsid w:val="4C332813"/>
    <w:rsid w:val="4C3F7440"/>
    <w:rsid w:val="4C400D03"/>
    <w:rsid w:val="4C4023DB"/>
    <w:rsid w:val="4C55112A"/>
    <w:rsid w:val="4C5B4EBE"/>
    <w:rsid w:val="4C72630D"/>
    <w:rsid w:val="4CA0731E"/>
    <w:rsid w:val="4CA10F13"/>
    <w:rsid w:val="4CA7245A"/>
    <w:rsid w:val="4CB15FA8"/>
    <w:rsid w:val="4CCE4B29"/>
    <w:rsid w:val="4CD3324F"/>
    <w:rsid w:val="4CE36CA4"/>
    <w:rsid w:val="4CE679B9"/>
    <w:rsid w:val="4D0C6761"/>
    <w:rsid w:val="4D20220D"/>
    <w:rsid w:val="4D213E5D"/>
    <w:rsid w:val="4D227D33"/>
    <w:rsid w:val="4D2770F7"/>
    <w:rsid w:val="4D420DA3"/>
    <w:rsid w:val="4D4320BC"/>
    <w:rsid w:val="4D4759EB"/>
    <w:rsid w:val="4D4E33A8"/>
    <w:rsid w:val="4D553BE3"/>
    <w:rsid w:val="4D6420F9"/>
    <w:rsid w:val="4D736796"/>
    <w:rsid w:val="4D761E2D"/>
    <w:rsid w:val="4D785BA5"/>
    <w:rsid w:val="4D891B60"/>
    <w:rsid w:val="4D9967C2"/>
    <w:rsid w:val="4DA644C0"/>
    <w:rsid w:val="4DA92202"/>
    <w:rsid w:val="4DAD1CF2"/>
    <w:rsid w:val="4DBF4E58"/>
    <w:rsid w:val="4DC1738F"/>
    <w:rsid w:val="4DC42199"/>
    <w:rsid w:val="4DD132FA"/>
    <w:rsid w:val="4DD70B1D"/>
    <w:rsid w:val="4DD85562"/>
    <w:rsid w:val="4DEA4CF4"/>
    <w:rsid w:val="4DED27DA"/>
    <w:rsid w:val="4DF82FB8"/>
    <w:rsid w:val="4E125FF9"/>
    <w:rsid w:val="4E127DA7"/>
    <w:rsid w:val="4E1B4E0F"/>
    <w:rsid w:val="4E1F24C4"/>
    <w:rsid w:val="4E2A5FA4"/>
    <w:rsid w:val="4E3008AE"/>
    <w:rsid w:val="4E3C3076"/>
    <w:rsid w:val="4E593C28"/>
    <w:rsid w:val="4E685C19"/>
    <w:rsid w:val="4E910909"/>
    <w:rsid w:val="4E984750"/>
    <w:rsid w:val="4EA053B3"/>
    <w:rsid w:val="4EA75B70"/>
    <w:rsid w:val="4EAF55F6"/>
    <w:rsid w:val="4EB267D2"/>
    <w:rsid w:val="4EB972A9"/>
    <w:rsid w:val="4EBC617C"/>
    <w:rsid w:val="4EC56BC8"/>
    <w:rsid w:val="4ED17C62"/>
    <w:rsid w:val="4ED24D93"/>
    <w:rsid w:val="4ED605E8"/>
    <w:rsid w:val="4EE81D93"/>
    <w:rsid w:val="4EEC05F8"/>
    <w:rsid w:val="4EFF657E"/>
    <w:rsid w:val="4F156272"/>
    <w:rsid w:val="4F2E6E63"/>
    <w:rsid w:val="4F326A1D"/>
    <w:rsid w:val="4F6C357C"/>
    <w:rsid w:val="4F710AFD"/>
    <w:rsid w:val="4F795910"/>
    <w:rsid w:val="4F9B5B7A"/>
    <w:rsid w:val="4F9D18F3"/>
    <w:rsid w:val="4F9D7B44"/>
    <w:rsid w:val="4F9F68AD"/>
    <w:rsid w:val="4FA113E3"/>
    <w:rsid w:val="4FA75D4E"/>
    <w:rsid w:val="4FB07878"/>
    <w:rsid w:val="4FD277EE"/>
    <w:rsid w:val="4FE92FE1"/>
    <w:rsid w:val="4FEB6B02"/>
    <w:rsid w:val="4FF05EC6"/>
    <w:rsid w:val="500E7337"/>
    <w:rsid w:val="502F5B19"/>
    <w:rsid w:val="503E572B"/>
    <w:rsid w:val="505521CD"/>
    <w:rsid w:val="505E5526"/>
    <w:rsid w:val="505E72D4"/>
    <w:rsid w:val="50712FAF"/>
    <w:rsid w:val="50847C1E"/>
    <w:rsid w:val="5092449B"/>
    <w:rsid w:val="50965EEF"/>
    <w:rsid w:val="5097353C"/>
    <w:rsid w:val="50A3118B"/>
    <w:rsid w:val="50A62A29"/>
    <w:rsid w:val="50A65887"/>
    <w:rsid w:val="50B740B7"/>
    <w:rsid w:val="50D76EDE"/>
    <w:rsid w:val="50DB6B76"/>
    <w:rsid w:val="50E03FB6"/>
    <w:rsid w:val="51131460"/>
    <w:rsid w:val="51142088"/>
    <w:rsid w:val="51166801"/>
    <w:rsid w:val="51174BFE"/>
    <w:rsid w:val="51295EE5"/>
    <w:rsid w:val="512C5624"/>
    <w:rsid w:val="51450ABA"/>
    <w:rsid w:val="514B3CFC"/>
    <w:rsid w:val="515E50B1"/>
    <w:rsid w:val="516052CE"/>
    <w:rsid w:val="51666640"/>
    <w:rsid w:val="517E2B19"/>
    <w:rsid w:val="518032DB"/>
    <w:rsid w:val="518A04A8"/>
    <w:rsid w:val="51901A88"/>
    <w:rsid w:val="51C7159F"/>
    <w:rsid w:val="51DA7911"/>
    <w:rsid w:val="51DD691E"/>
    <w:rsid w:val="51E90A7C"/>
    <w:rsid w:val="51FA74D0"/>
    <w:rsid w:val="520420FD"/>
    <w:rsid w:val="520A14CD"/>
    <w:rsid w:val="5225691A"/>
    <w:rsid w:val="524424F9"/>
    <w:rsid w:val="524D529A"/>
    <w:rsid w:val="525158F7"/>
    <w:rsid w:val="5264234F"/>
    <w:rsid w:val="52887742"/>
    <w:rsid w:val="52953513"/>
    <w:rsid w:val="52A378D9"/>
    <w:rsid w:val="52AF2069"/>
    <w:rsid w:val="52C55AF5"/>
    <w:rsid w:val="52CD6993"/>
    <w:rsid w:val="52D049DF"/>
    <w:rsid w:val="52D90E94"/>
    <w:rsid w:val="52DB30EE"/>
    <w:rsid w:val="52E73A1D"/>
    <w:rsid w:val="52E8557B"/>
    <w:rsid w:val="52E9457E"/>
    <w:rsid w:val="52F71F9E"/>
    <w:rsid w:val="53083527"/>
    <w:rsid w:val="53095C1D"/>
    <w:rsid w:val="530F48B5"/>
    <w:rsid w:val="530F6FAB"/>
    <w:rsid w:val="531C6FD2"/>
    <w:rsid w:val="53293217"/>
    <w:rsid w:val="533C1422"/>
    <w:rsid w:val="53672943"/>
    <w:rsid w:val="53791067"/>
    <w:rsid w:val="53800FA6"/>
    <w:rsid w:val="538E2850"/>
    <w:rsid w:val="539179C0"/>
    <w:rsid w:val="53A476F3"/>
    <w:rsid w:val="53B75032"/>
    <w:rsid w:val="53B84F4D"/>
    <w:rsid w:val="53CB6927"/>
    <w:rsid w:val="53D04B91"/>
    <w:rsid w:val="53DF0DAF"/>
    <w:rsid w:val="53E73A84"/>
    <w:rsid w:val="53F142A0"/>
    <w:rsid w:val="53FC38A5"/>
    <w:rsid w:val="540B7773"/>
    <w:rsid w:val="541F124C"/>
    <w:rsid w:val="54213644"/>
    <w:rsid w:val="54317BA4"/>
    <w:rsid w:val="54332EA7"/>
    <w:rsid w:val="543F11CA"/>
    <w:rsid w:val="545311AD"/>
    <w:rsid w:val="545833E9"/>
    <w:rsid w:val="54752897"/>
    <w:rsid w:val="54860395"/>
    <w:rsid w:val="5495528E"/>
    <w:rsid w:val="54A159E1"/>
    <w:rsid w:val="54A84FC1"/>
    <w:rsid w:val="54C85664"/>
    <w:rsid w:val="54CA2DD0"/>
    <w:rsid w:val="54D22832"/>
    <w:rsid w:val="54D73AF9"/>
    <w:rsid w:val="54E06DA7"/>
    <w:rsid w:val="55006BAB"/>
    <w:rsid w:val="550372D2"/>
    <w:rsid w:val="5510696A"/>
    <w:rsid w:val="55276C44"/>
    <w:rsid w:val="552B370C"/>
    <w:rsid w:val="5532485B"/>
    <w:rsid w:val="55466588"/>
    <w:rsid w:val="55564A1D"/>
    <w:rsid w:val="555667CB"/>
    <w:rsid w:val="5557546E"/>
    <w:rsid w:val="555C44F7"/>
    <w:rsid w:val="556F197D"/>
    <w:rsid w:val="55833339"/>
    <w:rsid w:val="558E5955"/>
    <w:rsid w:val="559417F6"/>
    <w:rsid w:val="559612BE"/>
    <w:rsid w:val="55985036"/>
    <w:rsid w:val="55A251C3"/>
    <w:rsid w:val="55AE4859"/>
    <w:rsid w:val="55B210CB"/>
    <w:rsid w:val="55B405FA"/>
    <w:rsid w:val="55B4317D"/>
    <w:rsid w:val="55B900CA"/>
    <w:rsid w:val="55BE4BA4"/>
    <w:rsid w:val="55C66A78"/>
    <w:rsid w:val="55C73B6D"/>
    <w:rsid w:val="55C951EF"/>
    <w:rsid w:val="55DF4A23"/>
    <w:rsid w:val="55F97165"/>
    <w:rsid w:val="55FD30EB"/>
    <w:rsid w:val="55FD7BA1"/>
    <w:rsid w:val="56002BDB"/>
    <w:rsid w:val="560162DD"/>
    <w:rsid w:val="560A09A3"/>
    <w:rsid w:val="56156ACD"/>
    <w:rsid w:val="56301712"/>
    <w:rsid w:val="563537EC"/>
    <w:rsid w:val="56404CD3"/>
    <w:rsid w:val="56496330"/>
    <w:rsid w:val="56586573"/>
    <w:rsid w:val="565F21C4"/>
    <w:rsid w:val="566B532F"/>
    <w:rsid w:val="566F3B44"/>
    <w:rsid w:val="56701B0F"/>
    <w:rsid w:val="5685782D"/>
    <w:rsid w:val="568F65B7"/>
    <w:rsid w:val="569049F7"/>
    <w:rsid w:val="56992795"/>
    <w:rsid w:val="56995D14"/>
    <w:rsid w:val="56A91802"/>
    <w:rsid w:val="56B30D1D"/>
    <w:rsid w:val="56B51C18"/>
    <w:rsid w:val="56B55774"/>
    <w:rsid w:val="56B85264"/>
    <w:rsid w:val="56BC7955"/>
    <w:rsid w:val="56BF4844"/>
    <w:rsid w:val="56C37E91"/>
    <w:rsid w:val="56CE073D"/>
    <w:rsid w:val="56DA63AE"/>
    <w:rsid w:val="56E54A56"/>
    <w:rsid w:val="56E82DAD"/>
    <w:rsid w:val="56EF6ED8"/>
    <w:rsid w:val="56F40992"/>
    <w:rsid w:val="571406EC"/>
    <w:rsid w:val="572722F3"/>
    <w:rsid w:val="57307DA9"/>
    <w:rsid w:val="57355987"/>
    <w:rsid w:val="573B211D"/>
    <w:rsid w:val="57460AC2"/>
    <w:rsid w:val="5747105C"/>
    <w:rsid w:val="5758495A"/>
    <w:rsid w:val="57672200"/>
    <w:rsid w:val="576D0CDC"/>
    <w:rsid w:val="57713D91"/>
    <w:rsid w:val="577409BC"/>
    <w:rsid w:val="57784BAE"/>
    <w:rsid w:val="577C44E3"/>
    <w:rsid w:val="579445BE"/>
    <w:rsid w:val="579859DC"/>
    <w:rsid w:val="579D6934"/>
    <w:rsid w:val="57A41CF0"/>
    <w:rsid w:val="57AA2DFF"/>
    <w:rsid w:val="57B1418D"/>
    <w:rsid w:val="57D305A7"/>
    <w:rsid w:val="57D60097"/>
    <w:rsid w:val="57D61E46"/>
    <w:rsid w:val="57DD3ED9"/>
    <w:rsid w:val="57EF4CB5"/>
    <w:rsid w:val="57F164F0"/>
    <w:rsid w:val="57F37DD9"/>
    <w:rsid w:val="57F76C9E"/>
    <w:rsid w:val="58010419"/>
    <w:rsid w:val="581F5546"/>
    <w:rsid w:val="582F16BA"/>
    <w:rsid w:val="583019E9"/>
    <w:rsid w:val="58337298"/>
    <w:rsid w:val="58382F5A"/>
    <w:rsid w:val="584D2D67"/>
    <w:rsid w:val="587362D6"/>
    <w:rsid w:val="587E7E3D"/>
    <w:rsid w:val="58944E28"/>
    <w:rsid w:val="58AB5080"/>
    <w:rsid w:val="58D207C9"/>
    <w:rsid w:val="58F46A27"/>
    <w:rsid w:val="58F71CA1"/>
    <w:rsid w:val="590A4312"/>
    <w:rsid w:val="590D5D3B"/>
    <w:rsid w:val="591839EB"/>
    <w:rsid w:val="59205A6E"/>
    <w:rsid w:val="59337204"/>
    <w:rsid w:val="59487C5D"/>
    <w:rsid w:val="596B0B42"/>
    <w:rsid w:val="598040EA"/>
    <w:rsid w:val="598F6413"/>
    <w:rsid w:val="59A0270B"/>
    <w:rsid w:val="59A26483"/>
    <w:rsid w:val="59BD150F"/>
    <w:rsid w:val="59BD4B6D"/>
    <w:rsid w:val="59C84FFC"/>
    <w:rsid w:val="59DD1575"/>
    <w:rsid w:val="59EF7971"/>
    <w:rsid w:val="59F117D1"/>
    <w:rsid w:val="59F34553"/>
    <w:rsid w:val="5A2055FA"/>
    <w:rsid w:val="5A2275C4"/>
    <w:rsid w:val="5A3966BC"/>
    <w:rsid w:val="5A737E20"/>
    <w:rsid w:val="5A76346C"/>
    <w:rsid w:val="5A7A2F5C"/>
    <w:rsid w:val="5A7C7B19"/>
    <w:rsid w:val="5A7D47FA"/>
    <w:rsid w:val="5A7F67C4"/>
    <w:rsid w:val="5A9304C2"/>
    <w:rsid w:val="5A9400F2"/>
    <w:rsid w:val="5A981634"/>
    <w:rsid w:val="5AB36A60"/>
    <w:rsid w:val="5AB86058"/>
    <w:rsid w:val="5ACB1C10"/>
    <w:rsid w:val="5AD07020"/>
    <w:rsid w:val="5ADD4BB6"/>
    <w:rsid w:val="5AED1980"/>
    <w:rsid w:val="5AF01A03"/>
    <w:rsid w:val="5AF440BA"/>
    <w:rsid w:val="5B1F4562"/>
    <w:rsid w:val="5B2D17AC"/>
    <w:rsid w:val="5B411CCC"/>
    <w:rsid w:val="5B5A01B7"/>
    <w:rsid w:val="5B7F45A2"/>
    <w:rsid w:val="5B831EDC"/>
    <w:rsid w:val="5B855EAE"/>
    <w:rsid w:val="5B9067AF"/>
    <w:rsid w:val="5B9A505C"/>
    <w:rsid w:val="5B9E164D"/>
    <w:rsid w:val="5B9F1FA0"/>
    <w:rsid w:val="5BBA6E87"/>
    <w:rsid w:val="5BBD5AB7"/>
    <w:rsid w:val="5BC528FD"/>
    <w:rsid w:val="5BF1724E"/>
    <w:rsid w:val="5BF8456C"/>
    <w:rsid w:val="5BFF1099"/>
    <w:rsid w:val="5C007CAC"/>
    <w:rsid w:val="5C052CF9"/>
    <w:rsid w:val="5C0577C9"/>
    <w:rsid w:val="5C1D0043"/>
    <w:rsid w:val="5C1F2E61"/>
    <w:rsid w:val="5C2D3FFE"/>
    <w:rsid w:val="5C317F92"/>
    <w:rsid w:val="5C390BF5"/>
    <w:rsid w:val="5C3F26AF"/>
    <w:rsid w:val="5C403B60"/>
    <w:rsid w:val="5C4557EC"/>
    <w:rsid w:val="5C4979B6"/>
    <w:rsid w:val="5C4F17D1"/>
    <w:rsid w:val="5C5B7DB7"/>
    <w:rsid w:val="5C8031E9"/>
    <w:rsid w:val="5C904CB9"/>
    <w:rsid w:val="5C9246DF"/>
    <w:rsid w:val="5CA758E9"/>
    <w:rsid w:val="5CD43EAD"/>
    <w:rsid w:val="5CE773E6"/>
    <w:rsid w:val="5CF36034"/>
    <w:rsid w:val="5D05541F"/>
    <w:rsid w:val="5D0E0CB8"/>
    <w:rsid w:val="5D1E1827"/>
    <w:rsid w:val="5D221D0A"/>
    <w:rsid w:val="5D2978ED"/>
    <w:rsid w:val="5D333896"/>
    <w:rsid w:val="5D493B4B"/>
    <w:rsid w:val="5D4A5F6F"/>
    <w:rsid w:val="5D60751D"/>
    <w:rsid w:val="5D787C13"/>
    <w:rsid w:val="5D7B4285"/>
    <w:rsid w:val="5D814602"/>
    <w:rsid w:val="5D8F5D8E"/>
    <w:rsid w:val="5D910E61"/>
    <w:rsid w:val="5D9407D9"/>
    <w:rsid w:val="5D990135"/>
    <w:rsid w:val="5DA63DFF"/>
    <w:rsid w:val="5DBC388C"/>
    <w:rsid w:val="5DC10EA2"/>
    <w:rsid w:val="5DC519A9"/>
    <w:rsid w:val="5DC664B8"/>
    <w:rsid w:val="5DE03A1E"/>
    <w:rsid w:val="5DE665B7"/>
    <w:rsid w:val="5DF03535"/>
    <w:rsid w:val="5DFB0858"/>
    <w:rsid w:val="5E095631"/>
    <w:rsid w:val="5E0A2849"/>
    <w:rsid w:val="5E1B2CA8"/>
    <w:rsid w:val="5E203E1A"/>
    <w:rsid w:val="5E221A1F"/>
    <w:rsid w:val="5E4F64AE"/>
    <w:rsid w:val="5E556714"/>
    <w:rsid w:val="5E5D6F0B"/>
    <w:rsid w:val="5E6006BB"/>
    <w:rsid w:val="5E7D301B"/>
    <w:rsid w:val="5E8946BB"/>
    <w:rsid w:val="5E9318F2"/>
    <w:rsid w:val="5E981191"/>
    <w:rsid w:val="5E9D38D1"/>
    <w:rsid w:val="5E9E4607"/>
    <w:rsid w:val="5EA00D99"/>
    <w:rsid w:val="5EA40ACB"/>
    <w:rsid w:val="5ECE29A1"/>
    <w:rsid w:val="5ED15115"/>
    <w:rsid w:val="5EDA3149"/>
    <w:rsid w:val="5EE70DDC"/>
    <w:rsid w:val="5EEF7F00"/>
    <w:rsid w:val="5EF332DD"/>
    <w:rsid w:val="5F074070"/>
    <w:rsid w:val="5F0847EC"/>
    <w:rsid w:val="5F0B4ACB"/>
    <w:rsid w:val="5F0E6369"/>
    <w:rsid w:val="5F1D47FE"/>
    <w:rsid w:val="5F261904"/>
    <w:rsid w:val="5F36141C"/>
    <w:rsid w:val="5F3D2289"/>
    <w:rsid w:val="5F434264"/>
    <w:rsid w:val="5F4E06F0"/>
    <w:rsid w:val="5F507B0A"/>
    <w:rsid w:val="5F526256"/>
    <w:rsid w:val="5F6441DB"/>
    <w:rsid w:val="5F6609E3"/>
    <w:rsid w:val="5F717446"/>
    <w:rsid w:val="5F7D3D7A"/>
    <w:rsid w:val="5F8B749B"/>
    <w:rsid w:val="5FA36AB1"/>
    <w:rsid w:val="5FA840C8"/>
    <w:rsid w:val="5FB32210"/>
    <w:rsid w:val="5FB72866"/>
    <w:rsid w:val="5FC47F23"/>
    <w:rsid w:val="5FC86518"/>
    <w:rsid w:val="5FCC24AC"/>
    <w:rsid w:val="5FD86DD1"/>
    <w:rsid w:val="5FE5619E"/>
    <w:rsid w:val="5FEF2ADF"/>
    <w:rsid w:val="5FEF7F48"/>
    <w:rsid w:val="5FF45FF8"/>
    <w:rsid w:val="5FF657D8"/>
    <w:rsid w:val="5FF9371A"/>
    <w:rsid w:val="5FFA1A80"/>
    <w:rsid w:val="5FFB7E48"/>
    <w:rsid w:val="60000E7D"/>
    <w:rsid w:val="60125B25"/>
    <w:rsid w:val="602120CC"/>
    <w:rsid w:val="6035161F"/>
    <w:rsid w:val="604069F6"/>
    <w:rsid w:val="606049A2"/>
    <w:rsid w:val="60732927"/>
    <w:rsid w:val="60B20A49"/>
    <w:rsid w:val="60BA2331"/>
    <w:rsid w:val="60CC3D3E"/>
    <w:rsid w:val="60E47C97"/>
    <w:rsid w:val="60F32B9D"/>
    <w:rsid w:val="60FF4EC9"/>
    <w:rsid w:val="61142E16"/>
    <w:rsid w:val="611A4CFB"/>
    <w:rsid w:val="614A0E6A"/>
    <w:rsid w:val="61581B1D"/>
    <w:rsid w:val="61723CCE"/>
    <w:rsid w:val="61773FBA"/>
    <w:rsid w:val="618446C0"/>
    <w:rsid w:val="61870556"/>
    <w:rsid w:val="619E2179"/>
    <w:rsid w:val="61B03707"/>
    <w:rsid w:val="61B551C2"/>
    <w:rsid w:val="61B72CE8"/>
    <w:rsid w:val="61B93BBC"/>
    <w:rsid w:val="61D163D7"/>
    <w:rsid w:val="61D25594"/>
    <w:rsid w:val="61E861BF"/>
    <w:rsid w:val="61E936C4"/>
    <w:rsid w:val="61F361D4"/>
    <w:rsid w:val="61F44411"/>
    <w:rsid w:val="621838D8"/>
    <w:rsid w:val="621A4988"/>
    <w:rsid w:val="621B3277"/>
    <w:rsid w:val="621E76E6"/>
    <w:rsid w:val="62210161"/>
    <w:rsid w:val="62223FCE"/>
    <w:rsid w:val="622F6D22"/>
    <w:rsid w:val="623600B0"/>
    <w:rsid w:val="623954AB"/>
    <w:rsid w:val="62401884"/>
    <w:rsid w:val="624125B1"/>
    <w:rsid w:val="6250736B"/>
    <w:rsid w:val="626562A0"/>
    <w:rsid w:val="62685D90"/>
    <w:rsid w:val="62716614"/>
    <w:rsid w:val="627A786A"/>
    <w:rsid w:val="627E7362"/>
    <w:rsid w:val="62863EF2"/>
    <w:rsid w:val="628A21AA"/>
    <w:rsid w:val="62946B85"/>
    <w:rsid w:val="6299063F"/>
    <w:rsid w:val="62A94B4A"/>
    <w:rsid w:val="62AE17CE"/>
    <w:rsid w:val="62AF5144"/>
    <w:rsid w:val="62B17737"/>
    <w:rsid w:val="62C3746A"/>
    <w:rsid w:val="62C456BC"/>
    <w:rsid w:val="62CF134B"/>
    <w:rsid w:val="62D43425"/>
    <w:rsid w:val="62F3015A"/>
    <w:rsid w:val="62F5005D"/>
    <w:rsid w:val="62F535A5"/>
    <w:rsid w:val="6300421A"/>
    <w:rsid w:val="630477D8"/>
    <w:rsid w:val="63063757"/>
    <w:rsid w:val="630930CF"/>
    <w:rsid w:val="63097573"/>
    <w:rsid w:val="63116428"/>
    <w:rsid w:val="63126166"/>
    <w:rsid w:val="631F28F3"/>
    <w:rsid w:val="63201256"/>
    <w:rsid w:val="63383666"/>
    <w:rsid w:val="633A3BD0"/>
    <w:rsid w:val="633D396E"/>
    <w:rsid w:val="633F11E7"/>
    <w:rsid w:val="63534C92"/>
    <w:rsid w:val="63585E05"/>
    <w:rsid w:val="635D538E"/>
    <w:rsid w:val="636508F3"/>
    <w:rsid w:val="6367429A"/>
    <w:rsid w:val="636F5910"/>
    <w:rsid w:val="637517A4"/>
    <w:rsid w:val="637A5D7B"/>
    <w:rsid w:val="63807109"/>
    <w:rsid w:val="638E7A78"/>
    <w:rsid w:val="63952BB5"/>
    <w:rsid w:val="639E7F8F"/>
    <w:rsid w:val="63A86F31"/>
    <w:rsid w:val="63AB75EB"/>
    <w:rsid w:val="63B70D7D"/>
    <w:rsid w:val="63C106CD"/>
    <w:rsid w:val="63C65464"/>
    <w:rsid w:val="63C95DA7"/>
    <w:rsid w:val="63D7154B"/>
    <w:rsid w:val="63E45BB4"/>
    <w:rsid w:val="63E4785C"/>
    <w:rsid w:val="63FA3360"/>
    <w:rsid w:val="640970FF"/>
    <w:rsid w:val="64122457"/>
    <w:rsid w:val="6412593D"/>
    <w:rsid w:val="64305607"/>
    <w:rsid w:val="643248A8"/>
    <w:rsid w:val="64452F9D"/>
    <w:rsid w:val="64504D2E"/>
    <w:rsid w:val="6467744C"/>
    <w:rsid w:val="6468293D"/>
    <w:rsid w:val="64694419"/>
    <w:rsid w:val="64896EBA"/>
    <w:rsid w:val="64946776"/>
    <w:rsid w:val="649D4F2E"/>
    <w:rsid w:val="64AE0D1A"/>
    <w:rsid w:val="64B31003"/>
    <w:rsid w:val="64C01EB3"/>
    <w:rsid w:val="64D4770D"/>
    <w:rsid w:val="64F855B5"/>
    <w:rsid w:val="6502071E"/>
    <w:rsid w:val="65060DF8"/>
    <w:rsid w:val="650E4428"/>
    <w:rsid w:val="65560A83"/>
    <w:rsid w:val="655B1C43"/>
    <w:rsid w:val="656B62C3"/>
    <w:rsid w:val="65733E15"/>
    <w:rsid w:val="657A117A"/>
    <w:rsid w:val="657B5DDA"/>
    <w:rsid w:val="657B77D2"/>
    <w:rsid w:val="657F58CB"/>
    <w:rsid w:val="65864A98"/>
    <w:rsid w:val="659624A5"/>
    <w:rsid w:val="65A27FE3"/>
    <w:rsid w:val="65B65064"/>
    <w:rsid w:val="65BC42F0"/>
    <w:rsid w:val="65C507D1"/>
    <w:rsid w:val="65C63342"/>
    <w:rsid w:val="65C92297"/>
    <w:rsid w:val="65CB0B10"/>
    <w:rsid w:val="65DE0F21"/>
    <w:rsid w:val="65DF0359"/>
    <w:rsid w:val="65DF4740"/>
    <w:rsid w:val="65EC64EF"/>
    <w:rsid w:val="66057121"/>
    <w:rsid w:val="660D452E"/>
    <w:rsid w:val="66124991"/>
    <w:rsid w:val="66155C74"/>
    <w:rsid w:val="6629096E"/>
    <w:rsid w:val="66344907"/>
    <w:rsid w:val="663D145C"/>
    <w:rsid w:val="664E052B"/>
    <w:rsid w:val="665B6701"/>
    <w:rsid w:val="666F3B91"/>
    <w:rsid w:val="66817EF2"/>
    <w:rsid w:val="668F4A03"/>
    <w:rsid w:val="668F7D8F"/>
    <w:rsid w:val="669F172C"/>
    <w:rsid w:val="66A3383B"/>
    <w:rsid w:val="66A8418E"/>
    <w:rsid w:val="66AC6B93"/>
    <w:rsid w:val="66B41B84"/>
    <w:rsid w:val="66C06308"/>
    <w:rsid w:val="66C67529"/>
    <w:rsid w:val="66C97C13"/>
    <w:rsid w:val="66CB7EB5"/>
    <w:rsid w:val="66E64663"/>
    <w:rsid w:val="66E9657B"/>
    <w:rsid w:val="66EF082E"/>
    <w:rsid w:val="672C3830"/>
    <w:rsid w:val="6731535F"/>
    <w:rsid w:val="673325BD"/>
    <w:rsid w:val="67341180"/>
    <w:rsid w:val="674F1DD9"/>
    <w:rsid w:val="67564D51"/>
    <w:rsid w:val="675C3383"/>
    <w:rsid w:val="6764746E"/>
    <w:rsid w:val="67705E13"/>
    <w:rsid w:val="67793F97"/>
    <w:rsid w:val="67840C11"/>
    <w:rsid w:val="679715F1"/>
    <w:rsid w:val="67A45ABC"/>
    <w:rsid w:val="67B843DD"/>
    <w:rsid w:val="67BB4C0B"/>
    <w:rsid w:val="67DB0DB2"/>
    <w:rsid w:val="67E93F8D"/>
    <w:rsid w:val="67E95C0D"/>
    <w:rsid w:val="67F56318"/>
    <w:rsid w:val="67F56AD4"/>
    <w:rsid w:val="68051DB2"/>
    <w:rsid w:val="68085DE2"/>
    <w:rsid w:val="681C36F2"/>
    <w:rsid w:val="682C160E"/>
    <w:rsid w:val="683E4D93"/>
    <w:rsid w:val="684921C0"/>
    <w:rsid w:val="685E7B92"/>
    <w:rsid w:val="6884144A"/>
    <w:rsid w:val="688D02FE"/>
    <w:rsid w:val="688F051A"/>
    <w:rsid w:val="68983832"/>
    <w:rsid w:val="68C04687"/>
    <w:rsid w:val="68C33D20"/>
    <w:rsid w:val="68C65359"/>
    <w:rsid w:val="68D650AC"/>
    <w:rsid w:val="68D75A1D"/>
    <w:rsid w:val="68E344B8"/>
    <w:rsid w:val="68EC771B"/>
    <w:rsid w:val="68FD36D6"/>
    <w:rsid w:val="690C1B6B"/>
    <w:rsid w:val="69164798"/>
    <w:rsid w:val="6945507D"/>
    <w:rsid w:val="69456E2B"/>
    <w:rsid w:val="694C1A75"/>
    <w:rsid w:val="695E31E7"/>
    <w:rsid w:val="69877444"/>
    <w:rsid w:val="699D0A15"/>
    <w:rsid w:val="69A91168"/>
    <w:rsid w:val="69BE470A"/>
    <w:rsid w:val="69E44896"/>
    <w:rsid w:val="69F30635"/>
    <w:rsid w:val="69F97A61"/>
    <w:rsid w:val="6A042842"/>
    <w:rsid w:val="6A135E2D"/>
    <w:rsid w:val="6A152CA1"/>
    <w:rsid w:val="6A1861F1"/>
    <w:rsid w:val="6A341C17"/>
    <w:rsid w:val="6A4C0F11"/>
    <w:rsid w:val="6A674B7F"/>
    <w:rsid w:val="6A737BEE"/>
    <w:rsid w:val="6A8A71EB"/>
    <w:rsid w:val="6A946571"/>
    <w:rsid w:val="6AA13425"/>
    <w:rsid w:val="6AA34EA4"/>
    <w:rsid w:val="6AA74F5D"/>
    <w:rsid w:val="6AA915A7"/>
    <w:rsid w:val="6AB12831"/>
    <w:rsid w:val="6AB525FF"/>
    <w:rsid w:val="6ABF49BB"/>
    <w:rsid w:val="6ACD20AA"/>
    <w:rsid w:val="6AFA59F3"/>
    <w:rsid w:val="6B105EB6"/>
    <w:rsid w:val="6B2814A6"/>
    <w:rsid w:val="6B2D7B77"/>
    <w:rsid w:val="6B32518D"/>
    <w:rsid w:val="6B400F89"/>
    <w:rsid w:val="6B607486"/>
    <w:rsid w:val="6B673089"/>
    <w:rsid w:val="6B721A2E"/>
    <w:rsid w:val="6B80239C"/>
    <w:rsid w:val="6B9E0A74"/>
    <w:rsid w:val="6B9E2823"/>
    <w:rsid w:val="6BA11AAE"/>
    <w:rsid w:val="6BAD2A66"/>
    <w:rsid w:val="6BBE7436"/>
    <w:rsid w:val="6BD0030E"/>
    <w:rsid w:val="6BD36970"/>
    <w:rsid w:val="6BFE0731"/>
    <w:rsid w:val="6C133210"/>
    <w:rsid w:val="6C224F66"/>
    <w:rsid w:val="6C2F1D0A"/>
    <w:rsid w:val="6C450EF0"/>
    <w:rsid w:val="6C4B02BE"/>
    <w:rsid w:val="6C561811"/>
    <w:rsid w:val="6C635F46"/>
    <w:rsid w:val="6C6838AD"/>
    <w:rsid w:val="6C9B7E12"/>
    <w:rsid w:val="6C9D77E7"/>
    <w:rsid w:val="6CA125CA"/>
    <w:rsid w:val="6CC87B57"/>
    <w:rsid w:val="6CD65547"/>
    <w:rsid w:val="6CD6750C"/>
    <w:rsid w:val="6CD96208"/>
    <w:rsid w:val="6CDB0814"/>
    <w:rsid w:val="6CE54BAD"/>
    <w:rsid w:val="6CEC68FA"/>
    <w:rsid w:val="6CF50B68"/>
    <w:rsid w:val="6CF7043C"/>
    <w:rsid w:val="6D0B038C"/>
    <w:rsid w:val="6D213006"/>
    <w:rsid w:val="6D284A9A"/>
    <w:rsid w:val="6D345897"/>
    <w:rsid w:val="6D433682"/>
    <w:rsid w:val="6D464F20"/>
    <w:rsid w:val="6D4A0EB4"/>
    <w:rsid w:val="6D505D9E"/>
    <w:rsid w:val="6D6C16E4"/>
    <w:rsid w:val="6D7C2DF3"/>
    <w:rsid w:val="6D811E3C"/>
    <w:rsid w:val="6D925F1A"/>
    <w:rsid w:val="6DBF533A"/>
    <w:rsid w:val="6DC04CD2"/>
    <w:rsid w:val="6DE01F81"/>
    <w:rsid w:val="6DEF44C5"/>
    <w:rsid w:val="6E1119D2"/>
    <w:rsid w:val="6E271C41"/>
    <w:rsid w:val="6E2E60E0"/>
    <w:rsid w:val="6E5024FA"/>
    <w:rsid w:val="6E531FEA"/>
    <w:rsid w:val="6E775CD9"/>
    <w:rsid w:val="6E781A51"/>
    <w:rsid w:val="6EA950C2"/>
    <w:rsid w:val="6EAD34A8"/>
    <w:rsid w:val="6EB5235D"/>
    <w:rsid w:val="6EBA5BC5"/>
    <w:rsid w:val="6EBE56B6"/>
    <w:rsid w:val="6EC9405A"/>
    <w:rsid w:val="6EF72978"/>
    <w:rsid w:val="6F0137F4"/>
    <w:rsid w:val="6F0E7CBF"/>
    <w:rsid w:val="6F111347"/>
    <w:rsid w:val="6F1A7AB2"/>
    <w:rsid w:val="6F1B58AD"/>
    <w:rsid w:val="6F3B3440"/>
    <w:rsid w:val="6F4C0B4C"/>
    <w:rsid w:val="6F5C7975"/>
    <w:rsid w:val="6F5E09DF"/>
    <w:rsid w:val="6F9B1553"/>
    <w:rsid w:val="6FA34857"/>
    <w:rsid w:val="6FB16FC8"/>
    <w:rsid w:val="6FB37179"/>
    <w:rsid w:val="6FB67CE5"/>
    <w:rsid w:val="6FC82564"/>
    <w:rsid w:val="6FD20CED"/>
    <w:rsid w:val="6FE0340A"/>
    <w:rsid w:val="6FEF189F"/>
    <w:rsid w:val="70022762"/>
    <w:rsid w:val="70086FB6"/>
    <w:rsid w:val="700A66D9"/>
    <w:rsid w:val="700F7BE2"/>
    <w:rsid w:val="701620F7"/>
    <w:rsid w:val="701632CF"/>
    <w:rsid w:val="70227EC6"/>
    <w:rsid w:val="70316124"/>
    <w:rsid w:val="70607306"/>
    <w:rsid w:val="706C7393"/>
    <w:rsid w:val="70761788"/>
    <w:rsid w:val="707B3132"/>
    <w:rsid w:val="7086779F"/>
    <w:rsid w:val="708846E5"/>
    <w:rsid w:val="708F6BDE"/>
    <w:rsid w:val="70932B72"/>
    <w:rsid w:val="709E3ABA"/>
    <w:rsid w:val="709E5FA1"/>
    <w:rsid w:val="70A7195F"/>
    <w:rsid w:val="70A73F27"/>
    <w:rsid w:val="70B93239"/>
    <w:rsid w:val="70C658C3"/>
    <w:rsid w:val="70DD0C77"/>
    <w:rsid w:val="70F76C5D"/>
    <w:rsid w:val="70F82ECB"/>
    <w:rsid w:val="71186BD3"/>
    <w:rsid w:val="711C2B67"/>
    <w:rsid w:val="71264A65"/>
    <w:rsid w:val="71270076"/>
    <w:rsid w:val="71324139"/>
    <w:rsid w:val="7133080F"/>
    <w:rsid w:val="713C4FB8"/>
    <w:rsid w:val="713F0604"/>
    <w:rsid w:val="714459EF"/>
    <w:rsid w:val="7153172F"/>
    <w:rsid w:val="71721EBD"/>
    <w:rsid w:val="717464FF"/>
    <w:rsid w:val="717B432A"/>
    <w:rsid w:val="717E112C"/>
    <w:rsid w:val="719A3A8C"/>
    <w:rsid w:val="71AC7B96"/>
    <w:rsid w:val="71AF006A"/>
    <w:rsid w:val="71B56EBF"/>
    <w:rsid w:val="71C67D7A"/>
    <w:rsid w:val="71CA58F4"/>
    <w:rsid w:val="71EC078C"/>
    <w:rsid w:val="71F92EA9"/>
    <w:rsid w:val="72031C1B"/>
    <w:rsid w:val="72154882"/>
    <w:rsid w:val="723021F1"/>
    <w:rsid w:val="72405B3C"/>
    <w:rsid w:val="724759C2"/>
    <w:rsid w:val="7251239D"/>
    <w:rsid w:val="726E2F4F"/>
    <w:rsid w:val="727E1F3E"/>
    <w:rsid w:val="729B1591"/>
    <w:rsid w:val="729D1A86"/>
    <w:rsid w:val="72A93F87"/>
    <w:rsid w:val="72BB1F0C"/>
    <w:rsid w:val="72BD0340"/>
    <w:rsid w:val="72C76B03"/>
    <w:rsid w:val="72D54D7C"/>
    <w:rsid w:val="731F06ED"/>
    <w:rsid w:val="732B172B"/>
    <w:rsid w:val="732B7092"/>
    <w:rsid w:val="733A10F5"/>
    <w:rsid w:val="7349657D"/>
    <w:rsid w:val="73521A35"/>
    <w:rsid w:val="737E6F55"/>
    <w:rsid w:val="73B61051"/>
    <w:rsid w:val="73C134AD"/>
    <w:rsid w:val="73DE37E4"/>
    <w:rsid w:val="73E4432F"/>
    <w:rsid w:val="740A4EF9"/>
    <w:rsid w:val="74343D24"/>
    <w:rsid w:val="744C3764"/>
    <w:rsid w:val="74501A79"/>
    <w:rsid w:val="745F3497"/>
    <w:rsid w:val="74633980"/>
    <w:rsid w:val="74691932"/>
    <w:rsid w:val="746F1200"/>
    <w:rsid w:val="747857D9"/>
    <w:rsid w:val="74836F7C"/>
    <w:rsid w:val="74932AA2"/>
    <w:rsid w:val="74A25132"/>
    <w:rsid w:val="74B713A1"/>
    <w:rsid w:val="74BB4019"/>
    <w:rsid w:val="74BD227E"/>
    <w:rsid w:val="74D22A1B"/>
    <w:rsid w:val="74D82CF2"/>
    <w:rsid w:val="74F040EF"/>
    <w:rsid w:val="74F54BCF"/>
    <w:rsid w:val="74F6722B"/>
    <w:rsid w:val="750613A0"/>
    <w:rsid w:val="750D7022"/>
    <w:rsid w:val="751122B7"/>
    <w:rsid w:val="75114065"/>
    <w:rsid w:val="751A116C"/>
    <w:rsid w:val="753164B5"/>
    <w:rsid w:val="75502702"/>
    <w:rsid w:val="75504B8E"/>
    <w:rsid w:val="755D72AA"/>
    <w:rsid w:val="75790588"/>
    <w:rsid w:val="75874327"/>
    <w:rsid w:val="75930F1E"/>
    <w:rsid w:val="7594275D"/>
    <w:rsid w:val="7599375F"/>
    <w:rsid w:val="759C7DD3"/>
    <w:rsid w:val="75B72E5F"/>
    <w:rsid w:val="75C614A0"/>
    <w:rsid w:val="75CE5495"/>
    <w:rsid w:val="75D05BC9"/>
    <w:rsid w:val="75D25EEA"/>
    <w:rsid w:val="75D80A2E"/>
    <w:rsid w:val="75E135E6"/>
    <w:rsid w:val="75E8126A"/>
    <w:rsid w:val="75EA0943"/>
    <w:rsid w:val="75F55735"/>
    <w:rsid w:val="760C253B"/>
    <w:rsid w:val="7634625D"/>
    <w:rsid w:val="763B28BD"/>
    <w:rsid w:val="764F3097"/>
    <w:rsid w:val="764F621F"/>
    <w:rsid w:val="76574546"/>
    <w:rsid w:val="767F64D7"/>
    <w:rsid w:val="76875D8A"/>
    <w:rsid w:val="769B62DC"/>
    <w:rsid w:val="76AD23E7"/>
    <w:rsid w:val="76B61368"/>
    <w:rsid w:val="76B850E0"/>
    <w:rsid w:val="76CA0970"/>
    <w:rsid w:val="76D01A14"/>
    <w:rsid w:val="76D17F50"/>
    <w:rsid w:val="76E15443"/>
    <w:rsid w:val="76EB7264"/>
    <w:rsid w:val="76F123A0"/>
    <w:rsid w:val="76F45266"/>
    <w:rsid w:val="76FA1255"/>
    <w:rsid w:val="77096EDC"/>
    <w:rsid w:val="770A3209"/>
    <w:rsid w:val="77106CCA"/>
    <w:rsid w:val="77165239"/>
    <w:rsid w:val="7722455C"/>
    <w:rsid w:val="7725055B"/>
    <w:rsid w:val="772E53A2"/>
    <w:rsid w:val="77400C32"/>
    <w:rsid w:val="774565DD"/>
    <w:rsid w:val="774619F3"/>
    <w:rsid w:val="77521091"/>
    <w:rsid w:val="77560455"/>
    <w:rsid w:val="77623A37"/>
    <w:rsid w:val="7763329E"/>
    <w:rsid w:val="7764461A"/>
    <w:rsid w:val="77B106A5"/>
    <w:rsid w:val="77B17ED7"/>
    <w:rsid w:val="77B46856"/>
    <w:rsid w:val="77C622B3"/>
    <w:rsid w:val="77CF39A0"/>
    <w:rsid w:val="77DB1EAF"/>
    <w:rsid w:val="77F4782A"/>
    <w:rsid w:val="7801224D"/>
    <w:rsid w:val="780828F8"/>
    <w:rsid w:val="78430313"/>
    <w:rsid w:val="78485FF0"/>
    <w:rsid w:val="7859227D"/>
    <w:rsid w:val="786848E4"/>
    <w:rsid w:val="788334CC"/>
    <w:rsid w:val="788D7EA7"/>
    <w:rsid w:val="78931C25"/>
    <w:rsid w:val="78986E54"/>
    <w:rsid w:val="789F3D86"/>
    <w:rsid w:val="78A43B6E"/>
    <w:rsid w:val="78AA3C52"/>
    <w:rsid w:val="78B0401D"/>
    <w:rsid w:val="78C23FF4"/>
    <w:rsid w:val="78CE4706"/>
    <w:rsid w:val="78D15A2C"/>
    <w:rsid w:val="78E27905"/>
    <w:rsid w:val="78ED36D8"/>
    <w:rsid w:val="78F10436"/>
    <w:rsid w:val="78F46178"/>
    <w:rsid w:val="78F85A2D"/>
    <w:rsid w:val="79020895"/>
    <w:rsid w:val="790F6B0E"/>
    <w:rsid w:val="79112886"/>
    <w:rsid w:val="79184156"/>
    <w:rsid w:val="79246A5D"/>
    <w:rsid w:val="792E51E6"/>
    <w:rsid w:val="79311B9D"/>
    <w:rsid w:val="793E1645"/>
    <w:rsid w:val="79537342"/>
    <w:rsid w:val="79556C16"/>
    <w:rsid w:val="79674B9C"/>
    <w:rsid w:val="79710B4E"/>
    <w:rsid w:val="79725A1A"/>
    <w:rsid w:val="79762A16"/>
    <w:rsid w:val="797E17F4"/>
    <w:rsid w:val="7985321B"/>
    <w:rsid w:val="79875270"/>
    <w:rsid w:val="79905EA0"/>
    <w:rsid w:val="799139C7"/>
    <w:rsid w:val="79A25BD4"/>
    <w:rsid w:val="79AE73CC"/>
    <w:rsid w:val="79CF5C19"/>
    <w:rsid w:val="79ED4D77"/>
    <w:rsid w:val="79EE7827"/>
    <w:rsid w:val="7A045B97"/>
    <w:rsid w:val="7A0B2C16"/>
    <w:rsid w:val="7A0E644E"/>
    <w:rsid w:val="7A1328D6"/>
    <w:rsid w:val="7A140880"/>
    <w:rsid w:val="7A153A27"/>
    <w:rsid w:val="7A221EB3"/>
    <w:rsid w:val="7A267C4B"/>
    <w:rsid w:val="7A2B2A3E"/>
    <w:rsid w:val="7A3C5E76"/>
    <w:rsid w:val="7A5039A1"/>
    <w:rsid w:val="7A9052D8"/>
    <w:rsid w:val="7A965819"/>
    <w:rsid w:val="7ABB6F4D"/>
    <w:rsid w:val="7AC27235"/>
    <w:rsid w:val="7ACB02FA"/>
    <w:rsid w:val="7AD10802"/>
    <w:rsid w:val="7AD93877"/>
    <w:rsid w:val="7ADA3CEB"/>
    <w:rsid w:val="7AE00578"/>
    <w:rsid w:val="7AE5221C"/>
    <w:rsid w:val="7AEC5358"/>
    <w:rsid w:val="7B07552E"/>
    <w:rsid w:val="7B0C41A9"/>
    <w:rsid w:val="7B10776E"/>
    <w:rsid w:val="7B1110F2"/>
    <w:rsid w:val="7B454A69"/>
    <w:rsid w:val="7B5252F3"/>
    <w:rsid w:val="7B574AB4"/>
    <w:rsid w:val="7B587332"/>
    <w:rsid w:val="7B5A5ADA"/>
    <w:rsid w:val="7B765BDB"/>
    <w:rsid w:val="7B793DEC"/>
    <w:rsid w:val="7BA45C33"/>
    <w:rsid w:val="7BA854AF"/>
    <w:rsid w:val="7BAA5BB5"/>
    <w:rsid w:val="7BAD64E2"/>
    <w:rsid w:val="7BC260B9"/>
    <w:rsid w:val="7BC82684"/>
    <w:rsid w:val="7BD858DD"/>
    <w:rsid w:val="7BDF0A19"/>
    <w:rsid w:val="7BEC1388"/>
    <w:rsid w:val="7BED75DA"/>
    <w:rsid w:val="7BFC15CB"/>
    <w:rsid w:val="7C01601D"/>
    <w:rsid w:val="7C0B3F04"/>
    <w:rsid w:val="7C183F2B"/>
    <w:rsid w:val="7C262AEC"/>
    <w:rsid w:val="7C2F7BF3"/>
    <w:rsid w:val="7C3C40BE"/>
    <w:rsid w:val="7C43544C"/>
    <w:rsid w:val="7C52568F"/>
    <w:rsid w:val="7C52743D"/>
    <w:rsid w:val="7C5B2F2E"/>
    <w:rsid w:val="7C626F48"/>
    <w:rsid w:val="7C683105"/>
    <w:rsid w:val="7C6B7CE4"/>
    <w:rsid w:val="7C792C1C"/>
    <w:rsid w:val="7C922172"/>
    <w:rsid w:val="7C9537CE"/>
    <w:rsid w:val="7C98674B"/>
    <w:rsid w:val="7C991EC5"/>
    <w:rsid w:val="7CAE40A7"/>
    <w:rsid w:val="7CB3005B"/>
    <w:rsid w:val="7CB30CA4"/>
    <w:rsid w:val="7CB52939"/>
    <w:rsid w:val="7CB960F8"/>
    <w:rsid w:val="7CC55E61"/>
    <w:rsid w:val="7CC7192A"/>
    <w:rsid w:val="7CD662C0"/>
    <w:rsid w:val="7CDA0AD1"/>
    <w:rsid w:val="7CDE5175"/>
    <w:rsid w:val="7CE32770"/>
    <w:rsid w:val="7CE875E3"/>
    <w:rsid w:val="7CF4470B"/>
    <w:rsid w:val="7CFD7D1B"/>
    <w:rsid w:val="7D072B66"/>
    <w:rsid w:val="7D180687"/>
    <w:rsid w:val="7D1943FF"/>
    <w:rsid w:val="7D1C035B"/>
    <w:rsid w:val="7D284060"/>
    <w:rsid w:val="7D3F125B"/>
    <w:rsid w:val="7D4551F4"/>
    <w:rsid w:val="7D496A92"/>
    <w:rsid w:val="7D6A4C5A"/>
    <w:rsid w:val="7D6E474B"/>
    <w:rsid w:val="7D733B0F"/>
    <w:rsid w:val="7D8560E4"/>
    <w:rsid w:val="7D8D102B"/>
    <w:rsid w:val="7D8D5766"/>
    <w:rsid w:val="7DAE2D99"/>
    <w:rsid w:val="7DB36601"/>
    <w:rsid w:val="7DB6501D"/>
    <w:rsid w:val="7DC12ACC"/>
    <w:rsid w:val="7DC600E3"/>
    <w:rsid w:val="7DC70768"/>
    <w:rsid w:val="7DCF1BFE"/>
    <w:rsid w:val="7DDA3B8E"/>
    <w:rsid w:val="7DE246AB"/>
    <w:rsid w:val="7DE5079C"/>
    <w:rsid w:val="7DEB329C"/>
    <w:rsid w:val="7DED3D5A"/>
    <w:rsid w:val="7DFD37EB"/>
    <w:rsid w:val="7E074257"/>
    <w:rsid w:val="7E1D7752"/>
    <w:rsid w:val="7E230EBB"/>
    <w:rsid w:val="7E431733"/>
    <w:rsid w:val="7E461224"/>
    <w:rsid w:val="7E4B683A"/>
    <w:rsid w:val="7E7B4AB3"/>
    <w:rsid w:val="7E82231F"/>
    <w:rsid w:val="7E8458A8"/>
    <w:rsid w:val="7E8637E2"/>
    <w:rsid w:val="7E8835EA"/>
    <w:rsid w:val="7EAA64E6"/>
    <w:rsid w:val="7EB07949"/>
    <w:rsid w:val="7EC26E06"/>
    <w:rsid w:val="7ED14F91"/>
    <w:rsid w:val="7F024245"/>
    <w:rsid w:val="7F0709B3"/>
    <w:rsid w:val="7F1135E0"/>
    <w:rsid w:val="7F2457BC"/>
    <w:rsid w:val="7F402117"/>
    <w:rsid w:val="7F533BF8"/>
    <w:rsid w:val="7F634D97"/>
    <w:rsid w:val="7F6519CA"/>
    <w:rsid w:val="7F69341C"/>
    <w:rsid w:val="7F994636"/>
    <w:rsid w:val="7FAA26E1"/>
    <w:rsid w:val="7FB66DFD"/>
    <w:rsid w:val="7FC70142"/>
    <w:rsid w:val="7FC96C0B"/>
    <w:rsid w:val="7FCA19E0"/>
    <w:rsid w:val="7FE346EA"/>
    <w:rsid w:val="7FE9455C"/>
    <w:rsid w:val="7FED744D"/>
    <w:rsid w:val="7FF30F37"/>
    <w:rsid w:val="7FF627D5"/>
    <w:rsid w:val="7FFC0E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40" w:after="40"/>
      <w:jc w:val="center"/>
      <w:outlineLvl w:val="0"/>
    </w:pPr>
    <w:rPr>
      <w:b/>
      <w:bCs/>
      <w:kern w:val="44"/>
      <w:sz w:val="36"/>
      <w:szCs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60"/>
    <w:qFormat/>
    <w:uiPriority w:val="0"/>
    <w:pPr>
      <w:keepNext/>
      <w:keepLines/>
      <w:spacing w:before="260" w:after="260" w:line="413" w:lineRule="auto"/>
      <w:outlineLvl w:val="2"/>
    </w:pPr>
    <w:rPr>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2"/>
    <w:qFormat/>
    <w:uiPriority w:val="0"/>
    <w:pPr>
      <w:widowControl/>
      <w:tabs>
        <w:tab w:val="left" w:pos="3004"/>
      </w:tabs>
      <w:spacing w:line="360" w:lineRule="auto"/>
      <w:ind w:left="3004" w:hanging="2166"/>
      <w:outlineLvl w:val="4"/>
    </w:pPr>
    <w:rPr>
      <w:rFonts w:ascii="宋体" w:hAnsi="宋体" w:cs="宋体"/>
      <w:bCs/>
      <w:szCs w:val="21"/>
    </w:rPr>
  </w:style>
  <w:style w:type="character" w:default="1" w:styleId="43">
    <w:name w:val="Default Paragraph Font"/>
    <w:unhideWhenUsed/>
    <w:qFormat/>
    <w:uiPriority w:val="1"/>
  </w:style>
  <w:style w:type="table" w:default="1" w:styleId="41">
    <w:name w:val="Normal Table"/>
    <w:unhideWhenUsed/>
    <w:qFormat/>
    <w:uiPriority w:val="99"/>
    <w:tblPr>
      <w:tblCellMar>
        <w:top w:w="0" w:type="dxa"/>
        <w:left w:w="108" w:type="dxa"/>
        <w:bottom w:w="0" w:type="dxa"/>
        <w:right w:w="108" w:type="dxa"/>
      </w:tblCellMar>
    </w:tblPr>
  </w:style>
  <w:style w:type="paragraph" w:styleId="2">
    <w:name w:val="Normal Indent"/>
    <w:basedOn w:val="1"/>
    <w:next w:val="1"/>
    <w:link w:val="57"/>
    <w:qFormat/>
    <w:uiPriority w:val="0"/>
    <w:pPr>
      <w:ind w:firstLine="420"/>
    </w:pPr>
    <w:rPr>
      <w:szCs w:val="20"/>
    </w:rPr>
  </w:style>
  <w:style w:type="paragraph" w:styleId="8">
    <w:name w:val="toc 7"/>
    <w:basedOn w:val="1"/>
    <w:next w:val="1"/>
    <w:qFormat/>
    <w:uiPriority w:val="0"/>
    <w:pPr>
      <w:ind w:left="1260"/>
      <w:jc w:val="left"/>
    </w:pPr>
    <w:rPr>
      <w:sz w:val="18"/>
      <w:szCs w:val="18"/>
    </w:rPr>
  </w:style>
  <w:style w:type="paragraph" w:styleId="9">
    <w:name w:val="index 8"/>
    <w:basedOn w:val="1"/>
    <w:next w:val="1"/>
    <w:qFormat/>
    <w:uiPriority w:val="0"/>
    <w:pPr>
      <w:ind w:left="2940"/>
    </w:p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annotation text"/>
    <w:basedOn w:val="1"/>
    <w:link w:val="64"/>
    <w:qFormat/>
    <w:uiPriority w:val="0"/>
    <w:pPr>
      <w:widowControl/>
      <w:jc w:val="left"/>
    </w:pPr>
    <w:rPr>
      <w:kern w:val="0"/>
      <w:szCs w:val="20"/>
    </w:r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spacing w:after="120"/>
      <w:ind w:left="420" w:leftChars="200"/>
    </w:pPr>
  </w:style>
  <w:style w:type="paragraph" w:styleId="15">
    <w:name w:val="toc 5"/>
    <w:basedOn w:val="1"/>
    <w:next w:val="1"/>
    <w:qFormat/>
    <w:uiPriority w:val="0"/>
    <w:pPr>
      <w:ind w:left="840"/>
      <w:jc w:val="left"/>
    </w:pPr>
    <w:rPr>
      <w:sz w:val="18"/>
      <w:szCs w:val="18"/>
    </w:rPr>
  </w:style>
  <w:style w:type="paragraph" w:styleId="16">
    <w:name w:val="toc 3"/>
    <w:basedOn w:val="1"/>
    <w:next w:val="1"/>
    <w:qFormat/>
    <w:uiPriority w:val="0"/>
    <w:pPr>
      <w:ind w:left="420"/>
      <w:jc w:val="left"/>
    </w:pPr>
    <w:rPr>
      <w:i/>
      <w:iCs/>
      <w:sz w:val="20"/>
      <w:szCs w:val="20"/>
    </w:rPr>
  </w:style>
  <w:style w:type="paragraph" w:styleId="17">
    <w:name w:val="Plain Text"/>
    <w:basedOn w:val="1"/>
    <w:next w:val="1"/>
    <w:link w:val="66"/>
    <w:qFormat/>
    <w:uiPriority w:val="0"/>
    <w:rPr>
      <w:rFonts w:ascii="宋体" w:hAnsi="Courier New" w:cs="Courier New"/>
      <w:szCs w:val="21"/>
    </w:rPr>
  </w:style>
  <w:style w:type="paragraph" w:styleId="18">
    <w:name w:val="toc 8"/>
    <w:basedOn w:val="1"/>
    <w:next w:val="1"/>
    <w:qFormat/>
    <w:uiPriority w:val="0"/>
    <w:pPr>
      <w:ind w:left="1470"/>
      <w:jc w:val="left"/>
    </w:pPr>
    <w:rPr>
      <w:sz w:val="18"/>
      <w:szCs w:val="18"/>
    </w:rPr>
  </w:style>
  <w:style w:type="paragraph" w:styleId="19">
    <w:name w:val="Date"/>
    <w:basedOn w:val="1"/>
    <w:next w:val="1"/>
    <w:qFormat/>
    <w:uiPriority w:val="0"/>
    <w:rPr>
      <w:szCs w:val="20"/>
    </w:rPr>
  </w:style>
  <w:style w:type="paragraph" w:styleId="20">
    <w:name w:val="Body Text Indent 2"/>
    <w:basedOn w:val="1"/>
    <w:unhideWhenUsed/>
    <w:qFormat/>
    <w:uiPriority w:val="99"/>
    <w:pPr>
      <w:spacing w:after="120" w:line="480" w:lineRule="auto"/>
      <w:ind w:left="420" w:leftChars="200"/>
    </w:pPr>
  </w:style>
  <w:style w:type="paragraph" w:styleId="21">
    <w:name w:val="endnote text"/>
    <w:qFormat/>
    <w:uiPriority w:val="0"/>
    <w:pPr>
      <w:widowControl w:val="0"/>
      <w:snapToGrid w:val="0"/>
      <w:jc w:val="left"/>
    </w:pPr>
    <w:rPr>
      <w:rFonts w:ascii="宋体" w:hAnsi="宋体" w:eastAsia="宋体" w:cs="Times New Roman"/>
      <w:kern w:val="2"/>
      <w:sz w:val="21"/>
      <w:szCs w:val="20"/>
      <w:lang w:val="en-US" w:eastAsia="zh-CN" w:bidi="ar-SA"/>
    </w:rPr>
  </w:style>
  <w:style w:type="paragraph" w:styleId="22">
    <w:name w:val="Balloon Text"/>
    <w:basedOn w:val="1"/>
    <w:qFormat/>
    <w:uiPriority w:val="0"/>
    <w:rPr>
      <w:sz w:val="18"/>
      <w:szCs w:val="18"/>
    </w:rPr>
  </w:style>
  <w:style w:type="paragraph" w:styleId="23">
    <w:name w:val="footer"/>
    <w:basedOn w:val="1"/>
    <w:link w:val="52"/>
    <w:qFormat/>
    <w:uiPriority w:val="0"/>
    <w:pPr>
      <w:tabs>
        <w:tab w:val="center" w:pos="4153"/>
        <w:tab w:val="right" w:pos="8306"/>
      </w:tabs>
      <w:snapToGrid w:val="0"/>
      <w:jc w:val="left"/>
    </w:pPr>
    <w:rPr>
      <w:sz w:val="18"/>
      <w:szCs w:val="18"/>
    </w:rPr>
  </w:style>
  <w:style w:type="paragraph" w:styleId="24">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26"/>
    <w:next w:val="1"/>
    <w:qFormat/>
    <w:uiPriority w:val="0"/>
    <w:pPr>
      <w:spacing w:before="120" w:after="120" w:line="240" w:lineRule="auto"/>
      <w:jc w:val="left"/>
    </w:pPr>
    <w:rPr>
      <w:rFonts w:eastAsia="宋体"/>
      <w:caps/>
      <w:sz w:val="20"/>
      <w:szCs w:val="20"/>
    </w:rPr>
  </w:style>
  <w:style w:type="paragraph" w:customStyle="1" w:styleId="26">
    <w:name w:val="样式1"/>
    <w:basedOn w:val="1"/>
    <w:qFormat/>
    <w:uiPriority w:val="0"/>
    <w:pPr>
      <w:spacing w:line="500" w:lineRule="exact"/>
      <w:jc w:val="center"/>
    </w:pPr>
    <w:rPr>
      <w:rFonts w:eastAsia="黑体"/>
      <w:b/>
      <w:bCs/>
      <w:sz w:val="44"/>
    </w:rPr>
  </w:style>
  <w:style w:type="paragraph" w:styleId="27">
    <w:name w:val="toc 4"/>
    <w:basedOn w:val="1"/>
    <w:next w:val="1"/>
    <w:qFormat/>
    <w:uiPriority w:val="0"/>
    <w:pPr>
      <w:ind w:left="630"/>
      <w:jc w:val="left"/>
    </w:pPr>
    <w:rPr>
      <w:sz w:val="18"/>
      <w:szCs w:val="18"/>
    </w:rPr>
  </w:style>
  <w:style w:type="paragraph" w:styleId="28">
    <w:name w:val="index heading"/>
    <w:basedOn w:val="1"/>
    <w:next w:val="29"/>
    <w:qFormat/>
    <w:uiPriority w:val="0"/>
    <w:rPr>
      <w:szCs w:val="20"/>
    </w:rPr>
  </w:style>
  <w:style w:type="paragraph" w:styleId="29">
    <w:name w:val="index 1"/>
    <w:basedOn w:val="1"/>
    <w:next w:val="1"/>
    <w:qFormat/>
    <w:uiPriority w:val="0"/>
  </w:style>
  <w:style w:type="paragraph" w:styleId="30">
    <w:name w:val="Subtitle"/>
    <w:basedOn w:val="1"/>
    <w:next w:val="1"/>
    <w:qFormat/>
    <w:uiPriority w:val="0"/>
    <w:pPr>
      <w:spacing w:line="312" w:lineRule="auto"/>
      <w:jc w:val="center"/>
      <w:outlineLvl w:val="1"/>
    </w:pPr>
    <w:rPr>
      <w:rFonts w:ascii="Cambria" w:hAnsi="Cambria"/>
      <w:b/>
      <w:kern w:val="28"/>
      <w:sz w:val="32"/>
      <w:szCs w:val="20"/>
    </w:rPr>
  </w:style>
  <w:style w:type="paragraph" w:styleId="31">
    <w:name w:val="toc 6"/>
    <w:basedOn w:val="1"/>
    <w:next w:val="1"/>
    <w:qFormat/>
    <w:uiPriority w:val="0"/>
    <w:pPr>
      <w:ind w:left="1050"/>
      <w:jc w:val="left"/>
    </w:pPr>
    <w:rPr>
      <w:sz w:val="18"/>
      <w:szCs w:val="18"/>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0"/>
    <w:pPr>
      <w:ind w:left="210"/>
      <w:jc w:val="left"/>
    </w:pPr>
    <w:rPr>
      <w:smallCaps/>
      <w:sz w:val="20"/>
      <w:szCs w:val="20"/>
    </w:rPr>
  </w:style>
  <w:style w:type="paragraph" w:styleId="34">
    <w:name w:val="toc 9"/>
    <w:basedOn w:val="1"/>
    <w:next w:val="1"/>
    <w:qFormat/>
    <w:uiPriority w:val="0"/>
    <w:pPr>
      <w:ind w:left="1680"/>
      <w:jc w:val="left"/>
    </w:pPr>
    <w:rPr>
      <w:sz w:val="18"/>
      <w:szCs w:val="18"/>
    </w:rPr>
  </w:style>
  <w:style w:type="paragraph" w:styleId="35">
    <w:name w:val="Body Text 2"/>
    <w:basedOn w:val="1"/>
    <w:qFormat/>
    <w:uiPriority w:val="0"/>
    <w:pPr>
      <w:spacing w:line="360" w:lineRule="auto"/>
    </w:pPr>
    <w:rPr>
      <w:rFonts w:ascii="Tahoma" w:hAnsi="Tahoma"/>
      <w:b/>
      <w:bCs/>
      <w:sz w:val="24"/>
    </w:rPr>
  </w:style>
  <w:style w:type="paragraph" w:styleId="3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8">
    <w:name w:val="Title"/>
    <w:basedOn w:val="1"/>
    <w:link w:val="176"/>
    <w:qFormat/>
    <w:uiPriority w:val="0"/>
    <w:pPr>
      <w:adjustRightInd w:val="0"/>
      <w:spacing w:line="420" w:lineRule="atLeast"/>
      <w:jc w:val="center"/>
      <w:textAlignment w:val="baseline"/>
      <w:outlineLvl w:val="0"/>
    </w:pPr>
    <w:rPr>
      <w:rFonts w:ascii="Cambria" w:hAnsi="Cambria"/>
      <w:b/>
      <w:sz w:val="32"/>
      <w:szCs w:val="20"/>
    </w:rPr>
  </w:style>
  <w:style w:type="paragraph" w:styleId="39">
    <w:name w:val="annotation subject"/>
    <w:basedOn w:val="11"/>
    <w:next w:val="11"/>
    <w:qFormat/>
    <w:uiPriority w:val="0"/>
    <w:pPr>
      <w:widowControl w:val="0"/>
    </w:pPr>
    <w:rPr>
      <w:b/>
      <w:bCs/>
      <w:kern w:val="2"/>
      <w:szCs w:val="24"/>
    </w:rPr>
  </w:style>
  <w:style w:type="paragraph" w:styleId="40">
    <w:name w:val="Body Text First Indent"/>
    <w:basedOn w:val="1"/>
    <w:qFormat/>
    <w:uiPriority w:val="0"/>
    <w:pPr>
      <w:ind w:firstLine="420" w:firstLineChars="100"/>
    </w:pPr>
  </w:style>
  <w:style w:type="table" w:styleId="42">
    <w:name w:val="Table Grid"/>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basedOn w:val="43"/>
    <w:qFormat/>
    <w:uiPriority w:val="22"/>
    <w:rPr>
      <w:rFonts w:ascii="宋体" w:hAnsi="宋体"/>
      <w:b/>
      <w:sz w:val="28"/>
      <w:szCs w:val="28"/>
    </w:rPr>
  </w:style>
  <w:style w:type="character" w:styleId="45">
    <w:name w:val="page number"/>
    <w:basedOn w:val="43"/>
    <w:qFormat/>
    <w:uiPriority w:val="0"/>
  </w:style>
  <w:style w:type="character" w:styleId="46">
    <w:name w:val="Hyperlink"/>
    <w:qFormat/>
    <w:uiPriority w:val="0"/>
    <w:rPr>
      <w:color w:val="0000FF"/>
      <w:u w:val="single"/>
    </w:rPr>
  </w:style>
  <w:style w:type="character" w:styleId="47">
    <w:name w:val="annotation reference"/>
    <w:qFormat/>
    <w:uiPriority w:val="0"/>
    <w:rPr>
      <w:sz w:val="21"/>
      <w:szCs w:val="21"/>
    </w:rPr>
  </w:style>
  <w:style w:type="paragraph" w:customStyle="1" w:styleId="48">
    <w:name w:val="正文_1"/>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正文1"/>
    <w:basedOn w:val="1"/>
    <w:qFormat/>
    <w:uiPriority w:val="0"/>
    <w:rPr>
      <w:rFonts w:hint="eastAsia" w:ascii="Calibri" w:hAnsi="Calibri" w:eastAsia="宋体" w:cs="Times New Roman"/>
      <w:szCs w:val="20"/>
    </w:rPr>
  </w:style>
  <w:style w:type="paragraph" w:customStyle="1" w:styleId="50">
    <w:name w:val="Char Char2 Char"/>
    <w:basedOn w:val="1"/>
    <w:qFormat/>
    <w:uiPriority w:val="0"/>
    <w:rPr>
      <w:rFonts w:ascii="宋体" w:hAnsi="宋体"/>
      <w:b/>
      <w:sz w:val="28"/>
      <w:szCs w:val="28"/>
    </w:rPr>
  </w:style>
  <w:style w:type="character" w:customStyle="1" w:styleId="51">
    <w:name w:val="正文缩进 Char Char"/>
    <w:qFormat/>
    <w:uiPriority w:val="0"/>
    <w:rPr>
      <w:rFonts w:eastAsia="宋体"/>
      <w:kern w:val="2"/>
      <w:sz w:val="21"/>
      <w:lang w:val="en-US" w:eastAsia="zh-CN" w:bidi="ar-SA"/>
    </w:rPr>
  </w:style>
  <w:style w:type="character" w:customStyle="1" w:styleId="52">
    <w:name w:val="页脚 Char"/>
    <w:link w:val="23"/>
    <w:qFormat/>
    <w:uiPriority w:val="0"/>
    <w:rPr>
      <w:kern w:val="2"/>
      <w:sz w:val="18"/>
      <w:szCs w:val="18"/>
    </w:rPr>
  </w:style>
  <w:style w:type="character" w:customStyle="1" w:styleId="53">
    <w:name w:val="font21"/>
    <w:qFormat/>
    <w:uiPriority w:val="0"/>
    <w:rPr>
      <w:rFonts w:hint="eastAsia" w:ascii="仿宋" w:hAnsi="仿宋" w:eastAsia="仿宋" w:cs="仿宋"/>
      <w:color w:val="FF0000"/>
      <w:sz w:val="24"/>
      <w:szCs w:val="24"/>
      <w:u w:val="none"/>
    </w:rPr>
  </w:style>
  <w:style w:type="character" w:customStyle="1" w:styleId="54">
    <w:name w:val="Char Char2"/>
    <w:qFormat/>
    <w:uiPriority w:val="0"/>
    <w:rPr>
      <w:rFonts w:eastAsia="宋体"/>
      <w:kern w:val="2"/>
      <w:sz w:val="21"/>
      <w:szCs w:val="24"/>
      <w:lang w:val="en-US" w:eastAsia="zh-CN" w:bidi="ar-SA"/>
    </w:rPr>
  </w:style>
  <w:style w:type="character" w:customStyle="1" w:styleId="55">
    <w:name w:val="采购文件一、 Char Char"/>
    <w:link w:val="56"/>
    <w:qFormat/>
    <w:uiPriority w:val="0"/>
    <w:rPr>
      <w:rFonts w:hAnsi="宋体" w:eastAsia="仿宋_GB2312"/>
      <w:b/>
      <w:sz w:val="24"/>
    </w:rPr>
  </w:style>
  <w:style w:type="paragraph" w:customStyle="1" w:styleId="56">
    <w:name w:val="采购文件一、"/>
    <w:basedOn w:val="17"/>
    <w:link w:val="55"/>
    <w:qFormat/>
    <w:uiPriority w:val="0"/>
    <w:pPr>
      <w:spacing w:before="120" w:after="120" w:line="400" w:lineRule="atLeast"/>
      <w:jc w:val="left"/>
    </w:pPr>
    <w:rPr>
      <w:rFonts w:ascii="Times New Roman" w:hAnsi="宋体" w:eastAsia="仿宋_GB2312" w:cs="Times New Roman"/>
      <w:b/>
      <w:kern w:val="0"/>
      <w:sz w:val="24"/>
      <w:szCs w:val="20"/>
    </w:rPr>
  </w:style>
  <w:style w:type="character" w:customStyle="1" w:styleId="57">
    <w:name w:val="正文缩进 Char"/>
    <w:link w:val="2"/>
    <w:qFormat/>
    <w:uiPriority w:val="0"/>
    <w:rPr>
      <w:rFonts w:eastAsia="宋体"/>
      <w:kern w:val="2"/>
      <w:sz w:val="21"/>
      <w:lang w:val="en-US" w:eastAsia="zh-CN" w:bidi="ar-SA"/>
    </w:rPr>
  </w:style>
  <w:style w:type="character" w:customStyle="1" w:styleId="58">
    <w:name w:val="font01"/>
    <w:qFormat/>
    <w:uiPriority w:val="0"/>
    <w:rPr>
      <w:rFonts w:hint="default" w:ascii="Times New Roman" w:hAnsi="Times New Roman" w:cs="Times New Roman"/>
      <w:b/>
      <w:color w:val="000000"/>
      <w:sz w:val="22"/>
      <w:szCs w:val="22"/>
      <w:u w:val="none"/>
    </w:rPr>
  </w:style>
  <w:style w:type="character" w:customStyle="1" w:styleId="59">
    <w:name w:val="普通文字 Char Char"/>
    <w:qFormat/>
    <w:uiPriority w:val="0"/>
    <w:rPr>
      <w:rFonts w:ascii="宋体" w:hAnsi="Courier New" w:eastAsia="宋体" w:cs="Courier New"/>
      <w:kern w:val="2"/>
      <w:sz w:val="21"/>
      <w:szCs w:val="21"/>
      <w:lang w:val="en-US" w:eastAsia="zh-CN" w:bidi="ar-SA"/>
    </w:rPr>
  </w:style>
  <w:style w:type="character" w:customStyle="1" w:styleId="60">
    <w:name w:val="标题 3 Char"/>
    <w:link w:val="5"/>
    <w:qFormat/>
    <w:uiPriority w:val="0"/>
    <w:rPr>
      <w:rFonts w:eastAsia="宋体"/>
      <w:b/>
      <w:bCs/>
      <w:kern w:val="2"/>
      <w:sz w:val="32"/>
      <w:szCs w:val="32"/>
      <w:lang w:val="en-US" w:eastAsia="zh-CN" w:bidi="ar-SA"/>
    </w:rPr>
  </w:style>
  <w:style w:type="character" w:customStyle="1" w:styleId="61">
    <w:name w:val="普通文字1 Char"/>
    <w:qFormat/>
    <w:uiPriority w:val="0"/>
    <w:rPr>
      <w:rFonts w:ascii="宋体" w:hAnsi="Courier New" w:eastAsia="宋体" w:cs="Courier New"/>
      <w:kern w:val="2"/>
      <w:sz w:val="21"/>
      <w:szCs w:val="21"/>
      <w:lang w:val="en-US" w:eastAsia="zh-CN" w:bidi="ar-SA"/>
    </w:rPr>
  </w:style>
  <w:style w:type="character" w:customStyle="1" w:styleId="62">
    <w:name w:val="Char Char1"/>
    <w:qFormat/>
    <w:uiPriority w:val="0"/>
    <w:rPr>
      <w:rFonts w:ascii="宋体" w:hAnsi="宋体" w:eastAsia="宋体"/>
      <w:kern w:val="2"/>
      <w:sz w:val="21"/>
      <w:lang w:val="en-US" w:eastAsia="zh-CN" w:bidi="ar-SA"/>
    </w:rPr>
  </w:style>
  <w:style w:type="character" w:customStyle="1" w:styleId="63">
    <w:name w:val="font51"/>
    <w:qFormat/>
    <w:uiPriority w:val="0"/>
    <w:rPr>
      <w:rFonts w:hint="eastAsia" w:ascii="宋体" w:hAnsi="宋体" w:eastAsia="宋体" w:cs="宋体"/>
      <w:b/>
      <w:color w:val="000000"/>
      <w:sz w:val="22"/>
      <w:szCs w:val="22"/>
      <w:u w:val="none"/>
    </w:rPr>
  </w:style>
  <w:style w:type="character" w:customStyle="1" w:styleId="64">
    <w:name w:val="批注文字 Char"/>
    <w:link w:val="11"/>
    <w:qFormat/>
    <w:uiPriority w:val="0"/>
    <w:rPr>
      <w:sz w:val="21"/>
    </w:rPr>
  </w:style>
  <w:style w:type="character" w:customStyle="1" w:styleId="65">
    <w:name w:val="font11"/>
    <w:qFormat/>
    <w:uiPriority w:val="0"/>
    <w:rPr>
      <w:rFonts w:hint="eastAsia" w:ascii="仿宋" w:hAnsi="仿宋" w:eastAsia="仿宋" w:cs="仿宋"/>
      <w:color w:val="C00000"/>
      <w:sz w:val="24"/>
      <w:szCs w:val="24"/>
      <w:u w:val="none"/>
    </w:rPr>
  </w:style>
  <w:style w:type="character" w:customStyle="1" w:styleId="66">
    <w:name w:val="纯文本 Char"/>
    <w:link w:val="17"/>
    <w:qFormat/>
    <w:uiPriority w:val="0"/>
    <w:rPr>
      <w:rFonts w:ascii="宋体" w:hAnsi="Courier New" w:eastAsia="宋体" w:cs="Courier New"/>
      <w:kern w:val="2"/>
      <w:sz w:val="21"/>
      <w:szCs w:val="21"/>
      <w:lang w:val="en-US" w:eastAsia="zh-CN" w:bidi="ar-SA"/>
    </w:rPr>
  </w:style>
  <w:style w:type="character" w:customStyle="1" w:styleId="67">
    <w:name w:val="style1"/>
    <w:basedOn w:val="43"/>
    <w:qFormat/>
    <w:uiPriority w:val="0"/>
  </w:style>
  <w:style w:type="character" w:customStyle="1" w:styleId="68">
    <w:name w:val="表正文 Char"/>
    <w:qFormat/>
    <w:uiPriority w:val="0"/>
    <w:rPr>
      <w:rFonts w:eastAsia="宋体"/>
      <w:kern w:val="2"/>
      <w:sz w:val="21"/>
      <w:lang w:val="en-US" w:eastAsia="zh-CN" w:bidi="ar-SA"/>
    </w:rPr>
  </w:style>
  <w:style w:type="character" w:customStyle="1" w:styleId="69">
    <w:name w:val="Char Char Char"/>
    <w:qFormat/>
    <w:uiPriority w:val="0"/>
    <w:rPr>
      <w:rFonts w:eastAsia="宋体"/>
      <w:kern w:val="2"/>
      <w:sz w:val="18"/>
      <w:szCs w:val="18"/>
      <w:lang w:val="en-US" w:eastAsia="zh-CN" w:bidi="ar-SA"/>
    </w:rPr>
  </w:style>
  <w:style w:type="character" w:customStyle="1" w:styleId="70">
    <w:name w:val="页眉 Char"/>
    <w:link w:val="24"/>
    <w:qFormat/>
    <w:uiPriority w:val="0"/>
    <w:rPr>
      <w:rFonts w:eastAsia="宋体"/>
      <w:kern w:val="2"/>
      <w:sz w:val="18"/>
      <w:szCs w:val="18"/>
      <w:lang w:val="en-US" w:eastAsia="zh-CN" w:bidi="ar-SA"/>
    </w:rPr>
  </w:style>
  <w:style w:type="paragraph" w:customStyle="1" w:styleId="71">
    <w:name w:val="Char Char5"/>
    <w:basedOn w:val="1"/>
    <w:qFormat/>
    <w:uiPriority w:val="0"/>
    <w:pPr>
      <w:widowControl/>
      <w:spacing w:after="160" w:line="240" w:lineRule="exact"/>
      <w:jc w:val="left"/>
    </w:pPr>
  </w:style>
  <w:style w:type="paragraph" w:customStyle="1" w:styleId="72">
    <w:name w:val="样式2"/>
    <w:basedOn w:val="1"/>
    <w:qFormat/>
    <w:uiPriority w:val="0"/>
    <w:pPr>
      <w:spacing w:line="500" w:lineRule="exact"/>
      <w:jc w:val="center"/>
    </w:pPr>
    <w:rPr>
      <w:rFonts w:ascii="黑体" w:hAnsi="宋体" w:eastAsia="黑体"/>
      <w:b/>
      <w:bCs/>
      <w:sz w:val="36"/>
    </w:rPr>
  </w:style>
  <w:style w:type="paragraph" w:customStyle="1" w:styleId="73">
    <w:name w:val="无间距"/>
    <w:qFormat/>
    <w:uiPriority w:val="0"/>
    <w:rPr>
      <w:rFonts w:ascii="Times New Roman" w:hAnsi="Times New Roman" w:eastAsia="宋体" w:cs="Times New Roman"/>
      <w:sz w:val="21"/>
      <w:lang w:val="en-US" w:eastAsia="zh-CN" w:bidi="ar-SA"/>
    </w:rPr>
  </w:style>
  <w:style w:type="paragraph" w:customStyle="1" w:styleId="74">
    <w:name w:val="列出段落1"/>
    <w:basedOn w:val="1"/>
    <w:qFormat/>
    <w:uiPriority w:val="0"/>
    <w:pPr>
      <w:ind w:firstLine="420" w:firstLineChars="200"/>
    </w:pPr>
  </w:style>
  <w:style w:type="paragraph" w:customStyle="1" w:styleId="75">
    <w:name w:val="Char Char2 Char1"/>
    <w:basedOn w:val="1"/>
    <w:qFormat/>
    <w:uiPriority w:val="0"/>
    <w:rPr>
      <w:rFonts w:ascii="宋体" w:hAnsi="宋体"/>
      <w:b/>
      <w:sz w:val="28"/>
      <w:szCs w:val="28"/>
    </w:rPr>
  </w:style>
  <w:style w:type="paragraph" w:customStyle="1" w:styleId="76">
    <w:name w:val="List Paragraph1"/>
    <w:basedOn w:val="1"/>
    <w:qFormat/>
    <w:uiPriority w:val="0"/>
    <w:pPr>
      <w:ind w:firstLine="420" w:firstLineChars="200"/>
    </w:pPr>
  </w:style>
  <w:style w:type="paragraph" w:customStyle="1" w:styleId="77">
    <w:name w:val="题注4"/>
    <w:basedOn w:val="1"/>
    <w:next w:val="10"/>
    <w:qFormat/>
    <w:uiPriority w:val="0"/>
    <w:pPr>
      <w:ind w:left="-132" w:leftChars="-64" w:right="-105" w:rightChars="-50" w:hanging="2"/>
      <w:jc w:val="center"/>
    </w:pPr>
    <w:rPr>
      <w:b/>
      <w:color w:val="FF0000"/>
      <w:szCs w:val="21"/>
      <w:lang w:val="en-GB"/>
    </w:rPr>
  </w:style>
  <w:style w:type="paragraph" w:customStyle="1" w:styleId="7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79">
    <w:name w:val="表格文字"/>
    <w:basedOn w:val="1"/>
    <w:qFormat/>
    <w:uiPriority w:val="0"/>
    <w:pPr>
      <w:spacing w:before="25" w:after="25"/>
      <w:jc w:val="left"/>
    </w:pPr>
    <w:rPr>
      <w:bCs/>
      <w:spacing w:val="10"/>
      <w:kern w:val="0"/>
      <w:sz w:val="24"/>
      <w:szCs w:val="20"/>
    </w:rPr>
  </w:style>
  <w:style w:type="paragraph" w:customStyle="1" w:styleId="80">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标题2"/>
    <w:basedOn w:val="3"/>
    <w:qFormat/>
    <w:uiPriority w:val="0"/>
    <w:pPr>
      <w:spacing w:before="0" w:after="0" w:line="312" w:lineRule="auto"/>
    </w:pPr>
    <w:rPr>
      <w:rFonts w:ascii="宋体"/>
      <w:sz w:val="30"/>
    </w:rPr>
  </w:style>
  <w:style w:type="paragraph" w:customStyle="1" w:styleId="82">
    <w:name w:val="索引 1 New New"/>
    <w:basedOn w:val="1"/>
    <w:next w:val="1"/>
    <w:qFormat/>
    <w:uiPriority w:val="0"/>
    <w:pPr>
      <w:tabs>
        <w:tab w:val="left" w:pos="360"/>
        <w:tab w:val="left" w:pos="540"/>
      </w:tabs>
      <w:spacing w:line="360" w:lineRule="exact"/>
      <w:ind w:left="360" w:hanging="240"/>
    </w:pPr>
    <w:rPr>
      <w:rFonts w:ascii="宋体" w:hAnsi="宋体"/>
      <w:szCs w:val="20"/>
    </w:rPr>
  </w:style>
  <w:style w:type="paragraph" w:customStyle="1" w:styleId="83">
    <w:name w:val="正文 New New New New New New"/>
    <w:next w:val="4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_Style 74"/>
    <w:semiHidden/>
    <w:qFormat/>
    <w:uiPriority w:val="99"/>
    <w:rPr>
      <w:rFonts w:ascii="Times New Roman" w:hAnsi="Times New Roman" w:eastAsia="宋体" w:cs="Times New Roman"/>
      <w:kern w:val="2"/>
      <w:sz w:val="21"/>
      <w:szCs w:val="24"/>
      <w:lang w:val="en-US" w:eastAsia="zh-CN" w:bidi="ar-SA"/>
    </w:rPr>
  </w:style>
  <w:style w:type="paragraph" w:customStyle="1" w:styleId="85">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86">
    <w:name w:val="Char Char Char1"/>
    <w:basedOn w:val="1"/>
    <w:qFormat/>
    <w:uiPriority w:val="0"/>
    <w:rPr>
      <w:rFonts w:ascii="宋体" w:hAnsi="宋体"/>
      <w:b/>
      <w:sz w:val="28"/>
      <w:szCs w:val="28"/>
    </w:rPr>
  </w:style>
  <w:style w:type="paragraph" w:customStyle="1" w:styleId="87">
    <w:name w:val="7"/>
    <w:basedOn w:val="1"/>
    <w:next w:val="1"/>
    <w:qFormat/>
    <w:uiPriority w:val="0"/>
    <w:pPr>
      <w:ind w:firstLine="720"/>
    </w:pPr>
    <w:rPr>
      <w:b/>
      <w:sz w:val="28"/>
      <w:szCs w:val="20"/>
    </w:rPr>
  </w:style>
  <w:style w:type="paragraph" w:customStyle="1" w:styleId="88">
    <w:name w:val="样式 New"/>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9">
    <w:name w:val="Char Char Char Char"/>
    <w:basedOn w:val="1"/>
    <w:qFormat/>
    <w:uiPriority w:val="0"/>
    <w:pPr>
      <w:widowControl/>
      <w:tabs>
        <w:tab w:val="left" w:pos="965"/>
      </w:tabs>
      <w:spacing w:after="160" w:line="240" w:lineRule="exact"/>
      <w:ind w:left="965" w:hanging="425"/>
      <w:jc w:val="left"/>
    </w:pPr>
    <w:rPr>
      <w:rFonts w:ascii="Verdana" w:hAnsi="Verdana"/>
      <w:kern w:val="0"/>
      <w:szCs w:val="20"/>
      <w:lang w:eastAsia="en-US"/>
    </w:rPr>
  </w:style>
  <w:style w:type="paragraph" w:customStyle="1" w:styleId="90">
    <w:name w:val="采购文件1.1"/>
    <w:basedOn w:val="17"/>
    <w:qFormat/>
    <w:uiPriority w:val="0"/>
    <w:pPr>
      <w:tabs>
        <w:tab w:val="left" w:pos="0"/>
      </w:tabs>
      <w:spacing w:before="20" w:after="120" w:line="400" w:lineRule="exact"/>
      <w:ind w:left="360" w:hanging="360" w:hangingChars="200"/>
      <w:jc w:val="left"/>
    </w:pPr>
    <w:rPr>
      <w:rFonts w:hAnsi="宋体" w:eastAsia="仿宋_GB2312"/>
      <w:sz w:val="24"/>
    </w:rPr>
  </w:style>
  <w:style w:type="paragraph" w:customStyle="1" w:styleId="91">
    <w:name w:val="列出段落2"/>
    <w:basedOn w:val="1"/>
    <w:qFormat/>
    <w:uiPriority w:val="34"/>
    <w:pPr>
      <w:spacing w:after="120" w:line="360" w:lineRule="auto"/>
      <w:ind w:firstLine="420" w:firstLineChars="200"/>
    </w:pPr>
    <w:rPr>
      <w:sz w:val="24"/>
    </w:rPr>
  </w:style>
  <w:style w:type="paragraph" w:customStyle="1" w:styleId="92">
    <w:name w:val="样式5"/>
    <w:basedOn w:val="72"/>
    <w:qFormat/>
    <w:uiPriority w:val="0"/>
  </w:style>
  <w:style w:type="paragraph" w:customStyle="1" w:styleId="93">
    <w:name w:val="Char Char Char Char Char Char Char"/>
    <w:basedOn w:val="1"/>
    <w:qFormat/>
    <w:uiPriority w:val="0"/>
  </w:style>
  <w:style w:type="paragraph" w:customStyle="1" w:styleId="9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5">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96">
    <w:name w:val="Other|1"/>
    <w:basedOn w:val="1"/>
    <w:qFormat/>
    <w:uiPriority w:val="0"/>
    <w:pPr>
      <w:spacing w:line="439" w:lineRule="auto"/>
      <w:ind w:firstLine="400"/>
    </w:pPr>
    <w:rPr>
      <w:rFonts w:ascii="宋体" w:hAnsi="宋体" w:cs="宋体"/>
      <w:sz w:val="22"/>
      <w:szCs w:val="22"/>
      <w:lang w:val="zh-TW" w:eastAsia="zh-TW" w:bidi="zh-TW"/>
    </w:rPr>
  </w:style>
  <w:style w:type="paragraph" w:customStyle="1" w:styleId="97">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
    <w:name w:val="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99">
    <w:name w:val="默认段落字体 Para Char"/>
    <w:basedOn w:val="1"/>
    <w:qFormat/>
    <w:uiPriority w:val="0"/>
  </w:style>
  <w:style w:type="paragraph" w:customStyle="1" w:styleId="100">
    <w:name w:val="采购文件评审1."/>
    <w:basedOn w:val="1"/>
    <w:unhideWhenUsed/>
    <w:qFormat/>
    <w:uiPriority w:val="0"/>
    <w:pPr>
      <w:numPr>
        <w:ilvl w:val="0"/>
        <w:numId w:val="1"/>
      </w:numPr>
      <w:spacing w:before="20" w:after="20" w:line="400" w:lineRule="exact"/>
      <w:ind w:left="360" w:hanging="360" w:hangingChars="200"/>
      <w:jc w:val="left"/>
    </w:pPr>
    <w:rPr>
      <w:rFonts w:eastAsia="仿宋_GB2312"/>
      <w:sz w:val="24"/>
    </w:rPr>
  </w:style>
  <w:style w:type="paragraph" w:customStyle="1" w:styleId="101">
    <w:name w:val="Char1"/>
    <w:basedOn w:val="1"/>
    <w:qFormat/>
    <w:uiPriority w:val="0"/>
  </w:style>
  <w:style w:type="paragraph" w:customStyle="1" w:styleId="10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03">
    <w:name w:val="样式6"/>
    <w:basedOn w:val="104"/>
    <w:qFormat/>
    <w:uiPriority w:val="0"/>
  </w:style>
  <w:style w:type="paragraph" w:customStyle="1" w:styleId="104">
    <w:name w:val="样式3"/>
    <w:basedOn w:val="1"/>
    <w:qFormat/>
    <w:uiPriority w:val="0"/>
    <w:pPr>
      <w:ind w:firstLine="562" w:firstLineChars="200"/>
    </w:pPr>
    <w:rPr>
      <w:rFonts w:eastAsia="黑体"/>
      <w:b/>
      <w:bCs/>
      <w:sz w:val="28"/>
    </w:rPr>
  </w:style>
  <w:style w:type="paragraph" w:customStyle="1" w:styleId="105">
    <w:name w:val="采购文件1."/>
    <w:basedOn w:val="5"/>
    <w:next w:val="97"/>
    <w:qFormat/>
    <w:uiPriority w:val="0"/>
    <w:pPr>
      <w:numPr>
        <w:ilvl w:val="0"/>
        <w:numId w:val="2"/>
      </w:numPr>
      <w:spacing w:line="240" w:lineRule="auto"/>
      <w:jc w:val="left"/>
    </w:pPr>
    <w:rPr>
      <w:rFonts w:ascii="仿宋_GB2312" w:hAnsi="仿宋_GB2312" w:eastAsia="仿宋_GB2312"/>
      <w:sz w:val="24"/>
    </w:rPr>
  </w:style>
  <w:style w:type="paragraph" w:customStyle="1" w:styleId="106">
    <w:name w:val="Char Char1 Char Char Char Char"/>
    <w:basedOn w:val="1"/>
    <w:qFormat/>
    <w:uiPriority w:val="0"/>
    <w:pPr>
      <w:tabs>
        <w:tab w:val="left" w:pos="425"/>
      </w:tabs>
      <w:ind w:left="425" w:hanging="425"/>
    </w:pPr>
    <w:rPr>
      <w:sz w:val="24"/>
    </w:rPr>
  </w:style>
  <w:style w:type="paragraph" w:customStyle="1" w:styleId="107">
    <w:name w:val="Char Char4"/>
    <w:basedOn w:val="1"/>
    <w:qFormat/>
    <w:uiPriority w:val="0"/>
    <w:pPr>
      <w:widowControl/>
      <w:spacing w:after="160" w:line="360" w:lineRule="auto"/>
      <w:jc w:val="left"/>
    </w:pPr>
  </w:style>
  <w:style w:type="paragraph" w:customStyle="1" w:styleId="108">
    <w:name w:val="题注5"/>
    <w:basedOn w:val="1"/>
    <w:next w:val="10"/>
    <w:qFormat/>
    <w:uiPriority w:val="0"/>
    <w:pPr>
      <w:jc w:val="center"/>
    </w:pPr>
    <w:rPr>
      <w:b/>
      <w:color w:val="000000"/>
      <w:sz w:val="24"/>
      <w:szCs w:val="21"/>
    </w:rPr>
  </w:style>
  <w:style w:type="paragraph" w:customStyle="1" w:styleId="109">
    <w:name w:val="样式 小四 段前: 5 磅 段后: 5 磅 首行缩进:  2 字符"/>
    <w:basedOn w:val="1"/>
    <w:qFormat/>
    <w:uiPriority w:val="0"/>
    <w:pPr>
      <w:spacing w:before="100" w:after="156" w:afterLines="50"/>
    </w:pPr>
    <w:rPr>
      <w:rFonts w:hAnsi="宋体"/>
      <w:color w:val="000000"/>
      <w:kern w:val="0"/>
      <w:szCs w:val="20"/>
    </w:rPr>
  </w:style>
  <w:style w:type="paragraph" w:customStyle="1" w:styleId="110">
    <w:name w:val="Char Char5 Char Char Char Char"/>
    <w:basedOn w:val="1"/>
    <w:qFormat/>
    <w:uiPriority w:val="0"/>
    <w:rPr>
      <w:rFonts w:ascii="Tahoma" w:hAnsi="Tahoma"/>
      <w:sz w:val="24"/>
      <w:szCs w:val="20"/>
    </w:rPr>
  </w:style>
  <w:style w:type="paragraph" w:customStyle="1" w:styleId="111">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112">
    <w:name w:val="Char Char6 Char Char Char Char"/>
    <w:basedOn w:val="1"/>
    <w:qFormat/>
    <w:uiPriority w:val="0"/>
    <w:pPr>
      <w:widowControl/>
      <w:spacing w:after="160" w:line="360" w:lineRule="auto"/>
      <w:jc w:val="left"/>
    </w:pPr>
  </w:style>
  <w:style w:type="paragraph" w:customStyle="1" w:styleId="113">
    <w:name w:val="样式4"/>
    <w:basedOn w:val="26"/>
    <w:qFormat/>
    <w:uiPriority w:val="0"/>
  </w:style>
  <w:style w:type="paragraph" w:customStyle="1" w:styleId="11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样式 标题 1合同标题卷标题TITRE11h1标题 1 1标书1H11st levelSection Hea..."/>
    <w:basedOn w:val="3"/>
    <w:qFormat/>
    <w:uiPriority w:val="0"/>
    <w:rPr>
      <w:kern w:val="0"/>
    </w:rPr>
  </w:style>
  <w:style w:type="paragraph" w:customStyle="1" w:styleId="116">
    <w:name w:val="Char Char4 Char Char"/>
    <w:basedOn w:val="1"/>
    <w:qFormat/>
    <w:uiPriority w:val="0"/>
    <w:pPr>
      <w:widowControl/>
      <w:spacing w:after="160" w:line="240" w:lineRule="exact"/>
      <w:jc w:val="left"/>
    </w:pPr>
  </w:style>
  <w:style w:type="paragraph" w:customStyle="1" w:styleId="117">
    <w:name w:val="Char Char2 Char2"/>
    <w:basedOn w:val="1"/>
    <w:qFormat/>
    <w:uiPriority w:val="0"/>
    <w:rPr>
      <w:rFonts w:ascii="宋体" w:hAnsi="宋体"/>
      <w:b/>
      <w:sz w:val="28"/>
      <w:szCs w:val="28"/>
    </w:rPr>
  </w:style>
  <w:style w:type="paragraph" w:customStyle="1" w:styleId="118">
    <w:name w:val="p0"/>
    <w:basedOn w:val="1"/>
    <w:link w:val="127"/>
    <w:qFormat/>
    <w:uiPriority w:val="0"/>
    <w:pPr>
      <w:widowControl/>
    </w:pPr>
    <w:rPr>
      <w:kern w:val="0"/>
      <w:szCs w:val="21"/>
    </w:rPr>
  </w:style>
  <w:style w:type="paragraph" w:customStyle="1" w:styleId="119">
    <w:name w:val="正文_0"/>
    <w:next w:val="1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纯文本_0"/>
    <w:basedOn w:val="121"/>
    <w:qFormat/>
    <w:uiPriority w:val="0"/>
    <w:rPr>
      <w:rFonts w:ascii="Cambria" w:hAnsi="Cambria" w:eastAsia="等线"/>
      <w:b/>
      <w:bCs/>
      <w:kern w:val="28"/>
      <w:sz w:val="32"/>
      <w:szCs w:val="32"/>
    </w:rPr>
  </w:style>
  <w:style w:type="paragraph" w:customStyle="1" w:styleId="121">
    <w:name w:val="正文_6"/>
    <w:next w:val="122"/>
    <w:qFormat/>
    <w:uiPriority w:val="0"/>
    <w:pPr>
      <w:widowControl w:val="0"/>
      <w:jc w:val="both"/>
    </w:pPr>
    <w:rPr>
      <w:rFonts w:ascii="Times New Roman" w:hAnsi="Times New Roman" w:eastAsia="宋体" w:cs="Times New Roman"/>
      <w:kern w:val="2"/>
      <w:sz w:val="24"/>
      <w:szCs w:val="22"/>
      <w:lang w:val="en-US" w:eastAsia="zh-CN" w:bidi="ar-SA"/>
    </w:rPr>
  </w:style>
  <w:style w:type="paragraph" w:customStyle="1" w:styleId="122">
    <w:name w:val="纯文本_3"/>
    <w:basedOn w:val="121"/>
    <w:qFormat/>
    <w:uiPriority w:val="0"/>
    <w:rPr>
      <w:rFonts w:ascii="Cambria" w:hAnsi="Cambria"/>
      <w:b/>
      <w:bCs/>
      <w:kern w:val="28"/>
      <w:sz w:val="32"/>
      <w:szCs w:val="32"/>
    </w:rPr>
  </w:style>
  <w:style w:type="paragraph" w:customStyle="1" w:styleId="123">
    <w:name w:val="正文_0_0"/>
    <w:basedOn w:val="119"/>
    <w:qFormat/>
    <w:uiPriority w:val="0"/>
    <w:pPr>
      <w:widowControl w:val="0"/>
      <w:jc w:val="both"/>
    </w:pPr>
    <w:rPr>
      <w:kern w:val="2"/>
      <w:sz w:val="21"/>
      <w:szCs w:val="24"/>
      <w:lang w:val="en-US" w:eastAsia="zh-CN" w:bidi="ar-SA"/>
    </w:rPr>
  </w:style>
  <w:style w:type="paragraph" w:customStyle="1" w:styleId="124">
    <w:name w:val="List Paragraph"/>
    <w:basedOn w:val="1"/>
    <w:qFormat/>
    <w:uiPriority w:val="0"/>
    <w:pPr>
      <w:ind w:firstLine="420" w:firstLineChars="200"/>
    </w:pPr>
    <w:rPr>
      <w:rFonts w:ascii="Calibri" w:hAnsi="Calibri"/>
      <w:szCs w:val="22"/>
    </w:rPr>
  </w:style>
  <w:style w:type="paragraph" w:customStyle="1" w:styleId="125">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7">
    <w:name w:val="p0 Char Char"/>
    <w:link w:val="118"/>
    <w:qFormat/>
    <w:uiPriority w:val="0"/>
    <w:rPr>
      <w:kern w:val="0"/>
      <w:szCs w:val="21"/>
    </w:rPr>
  </w:style>
  <w:style w:type="paragraph" w:customStyle="1" w:styleId="128">
    <w:name w:val="custom_unionstyle"/>
    <w:basedOn w:val="1"/>
    <w:qFormat/>
    <w:uiPriority w:val="0"/>
    <w:pPr>
      <w:widowControl/>
      <w:jc w:val="left"/>
    </w:pPr>
    <w:rPr>
      <w:rFonts w:ascii="宋体" w:hAnsi="宋体" w:cs="宋体"/>
      <w:kern w:val="0"/>
      <w:sz w:val="24"/>
    </w:rPr>
  </w:style>
  <w:style w:type="character" w:customStyle="1" w:styleId="129">
    <w:name w:val="Char Char381"/>
    <w:qFormat/>
    <w:uiPriority w:val="0"/>
    <w:rPr>
      <w:kern w:val="2"/>
      <w:sz w:val="21"/>
      <w:szCs w:val="24"/>
    </w:rPr>
  </w:style>
  <w:style w:type="paragraph" w:customStyle="1" w:styleId="130">
    <w:name w:val="章标题"/>
    <w:basedOn w:val="1"/>
    <w:qFormat/>
    <w:uiPriority w:val="0"/>
    <w:pPr>
      <w:widowControl/>
      <w:spacing w:after="100" w:afterAutospacing="1"/>
      <w:jc w:val="center"/>
    </w:pPr>
    <w:rPr>
      <w:rFonts w:ascii="宋体" w:hAnsi="Arial"/>
      <w:b/>
      <w:bCs/>
      <w:kern w:val="0"/>
      <w:sz w:val="32"/>
      <w:szCs w:val="32"/>
    </w:rPr>
  </w:style>
  <w:style w:type="paragraph" w:customStyle="1" w:styleId="13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2">
    <w:name w:val="zhang"/>
    <w:basedOn w:val="1"/>
    <w:qFormat/>
    <w:uiPriority w:val="0"/>
    <w:pPr>
      <w:widowControl/>
      <w:spacing w:before="100" w:beforeAutospacing="1" w:after="100" w:afterAutospacing="1"/>
      <w:jc w:val="left"/>
    </w:pPr>
    <w:rPr>
      <w:rFonts w:ascii="宋体" w:hAnsi="宋体" w:cs="宋体"/>
      <w:b/>
      <w:bCs/>
      <w:smallCaps/>
      <w:color w:val="000000"/>
      <w:kern w:val="0"/>
      <w:sz w:val="20"/>
      <w:szCs w:val="20"/>
    </w:rPr>
  </w:style>
  <w:style w:type="character" w:customStyle="1" w:styleId="133">
    <w:name w:val="15"/>
    <w:qFormat/>
    <w:uiPriority w:val="0"/>
    <w:rPr>
      <w:rFonts w:ascii="Times New Roman" w:hAnsi="Times New Roman"/>
      <w:color w:val="0000FF"/>
      <w:sz w:val="20"/>
      <w:u w:val="single"/>
    </w:rPr>
  </w:style>
  <w:style w:type="character" w:customStyle="1" w:styleId="134">
    <w:name w:val="Char Char411"/>
    <w:qFormat/>
    <w:uiPriority w:val="0"/>
    <w:rPr>
      <w:kern w:val="2"/>
      <w:sz w:val="21"/>
      <w:szCs w:val="24"/>
      <w:shd w:val="clear" w:color="auto" w:fill="000080"/>
    </w:rPr>
  </w:style>
  <w:style w:type="paragraph" w:customStyle="1" w:styleId="135">
    <w:name w:val="正文_0_2"/>
    <w:basedOn w:val="1"/>
    <w:next w:val="136"/>
    <w:qFormat/>
    <w:uiPriority w:val="0"/>
  </w:style>
  <w:style w:type="paragraph" w:customStyle="1" w:styleId="136">
    <w:name w:val="正文缩进_0_2"/>
    <w:basedOn w:val="137"/>
    <w:next w:val="139"/>
    <w:semiHidden/>
    <w:qFormat/>
    <w:uiPriority w:val="0"/>
    <w:pPr>
      <w:ind w:firstLine="420" w:firstLineChars="200"/>
    </w:pPr>
    <w:rPr>
      <w:rFonts w:ascii="等线" w:hAnsi="等线" w:eastAsia="等线"/>
    </w:rPr>
  </w:style>
  <w:style w:type="paragraph" w:customStyle="1" w:styleId="137">
    <w:name w:val="正文_5_1_0"/>
    <w:basedOn w:val="1"/>
    <w:next w:val="138"/>
    <w:qFormat/>
    <w:uiPriority w:val="0"/>
  </w:style>
  <w:style w:type="paragraph" w:customStyle="1" w:styleId="138">
    <w:name w:val="标题 3_4_1"/>
    <w:basedOn w:val="137"/>
    <w:next w:val="137"/>
    <w:semiHidden/>
    <w:qFormat/>
    <w:uiPriority w:val="0"/>
    <w:pPr>
      <w:keepNext/>
      <w:keepLines/>
      <w:spacing w:line="412" w:lineRule="auto"/>
      <w:outlineLvl w:val="2"/>
    </w:pPr>
    <w:rPr>
      <w:b/>
      <w:bCs/>
      <w:sz w:val="32"/>
      <w:szCs w:val="32"/>
    </w:rPr>
  </w:style>
  <w:style w:type="paragraph" w:customStyle="1" w:styleId="139">
    <w:name w:val="正文_1_5"/>
    <w:basedOn w:val="1"/>
    <w:next w:val="136"/>
    <w:qFormat/>
    <w:uiPriority w:val="0"/>
  </w:style>
  <w:style w:type="paragraph" w:customStyle="1" w:styleId="140">
    <w:name w:val="_Style 5"/>
    <w:basedOn w:val="1"/>
    <w:qFormat/>
    <w:uiPriority w:val="0"/>
    <w:pPr>
      <w:ind w:firstLine="200" w:firstLineChars="200"/>
    </w:pPr>
    <w:rPr>
      <w:rFonts w:ascii="Calibri" w:hAnsi="Calibri"/>
      <w:sz w:val="24"/>
      <w:szCs w:val="24"/>
    </w:rPr>
  </w:style>
  <w:style w:type="paragraph" w:customStyle="1" w:styleId="141">
    <w:name w:val="p0_0_0"/>
    <w:basedOn w:val="142"/>
    <w:qFormat/>
    <w:uiPriority w:val="0"/>
    <w:pPr>
      <w:widowControl/>
    </w:pPr>
    <w:rPr>
      <w:rFonts w:ascii="Times New Roman" w:hAnsi="Times New Roman"/>
      <w:kern w:val="0"/>
      <w:szCs w:val="21"/>
    </w:rPr>
  </w:style>
  <w:style w:type="paragraph" w:customStyle="1" w:styleId="142">
    <w:name w:val="正文_2_3"/>
    <w:basedOn w:val="143"/>
    <w:next w:val="166"/>
    <w:qFormat/>
    <w:uiPriority w:val="0"/>
    <w:pPr>
      <w:widowControl w:val="0"/>
      <w:jc w:val="both"/>
    </w:pPr>
    <w:rPr>
      <w:kern w:val="2"/>
      <w:sz w:val="21"/>
      <w:szCs w:val="24"/>
      <w:lang w:val="en-US" w:eastAsia="zh-CN" w:bidi="ar-SA"/>
    </w:rPr>
  </w:style>
  <w:style w:type="paragraph" w:customStyle="1" w:styleId="143">
    <w:name w:val="正文_3_2"/>
    <w:basedOn w:val="144"/>
    <w:next w:val="162"/>
    <w:qFormat/>
    <w:uiPriority w:val="0"/>
    <w:pPr>
      <w:widowControl w:val="0"/>
      <w:jc w:val="both"/>
    </w:pPr>
    <w:rPr>
      <w:kern w:val="2"/>
      <w:sz w:val="21"/>
      <w:szCs w:val="24"/>
      <w:lang w:val="en-US" w:eastAsia="zh-CN" w:bidi="ar-SA"/>
    </w:rPr>
  </w:style>
  <w:style w:type="paragraph" w:customStyle="1" w:styleId="144">
    <w:name w:val="正文_4_2"/>
    <w:basedOn w:val="145"/>
    <w:next w:val="147"/>
    <w:qFormat/>
    <w:uiPriority w:val="0"/>
    <w:pPr>
      <w:widowControl w:val="0"/>
      <w:jc w:val="both"/>
    </w:pPr>
    <w:rPr>
      <w:kern w:val="2"/>
      <w:sz w:val="21"/>
      <w:szCs w:val="24"/>
      <w:lang w:val="en-US" w:eastAsia="zh-CN" w:bidi="ar-SA"/>
    </w:rPr>
  </w:style>
  <w:style w:type="paragraph" w:customStyle="1" w:styleId="145">
    <w:name w:val="正文_5_2"/>
    <w:next w:val="1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6">
    <w:name w:val="正文文本_4_2"/>
    <w:basedOn w:val="145"/>
    <w:qFormat/>
    <w:uiPriority w:val="0"/>
    <w:pPr>
      <w:spacing w:after="120"/>
    </w:pPr>
    <w:rPr>
      <w:rFonts w:ascii="Times New Roman" w:hAnsi="Times New Roman"/>
      <w:kern w:val="0"/>
      <w:sz w:val="20"/>
      <w:szCs w:val="20"/>
    </w:rPr>
  </w:style>
  <w:style w:type="paragraph" w:customStyle="1" w:styleId="147">
    <w:name w:val="正文首行缩进_0_0_3"/>
    <w:basedOn w:val="148"/>
    <w:qFormat/>
    <w:uiPriority w:val="0"/>
    <w:pPr>
      <w:ind w:firstLine="420" w:firstLineChars="100"/>
    </w:pPr>
  </w:style>
  <w:style w:type="paragraph" w:customStyle="1" w:styleId="148">
    <w:name w:val="正文文本_0_0_3"/>
    <w:basedOn w:val="149"/>
    <w:next w:val="157"/>
    <w:qFormat/>
    <w:uiPriority w:val="0"/>
    <w:pPr>
      <w:spacing w:before="100" w:beforeAutospacing="1" w:after="120"/>
    </w:pPr>
    <w:rPr>
      <w:kern w:val="0"/>
      <w:sz w:val="20"/>
      <w:szCs w:val="20"/>
    </w:rPr>
  </w:style>
  <w:style w:type="paragraph" w:customStyle="1" w:styleId="149">
    <w:name w:val="正文_0_0_3"/>
    <w:basedOn w:val="150"/>
    <w:next w:val="155"/>
    <w:qFormat/>
    <w:uiPriority w:val="0"/>
    <w:rPr>
      <w:rFonts w:ascii="等线" w:hAnsi="等线" w:eastAsia="等线"/>
      <w:szCs w:val="21"/>
    </w:rPr>
  </w:style>
  <w:style w:type="paragraph" w:customStyle="1" w:styleId="150">
    <w:name w:val="正文_0_1_2"/>
    <w:basedOn w:val="151"/>
    <w:next w:val="153"/>
    <w:qFormat/>
    <w:uiPriority w:val="0"/>
    <w:pPr>
      <w:widowControl w:val="0"/>
      <w:jc w:val="both"/>
    </w:pPr>
    <w:rPr>
      <w:kern w:val="2"/>
      <w:sz w:val="21"/>
      <w:szCs w:val="24"/>
      <w:lang w:val="en-US" w:eastAsia="zh-CN" w:bidi="ar-SA"/>
    </w:rPr>
  </w:style>
  <w:style w:type="paragraph" w:customStyle="1" w:styleId="151">
    <w:name w:val="正文_1_4"/>
    <w:basedOn w:val="142"/>
    <w:next w:val="152"/>
    <w:qFormat/>
    <w:uiPriority w:val="0"/>
    <w:pPr>
      <w:widowControl w:val="0"/>
      <w:jc w:val="both"/>
    </w:pPr>
    <w:rPr>
      <w:kern w:val="2"/>
      <w:sz w:val="21"/>
      <w:szCs w:val="24"/>
      <w:lang w:val="en-US" w:eastAsia="zh-CN" w:bidi="ar-SA"/>
    </w:rPr>
  </w:style>
  <w:style w:type="paragraph" w:customStyle="1" w:styleId="152">
    <w:name w:val="正文缩进_0_3"/>
    <w:basedOn w:val="145"/>
    <w:next w:val="151"/>
    <w:semiHidden/>
    <w:qFormat/>
    <w:uiPriority w:val="0"/>
    <w:pPr>
      <w:ind w:firstLine="420" w:firstLineChars="200"/>
    </w:pPr>
    <w:rPr>
      <w:rFonts w:ascii="等线" w:hAnsi="等线" w:eastAsia="等线"/>
    </w:rPr>
  </w:style>
  <w:style w:type="paragraph" w:customStyle="1" w:styleId="153">
    <w:name w:val="正文缩进_0_0_2"/>
    <w:basedOn w:val="154"/>
    <w:next w:val="154"/>
    <w:qFormat/>
    <w:uiPriority w:val="0"/>
    <w:pPr>
      <w:ind w:firstLine="420" w:firstLineChars="200"/>
    </w:pPr>
  </w:style>
  <w:style w:type="paragraph" w:customStyle="1" w:styleId="154">
    <w:name w:val="正文_10_0_2"/>
    <w:next w:val="1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正文文本_0_3"/>
    <w:basedOn w:val="156"/>
    <w:next w:val="157"/>
    <w:qFormat/>
    <w:uiPriority w:val="0"/>
    <w:pPr>
      <w:spacing w:after="120"/>
    </w:pPr>
    <w:rPr>
      <w:rFonts w:ascii="Times New Roman" w:hAnsi="Times New Roman" w:cs="Times New Roman"/>
      <w:kern w:val="0"/>
      <w:sz w:val="20"/>
      <w:szCs w:val="20"/>
    </w:rPr>
  </w:style>
  <w:style w:type="paragraph" w:customStyle="1" w:styleId="156">
    <w:name w:val="正文_0_0_0_3"/>
    <w:basedOn w:val="150"/>
    <w:next w:val="155"/>
    <w:qFormat/>
    <w:uiPriority w:val="0"/>
    <w:rPr>
      <w:rFonts w:ascii="等线" w:hAnsi="等线" w:eastAsia="等线"/>
    </w:rPr>
  </w:style>
  <w:style w:type="paragraph" w:customStyle="1" w:styleId="157">
    <w:name w:val="正文文本 2_2"/>
    <w:basedOn w:val="158"/>
    <w:qFormat/>
    <w:uiPriority w:val="99"/>
    <w:pPr>
      <w:spacing w:after="120" w:line="480" w:lineRule="auto"/>
    </w:pPr>
    <w:rPr>
      <w:kern w:val="0"/>
      <w:sz w:val="20"/>
    </w:rPr>
  </w:style>
  <w:style w:type="paragraph" w:customStyle="1" w:styleId="158">
    <w:name w:val="正文_0_5"/>
    <w:basedOn w:val="151"/>
    <w:next w:val="159"/>
    <w:qFormat/>
    <w:uiPriority w:val="0"/>
    <w:pPr>
      <w:widowControl w:val="0"/>
      <w:jc w:val="both"/>
    </w:pPr>
    <w:rPr>
      <w:kern w:val="2"/>
      <w:sz w:val="21"/>
      <w:szCs w:val="24"/>
      <w:lang w:val="en-US" w:eastAsia="zh-CN" w:bidi="ar-SA"/>
    </w:rPr>
  </w:style>
  <w:style w:type="paragraph" w:customStyle="1" w:styleId="159">
    <w:name w:val="标题 3_0_2"/>
    <w:basedOn w:val="160"/>
    <w:next w:val="158"/>
    <w:unhideWhenUsed/>
    <w:qFormat/>
    <w:uiPriority w:val="9"/>
    <w:pPr>
      <w:keepNext/>
      <w:keepLines/>
      <w:spacing w:before="260" w:after="260" w:line="416" w:lineRule="auto"/>
      <w:outlineLvl w:val="2"/>
    </w:pPr>
    <w:rPr>
      <w:b/>
      <w:bCs/>
      <w:sz w:val="32"/>
      <w:szCs w:val="32"/>
    </w:rPr>
  </w:style>
  <w:style w:type="paragraph" w:customStyle="1" w:styleId="160">
    <w:name w:val="正文_8_2"/>
    <w:next w:val="1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_Style 5_2"/>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62">
    <w:name w:val="正文首行缩进_0_0_0_2"/>
    <w:basedOn w:val="163"/>
    <w:qFormat/>
    <w:uiPriority w:val="0"/>
  </w:style>
  <w:style w:type="paragraph" w:customStyle="1" w:styleId="163">
    <w:name w:val="正文文本_0_0_0_2"/>
    <w:basedOn w:val="164"/>
    <w:qFormat/>
    <w:uiPriority w:val="0"/>
    <w:pPr>
      <w:spacing w:before="100" w:beforeAutospacing="1" w:after="120"/>
    </w:pPr>
    <w:rPr>
      <w:kern w:val="0"/>
      <w:sz w:val="20"/>
      <w:szCs w:val="20"/>
    </w:rPr>
  </w:style>
  <w:style w:type="paragraph" w:customStyle="1" w:styleId="164">
    <w:name w:val="正文_0_0_0_0_2"/>
    <w:basedOn w:val="150"/>
    <w:next w:val="165"/>
    <w:qFormat/>
    <w:uiPriority w:val="0"/>
    <w:rPr>
      <w:rFonts w:ascii="等线" w:hAnsi="等线" w:eastAsia="等线"/>
    </w:rPr>
  </w:style>
  <w:style w:type="paragraph" w:customStyle="1" w:styleId="165">
    <w:name w:val="正文首行缩进_0_1_2"/>
    <w:basedOn w:val="148"/>
    <w:qFormat/>
    <w:uiPriority w:val="0"/>
    <w:pPr>
      <w:ind w:firstLine="420" w:firstLineChars="100"/>
    </w:pPr>
  </w:style>
  <w:style w:type="paragraph" w:customStyle="1" w:styleId="166">
    <w:name w:val="正文缩进_2_2"/>
    <w:basedOn w:val="167"/>
    <w:next w:val="142"/>
    <w:unhideWhenUsed/>
    <w:qFormat/>
    <w:uiPriority w:val="0"/>
    <w:pPr>
      <w:ind w:firstLine="420" w:firstLineChars="200"/>
    </w:pPr>
  </w:style>
  <w:style w:type="paragraph" w:customStyle="1" w:styleId="167">
    <w:name w:val="正文_9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Plain Text1"/>
    <w:basedOn w:val="1"/>
    <w:qFormat/>
    <w:uiPriority w:val="0"/>
    <w:rPr>
      <w:rFonts w:ascii="宋体" w:hAnsi="Courier New"/>
      <w:szCs w:val="24"/>
    </w:rPr>
  </w:style>
  <w:style w:type="character" w:customStyle="1" w:styleId="169">
    <w:name w:val=" Char Char38"/>
    <w:qFormat/>
    <w:uiPriority w:val="0"/>
    <w:rPr>
      <w:kern w:val="2"/>
      <w:sz w:val="21"/>
      <w:szCs w:val="24"/>
    </w:rPr>
  </w:style>
  <w:style w:type="character" w:customStyle="1" w:styleId="170">
    <w:name w:val=" Char Char41"/>
    <w:qFormat/>
    <w:uiPriority w:val="0"/>
    <w:rPr>
      <w:kern w:val="2"/>
      <w:sz w:val="21"/>
      <w:szCs w:val="24"/>
      <w:shd w:val="clear" w:color="auto" w:fill="000080"/>
    </w:rPr>
  </w:style>
  <w:style w:type="paragraph" w:customStyle="1" w:styleId="171">
    <w:name w:val="样式7"/>
    <w:basedOn w:val="1"/>
    <w:link w:val="172"/>
    <w:qFormat/>
    <w:uiPriority w:val="0"/>
    <w:pPr>
      <w:keepNext/>
      <w:keepLines/>
      <w:spacing w:before="40" w:after="40" w:line="480" w:lineRule="auto"/>
      <w:jc w:val="center"/>
      <w:outlineLvl w:val="0"/>
    </w:pPr>
    <w:rPr>
      <w:rFonts w:hint="eastAsia" w:ascii="仿宋" w:hAnsi="仿宋" w:eastAsia="仿宋" w:cs="仿宋"/>
      <w:b/>
      <w:bCs/>
      <w:color w:val="auto"/>
      <w:kern w:val="0"/>
      <w:sz w:val="44"/>
      <w:szCs w:val="44"/>
    </w:rPr>
  </w:style>
  <w:style w:type="character" w:customStyle="1" w:styleId="172">
    <w:name w:val="样式7 Char"/>
    <w:link w:val="171"/>
    <w:qFormat/>
    <w:uiPriority w:val="0"/>
    <w:rPr>
      <w:rFonts w:hint="eastAsia" w:ascii="仿宋" w:hAnsi="仿宋" w:eastAsia="仿宋" w:cs="仿宋"/>
      <w:b/>
      <w:bCs/>
      <w:color w:val="auto"/>
      <w:kern w:val="0"/>
      <w:sz w:val="44"/>
      <w:szCs w:val="44"/>
    </w:rPr>
  </w:style>
  <w:style w:type="paragraph" w:customStyle="1" w:styleId="173">
    <w:name w:val="第X部分  标题"/>
    <w:basedOn w:val="1"/>
    <w:qFormat/>
    <w:uiPriority w:val="0"/>
    <w:pPr>
      <w:keepNext/>
      <w:keepLines/>
      <w:jc w:val="center"/>
      <w:outlineLvl w:val="0"/>
    </w:pPr>
    <w:rPr>
      <w:rFonts w:hint="eastAsia" w:ascii="仿宋" w:hAnsi="仿宋" w:eastAsia="仿宋" w:cs="仿宋"/>
      <w:b/>
      <w:bCs/>
      <w:color w:val="auto"/>
      <w:kern w:val="0"/>
      <w:sz w:val="44"/>
      <w:szCs w:val="44"/>
    </w:rPr>
  </w:style>
  <w:style w:type="paragraph" w:customStyle="1" w:styleId="174">
    <w:name w:val="null3"/>
    <w:hidden/>
    <w:qFormat/>
    <w:uiPriority w:val="0"/>
    <w:rPr>
      <w:rFonts w:hint="eastAsia" w:asciiTheme="minorHAnsi" w:hAnsiTheme="minorHAnsi" w:eastAsiaTheme="minorEastAsia" w:cstheme="minorBidi"/>
      <w:lang w:val="en-US" w:eastAsia="zh-Hans" w:bidi="ar-SA"/>
    </w:rPr>
  </w:style>
  <w:style w:type="paragraph" w:customStyle="1" w:styleId="175">
    <w:name w:val="正文_16_0"/>
    <w:qFormat/>
    <w:uiPriority w:val="0"/>
    <w:pPr>
      <w:widowControl w:val="0"/>
      <w:jc w:val="both"/>
    </w:pPr>
    <w:rPr>
      <w:rFonts w:ascii="Calibri" w:hAnsi="Calibri" w:eastAsia="宋体" w:cs="Times New Roman"/>
      <w:kern w:val="2"/>
      <w:sz w:val="21"/>
      <w:szCs w:val="24"/>
      <w:lang w:val="en-US" w:eastAsia="zh-CN" w:bidi="ar-SA"/>
    </w:rPr>
  </w:style>
  <w:style w:type="character" w:customStyle="1" w:styleId="176">
    <w:name w:val="标题 Char"/>
    <w:link w:val="38"/>
    <w:qFormat/>
    <w:locked/>
    <w:uiPriority w:val="0"/>
    <w:rPr>
      <w:rFonts w:ascii="Cambria" w:hAnsi="Cambria"/>
      <w:b/>
      <w:sz w:val="32"/>
      <w:szCs w:val="20"/>
    </w:rPr>
  </w:style>
  <w:style w:type="character" w:customStyle="1" w:styleId="177">
    <w:name w:val="Char Char38"/>
    <w:qFormat/>
    <w:uiPriority w:val="0"/>
    <w:rPr>
      <w:kern w:val="2"/>
      <w:sz w:val="21"/>
      <w:szCs w:val="24"/>
    </w:rPr>
  </w:style>
  <w:style w:type="character" w:customStyle="1" w:styleId="178">
    <w:name w:val="Char Char41"/>
    <w:qFormat/>
    <w:uiPriority w:val="0"/>
    <w:rPr>
      <w:kern w:val="2"/>
      <w:sz w:val="21"/>
      <w:szCs w:val="24"/>
      <w:shd w:val="clear" w:color="auto" w:fill="000080"/>
    </w:rPr>
  </w:style>
  <w:style w:type="paragraph" w:customStyle="1" w:styleId="179">
    <w:name w:val="Table Text"/>
    <w:basedOn w:val="1"/>
    <w:semiHidden/>
    <w:qFormat/>
    <w:uiPriority w:val="0"/>
    <w:rPr>
      <w:rFonts w:ascii="宋体" w:hAnsi="宋体" w:eastAsia="宋体" w:cs="宋体"/>
      <w:sz w:val="24"/>
      <w:szCs w:val="24"/>
    </w:rPr>
  </w:style>
  <w:style w:type="table" w:customStyle="1" w:styleId="18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102</Pages>
  <Words>107</Words>
  <Characters>121</Characters>
  <Lines>453</Lines>
  <Paragraphs>127</Paragraphs>
  <TotalTime>7</TotalTime>
  <ScaleCrop>false</ScaleCrop>
  <LinksUpToDate>false</LinksUpToDate>
  <CharactersWithSpaces>132</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2021-05-18T08:28:00Z</dcterms:created>
  <dc:creator>USER</dc:creator>
  <cp:lastModifiedBy>c</cp:lastModifiedBy>
  <cp:lastPrinted>2024-06-20T05:08:00Z</cp:lastPrinted>
  <dcterms:modified xsi:type="dcterms:W3CDTF">2026-02-11T01:32:31Z</dcterms:modified>
  <dc:title>（采购人）（项目名称）公开招标公告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33A8C9047D1C449AA14473865F221B58_13</vt:lpwstr>
  </property>
  <property fmtid="{D5CDD505-2E9C-101B-9397-08002B2CF9AE}" pid="4" name="KSOTemplateDocerSaveRecord">
    <vt:lpwstr>eyJoZGlkIjoiNDBhNDExYWQ3NTZhNmE4MWRmMDQ0NTMxM2EzOTUyZTUiLCJ1c2VySWQiOiIxNDExMTY3ODEwIn0=</vt:lpwstr>
  </property>
</Properties>
</file>