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65"/>
        </w:tabs>
        <w:spacing w:line="440" w:lineRule="exact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、要求</w:t>
      </w: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.1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材质外观</w:t>
      </w: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材质尺寸等</w:t>
      </w:r>
      <w:r>
        <w:rPr>
          <w:rFonts w:hint="eastAsia" w:ascii="仿宋_GB2312" w:hAnsi="仿宋_GB2312" w:eastAsia="仿宋_GB2312" w:cs="仿宋_GB2312"/>
          <w:sz w:val="28"/>
          <w:szCs w:val="28"/>
        </w:rPr>
        <w:t>设计要求，边缘光洁无明显毛刺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与封样一致。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 xml:space="preserve">  检验方法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外观用目测法进行检验，</w:t>
      </w:r>
      <w:r>
        <w:rPr>
          <w:rFonts w:hint="eastAsia"/>
          <w:sz w:val="28"/>
          <w:szCs w:val="28"/>
          <w:lang w:val="en-US" w:eastAsia="zh-CN"/>
        </w:rPr>
        <w:t>用手试其韧性、试装10个实验看看是否符合标准要求。</w:t>
      </w: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交货要求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3.1</w:t>
      </w:r>
      <w:r>
        <w:rPr>
          <w:rFonts w:hint="eastAsia" w:ascii="仿宋" w:hAnsi="仿宋" w:eastAsia="仿宋" w:cs="仿宋"/>
          <w:sz w:val="28"/>
          <w:szCs w:val="28"/>
        </w:rPr>
        <w:t>选用适当的材料打捆包装，交货时纸盒应不脏污，不破损，不受潮，无严重变形。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3.2</w:t>
      </w:r>
      <w:r>
        <w:rPr>
          <w:rFonts w:hint="eastAsia" w:ascii="仿宋_GB2312" w:hAnsi="仿宋_GB2312" w:eastAsia="仿宋_GB2312" w:cs="仿宋_GB2312"/>
          <w:sz w:val="28"/>
          <w:szCs w:val="28"/>
        </w:rPr>
        <w:t>供方随货提供对应批次出厂检验报告。</w:t>
      </w:r>
    </w:p>
    <w:p>
      <w:pPr>
        <w:pStyle w:val="2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3.3</w:t>
      </w:r>
      <w:r>
        <w:rPr>
          <w:rFonts w:hint="eastAsia" w:ascii="仿宋_GB2312" w:hAnsi="仿宋_GB2312" w:eastAsia="仿宋_GB2312" w:cs="仿宋_GB2312"/>
          <w:sz w:val="28"/>
          <w:szCs w:val="28"/>
        </w:rPr>
        <w:t>同批不得混装，无非本公司指定的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纸盒</w:t>
      </w:r>
      <w:r>
        <w:rPr>
          <w:rFonts w:hint="eastAsia" w:ascii="仿宋_GB2312" w:hAnsi="仿宋_GB2312" w:eastAsia="仿宋_GB2312" w:cs="仿宋_GB2312"/>
          <w:sz w:val="28"/>
          <w:szCs w:val="28"/>
        </w:rPr>
        <w:t>种类。</w:t>
      </w: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检验规则与判定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1 检验批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产品以检验批为单位进行验收.以同一时间、同一供方进厂纸盒为一检验批。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.2 抽样</w:t>
      </w:r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参照GB /T 2828.1制定抽样方案，样品从</w:t>
      </w:r>
      <w:r>
        <w:rPr>
          <w:rFonts w:hint="eastAsia" w:ascii="仿宋_GB2312" w:hAnsi="仿宋_GB2312" w:eastAsia="仿宋_GB2312" w:cs="仿宋_GB2312"/>
          <w:sz w:val="28"/>
          <w:szCs w:val="28"/>
        </w:rPr>
        <w:t>检验批的不同部位随机抽取，抽样数量参照表1。</w:t>
      </w:r>
    </w:p>
    <w:p>
      <w:pPr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spacing w:line="440" w:lineRule="exact"/>
        <w:jc w:val="left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表1：检验批抽样数量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7"/>
        <w:gridCol w:w="3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vMerge w:val="restart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批量范围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抽样数量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vMerge w:val="continue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一次抽样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≤280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281-500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501-1200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1201-3200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3201-10000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10001-35000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35001-150000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150001-500000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80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7" w:type="dxa"/>
            <w:noWrap w:val="0"/>
            <w:vAlign w:val="top"/>
          </w:tcPr>
          <w:p>
            <w:pPr>
              <w:widowControl/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≥500001</w:t>
            </w:r>
          </w:p>
        </w:tc>
        <w:tc>
          <w:tcPr>
            <w:tcW w:w="3211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1250</w:t>
            </w:r>
          </w:p>
        </w:tc>
      </w:tr>
    </w:tbl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</w:rPr>
        <w:t>质量判定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不合格率≤3.0%，判为合格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iYThiNmNiMjRjMjc1NjVkMmUzNGE1MDQ5MjNmMDQifQ=="/>
  </w:docVars>
  <w:rsids>
    <w:rsidRoot w:val="68086159"/>
    <w:rsid w:val="6808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2025-08-05T02:25:00Z</dcterms:created>
  <dc:creator>琅琊台～ 于水见</dc:creator>
  <cp:lastModifiedBy>琅琊台～ 于水见</cp:lastModifiedBy>
  <dcterms:modified xsi:type="dcterms:W3CDTF">2025-08-05T02:36:32Z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F292FB0F5FEC484897FA05651DD7C7C0_11</vt:lpwstr>
  </property>
</Properties>
</file>