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120" w:beforeLines="50" w:after="120" w:afterLines="50"/>
        <w:jc w:val="center"/>
        <w:outlineLvl w:val="0"/>
        <w:rPr>
          <w:rFonts w:hint="default" w:ascii="黑体" w:eastAsia="黑体"/>
          <w:b/>
          <w:color w:val="000000" w:themeColor="text1"/>
          <w:kern w:val="0"/>
          <w:sz w:val="28"/>
          <w:szCs w:val="28"/>
          <w:highlight w:val="none"/>
          <w:lang w:val="zh-CN"/>
          <w14:textFill>
            <w14:solidFill>
              <w14:schemeClr w14:val="tx1"/>
            </w14:solidFill>
          </w14:textFill>
        </w:rPr>
      </w:pPr>
      <w:r>
        <w:rPr>
          <w:rFonts w:hint="eastAsia" w:ascii="黑体" w:eastAsia="黑体"/>
          <w:b/>
          <w:color w:val="000000" w:themeColor="text1"/>
          <w:kern w:val="0"/>
          <w:sz w:val="28"/>
          <w:szCs w:val="28"/>
          <w:highlight w:val="none"/>
          <w:lang w:val="zh-CN"/>
          <w14:textFill>
            <w14:solidFill>
              <w14:schemeClr w14:val="tx1"/>
            </w14:solidFill>
          </w14:textFill>
        </w:rPr>
        <w:t>第一章 招标公告</w:t>
      </w:r>
    </w:p>
    <w:p>
      <w:pPr>
        <w:adjustRightInd w:val="0"/>
        <w:snapToGrid w:val="0"/>
        <w:spacing w:beforeLines="0" w:afterLines="0"/>
        <w:jc w:val="center"/>
        <w:rPr>
          <w:rFonts w:hint="default" w:ascii="黑体" w:eastAsia="黑体"/>
          <w:b/>
          <w:color w:val="000000" w:themeColor="text1"/>
          <w:sz w:val="28"/>
          <w:szCs w:val="28"/>
          <w:highlight w:val="none"/>
          <w14:textFill>
            <w14:solidFill>
              <w14:schemeClr w14:val="tx1"/>
            </w14:solidFill>
          </w14:textFill>
        </w:rPr>
      </w:pPr>
    </w:p>
    <w:p>
      <w:pPr>
        <w:jc w:val="center"/>
        <w:rPr>
          <w:rFonts w:hint="eastAsia" w:ascii="黑体" w:hAnsi="黑体" w:eastAsia="黑体"/>
          <w:bCs/>
          <w:color w:val="000000"/>
          <w:sz w:val="28"/>
          <w:szCs w:val="28"/>
          <w:lang w:eastAsia="zh-CN"/>
        </w:rPr>
      </w:pPr>
      <w:r>
        <w:rPr>
          <w:rFonts w:hint="eastAsia" w:ascii="黑体" w:hAnsi="黑体" w:eastAsia="黑体"/>
          <w:bCs/>
          <w:color w:val="000000"/>
          <w:sz w:val="28"/>
          <w:szCs w:val="28"/>
          <w:lang w:eastAsia="zh-CN"/>
        </w:rPr>
        <w:t>天津市城西广源电力工程有限公司2025年原集体企业第七次物资授权招标采购</w:t>
      </w:r>
    </w:p>
    <w:p>
      <w:pPr>
        <w:jc w:val="center"/>
        <w:rPr>
          <w:rFonts w:ascii="黑体" w:hAnsi="黑体" w:eastAsia="黑体"/>
          <w:bCs/>
          <w:color w:val="000000"/>
          <w:sz w:val="28"/>
          <w:szCs w:val="28"/>
        </w:rPr>
      </w:pPr>
      <w:r>
        <w:rPr>
          <w:rFonts w:hint="eastAsia" w:ascii="黑体" w:hAnsi="黑体" w:eastAsia="黑体"/>
          <w:bCs/>
          <w:color w:val="000000"/>
          <w:sz w:val="28"/>
          <w:szCs w:val="28"/>
        </w:rPr>
        <w:t>招标公告</w:t>
      </w:r>
    </w:p>
    <w:p>
      <w:pPr>
        <w:spacing w:beforeLines="0" w:afterLines="0"/>
        <w:jc w:val="center"/>
        <w:rPr>
          <w:rFonts w:hint="default" w:ascii="黑体" w:hAnsi="黑体" w:eastAsia="黑体"/>
          <w:color w:val="000000" w:themeColor="text1"/>
          <w:sz w:val="28"/>
          <w:szCs w:val="28"/>
          <w:highlight w:val="none"/>
          <w14:textFill>
            <w14:solidFill>
              <w14:schemeClr w14:val="tx1"/>
            </w14:solidFill>
          </w14:textFill>
        </w:rPr>
      </w:pPr>
    </w:p>
    <w:p>
      <w:pPr>
        <w:jc w:val="center"/>
        <w:rPr>
          <w:rFonts w:hint="default" w:ascii="黑体" w:eastAsia="黑体"/>
          <w:color w:val="000000"/>
          <w:sz w:val="28"/>
          <w:szCs w:val="28"/>
          <w:lang w:val="en-US" w:eastAsia="zh-CN"/>
        </w:rPr>
      </w:pPr>
      <w:bookmarkStart w:id="0" w:name="_Toc18676"/>
      <w:bookmarkStart w:id="1" w:name="_Toc16837"/>
      <w:bookmarkStart w:id="2" w:name="_Toc21572"/>
      <w:bookmarkStart w:id="3" w:name="_Toc12718"/>
      <w:bookmarkStart w:id="4" w:name="_Toc714"/>
      <w:bookmarkStart w:id="5" w:name="_Toc3705"/>
      <w:bookmarkStart w:id="6" w:name="_Toc29230"/>
      <w:bookmarkStart w:id="7" w:name="_Toc1065"/>
      <w:bookmarkStart w:id="8" w:name="_Toc17259"/>
      <w:r>
        <w:rPr>
          <w:rFonts w:hint="eastAsia" w:ascii="黑体" w:hAnsi="黑体" w:eastAsia="黑体"/>
          <w:color w:val="000000" w:themeColor="text1"/>
          <w:sz w:val="28"/>
          <w:szCs w:val="28"/>
          <w:highlight w:val="none"/>
          <w14:textFill>
            <w14:solidFill>
              <w14:schemeClr w14:val="tx1"/>
            </w14:solidFill>
          </w14:textFill>
        </w:rPr>
        <w:t>招标编号：</w:t>
      </w:r>
      <w:bookmarkEnd w:id="0"/>
      <w:bookmarkEnd w:id="1"/>
      <w:bookmarkEnd w:id="2"/>
      <w:bookmarkEnd w:id="3"/>
      <w:bookmarkEnd w:id="4"/>
      <w:bookmarkEnd w:id="5"/>
      <w:bookmarkEnd w:id="6"/>
      <w:bookmarkEnd w:id="7"/>
      <w:bookmarkEnd w:id="8"/>
      <w:r>
        <w:rPr>
          <w:rFonts w:hint="eastAsia" w:ascii="黑体" w:hAnsi="黑体" w:eastAsia="黑体"/>
          <w:color w:val="000000" w:themeColor="text1"/>
          <w:sz w:val="28"/>
          <w:szCs w:val="28"/>
          <w:highlight w:val="none"/>
          <w:lang w:eastAsia="zh-CN"/>
          <w14:textFill>
            <w14:solidFill>
              <w14:schemeClr w14:val="tx1"/>
            </w14:solidFill>
          </w14:textFill>
        </w:rPr>
        <w:t>CY0</w:t>
      </w:r>
      <w:r>
        <w:rPr>
          <w:rFonts w:hint="eastAsia" w:ascii="黑体" w:hAnsi="黑体" w:eastAsia="黑体"/>
          <w:color w:val="000000" w:themeColor="text1"/>
          <w:sz w:val="28"/>
          <w:szCs w:val="28"/>
          <w:highlight w:val="none"/>
          <w:lang w:val="en-US" w:eastAsia="zh-CN"/>
          <w14:textFill>
            <w14:solidFill>
              <w14:schemeClr w14:val="tx1"/>
            </w14:solidFill>
          </w14:textFill>
        </w:rPr>
        <w:t>325SCX007</w:t>
      </w:r>
    </w:p>
    <w:p>
      <w:pPr>
        <w:spacing w:beforeLines="0" w:afterLines="0"/>
        <w:jc w:val="center"/>
        <w:rPr>
          <w:rFonts w:hint="default" w:ascii="黑体" w:hAnsi="黑体" w:eastAsia="黑体"/>
          <w:color w:val="000000" w:themeColor="text1"/>
          <w:sz w:val="28"/>
          <w:szCs w:val="28"/>
          <w:highlight w:val="none"/>
          <w14:textFill>
            <w14:solidFill>
              <w14:schemeClr w14:val="tx1"/>
            </w14:solidFill>
          </w14:textFill>
        </w:rPr>
      </w:pP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9" w:name="_bookmark2"/>
      <w:bookmarkEnd w:id="9"/>
      <w:bookmarkStart w:id="10" w:name="_Toc62549130"/>
      <w:bookmarkStart w:id="11" w:name="_Toc62222023"/>
      <w:bookmarkStart w:id="12" w:name="_Toc62222571"/>
      <w:bookmarkStart w:id="13" w:name="_Toc6779"/>
      <w:bookmarkStart w:id="14" w:name="_Toc13310"/>
      <w:bookmarkStart w:id="15" w:name="_Toc23241"/>
      <w:bookmarkStart w:id="16" w:name="_Toc12390"/>
      <w:bookmarkStart w:id="17" w:name="_Toc28259"/>
      <w:bookmarkStart w:id="18" w:name="_Toc62221755"/>
      <w:bookmarkStart w:id="19" w:name="_Toc113"/>
      <w:bookmarkStart w:id="20" w:name="_Toc62549186"/>
      <w:bookmarkStart w:id="21" w:name="_Toc12482"/>
      <w:bookmarkStart w:id="22" w:name="_Toc62221464"/>
      <w:bookmarkStart w:id="23" w:name="_Toc20180"/>
      <w:bookmarkStart w:id="24" w:name="_Toc16718"/>
      <w:bookmarkStart w:id="25" w:name="_Toc27832"/>
      <w:r>
        <w:rPr>
          <w:rFonts w:hint="eastAsia" w:ascii="黑体" w:hAnsi="Calibri" w:eastAsia="黑体"/>
          <w:b/>
          <w:color w:val="000000" w:themeColor="text1"/>
          <w:sz w:val="24"/>
          <w:szCs w:val="22"/>
          <w:highlight w:val="none"/>
          <w14:textFill>
            <w14:solidFill>
              <w14:schemeClr w14:val="tx1"/>
            </w14:solidFill>
          </w14:textFill>
        </w:rPr>
        <w:t>1.招标条件</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项目建设单位为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天津市城西广源电力工程有限公司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（以下简称“项目需求单位”），项目资金已落实。招标人为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天津市城西广源电力工程有限公司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，并委托天津三源招标有限公司为招标代理机构。项目已具备招标条件，现对该项目进行公开招标。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项目积极响应《中共中央国务院关于开展质量提升行动的指导意见》，倡导潜在投标人用先进标准引领产品质量提升，有效治理质量突出问题，推动形成优质优价的采购机制。为保障电网和设备本质安全，维护良好电工装备质量生态环境，确保投标人提供优质产品。招标人有权对违反“</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投标函</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”承诺的投标人加大不良行为处理力度</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26" w:name="_bookmark3"/>
      <w:bookmarkEnd w:id="26"/>
      <w:bookmarkStart w:id="27" w:name="_Toc16297"/>
      <w:bookmarkStart w:id="28" w:name="_Toc14807"/>
      <w:bookmarkStart w:id="29" w:name="_Toc62549187"/>
      <w:bookmarkStart w:id="30" w:name="_Toc10669"/>
      <w:bookmarkStart w:id="31" w:name="_Toc62222572"/>
      <w:bookmarkStart w:id="32" w:name="_Toc62221756"/>
      <w:bookmarkStart w:id="33" w:name="_Toc62222024"/>
      <w:bookmarkStart w:id="34" w:name="_Toc62221465"/>
      <w:bookmarkStart w:id="35" w:name="_Toc8851"/>
      <w:bookmarkStart w:id="36" w:name="_Toc22052"/>
      <w:bookmarkStart w:id="37" w:name="_Toc9526"/>
      <w:bookmarkStart w:id="38" w:name="_Toc21846"/>
      <w:bookmarkStart w:id="39" w:name="_Toc13249"/>
      <w:bookmarkStart w:id="40" w:name="_Toc16612"/>
      <w:bookmarkStart w:id="41" w:name="_Toc18094"/>
      <w:bookmarkStart w:id="42" w:name="_Toc62549131"/>
      <w:r>
        <w:rPr>
          <w:rFonts w:hint="eastAsia" w:ascii="黑体" w:hAnsi="Calibri" w:eastAsia="黑体"/>
          <w:b/>
          <w:color w:val="000000" w:themeColor="text1"/>
          <w:sz w:val="24"/>
          <w:szCs w:val="22"/>
          <w:highlight w:val="none"/>
          <w14:textFill>
            <w14:solidFill>
              <w14:schemeClr w14:val="tx1"/>
            </w14:solidFill>
          </w14:textFill>
        </w:rPr>
        <w:t>2.项目概况与招标范围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pPr>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bookmarkStart w:id="43" w:name="_bookmark4"/>
      <w:bookmarkEnd w:id="43"/>
      <w:bookmarkStart w:id="44" w:name="_Toc30155"/>
      <w:bookmarkStart w:id="45" w:name="_Toc32699"/>
      <w:bookmarkStart w:id="46" w:name="_Toc62222573"/>
      <w:bookmarkStart w:id="47" w:name="_Toc19813"/>
      <w:bookmarkStart w:id="48" w:name="_Toc1793"/>
      <w:bookmarkStart w:id="49" w:name="_Toc15959"/>
      <w:bookmarkStart w:id="50" w:name="_Toc3443"/>
      <w:bookmarkStart w:id="51" w:name="_Toc19873"/>
      <w:bookmarkStart w:id="52" w:name="_Toc62221757"/>
      <w:bookmarkStart w:id="53" w:name="_Toc62222025"/>
      <w:bookmarkStart w:id="54" w:name="_Toc16135"/>
      <w:bookmarkStart w:id="55" w:name="_Toc23581"/>
      <w:bookmarkStart w:id="56" w:name="_Toc1794"/>
      <w:bookmarkStart w:id="57" w:name="_Toc62221466"/>
      <w:bookmarkStart w:id="58" w:name="_Toc62549132"/>
      <w:bookmarkStart w:id="59" w:name="_Toc62549188"/>
      <w:r>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详见招标公告附件。（应列明合同包个数、采购货物及其数量、</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实施</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地点等内容）</w:t>
      </w:r>
    </w:p>
    <w:p>
      <w:pPr>
        <w:tabs>
          <w:tab w:val="left" w:pos="2688"/>
        </w:tabs>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详见货物清单。（通过系统直接生成《货物清单》）</w:t>
      </w:r>
    </w:p>
    <w:p>
      <w:pPr>
        <w:tabs>
          <w:tab w:val="left" w:pos="2688"/>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●协议库存增加：货物清单的“交货时间”为参考时间，实际交货时间以供货单约定为准。本项目协议库存供货期限详见合同协议书。</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3.投标人资格要求</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3.1 本次招标要求投标人须为中华人民共和国境内依法注册的法人或</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其他</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组织，须具有与本招标项目相应的供货能力。</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3.2 本次招标不接受联合体投标。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3.3本次招标是否接受代理商投标见3.6专用资格要求。如接受代理商投标的，代理产品不得属于《机电产品国际招标投标实施办法（试行）》（商务部令2014年第1号）规定必须进行国际招标的产品。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3.4 接受代理商或者外协外购产品投标时，其投标产品制造商须在境内具备相应货物的制造能力，并在人员、设备、资金等方面具有保障相应协作承制货物如期交货的能力。除特别注明外，这些资格、资质、业绩均系投标人本人或者其代理或外协产品制造商本人所拥有的权利权益。</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3.5 投标人及其投标产品须满足如下通用资格要求：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（1）投标产品制造商必须具有生产投标产品所需的生产场地、生产设备、生产人员、产品及元器件检测能力。本招标活动不接受贴牌代工以及任何分包（招标</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中规定的允许外购外协的除外）、转包行为的投标。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这些制造、检测能力应当分别相当于或者优于招标人招投标交易平台信息系统（https://ecp.sgcc.com.cn）中发布的“供应商资质能力信息核实规范”提出的相应条款要求（查看路径：招投标交易平台信息系统首页→供应商管理→资质能力核实→资质能力核实规范标准）。</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2）在与规范相同或较规范更严格的条件下，投标产品的投运数量或供货数量及其成功运行时间满足招标文件的要求。如同一包内存在不同类别的产品，除外购外协的产品外，则投标人须分别满足包内各类别产品的资格要求；对于外购外协的产品，产品制造商应满足本公告资质相关业绩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cyan"/>
        </w:rPr>
        <w:t>（3）取得国家法律、法规、规章规定的有效许可证。取得招标文件要求的国家强制认证证书。</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（4）法定代表人（单位负责人）为同一人或者存在控股、管理关系的不同单位，不得参加同一标包投标或者未划分标包的同一招标项目投标。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（5）应有良好的财务状况和商业信用。</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cyan"/>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rPr>
        <w:t>6）根据《国家电网有限公司供应商关系管理办法》的规定，若投标人为制造商，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若投标人为代理商，投标人或其代理产品的制造商存在导致其被暂停中标资格或取消中标资格的不良行为且在处理有效期内的，投标人或其代理产品的制造商在投标截止之日至中标通知书到达之日前，任一日在《国家电网有限公司关于供应商不良行为处理情况的通报》处理期内的均适用不良行为处理结果，或投标人存在触发《国家电网有限公司供应商关系管理办法》第六十三条</w:t>
      </w:r>
      <w:r>
        <w:rPr>
          <w:rFonts w:hint="eastAsia" w:asciiTheme="minorEastAsia" w:hAnsiTheme="minorEastAsia" w:eastAsiaTheme="minorEastAsia" w:cstheme="minorEastAsia"/>
          <w:color w:val="auto"/>
          <w:sz w:val="21"/>
          <w:szCs w:val="22"/>
          <w:highlight w:val="cyan"/>
          <w:lang w:val="en-US" w:eastAsia="zh-CN"/>
        </w:rPr>
        <w:t>安全及质量</w:t>
      </w:r>
      <w:r>
        <w:rPr>
          <w:rFonts w:hint="eastAsia" w:asciiTheme="minorEastAsia" w:hAnsiTheme="minorEastAsia" w:eastAsiaTheme="minorEastAsia" w:cstheme="minorEastAsia"/>
          <w:color w:val="auto"/>
          <w:sz w:val="21"/>
          <w:szCs w:val="22"/>
          <w:highlight w:val="cyan"/>
        </w:rPr>
        <w:t>重大问题“熔断机制”情形的，其投标将被否决。即使投标人在投标截止日尚不存在上述情况，但在中标通知书到达之日前，出现上述情况的，招标人亦有权取消其中标资格。</w:t>
      </w:r>
    </w:p>
    <w:p>
      <w:pPr>
        <w:tabs>
          <w:tab w:val="left" w:pos="1134"/>
        </w:tabs>
        <w:wordWrap w:val="0"/>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rPr>
        <w:t>7）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r>
        <w:rPr>
          <w:rFonts w:hint="eastAsia" w:asciiTheme="minorEastAsia" w:hAnsiTheme="minorEastAsia" w:eastAsiaTheme="minorEastAsia" w:cstheme="minorEastAsia"/>
          <w:color w:val="000000" w:themeColor="text1"/>
          <w:sz w:val="21"/>
          <w:szCs w:val="22"/>
          <w:highlight w:val="cyan"/>
          <w:lang w:eastAsia="zh-C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lang w:eastAsia="zh-CN" w:bidi="ar"/>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lang w:val="en-US" w:eastAsia="zh-CN"/>
        </w:rPr>
        <w:t>8</w:t>
      </w:r>
      <w:r>
        <w:rPr>
          <w:rFonts w:hint="eastAsia" w:asciiTheme="minorEastAsia" w:hAnsiTheme="minorEastAsia" w:eastAsiaTheme="minorEastAsia" w:cstheme="minorEastAsia"/>
          <w:color w:val="auto"/>
          <w:sz w:val="21"/>
          <w:szCs w:val="22"/>
          <w:highlight w:val="cyan"/>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r>
        <w:rPr>
          <w:rFonts w:hint="eastAsia" w:asciiTheme="minorEastAsia" w:hAnsiTheme="minorEastAsia" w:eastAsiaTheme="minorEastAsia" w:cstheme="minorEastAsia"/>
          <w:color w:val="000000" w:themeColor="text1"/>
          <w:sz w:val="21"/>
          <w:szCs w:val="22"/>
          <w:highlight w:val="cyan"/>
          <w:lang w:eastAsia="zh-C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lang w:val="en-US" w:eastAsia="zh-CN"/>
        </w:rPr>
        <w:t>9</w:t>
      </w:r>
      <w:r>
        <w:rPr>
          <w:rFonts w:hint="eastAsia" w:asciiTheme="minorEastAsia" w:hAnsiTheme="minorEastAsia" w:eastAsiaTheme="minorEastAsia" w:cstheme="minorEastAsia"/>
          <w:color w:val="auto"/>
          <w:sz w:val="21"/>
          <w:szCs w:val="22"/>
          <w:highlight w:val="cyan"/>
        </w:rPr>
        <w:t>）外购外协原材料、配套元件和外部委托加工及进口散装的部件应符合本招标技术规范要求。投标人应具备对外购外协原材料、配套元件和外部委托加工及进口散装的部件进行进厂验收所需的检验制度、检测手段和能力，和由材料、元件和部件供应商提供的检测合格证明。原材料组部件管理应当具有可追溯性</w:t>
      </w: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10）投标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11）投标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cyan"/>
          <w:lang w:val="en-US" w:eastAsia="zh-CN"/>
        </w:rPr>
      </w:pPr>
      <w:r>
        <w:rPr>
          <w:rFonts w:hint="eastAsia" w:asciiTheme="minorEastAsia" w:hAnsiTheme="minorEastAsia" w:eastAsiaTheme="minorEastAsia" w:cstheme="minorEastAsia"/>
          <w:color w:val="auto"/>
          <w:sz w:val="21"/>
          <w:szCs w:val="22"/>
          <w:highlight w:val="cyan"/>
        </w:rPr>
        <w:t>（1</w:t>
      </w:r>
      <w:r>
        <w:rPr>
          <w:rFonts w:hint="eastAsia" w:asciiTheme="minorEastAsia" w:hAnsiTheme="minorEastAsia" w:eastAsiaTheme="minorEastAsia" w:cstheme="minorEastAsia"/>
          <w:color w:val="auto"/>
          <w:sz w:val="21"/>
          <w:szCs w:val="22"/>
          <w:highlight w:val="cyan"/>
          <w:lang w:val="en-US" w:eastAsia="zh-CN"/>
        </w:rPr>
        <w:t>2</w:t>
      </w:r>
      <w:r>
        <w:rPr>
          <w:rFonts w:hint="eastAsia" w:asciiTheme="minorEastAsia" w:hAnsiTheme="minorEastAsia" w:eastAsiaTheme="minorEastAsia" w:cstheme="minorEastAsia"/>
          <w:color w:val="auto"/>
          <w:sz w:val="21"/>
          <w:szCs w:val="22"/>
          <w:highlight w:val="cyan"/>
        </w:rPr>
        <w:t>）</w:t>
      </w:r>
      <w:r>
        <w:rPr>
          <w:rFonts w:hint="eastAsia" w:asciiTheme="minorEastAsia" w:hAnsiTheme="minorEastAsia" w:eastAsiaTheme="minorEastAsia" w:cstheme="minorEastAsia"/>
          <w:color w:val="auto"/>
          <w:sz w:val="21"/>
          <w:szCs w:val="22"/>
          <w:highlight w:val="cyan"/>
          <w:lang w:val="en-US" w:eastAsia="zh-CN"/>
        </w:rPr>
        <w:t>其他</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3.6 投标人及其投标产品须满足相应招标货物的专用资格要求如下：</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 xml:space="preserve">3.7 </w:t>
      </w:r>
      <w:r>
        <w:rPr>
          <w:rFonts w:hint="eastAsia" w:asciiTheme="minorEastAsia" w:hAnsiTheme="minorEastAsia" w:eastAsiaTheme="minorEastAsia" w:cstheme="minorEastAsia"/>
          <w:color w:val="000000"/>
          <w:sz w:val="21"/>
          <w:szCs w:val="22"/>
        </w:rPr>
        <w:t>本次</w:t>
      </w:r>
      <w:r>
        <w:rPr>
          <w:rFonts w:hint="eastAsia" w:asciiTheme="minorEastAsia" w:hAnsiTheme="minorEastAsia" w:eastAsiaTheme="minorEastAsia" w:cstheme="minorEastAsia"/>
          <w:color w:val="000000"/>
          <w:sz w:val="21"/>
          <w:szCs w:val="22"/>
          <w:lang w:val="en-US" w:eastAsia="zh-CN"/>
        </w:rPr>
        <w:t>招标</w:t>
      </w:r>
      <w:r>
        <w:rPr>
          <w:rFonts w:hint="eastAsia" w:asciiTheme="minorEastAsia" w:hAnsiTheme="minorEastAsia" w:eastAsiaTheme="minorEastAsia" w:cstheme="minorEastAsia"/>
          <w:color w:val="000000"/>
          <w:sz w:val="21"/>
          <w:szCs w:val="22"/>
        </w:rPr>
        <w:t>不接受投标人委托中介机构或者中间人编制投标文件或代行办理投标事宜</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3.8 各投标人均可就本次招标的部分或全部标包投标。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3.9 其他</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60" w:name="_bookmark5"/>
      <w:bookmarkEnd w:id="60"/>
      <w:bookmarkStart w:id="61" w:name="_Toc23417"/>
      <w:bookmarkStart w:id="62" w:name="_Toc62221758"/>
      <w:bookmarkStart w:id="63" w:name="_Toc62549189"/>
      <w:bookmarkStart w:id="64" w:name="_Toc14214"/>
      <w:bookmarkStart w:id="65" w:name="_Toc5537"/>
      <w:bookmarkStart w:id="66" w:name="_Toc62222574"/>
      <w:bookmarkStart w:id="67" w:name="_Toc5548"/>
      <w:bookmarkStart w:id="68" w:name="_Toc62222026"/>
      <w:bookmarkStart w:id="69" w:name="_Toc31472"/>
      <w:bookmarkStart w:id="70" w:name="_Toc62221467"/>
      <w:bookmarkStart w:id="71" w:name="_Toc32111"/>
      <w:bookmarkStart w:id="72" w:name="_Toc27496"/>
      <w:bookmarkStart w:id="73" w:name="_Toc12685"/>
      <w:bookmarkStart w:id="74" w:name="_Toc9218"/>
      <w:bookmarkStart w:id="75" w:name="_Toc62549133"/>
      <w:bookmarkStart w:id="76" w:name="_Toc408"/>
      <w:r>
        <w:rPr>
          <w:rFonts w:hint="eastAsia" w:ascii="黑体" w:hAnsi="Calibri" w:eastAsia="黑体"/>
          <w:b/>
          <w:color w:val="000000" w:themeColor="text1"/>
          <w:sz w:val="24"/>
          <w:szCs w:val="22"/>
          <w:highlight w:val="none"/>
          <w14:textFill>
            <w14:solidFill>
              <w14:schemeClr w14:val="tx1"/>
            </w14:solidFill>
          </w14:textFill>
        </w:rPr>
        <w:t>4.招标文件的获取</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4.1招标文件（电子文件）免费获取。</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4.2凡有意参加投标者，请于</w:t>
      </w:r>
      <w:r>
        <w:rPr>
          <w:rFonts w:hint="eastAsia" w:asciiTheme="minorEastAsia" w:hAnsiTheme="minorEastAsia" w:eastAsiaTheme="minorEastAsia" w:cstheme="minorEastAsia"/>
          <w:color w:val="FF0000"/>
          <w:lang w:eastAsia="zh-CN"/>
        </w:rPr>
        <w:t>2025年</w:t>
      </w:r>
      <w:r>
        <w:rPr>
          <w:rFonts w:hint="eastAsia" w:asciiTheme="minorEastAsia" w:hAnsiTheme="minorEastAsia" w:eastAsiaTheme="minorEastAsia" w:cstheme="minorEastAsia"/>
          <w:color w:val="FF0000"/>
          <w:lang w:val="en-US" w:eastAsia="zh-CN"/>
        </w:rPr>
        <w:t>06</w:t>
      </w:r>
      <w:r>
        <w:rPr>
          <w:rFonts w:hint="eastAsia" w:asciiTheme="minorEastAsia" w:hAnsiTheme="minorEastAsia" w:eastAsiaTheme="minorEastAsia" w:cstheme="minorEastAsia"/>
          <w:color w:val="FF0000"/>
          <w:lang w:eastAsia="zh-CN"/>
        </w:rPr>
        <w:t>月</w:t>
      </w:r>
      <w:r>
        <w:rPr>
          <w:rFonts w:hint="eastAsia" w:asciiTheme="minorEastAsia" w:hAnsiTheme="minorEastAsia" w:eastAsiaTheme="minorEastAsia" w:cstheme="minorEastAsia"/>
          <w:color w:val="FF0000"/>
          <w:lang w:val="en-US" w:eastAsia="zh-CN"/>
        </w:rPr>
        <w:t>20</w:t>
      </w:r>
      <w:r>
        <w:rPr>
          <w:rFonts w:hint="eastAsia" w:asciiTheme="minorEastAsia" w:hAnsiTheme="minorEastAsia" w:eastAsiaTheme="minorEastAsia" w:cstheme="minorEastAsia"/>
          <w:color w:val="FF0000"/>
          <w:lang w:eastAsia="zh-CN"/>
        </w:rPr>
        <w:t>日</w:t>
      </w:r>
      <w:r>
        <w:rPr>
          <w:rFonts w:hint="eastAsia" w:asciiTheme="minorEastAsia" w:hAnsiTheme="minorEastAsia" w:eastAsiaTheme="minorEastAsia" w:cstheme="minorEastAsia"/>
          <w:color w:val="FF0000"/>
          <w:lang w:val="en-US" w:eastAsia="zh-CN"/>
        </w:rPr>
        <w:t>20</w:t>
      </w:r>
      <w:r>
        <w:rPr>
          <w:rFonts w:hint="eastAsia" w:asciiTheme="minorEastAsia" w:hAnsiTheme="minorEastAsia" w:eastAsiaTheme="minorEastAsia" w:cstheme="minorEastAsia"/>
          <w:color w:val="FF0000"/>
          <w:lang w:eastAsia="zh-CN"/>
        </w:rPr>
        <w:t>:00至2025年</w:t>
      </w:r>
      <w:r>
        <w:rPr>
          <w:rFonts w:hint="eastAsia" w:asciiTheme="minorEastAsia" w:hAnsiTheme="minorEastAsia" w:eastAsiaTheme="minorEastAsia" w:cstheme="minorEastAsia"/>
          <w:color w:val="FF0000"/>
          <w:lang w:val="en-US" w:eastAsia="zh-CN"/>
        </w:rPr>
        <w:t>06</w:t>
      </w:r>
      <w:r>
        <w:rPr>
          <w:rFonts w:hint="eastAsia" w:asciiTheme="minorEastAsia" w:hAnsiTheme="minorEastAsia" w:eastAsiaTheme="minorEastAsia" w:cstheme="minorEastAsia"/>
          <w:color w:val="FF0000"/>
          <w:lang w:eastAsia="zh-CN"/>
        </w:rPr>
        <w:t>月</w:t>
      </w:r>
      <w:r>
        <w:rPr>
          <w:rFonts w:hint="eastAsia" w:asciiTheme="minorEastAsia" w:hAnsiTheme="minorEastAsia" w:eastAsiaTheme="minorEastAsia" w:cstheme="minorEastAsia"/>
          <w:color w:val="FF0000"/>
          <w:lang w:val="en-US" w:eastAsia="zh-CN"/>
        </w:rPr>
        <w:t>26</w:t>
      </w:r>
      <w:r>
        <w:rPr>
          <w:rFonts w:hint="eastAsia" w:asciiTheme="minorEastAsia" w:hAnsiTheme="minorEastAsia" w:eastAsiaTheme="minorEastAsia" w:cstheme="minorEastAsia"/>
          <w:color w:val="FF0000"/>
          <w:lang w:eastAsia="zh-CN"/>
        </w:rPr>
        <w:t>日00:00前</w:t>
      </w:r>
      <w:r>
        <w:rPr>
          <w:rFonts w:hint="eastAsia" w:asciiTheme="minorEastAsia" w:hAnsiTheme="minorEastAsia" w:eastAsiaTheme="minorEastAsia" w:cstheme="minorEastAsia"/>
        </w:rPr>
        <w:t>，登陆国家电网公司电子商务平台-电工交易专区（https://sgccetp.com.cn/，以下简称：电工交易专区）注册并办理CA证书电子钥匙方可获取招标文件，电子钥匙的办理需要一定的时间，请潜在投标人高度重视。由于没有及时办理电子钥匙导致获取招标文件失败，后果由潜在投标人自行承担。</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4.3供应商登录国家电网公司电子商务平台-电工交易专区平台主页：https://sgccetp.com.cn/，点击【注册】链接进入注册，选择供应商身份进行注册，注册后将于一个工作日内完成审核。审核通过后，供应商需登录系统，完成填写其他信息并保存后可以参与相应业务。</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登录账号说明：（一证注册：“统一社会信用代码”作为账号；三证注册：“组织结构代码”作为账号），使用密码和手机号验证码(或电子钥匙PIN码)登录系统。</w:t>
      </w:r>
      <w:r>
        <w:rPr>
          <w:rFonts w:hint="eastAsia" w:asciiTheme="minorEastAsia" w:hAnsiTheme="minorEastAsia" w:eastAsiaTheme="minorEastAsia" w:cstheme="minorEastAsia"/>
          <w:color w:val="FF0000"/>
        </w:rPr>
        <w:t>快速办理国网电子钥匙的过程中如遇到问题，请致电：4009915500。技术支持服务电话：010-63411000转2，</w:t>
      </w:r>
      <w:r>
        <w:rPr>
          <w:rFonts w:hint="eastAsia" w:asciiTheme="minorEastAsia" w:hAnsiTheme="minorEastAsia" w:eastAsiaTheme="minorEastAsia" w:cstheme="minorEastAsia"/>
        </w:rPr>
        <w:t>投标人应妥善保管电子商务平台账号和密码，因上述账号或密码保管不当造成的损失，由投标人自行承担。</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4.4关于国网天津市电力公司供应商注册国网新一代电子商务平台的提示：注册地址：https://sgccetp.com.cn/isc/registerchoice.html推荐使用浏览器详见该平台。</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注意：1、已有ECP2.0电子钥匙的供应商，可不重新办理电子钥匙（具体事宜咨询技术支持服务热线010-63411000转2）。</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2、已有ECP2.0账号的供应商，须注册电工交易专区账号（账号不通用），请尽快办理。</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3、原没有电子钥匙的办理新电子钥匙也需要一定时间，请尽快办理，以免影响投标。</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温馨提示：所有潜在供应商应登录国网电子商务平台-电工交易专区首页，仔细阅读公告内容或登录https://sgccetp.com.cn/，详细观看新手指南中演示视频，以免影响供应商参与投标，避免出现因操作问题导致电子文件上传不成功或解密失败的风险。</w:t>
      </w:r>
    </w:p>
    <w:p>
      <w:pPr>
        <w:tabs>
          <w:tab w:val="left" w:pos="1134"/>
        </w:tabs>
        <w:adjustRightInd w:val="0"/>
        <w:snapToGrid w:val="0"/>
        <w:spacing w:line="360" w:lineRule="auto"/>
        <w:ind w:firstLine="420"/>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4.5未按照上述要求获取招标文件的投标，招标人将不予受理。</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77" w:name="_bookmark6"/>
      <w:bookmarkEnd w:id="77"/>
      <w:bookmarkStart w:id="78" w:name="_Toc62221468"/>
      <w:bookmarkStart w:id="79" w:name="_Toc21329"/>
      <w:bookmarkStart w:id="80" w:name="_Toc27799"/>
      <w:bookmarkStart w:id="81" w:name="_Toc9876"/>
      <w:bookmarkStart w:id="82" w:name="_Toc62221759"/>
      <w:bookmarkStart w:id="83" w:name="_Toc62222575"/>
      <w:bookmarkStart w:id="84" w:name="_Toc62222027"/>
      <w:bookmarkStart w:id="85" w:name="_Toc4187"/>
      <w:bookmarkStart w:id="86" w:name="_Toc62549134"/>
      <w:bookmarkStart w:id="87" w:name="_Toc16643"/>
      <w:bookmarkStart w:id="88" w:name="_Toc1043"/>
      <w:bookmarkStart w:id="89" w:name="_Toc2608"/>
      <w:bookmarkStart w:id="90" w:name="_Toc1152"/>
      <w:bookmarkStart w:id="91" w:name="_Toc3269"/>
      <w:bookmarkStart w:id="92" w:name="_Toc62549190"/>
      <w:bookmarkStart w:id="93" w:name="_Toc28817"/>
      <w:r>
        <w:rPr>
          <w:rFonts w:hint="eastAsia" w:ascii="黑体" w:hAnsi="Calibri" w:eastAsia="黑体"/>
          <w:b/>
          <w:color w:val="000000" w:themeColor="text1"/>
          <w:sz w:val="24"/>
          <w:szCs w:val="22"/>
          <w:highlight w:val="none"/>
          <w14:textFill>
            <w14:solidFill>
              <w14:schemeClr w14:val="tx1"/>
            </w14:solidFill>
          </w14:textFill>
        </w:rPr>
        <w:t>5.投标文件的</w:t>
      </w:r>
      <w:bookmarkEnd w:id="78"/>
      <w:bookmarkEnd w:id="79"/>
      <w:bookmarkEnd w:id="80"/>
      <w:bookmarkEnd w:id="81"/>
      <w:bookmarkEnd w:id="82"/>
      <w:bookmarkEnd w:id="83"/>
      <w:bookmarkEnd w:id="84"/>
      <w:bookmarkEnd w:id="85"/>
      <w:r>
        <w:rPr>
          <w:rFonts w:hint="eastAsia" w:ascii="黑体" w:hAnsi="Calibri" w:eastAsia="黑体"/>
          <w:b/>
          <w:color w:val="000000" w:themeColor="text1"/>
          <w:sz w:val="24"/>
          <w:szCs w:val="22"/>
          <w:highlight w:val="none"/>
          <w14:textFill>
            <w14:solidFill>
              <w14:schemeClr w14:val="tx1"/>
            </w14:solidFill>
          </w14:textFill>
        </w:rPr>
        <w:t>提交</w:t>
      </w:r>
      <w:bookmarkEnd w:id="86"/>
      <w:bookmarkEnd w:id="87"/>
      <w:bookmarkEnd w:id="88"/>
      <w:bookmarkEnd w:id="89"/>
      <w:bookmarkEnd w:id="90"/>
      <w:bookmarkEnd w:id="91"/>
      <w:bookmarkEnd w:id="92"/>
      <w:bookmarkEnd w:id="93"/>
    </w:p>
    <w:p>
      <w:pPr>
        <w:adjustRightInd w:val="0"/>
        <w:snapToGrid w:val="0"/>
        <w:spacing w:line="360" w:lineRule="auto"/>
        <w:ind w:firstLine="525" w:firstLineChars="250"/>
        <w:rPr>
          <w:rFonts w:hint="eastAsia" w:asciiTheme="minorEastAsia" w:hAnsiTheme="minorEastAsia" w:eastAsiaTheme="minorEastAsia" w:cstheme="minorEastAsia"/>
          <w:color w:val="000000"/>
          <w:sz w:val="21"/>
          <w:szCs w:val="21"/>
        </w:rPr>
      </w:pPr>
      <w:bookmarkStart w:id="94" w:name="_bookmark7"/>
      <w:bookmarkEnd w:id="94"/>
      <w:bookmarkStart w:id="95" w:name="_MON_1697628392"/>
      <w:bookmarkEnd w:id="95"/>
      <w:r>
        <w:rPr>
          <w:rFonts w:hint="eastAsia" w:asciiTheme="minorEastAsia" w:hAnsiTheme="minorEastAsia" w:eastAsiaTheme="minorEastAsia" w:cstheme="minorEastAsia"/>
          <w:color w:val="000000"/>
          <w:sz w:val="21"/>
          <w:szCs w:val="21"/>
        </w:rPr>
        <w:t>5.1投标文件递交的截止时间（投标截止时间，下同）为</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上午9: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color w:val="000000"/>
          <w:sz w:val="21"/>
          <w:szCs w:val="21"/>
        </w:rPr>
        <w:t>，所有投标文件应当在递交截止时间前递交（提交）。</w:t>
      </w:r>
    </w:p>
    <w:p>
      <w:pPr>
        <w:adjustRightInd w:val="0"/>
        <w:snapToGrid w:val="0"/>
        <w:spacing w:line="360" w:lineRule="auto"/>
        <w:ind w:firstLine="525" w:firstLineChars="25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5.2本次投标文件递交方式采用</w:t>
      </w:r>
      <w:r>
        <w:rPr>
          <w:rFonts w:hint="eastAsia" w:asciiTheme="minorEastAsia" w:hAnsiTheme="minorEastAsia" w:eastAsiaTheme="minorEastAsia" w:cstheme="minorEastAsia"/>
          <w:b/>
          <w:color w:val="000000"/>
          <w:sz w:val="21"/>
          <w:szCs w:val="21"/>
        </w:rPr>
        <w:t>上传加密版电子投标文件</w:t>
      </w:r>
      <w:r>
        <w:rPr>
          <w:rFonts w:hint="eastAsia" w:asciiTheme="minorEastAsia" w:hAnsiTheme="minorEastAsia" w:eastAsiaTheme="minorEastAsia" w:cstheme="minorEastAsia"/>
          <w:color w:val="000000"/>
          <w:sz w:val="21"/>
          <w:szCs w:val="21"/>
        </w:rPr>
        <w:t>到</w:t>
      </w:r>
      <w:r>
        <w:rPr>
          <w:rFonts w:hint="eastAsia" w:asciiTheme="minorEastAsia" w:hAnsiTheme="minorEastAsia" w:eastAsiaTheme="minorEastAsia" w:cstheme="minorEastAsia"/>
          <w:b/>
          <w:bCs/>
          <w:color w:val="000000"/>
          <w:sz w:val="21"/>
          <w:szCs w:val="21"/>
        </w:rPr>
        <w:t>指定云盘</w:t>
      </w:r>
      <w:r>
        <w:rPr>
          <w:rFonts w:hint="eastAsia" w:asciiTheme="minorEastAsia" w:hAnsiTheme="minorEastAsia" w:eastAsiaTheme="minorEastAsia" w:cstheme="minorEastAsia"/>
          <w:color w:val="000000"/>
          <w:sz w:val="21"/>
          <w:szCs w:val="21"/>
        </w:rPr>
        <w:t>的方式，不接受现场递交。</w:t>
      </w:r>
    </w:p>
    <w:p>
      <w:pPr>
        <w:widowControl/>
        <w:adjustRightInd w:val="0"/>
        <w:spacing w:line="360" w:lineRule="auto"/>
        <w:ind w:firstLine="424" w:firstLineChars="202"/>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（一）</w:t>
      </w:r>
      <w:r>
        <w:rPr>
          <w:rFonts w:hint="eastAsia" w:asciiTheme="minorEastAsia" w:hAnsiTheme="minorEastAsia" w:eastAsiaTheme="minorEastAsia" w:cstheme="minorEastAsia"/>
          <w:sz w:val="21"/>
          <w:szCs w:val="21"/>
        </w:rPr>
        <w:t>发送加密电子版投标文件至指定云盘方式</w:t>
      </w:r>
      <w:r>
        <w:rPr>
          <w:rFonts w:hint="eastAsia" w:asciiTheme="minorEastAsia" w:hAnsiTheme="minorEastAsia" w:eastAsiaTheme="minorEastAsia" w:cstheme="minorEastAsia"/>
          <w:color w:val="000000"/>
          <w:sz w:val="21"/>
          <w:szCs w:val="21"/>
        </w:rPr>
        <w:t>：</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w:t>
      </w:r>
      <w:r>
        <w:rPr>
          <w:rFonts w:hint="eastAsia" w:asciiTheme="minorEastAsia" w:hAnsiTheme="minorEastAsia" w:eastAsiaTheme="minorEastAsia" w:cstheme="minorEastAsia"/>
          <w:sz w:val="21"/>
          <w:szCs w:val="21"/>
        </w:rPr>
        <w:t>电子投标文件发送时间</w:t>
      </w:r>
      <w:r>
        <w:rPr>
          <w:rFonts w:hint="eastAsia" w:asciiTheme="minorEastAsia" w:hAnsiTheme="minorEastAsia" w:eastAsiaTheme="minorEastAsia" w:cstheme="minorEastAsia"/>
          <w:color w:val="000000"/>
          <w:sz w:val="21"/>
          <w:szCs w:val="21"/>
        </w:rPr>
        <w:t>：投标人于</w:t>
      </w:r>
      <w:r>
        <w:rPr>
          <w:rFonts w:hint="eastAsia" w:asciiTheme="minorEastAsia" w:hAnsiTheme="minorEastAsia" w:eastAsiaTheme="minorEastAsia" w:cstheme="minorEastAsia"/>
          <w:sz w:val="21"/>
          <w:szCs w:val="21"/>
          <w:lang w:eastAsia="zh-CN"/>
        </w:rPr>
        <w:t>2025年07月14日</w:t>
      </w:r>
      <w:r>
        <w:rPr>
          <w:rFonts w:hint="eastAsia" w:asciiTheme="minorEastAsia" w:hAnsiTheme="minorEastAsia" w:eastAsiaTheme="minorEastAsia" w:cstheme="minorEastAsia"/>
          <w:sz w:val="21"/>
          <w:szCs w:val="21"/>
        </w:rPr>
        <w:t>09:</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0前，</w:t>
      </w:r>
      <w:r>
        <w:rPr>
          <w:rFonts w:hint="eastAsia" w:asciiTheme="minorEastAsia" w:hAnsiTheme="minorEastAsia" w:eastAsiaTheme="minorEastAsia" w:cstheme="minorEastAsia"/>
          <w:color w:val="000000"/>
          <w:sz w:val="21"/>
          <w:szCs w:val="21"/>
        </w:rPr>
        <w:t>将加密版投标文件发送</w:t>
      </w:r>
      <w:r>
        <w:rPr>
          <w:rFonts w:hint="eastAsia" w:asciiTheme="minorEastAsia" w:hAnsiTheme="minorEastAsia" w:eastAsiaTheme="minorEastAsia" w:cstheme="minorEastAsia"/>
          <w:sz w:val="21"/>
          <w:szCs w:val="21"/>
        </w:rPr>
        <w:t>至</w:t>
      </w:r>
    </w:p>
    <w:p>
      <w:pPr>
        <w:adjustRightInd w:val="0"/>
        <w:snapToGrid w:val="0"/>
        <w:spacing w:line="360" w:lineRule="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u w:val="single"/>
          <w:lang w:eastAsia="zh-CN"/>
        </w:rPr>
        <w:t>https://v2.fangcloud.com/collection/9de105291a4c55889503ece06a12acdb</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商务、技术和开标文件均</w:t>
      </w:r>
      <w:r>
        <w:rPr>
          <w:rFonts w:hint="eastAsia" w:asciiTheme="minorEastAsia" w:hAnsiTheme="minorEastAsia" w:eastAsiaTheme="minorEastAsia" w:cstheme="minorEastAsia"/>
          <w:sz w:val="21"/>
          <w:szCs w:val="21"/>
        </w:rPr>
        <w:t>须为已签字盖章版彩色扫描件</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PDF格式，开标文件需另附一份可编辑</w:t>
      </w:r>
      <w:r>
        <w:rPr>
          <w:rFonts w:hint="eastAsia" w:asciiTheme="minorEastAsia" w:hAnsiTheme="minorEastAsia" w:eastAsiaTheme="minorEastAsia" w:cstheme="minorEastAsia"/>
          <w:sz w:val="21"/>
          <w:szCs w:val="21"/>
          <w:lang w:val="en-US" w:eastAsia="zh-CN"/>
        </w:rPr>
        <w:t>Word</w:t>
      </w:r>
      <w:r>
        <w:rPr>
          <w:rFonts w:hint="eastAsia" w:asciiTheme="minorEastAsia" w:hAnsiTheme="minorEastAsia" w:eastAsiaTheme="minorEastAsia" w:cstheme="minorEastAsia"/>
          <w:sz w:val="21"/>
          <w:szCs w:val="21"/>
        </w:rPr>
        <w:t>版，经压缩后</w:t>
      </w:r>
      <w:r>
        <w:rPr>
          <w:rFonts w:hint="eastAsia" w:asciiTheme="minorEastAsia" w:hAnsiTheme="minorEastAsia" w:eastAsiaTheme="minorEastAsia" w:cstheme="minorEastAsia"/>
          <w:sz w:val="21"/>
          <w:szCs w:val="21"/>
          <w:lang w:val="en-US" w:eastAsia="zh-CN"/>
        </w:rPr>
        <w:t>一并</w:t>
      </w:r>
      <w:r>
        <w:rPr>
          <w:rFonts w:hint="eastAsia" w:asciiTheme="minorEastAsia" w:hAnsiTheme="minorEastAsia" w:eastAsiaTheme="minorEastAsia" w:cstheme="minorEastAsia"/>
          <w:sz w:val="21"/>
          <w:szCs w:val="21"/>
        </w:rPr>
        <w:t>发送）</w:t>
      </w: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color w:val="FF0000"/>
          <w:sz w:val="21"/>
          <w:szCs w:val="21"/>
        </w:rPr>
        <w:t>命名方式：</w:t>
      </w:r>
      <w:r>
        <w:rPr>
          <w:rFonts w:asciiTheme="minorEastAsia" w:hAnsiTheme="minorEastAsia" w:eastAsiaTheme="minorEastAsia" w:cstheme="minorEastAsia"/>
          <w:color w:val="FF0000"/>
          <w:szCs w:val="21"/>
        </w:rPr>
        <w:t>“</w:t>
      </w:r>
      <w:r>
        <w:rPr>
          <w:rFonts w:hint="eastAsia" w:asciiTheme="minorEastAsia" w:hAnsiTheme="minorEastAsia" w:eastAsiaTheme="minorEastAsia" w:cstheme="minorEastAsia"/>
          <w:color w:val="FF0000"/>
          <w:sz w:val="21"/>
          <w:szCs w:val="21"/>
        </w:rPr>
        <w:t>分标编号+投标人公司全称+批次名称</w:t>
      </w:r>
      <w:r>
        <w:rPr>
          <w:rFonts w:asciiTheme="minorEastAsia" w:hAnsiTheme="minorEastAsia" w:eastAsiaTheme="minorEastAsia" w:cstheme="minorEastAsia"/>
          <w:color w:val="FF0000"/>
          <w:szCs w:val="21"/>
        </w:rPr>
        <w:t>”，邮件名称不得更改！</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供应商基本信息收集表（excel）请投标人于</w:t>
      </w:r>
      <w:r>
        <w:rPr>
          <w:rFonts w:hint="eastAsia" w:asciiTheme="minorEastAsia" w:hAnsiTheme="minorEastAsia" w:eastAsiaTheme="minorEastAsia" w:cstheme="minorEastAsia"/>
          <w:sz w:val="21"/>
          <w:szCs w:val="21"/>
          <w:lang w:eastAsia="zh-CN"/>
        </w:rPr>
        <w:t>2025年07月14日</w:t>
      </w:r>
      <w:r>
        <w:rPr>
          <w:rFonts w:hint="eastAsia" w:asciiTheme="minorEastAsia" w:hAnsiTheme="minorEastAsia" w:eastAsiaTheme="minorEastAsia" w:cstheme="minorEastAsia"/>
          <w:sz w:val="21"/>
          <w:szCs w:val="21"/>
        </w:rPr>
        <w:t>09:</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0前单加密发送至：</w:t>
      </w:r>
    </w:p>
    <w:p>
      <w:pPr>
        <w:adjustRightInd w:val="0"/>
        <w:snapToGrid w:val="0"/>
        <w:spacing w:line="360" w:lineRule="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"https://v2.fangcloud.com/collection/4e06c0acc431a96e4ab70bc960a31dbd（投标人须将企业基本信息填入，纸质文件不需提供，并确保表中信息与投标文件中相关证明材料信息一致）" </w:instrText>
      </w:r>
      <w:r>
        <w:rPr>
          <w:rFonts w:hint="eastAsia" w:asciiTheme="minorEastAsia" w:hAnsiTheme="minorEastAsia" w:eastAsiaTheme="minorEastAsia" w:cstheme="minorEastAsia"/>
          <w:sz w:val="21"/>
          <w:szCs w:val="21"/>
        </w:rPr>
        <w:fldChar w:fldCharType="separate"/>
      </w:r>
      <w:r>
        <w:rPr>
          <w:rFonts w:hint="eastAsia"/>
          <w:highlight w:val="yellow"/>
          <w:u w:val="single"/>
        </w:rPr>
        <w:t>https://v2.fangcloud.com/collection/c231921f036b1d97456352286057705c</w:t>
      </w:r>
      <w:r>
        <w:rPr>
          <w:rStyle w:val="11"/>
          <w:rFonts w:hint="eastAsia" w:asciiTheme="minorEastAsia" w:hAnsiTheme="minorEastAsia" w:eastAsiaTheme="minorEastAsia" w:cstheme="minorEastAsia"/>
          <w:color w:val="FF0000"/>
          <w:sz w:val="21"/>
          <w:szCs w:val="21"/>
          <w:u w:val="none"/>
        </w:rPr>
        <w:t>（投标人须将企业基本信息填入，纸质文件不需提供，并确保表中信息与投标文件中相关证明材料信息一致）</w:t>
      </w:r>
      <w:r>
        <w:rPr>
          <w:rStyle w:val="11"/>
          <w:rFonts w:hint="eastAsia" w:asciiTheme="minorEastAsia" w:hAnsiTheme="minorEastAsia" w:eastAsiaTheme="minorEastAsia" w:cstheme="minorEastAsia"/>
          <w:color w:val="FF0000"/>
          <w:sz w:val="21"/>
          <w:szCs w:val="21"/>
          <w:u w:val="none"/>
        </w:rPr>
        <w:fldChar w:fldCharType="end"/>
      </w:r>
    </w:p>
    <w:p>
      <w:pPr>
        <w:pStyle w:val="7"/>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w:t>
      </w:r>
      <w:r>
        <w:rPr>
          <w:rFonts w:hint="eastAsia" w:asciiTheme="minorEastAsia" w:hAnsiTheme="minorEastAsia" w:eastAsiaTheme="minorEastAsia" w:cstheme="minorEastAsia"/>
          <w:kern w:val="2"/>
          <w:sz w:val="21"/>
          <w:szCs w:val="21"/>
          <w:lang w:val="en-US" w:eastAsia="zh-CN" w:bidi="ar-SA"/>
        </w:rPr>
        <w:t>投标人于投标截止时间后30分钟内将</w:t>
      </w:r>
      <w:r>
        <w:rPr>
          <w:rFonts w:hint="eastAsia" w:asciiTheme="minorEastAsia" w:hAnsiTheme="minorEastAsia" w:eastAsiaTheme="minorEastAsia" w:cstheme="minorEastAsia"/>
          <w:b/>
          <w:bCs/>
          <w:color w:val="FF0000"/>
          <w:kern w:val="2"/>
          <w:sz w:val="21"/>
          <w:szCs w:val="21"/>
          <w:lang w:val="en-US" w:eastAsia="zh-CN" w:bidi="ar-SA"/>
        </w:rPr>
        <w:t>解密密码</w:t>
      </w:r>
      <w:r>
        <w:rPr>
          <w:rFonts w:hint="eastAsia" w:asciiTheme="minorEastAsia" w:hAnsiTheme="minorEastAsia" w:eastAsiaTheme="minorEastAsia" w:cstheme="minorEastAsia"/>
          <w:kern w:val="2"/>
          <w:sz w:val="21"/>
          <w:szCs w:val="21"/>
          <w:lang w:val="en-US" w:eastAsia="zh-CN" w:bidi="ar-SA"/>
        </w:rPr>
        <w:t>文件发至</w:t>
      </w:r>
      <w:r>
        <w:rPr>
          <w:rFonts w:hint="eastAsia" w:asciiTheme="minorEastAsia" w:hAnsiTheme="minorEastAsia" w:eastAsiaTheme="minorEastAsia" w:cstheme="minorEastAsia"/>
          <w:sz w:val="21"/>
          <w:szCs w:val="21"/>
          <w:u w:val="single"/>
          <w:lang w:eastAsia="zh-CN"/>
        </w:rPr>
        <w:t>https://v2.fangcloud.com/collection/71ac32c4b221cebb582e31f4e3aaabb9</w:t>
      </w:r>
      <w:r>
        <w:rPr>
          <w:rFonts w:hint="eastAsia" w:asciiTheme="minorEastAsia" w:hAnsiTheme="minorEastAsia" w:eastAsiaTheme="minorEastAsia" w:cstheme="minorEastAsia"/>
          <w:color w:val="FF0000"/>
          <w:sz w:val="21"/>
          <w:szCs w:val="21"/>
        </w:rPr>
        <w:t>上传云盘</w:t>
      </w:r>
      <w:r>
        <w:rPr>
          <w:rFonts w:hint="eastAsia" w:asciiTheme="minorEastAsia" w:hAnsiTheme="minorEastAsia" w:eastAsiaTheme="minorEastAsia" w:cstheme="minorEastAsia"/>
          <w:sz w:val="21"/>
          <w:szCs w:val="21"/>
        </w:rPr>
        <w:t>解密密码文件时</w:t>
      </w:r>
      <w:r>
        <w:rPr>
          <w:rFonts w:hint="eastAsia" w:asciiTheme="minorEastAsia" w:hAnsiTheme="minorEastAsia" w:eastAsiaTheme="minorEastAsia" w:cstheme="minorEastAsia"/>
          <w:color w:val="FF0000"/>
          <w:sz w:val="21"/>
          <w:szCs w:val="21"/>
        </w:rPr>
        <w:t>，【请留下你的姓名作为文件标识】填写格式为：投标人全称XXX，名称不得更改！解密密码格式为六位数字。</w:t>
      </w:r>
    </w:p>
    <w:p>
      <w:p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如到开标截止时间，电子版文件已按要求发送至云盘，且解密密码已按要求发送至云盘的，视为已递交。</w:t>
      </w:r>
    </w:p>
    <w:p>
      <w:p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下列情况招标人不予受理，按投标人未递交文件处理：</w:t>
      </w:r>
    </w:p>
    <w:p>
      <w:pPr>
        <w:numPr>
          <w:ilvl w:val="0"/>
          <w:numId w:val="1"/>
        </w:num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如到开标截止时间，加密版电子文件未发送至云盘的；</w:t>
      </w:r>
    </w:p>
    <w:p>
      <w:pPr>
        <w:numPr>
          <w:ilvl w:val="0"/>
          <w:numId w:val="1"/>
        </w:num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投标人逾期发送解密密码或密码错误的。</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color w:val="FFFF00"/>
          <w:sz w:val="21"/>
          <w:szCs w:val="21"/>
          <w:highlight w:val="red"/>
        </w:rPr>
        <w:t>如需替换投标文件，请在投标文件递交截止时间前重新上传至指定网址（截止时间</w:t>
      </w:r>
      <w:r>
        <w:rPr>
          <w:rFonts w:hint="eastAsia" w:asciiTheme="minorEastAsia" w:hAnsiTheme="minorEastAsia" w:eastAsiaTheme="minorEastAsia" w:cstheme="minorEastAsia"/>
          <w:color w:val="FFFF00"/>
          <w:sz w:val="21"/>
          <w:szCs w:val="21"/>
          <w:highlight w:val="red"/>
          <w:lang w:eastAsia="zh-CN"/>
        </w:rPr>
        <w:t>2025年07月14日</w:t>
      </w:r>
      <w:r>
        <w:rPr>
          <w:rFonts w:hint="eastAsia" w:asciiTheme="minorEastAsia" w:hAnsiTheme="minorEastAsia" w:eastAsiaTheme="minorEastAsia" w:cstheme="minorEastAsia"/>
          <w:color w:val="FFFF00"/>
          <w:sz w:val="21"/>
          <w:szCs w:val="21"/>
          <w:highlight w:val="red"/>
        </w:rPr>
        <w:t>上午09:</w:t>
      </w:r>
      <w:r>
        <w:rPr>
          <w:rFonts w:hint="eastAsia" w:asciiTheme="minorEastAsia" w:hAnsiTheme="minorEastAsia" w:eastAsiaTheme="minorEastAsia" w:cstheme="minorEastAsia"/>
          <w:color w:val="FFFF00"/>
          <w:sz w:val="21"/>
          <w:szCs w:val="21"/>
          <w:highlight w:val="red"/>
          <w:lang w:val="en-US" w:eastAsia="zh-CN"/>
        </w:rPr>
        <w:t>0</w:t>
      </w:r>
      <w:r>
        <w:rPr>
          <w:rFonts w:hint="eastAsia" w:asciiTheme="minorEastAsia" w:hAnsiTheme="minorEastAsia" w:eastAsiaTheme="minorEastAsia" w:cstheme="minorEastAsia"/>
          <w:color w:val="FFFF00"/>
          <w:sz w:val="21"/>
          <w:szCs w:val="21"/>
          <w:highlight w:val="red"/>
        </w:rPr>
        <w:t>0），且所上传电子版名称中注明“以此版为准”。</w:t>
      </w:r>
      <w:r>
        <w:rPr>
          <w:rFonts w:hint="eastAsia" w:asciiTheme="minorEastAsia" w:hAnsiTheme="minorEastAsia" w:eastAsiaTheme="minorEastAsia" w:cstheme="minorEastAsia"/>
          <w:sz w:val="21"/>
          <w:szCs w:val="21"/>
        </w:rPr>
        <w:t>投标人递交两份或多份内容不同的投标文件，且未声明哪一个为最终版本的，代理机构将以投标人在投标截止时间前最后上传指定网址的投标文件作为最终投标文件进行评审，对因此给投标人成功投标及中标带来的潜在风险和不利后果，由投标人自行承担。</w:t>
      </w:r>
    </w:p>
    <w:p>
      <w:pPr>
        <w:spacing w:line="360" w:lineRule="auto"/>
        <w:ind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color w:val="CC0000"/>
          <w:kern w:val="0"/>
          <w:sz w:val="21"/>
          <w:szCs w:val="21"/>
        </w:rPr>
        <w:t>（二）</w:t>
      </w:r>
      <w:r>
        <w:rPr>
          <w:rFonts w:hint="eastAsia" w:asciiTheme="minorEastAsia" w:hAnsiTheme="minorEastAsia" w:eastAsiaTheme="minorEastAsia" w:cstheme="minorEastAsia"/>
          <w:b/>
          <w:bCs/>
          <w:color w:val="FF0000"/>
          <w:sz w:val="21"/>
          <w:szCs w:val="21"/>
        </w:rPr>
        <w:t>电子商务平台-电工交易专区报价、资质文件上传要求</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sz w:val="21"/>
          <w:szCs w:val="21"/>
        </w:rPr>
        <w:t>投标截止时间为</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sz w:val="21"/>
          <w:szCs w:val="21"/>
        </w:rPr>
        <w:t>，电子版文件（包含商务投标文件、技术投标文件、开标文件）应于</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sz w:val="21"/>
          <w:szCs w:val="21"/>
        </w:rPr>
        <w:t>前</w:t>
      </w:r>
      <w:r>
        <w:rPr>
          <w:rFonts w:hint="eastAsia" w:asciiTheme="minorEastAsia" w:hAnsiTheme="minorEastAsia" w:eastAsiaTheme="minorEastAsia" w:cstheme="minorEastAsia"/>
          <w:color w:val="FFFF00"/>
          <w:sz w:val="21"/>
          <w:szCs w:val="21"/>
          <w:highlight w:val="red"/>
        </w:rPr>
        <w:t>利用离线投标工具上传至电子商务平台-电工交易专区</w:t>
      </w:r>
      <w:r>
        <w:rPr>
          <w:rFonts w:hint="eastAsia" w:asciiTheme="minorEastAsia" w:hAnsiTheme="minorEastAsia" w:eastAsiaTheme="minorEastAsia" w:cstheme="minorEastAsia"/>
          <w:sz w:val="21"/>
          <w:szCs w:val="21"/>
        </w:rPr>
        <w:t>。（注：技术、商务端口上传相应投标文件目录即可，报价文件端口上传完整报价文件，资质业绩端口无需上传文件）</w:t>
      </w:r>
    </w:p>
    <w:p>
      <w:pPr>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96" w:name="_Toc62221760"/>
      <w:bookmarkStart w:id="97" w:name="_Toc62221469"/>
      <w:bookmarkStart w:id="98" w:name="_Toc4653"/>
      <w:bookmarkStart w:id="99" w:name="_Toc673"/>
      <w:bookmarkStart w:id="100" w:name="_Toc62222576"/>
      <w:bookmarkStart w:id="101" w:name="_Toc19693"/>
      <w:bookmarkStart w:id="102" w:name="_Toc62222028"/>
      <w:bookmarkStart w:id="103" w:name="_Toc3280"/>
      <w:bookmarkStart w:id="104" w:name="_Toc24960"/>
      <w:bookmarkStart w:id="105" w:name="_Toc1708"/>
      <w:bookmarkStart w:id="106" w:name="_Toc19827"/>
      <w:bookmarkStart w:id="107" w:name="_Toc3709"/>
      <w:bookmarkStart w:id="108" w:name="_Toc13549"/>
      <w:bookmarkStart w:id="109" w:name="_Toc29315"/>
      <w:bookmarkStart w:id="110" w:name="_Toc62549135"/>
      <w:bookmarkStart w:id="111" w:name="_Toc62549191"/>
      <w:r>
        <w:rPr>
          <w:rFonts w:hint="eastAsia" w:ascii="黑体" w:hAnsi="Calibri" w:eastAsia="黑体"/>
          <w:b/>
          <w:color w:val="000000" w:themeColor="text1"/>
          <w:sz w:val="24"/>
          <w:szCs w:val="22"/>
          <w:highlight w:val="none"/>
          <w14:textFill>
            <w14:solidFill>
              <w14:schemeClr w14:val="tx1"/>
            </w14:solidFill>
          </w14:textFill>
        </w:rPr>
        <w:t>6.发布公告的媒介</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pPr>
        <w:tabs>
          <w:tab w:val="left" w:pos="1134"/>
        </w:tabs>
        <w:adjustRightInd w:val="0"/>
        <w:snapToGrid w:val="0"/>
        <w:spacing w:line="400" w:lineRule="exact"/>
        <w:ind w:firstLine="420" w:firstLineChars="200"/>
        <w:rPr>
          <w:rFonts w:hint="eastAsia" w:asciiTheme="minorEastAsia" w:hAnsiTheme="minorEastAsia" w:eastAsiaTheme="minorEastAsia" w:cstheme="minorEastAsia"/>
          <w:color w:val="000000"/>
        </w:rPr>
      </w:pPr>
      <w:bookmarkStart w:id="112" w:name="_bookmark8"/>
      <w:bookmarkEnd w:id="112"/>
      <w:bookmarkStart w:id="113" w:name="_Toc27595"/>
      <w:bookmarkStart w:id="114" w:name="_Toc28489"/>
      <w:bookmarkStart w:id="115" w:name="_Toc22190"/>
      <w:bookmarkStart w:id="116" w:name="_Toc2902"/>
      <w:bookmarkStart w:id="117" w:name="_Toc28144"/>
      <w:bookmarkStart w:id="118" w:name="_Toc16274"/>
      <w:bookmarkStart w:id="119" w:name="_Toc62221470"/>
      <w:bookmarkStart w:id="120" w:name="_Toc62221761"/>
      <w:bookmarkStart w:id="121" w:name="_Toc2579"/>
      <w:bookmarkStart w:id="122" w:name="_Toc62222029"/>
      <w:bookmarkStart w:id="123" w:name="_Toc62222577"/>
      <w:bookmarkStart w:id="124" w:name="_Toc30950"/>
      <w:bookmarkStart w:id="125" w:name="_Toc62549192"/>
      <w:bookmarkStart w:id="126" w:name="_Toc17309"/>
      <w:bookmarkStart w:id="127" w:name="_Toc62549136"/>
      <w:bookmarkStart w:id="128" w:name="_Toc811"/>
      <w:r>
        <w:rPr>
          <w:rFonts w:hint="eastAsia" w:asciiTheme="minorEastAsia" w:hAnsiTheme="minorEastAsia" w:eastAsiaTheme="minorEastAsia" w:cstheme="minorEastAsia"/>
          <w:color w:val="000000"/>
        </w:rPr>
        <w:t>本次招标公告在招标人招投标交易平台信息系统（</w:t>
      </w:r>
      <w:r>
        <w:rPr>
          <w:rFonts w:hint="eastAsia" w:asciiTheme="minorEastAsia" w:hAnsiTheme="minorEastAsia" w:eastAsiaTheme="minorEastAsia" w:cstheme="minorEastAsia"/>
        </w:rPr>
        <w:t>“国家电网公司电子商务平台-电工交易专区</w:t>
      </w:r>
      <w:r>
        <w:rPr>
          <w:rFonts w:hint="eastAsia" w:asciiTheme="minorEastAsia" w:hAnsiTheme="minorEastAsia" w:eastAsiaTheme="minorEastAsia" w:cstheme="minorEastAsia"/>
          <w:color w:val="000000"/>
        </w:rPr>
        <w:t>”</w:t>
      </w:r>
      <w:r>
        <w:rPr>
          <w:rFonts w:hint="eastAsia" w:asciiTheme="minorEastAsia" w:hAnsiTheme="minorEastAsia" w:eastAsiaTheme="minorEastAsia" w:cstheme="minorEastAsia"/>
        </w:rPr>
        <w:t>https://sgccetp.com.cn</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下同</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color w:val="000000"/>
        </w:rPr>
        <w:t>、中国招标投标公共服务平台（</w:t>
      </w:r>
      <w:bookmarkStart w:id="129" w:name="_Hlk511312026"/>
      <w:r>
        <w:rPr>
          <w:rFonts w:hint="eastAsia" w:asciiTheme="minorEastAsia" w:hAnsiTheme="minorEastAsia" w:eastAsiaTheme="minorEastAsia" w:cstheme="minorEastAsia"/>
          <w:color w:val="000000"/>
        </w:rPr>
        <w:t>http://www.cebpubservice.com</w:t>
      </w:r>
      <w:bookmarkEnd w:id="129"/>
      <w:r>
        <w:rPr>
          <w:rFonts w:hint="eastAsia" w:asciiTheme="minorEastAsia" w:hAnsiTheme="minorEastAsia" w:eastAsiaTheme="minorEastAsia" w:cstheme="minorEastAsia"/>
          <w:color w:val="000000"/>
        </w:rPr>
        <w:t>）上发布。</w:t>
      </w:r>
    </w:p>
    <w:p>
      <w:pPr>
        <w:numPr>
          <w:ilvl w:val="0"/>
          <w:numId w:val="2"/>
        </w:numPr>
        <w:adjustRightInd w:val="0"/>
        <w:snapToGrid w:val="0"/>
        <w:spacing w:before="240" w:beforeLines="100" w:after="120" w:afterLines="50"/>
        <w:outlineLvl w:val="1"/>
        <w:rPr>
          <w:rFonts w:hint="eastAsia"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联系方式</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pPr>
        <w:pStyle w:val="2"/>
        <w:widowControl w:val="0"/>
        <w:numPr>
          <w:ilvl w:val="0"/>
          <w:numId w:val="0"/>
        </w:numPr>
        <w:autoSpaceDE w:val="0"/>
        <w:autoSpaceDN w:val="0"/>
        <w:spacing w:beforeLines="0" w:after="120" w:afterLines="0"/>
        <w:jc w:val="both"/>
        <w:rPr>
          <w:rFonts w:hint="default"/>
        </w:rPr>
      </w:pP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yellow"/>
          <w:lang w:eastAsia="zh-CN"/>
        </w:rPr>
      </w:pPr>
      <w:r>
        <w:rPr>
          <w:rFonts w:hint="eastAsia" w:asciiTheme="minorEastAsia" w:hAnsiTheme="minorEastAsia" w:eastAsiaTheme="minorEastAsia" w:cstheme="minorEastAsia"/>
          <w:color w:val="000000"/>
          <w:highlight w:val="yellow"/>
          <w:lang w:val="en-US" w:eastAsia="zh-CN"/>
        </w:rPr>
        <w:t>招标</w:t>
      </w:r>
      <w:r>
        <w:rPr>
          <w:rFonts w:hint="eastAsia" w:asciiTheme="minorEastAsia" w:hAnsiTheme="minorEastAsia" w:eastAsiaTheme="minorEastAsia" w:cstheme="minorEastAsia"/>
          <w:color w:val="000000"/>
          <w:highlight w:val="yellow"/>
          <w:lang w:eastAsia="zh-CN"/>
        </w:rPr>
        <w:t>人：天津市城西广源电力工程有限公司</w:t>
      </w: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yellow"/>
          <w:lang w:eastAsia="zh-CN"/>
        </w:rPr>
      </w:pPr>
      <w:r>
        <w:rPr>
          <w:rFonts w:hint="eastAsia" w:asciiTheme="minorEastAsia" w:hAnsiTheme="minorEastAsia" w:eastAsiaTheme="minorEastAsia" w:cstheme="minorEastAsia"/>
          <w:color w:val="000000"/>
          <w:highlight w:val="yellow"/>
          <w:lang w:eastAsia="zh-CN"/>
        </w:rPr>
        <w:t>地址：天津市西青区中北镇三星路29号增1号。</w:t>
      </w:r>
    </w:p>
    <w:p>
      <w:pPr>
        <w:tabs>
          <w:tab w:val="left" w:pos="1134"/>
        </w:tabs>
        <w:adjustRightInd w:val="0"/>
        <w:snapToGrid w:val="0"/>
        <w:spacing w:line="400" w:lineRule="exact"/>
        <w:rPr>
          <w:rFonts w:hint="default" w:asciiTheme="minorEastAsia" w:hAnsiTheme="minorEastAsia" w:eastAsiaTheme="minorEastAsia" w:cstheme="minorEastAsia"/>
          <w:color w:val="000000"/>
          <w:highlight w:val="yellow"/>
          <w:lang w:val="en-US" w:eastAsia="zh-CN"/>
        </w:rPr>
      </w:pPr>
      <w:r>
        <w:rPr>
          <w:rFonts w:hint="eastAsia" w:asciiTheme="minorEastAsia" w:hAnsiTheme="minorEastAsia" w:eastAsiaTheme="minorEastAsia" w:cstheme="minorEastAsia"/>
          <w:color w:val="000000"/>
          <w:highlight w:val="yellow"/>
          <w:lang w:eastAsia="zh-CN"/>
        </w:rPr>
        <w:t>电话：</w:t>
      </w:r>
      <w:r>
        <w:rPr>
          <w:rFonts w:hint="eastAsia"/>
          <w:color w:val="000000"/>
          <w:highlight w:val="yellow"/>
        </w:rPr>
        <w:t>022-84305130</w:t>
      </w: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eastAsia="zh-CN"/>
        </w:rPr>
      </w:pP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招标代理机构：天津三源招标有限公司</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地址：天津市东丽区华明高新技术产业区华裕路29号1号楼125-130室</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邮编：300304</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联系人（办理服务费、中标通知书等）：穆女士</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电话：022-24450607、022-60712916</w:t>
      </w:r>
    </w:p>
    <w:p>
      <w:pPr>
        <w:spacing w:line="360" w:lineRule="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采购项目联系人：</w:t>
      </w:r>
      <w:r>
        <w:rPr>
          <w:rFonts w:hint="eastAsia" w:asciiTheme="minorEastAsia" w:hAnsiTheme="minorEastAsia" w:eastAsiaTheme="minorEastAsia" w:cstheme="minorEastAsia"/>
          <w:sz w:val="21"/>
          <w:szCs w:val="21"/>
          <w:lang w:val="en-US" w:eastAsia="zh-CN"/>
        </w:rPr>
        <w:t>阎女士</w:t>
      </w:r>
    </w:p>
    <w:p>
      <w:pPr>
        <w:spacing w:line="36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电话：022-24450605</w:t>
      </w:r>
      <w:r>
        <w:rPr>
          <w:rFonts w:hint="eastAsia" w:asciiTheme="minorEastAsia" w:hAnsiTheme="minorEastAsia" w:eastAsiaTheme="minorEastAsia" w:cstheme="minorEastAsia"/>
          <w:sz w:val="21"/>
          <w:szCs w:val="21"/>
          <w:lang w:val="en-US" w:eastAsia="zh-CN"/>
        </w:rPr>
        <w:t xml:space="preserve"> 022-84856909</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电话咨询时间：工作日上午8:30-12:00下午13:30-17:30</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电子邮件：sywz611@126.com</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招标代理服务费支付账号：</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收款人名称：天津三源招标有限公司</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开户银行：工商银行天津市民族路支行</w:t>
      </w:r>
    </w:p>
    <w:p>
      <w:pPr>
        <w:keepNext w:val="0"/>
        <w:keepLines w:val="0"/>
        <w:pageBreakBefore w:val="0"/>
        <w:widowControl w:val="0"/>
        <w:tabs>
          <w:tab w:val="left" w:pos="113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账号：0302030109300513966</w:t>
      </w:r>
    </w:p>
    <w:p>
      <w:pPr>
        <w:keepNext w:val="0"/>
        <w:keepLines w:val="0"/>
        <w:pageBreakBefore w:val="0"/>
        <w:widowControl w:val="0"/>
        <w:kinsoku/>
        <w:wordWrap/>
        <w:overflowPunct/>
        <w:topLinePunct w:val="0"/>
        <w:bidi w:val="0"/>
        <w:adjustRightInd w:val="0"/>
        <w:snapToGrid w:val="0"/>
        <w:spacing w:beforeLines="50" w:afterLines="50"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投标保证金银行汇款账户：</w:t>
      </w:r>
    </w:p>
    <w:p>
      <w:pPr>
        <w:keepNext w:val="0"/>
        <w:keepLines w:val="0"/>
        <w:pageBreakBefore w:val="0"/>
        <w:widowControl w:val="0"/>
        <w:kinsoku/>
        <w:wordWrap/>
        <w:overflowPunct/>
        <w:topLinePunct w:val="0"/>
        <w:bidi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收款人名称：天津三源招标有限公司</w:t>
      </w:r>
    </w:p>
    <w:p>
      <w:pPr>
        <w:keepNext w:val="0"/>
        <w:keepLines w:val="0"/>
        <w:pageBreakBefore w:val="0"/>
        <w:widowControl w:val="0"/>
        <w:kinsoku/>
        <w:wordWrap/>
        <w:overflowPunct/>
        <w:topLinePunct w:val="0"/>
        <w:bidi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开户银行：浙商银行天津分行营业部</w:t>
      </w:r>
    </w:p>
    <w:p>
      <w:pPr>
        <w:keepNext w:val="0"/>
        <w:keepLines w:val="0"/>
        <w:pageBreakBefore w:val="0"/>
        <w:widowControl w:val="0"/>
        <w:tabs>
          <w:tab w:val="left" w:pos="1134"/>
        </w:tabs>
        <w:kinsoku/>
        <w:wordWrap/>
        <w:overflowPunct/>
        <w:topLinePunct w:val="0"/>
        <w:bidi w:val="0"/>
        <w:adjustRightInd w:val="0"/>
        <w:snapToGrid w:val="0"/>
        <w:spacing w:beforeLines="0" w:afterLines="0"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账号：1100000010120100664919</w:t>
      </w:r>
    </w:p>
    <w:p>
      <w:pPr>
        <w:pStyle w:val="5"/>
        <w:keepNext w:val="0"/>
        <w:keepLines w:val="0"/>
        <w:pageBreakBefore w:val="0"/>
        <w:widowControl w:val="0"/>
        <w:kinsoku/>
        <w:wordWrap/>
        <w:overflowPunct/>
        <w:topLinePunct w:val="0"/>
        <w:bidi w:val="0"/>
        <w:spacing w:line="360" w:lineRule="auto"/>
        <w:ind w:left="0" w:leftChars="0" w:firstLine="422" w:firstLineChars="200"/>
        <w:jc w:val="left"/>
        <w:textAlignment w:val="auto"/>
        <w:outlineLvl w:val="9"/>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FF0000"/>
          <w:kern w:val="0"/>
          <w:sz w:val="21"/>
          <w:szCs w:val="21"/>
          <w:highlight w:val="yellow"/>
          <w:lang w:bidi="en-US"/>
        </w:rPr>
        <w:t>注：中标公告发布之日起</w:t>
      </w:r>
      <w:r>
        <w:rPr>
          <w:rFonts w:hint="eastAsia" w:asciiTheme="minorEastAsia" w:hAnsiTheme="minorEastAsia" w:eastAsiaTheme="minorEastAsia" w:cstheme="minorEastAsia"/>
          <w:b/>
          <w:color w:val="FF0000"/>
          <w:kern w:val="0"/>
          <w:sz w:val="21"/>
          <w:szCs w:val="21"/>
          <w:highlight w:val="yellow"/>
          <w:lang w:val="en-US" w:eastAsia="zh-CN" w:bidi="en-US"/>
        </w:rPr>
        <w:t>5</w:t>
      </w:r>
      <w:r>
        <w:rPr>
          <w:rFonts w:hint="eastAsia" w:asciiTheme="minorEastAsia" w:hAnsiTheme="minorEastAsia" w:eastAsiaTheme="minorEastAsia" w:cstheme="minorEastAsia"/>
          <w:b/>
          <w:color w:val="FF0000"/>
          <w:kern w:val="0"/>
          <w:sz w:val="21"/>
          <w:szCs w:val="21"/>
          <w:highlight w:val="yellow"/>
          <w:lang w:bidi="en-US"/>
        </w:rPr>
        <w:t>日内联系代理机构，并关注电子邮箱，及时缴纳代理服务费，缴纳服务费及领取通知书事宜，详询穆女士。</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130" w:name="_Toc5041"/>
      <w:bookmarkStart w:id="131" w:name="_Toc62221762"/>
      <w:bookmarkStart w:id="132" w:name="_Toc12187"/>
      <w:bookmarkStart w:id="133" w:name="_Toc17389"/>
      <w:bookmarkStart w:id="134" w:name="_Toc62221471"/>
      <w:bookmarkStart w:id="135" w:name="_Toc5492"/>
      <w:bookmarkStart w:id="136" w:name="_Toc62222030"/>
      <w:bookmarkStart w:id="137" w:name="_Toc20257"/>
      <w:bookmarkStart w:id="138" w:name="_Toc62549193"/>
      <w:bookmarkStart w:id="139" w:name="_Toc9769"/>
      <w:bookmarkStart w:id="140" w:name="_Toc62549137"/>
      <w:bookmarkStart w:id="141" w:name="_Toc62222578"/>
      <w:bookmarkStart w:id="142" w:name="_Toc647"/>
      <w:bookmarkStart w:id="143" w:name="_Toc5800"/>
      <w:bookmarkStart w:id="144" w:name="_Toc5543"/>
      <w:bookmarkStart w:id="145" w:name="_Toc4038"/>
      <w:r>
        <w:rPr>
          <w:rFonts w:hint="eastAsia" w:ascii="黑体" w:hAnsi="Calibri" w:eastAsia="黑体"/>
          <w:b/>
          <w:color w:val="000000" w:themeColor="text1"/>
          <w:sz w:val="24"/>
          <w:szCs w:val="22"/>
          <w:highlight w:val="none"/>
          <w14:textFill>
            <w14:solidFill>
              <w14:schemeClr w14:val="tx1"/>
            </w14:solidFill>
          </w14:textFill>
        </w:rPr>
        <w:t>8.合规声明</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本招标文件（包括商务部分和技术部分）符合国家现行法律法规规定，若国家颁布新的法律法规或对现有法律法规进行修订，以新施行的法律法规规定为准。</w:t>
      </w:r>
      <w:r>
        <w:rPr>
          <w:rFonts w:hint="eastAsia" w:asciiTheme="minorEastAsia" w:hAnsiTheme="minorEastAsia" w:eastAsiaTheme="minorEastAsia" w:cstheme="minorEastAsia"/>
          <w:color w:val="auto"/>
          <w:sz w:val="21"/>
          <w:szCs w:val="22"/>
          <w:highlight w:val="none"/>
          <w:lang w:eastAsia="zh-CN"/>
        </w:rPr>
        <w:t>本项目行政监督部门为</w:t>
      </w:r>
      <w:r>
        <w:rPr>
          <w:rFonts w:hint="eastAsia" w:asciiTheme="minorEastAsia" w:hAnsiTheme="minorEastAsia" w:eastAsiaTheme="minorEastAsia" w:cstheme="minorEastAsia"/>
          <w:color w:val="000000"/>
          <w:highlight w:val="none"/>
          <w:lang w:eastAsia="zh-CN"/>
        </w:rPr>
        <w:t>天津市城西广源电力工程有限公司</w:t>
      </w:r>
      <w:r>
        <w:rPr>
          <w:rFonts w:hint="eastAsia" w:asciiTheme="minorEastAsia" w:hAnsiTheme="minorEastAsia" w:eastAsiaTheme="minorEastAsia" w:cstheme="minorEastAsia"/>
          <w:color w:val="auto"/>
          <w:sz w:val="21"/>
          <w:szCs w:val="22"/>
          <w:highlight w:val="none"/>
          <w:lang w:eastAsia="zh-CN"/>
        </w:rPr>
        <w:t>。</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9.权利声明</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beforeLines="0" w:afterLines="0"/>
        <w:ind w:firstLine="560" w:firstLineChars="200"/>
        <w:jc w:val="right"/>
        <w:rPr>
          <w:rFonts w:hint="default" w:ascii="黑体" w:eastAsia="黑体"/>
          <w:color w:val="000000" w:themeColor="text1"/>
          <w:sz w:val="28"/>
          <w:szCs w:val="28"/>
          <w:highlight w:val="none"/>
          <w14:textFill>
            <w14:solidFill>
              <w14:schemeClr w14:val="tx1"/>
            </w14:solidFill>
          </w14:textFill>
        </w:rPr>
      </w:pPr>
    </w:p>
    <w:p>
      <w:pPr>
        <w:wordWrap w:val="0"/>
        <w:ind w:firstLine="420" w:firstLineChars="200"/>
        <w:jc w:val="right"/>
        <w:rPr>
          <w:rFonts w:hint="eastAsia" w:ascii="黑体" w:eastAsia="宋体"/>
          <w:color w:val="000000"/>
          <w:sz w:val="28"/>
          <w:szCs w:val="28"/>
          <w:lang w:eastAsia="zh-CN"/>
        </w:rPr>
      </w:pPr>
      <w:r>
        <w:rPr>
          <w:rFonts w:hint="eastAsia" w:eastAsia="宋体"/>
          <w:color w:val="000000" w:themeColor="text1"/>
          <w:highlight w:val="none"/>
          <w14:textFill>
            <w14:solidFill>
              <w14:schemeClr w14:val="tx1"/>
            </w14:solidFill>
          </w14:textFill>
        </w:rPr>
        <w:t xml:space="preserve"> </w:t>
      </w:r>
      <w:r>
        <w:rPr>
          <w:rFonts w:hint="eastAsia" w:ascii="黑体" w:eastAsia="黑体"/>
          <w:color w:val="000000"/>
          <w:sz w:val="28"/>
          <w:szCs w:val="28"/>
          <w:lang w:eastAsia="zh-CN"/>
        </w:rPr>
        <w:t>2025年</w:t>
      </w:r>
      <w:r>
        <w:rPr>
          <w:rFonts w:hint="eastAsia" w:ascii="黑体" w:eastAsia="黑体"/>
          <w:color w:val="000000"/>
          <w:sz w:val="28"/>
          <w:szCs w:val="28"/>
          <w:lang w:val="en-US" w:eastAsia="zh-CN"/>
        </w:rPr>
        <w:t>06</w:t>
      </w:r>
      <w:r>
        <w:rPr>
          <w:rFonts w:hint="eastAsia" w:ascii="黑体" w:eastAsia="黑体"/>
          <w:color w:val="000000"/>
          <w:sz w:val="28"/>
          <w:szCs w:val="28"/>
          <w:lang w:eastAsia="zh-CN"/>
        </w:rPr>
        <w:t>月</w:t>
      </w:r>
      <w:r>
        <w:rPr>
          <w:rFonts w:hint="eastAsia" w:ascii="黑体" w:eastAsia="黑体"/>
          <w:color w:val="000000"/>
          <w:sz w:val="28"/>
          <w:szCs w:val="28"/>
          <w:lang w:val="en-US" w:eastAsia="zh-CN"/>
        </w:rPr>
        <w:t>20</w:t>
      </w:r>
      <w:r>
        <w:rPr>
          <w:rFonts w:hint="eastAsia" w:ascii="黑体" w:eastAsia="黑体"/>
          <w:color w:val="000000"/>
          <w:sz w:val="28"/>
          <w:szCs w:val="28"/>
          <w:lang w:eastAsia="zh-CN"/>
        </w:rPr>
        <w:t>日</w:t>
      </w:r>
    </w:p>
    <w:p>
      <w:pPr>
        <w:wordWrap w:val="0"/>
        <w:spacing w:beforeLines="0" w:afterLines="0"/>
        <w:ind w:firstLine="420" w:firstLineChars="200"/>
        <w:jc w:val="right"/>
        <w:rPr>
          <w:rFonts w:hint="default" w:eastAsia="宋体"/>
          <w:color w:val="000000" w:themeColor="text1"/>
          <w:sz w:val="21"/>
          <w:szCs w:val="22"/>
          <w:highlight w:val="none"/>
          <w14:textFill>
            <w14:solidFill>
              <w14:schemeClr w14:val="tx1"/>
            </w14:solidFill>
          </w14:textFill>
        </w:rPr>
        <w:sectPr>
          <w:footerReference r:id="rId4" w:type="default"/>
          <w:pgSz w:w="11906" w:h="16838"/>
          <w:pgMar w:top="1134" w:right="1800" w:bottom="1134" w:left="1800" w:header="851" w:footer="992" w:gutter="0"/>
          <w:pgNumType w:fmt="decimal" w:start="1"/>
          <w:cols w:space="720" w:num="1"/>
          <w:docGrid w:linePitch="312" w:charSpace="0"/>
        </w:sectPr>
      </w:pPr>
    </w:p>
    <w:p>
      <w:pPr>
        <w:pStyle w:val="12"/>
        <w:spacing w:beforeLines="0" w:afterLines="0"/>
        <w:rPr>
          <w:rFonts w:hint="default" w:ascii="黑体" w:hAnsi="黑体" w:eastAsia="黑体" w:cs="黑体"/>
          <w:b/>
          <w:color w:val="000000" w:themeColor="text1"/>
          <w:kern w:val="2"/>
          <w:sz w:val="24"/>
          <w:szCs w:val="24"/>
          <w:highlight w:val="none"/>
          <w:lang w:val="en-US"/>
          <w14:textFill>
            <w14:solidFill>
              <w14:schemeClr w14:val="tx1"/>
            </w14:solidFill>
          </w14:textFill>
        </w:rPr>
      </w:pPr>
      <w:r>
        <w:rPr>
          <w:rFonts w:hint="eastAsia" w:ascii="黑体" w:hAnsi="黑体" w:eastAsia="黑体" w:cs="黑体"/>
          <w:b/>
          <w:color w:val="000000" w:themeColor="text1"/>
          <w:kern w:val="2"/>
          <w:sz w:val="24"/>
          <w:szCs w:val="24"/>
          <w:highlight w:val="none"/>
          <w:lang w:val="en-US"/>
          <w14:textFill>
            <w14:solidFill>
              <w14:schemeClr w14:val="tx1"/>
            </w14:solidFill>
          </w14:textFill>
        </w:rPr>
        <w:t>招标公告附件</w:t>
      </w:r>
    </w:p>
    <w:p>
      <w:pPr>
        <w:rPr>
          <w:b/>
          <w:bCs/>
          <w:color w:val="000000" w:themeColor="text1"/>
          <w:spacing w:val="7"/>
          <w:szCs w:val="24"/>
          <w14:textFill>
            <w14:solidFill>
              <w14:schemeClr w14:val="tx1"/>
            </w14:solidFill>
          </w14:textFill>
        </w:rPr>
      </w:pPr>
      <w:r>
        <w:rPr>
          <w:rFonts w:hint="eastAsia"/>
          <w:b/>
        </w:rPr>
        <w:t>附件1：详见货物需求一览表</w:t>
      </w:r>
    </w:p>
    <w:p>
      <w:pPr>
        <w:pStyle w:val="12"/>
        <w:rPr>
          <w:rFonts w:ascii="黑体" w:hAnsi="黑体" w:eastAsia="黑体" w:cs="黑体"/>
          <w:b/>
          <w:bCs/>
          <w:color w:val="000000"/>
          <w:kern w:val="2"/>
          <w:sz w:val="24"/>
          <w:szCs w:val="24"/>
          <w:highlight w:val="yellow"/>
          <w:lang w:val="en-US"/>
        </w:rPr>
      </w:pPr>
    </w:p>
    <w:p>
      <w:pPr>
        <w:pStyle w:val="2"/>
        <w:ind w:left="0" w:firstLine="0"/>
        <w:rPr>
          <w:lang w:val="en-US" w:bidi="ar-SA"/>
        </w:rPr>
      </w:pPr>
      <w:r>
        <w:rPr>
          <w:rFonts w:hint="eastAsia" w:ascii="宋体" w:hAnsi="宋体"/>
          <w:b/>
          <w:szCs w:val="21"/>
        </w:rPr>
        <w:t>附件2：详见专用资质业绩条件和评分权重表</w:t>
      </w:r>
    </w:p>
    <w:p>
      <w:pPr>
        <w:widowControl/>
        <w:rPr>
          <w:b/>
          <w:color w:val="000000"/>
          <w:sz w:val="36"/>
          <w:szCs w:val="36"/>
        </w:rPr>
      </w:pPr>
      <w:r>
        <w:rPr>
          <w:rFonts w:hint="eastAsia"/>
          <w:b/>
          <w:color w:val="000000"/>
          <w:sz w:val="36"/>
          <w:szCs w:val="36"/>
        </w:rPr>
        <w:t>附件</w:t>
      </w:r>
      <w:r>
        <w:rPr>
          <w:rFonts w:hint="eastAsia"/>
          <w:b/>
          <w:color w:val="000000"/>
          <w:sz w:val="36"/>
          <w:szCs w:val="36"/>
          <w:lang w:val="en-US" w:eastAsia="zh-CN"/>
        </w:rPr>
        <w:t>3</w:t>
      </w:r>
      <w:r>
        <w:rPr>
          <w:rFonts w:hint="eastAsia"/>
          <w:b/>
          <w:color w:val="000000"/>
          <w:sz w:val="36"/>
          <w:szCs w:val="36"/>
        </w:rPr>
        <w:t>：特别说明</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1.1资质业绩</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1.1.1投标人提供的有效期间内合同业绩数量应满足专用资质条件要求。业绩时间计算以合同签订时间为准，业绩数量（金额）计算以提供发票为准。</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highlight w:val="yellow"/>
        </w:rPr>
        <w:t>投标人提供的业绩支撑证明材料要求：销售业绩必须提供对应的合同和发票复印件，发票复印件后须附通过国家税务总局全国增值税发票查验平台（网址：https://inv-veri.chinatax.gov.cn/）查验的发票结果截图，“一发票一截图”，未按要求提供对应发票查验结果截图的发票金额（数量）不予认可。所有业绩支撑证明材料内容须保证清晰、可辨认且不得遮盖、涂抹。合同扫描件可提供合同封面、签字页及其货物清册即可，合同封面、签字页及其货物清册须一一对应。按时间顺序由远及近排列合同及发票扫描件，并制定目录。</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 </w:t>
      </w:r>
      <w:r>
        <w:rPr>
          <w:rFonts w:asciiTheme="minorEastAsia" w:hAnsiTheme="minorEastAsia" w:eastAsiaTheme="minorEastAsia" w:cstheme="minorEastAsia"/>
          <w:szCs w:val="21"/>
        </w:rPr>
        <w:t>提供国家权威机构出具的型式试验报告；国家或行业未作出明确规定的其他物资，提供国家认可的省级以上检测机构出具的检验或试验报告。试验报告的规格、试验内容和主要参数应等于或优于招标文件要求。试验报告的委托人、试验样品的制造人应为投标人（代理商投标除外）。</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对于</w:t>
      </w:r>
      <w:r>
        <w:rPr>
          <w:rFonts w:hint="eastAsia" w:asciiTheme="minorEastAsia" w:hAnsiTheme="minorEastAsia" w:eastAsiaTheme="minorEastAsia" w:cstheme="minorEastAsia"/>
          <w:szCs w:val="21"/>
          <w:lang w:eastAsia="zh-CN"/>
        </w:rPr>
        <w:t>招标公告/投标邀请书</w:t>
      </w:r>
      <w:r>
        <w:rPr>
          <w:rFonts w:hint="eastAsia" w:asciiTheme="minorEastAsia" w:hAnsiTheme="minorEastAsia" w:eastAsiaTheme="minorEastAsia" w:cstheme="minorEastAsia"/>
          <w:szCs w:val="21"/>
        </w:rPr>
        <w:t>专用资质业绩条件有要求，但国家或行业尚未开展型式试验的产品，可以用国家认可第三方机构出具的其他形式的检验、试验报告代替，但宜在投标文</w:t>
      </w:r>
      <w:r>
        <w:rPr>
          <w:rFonts w:hint="eastAsia" w:asciiTheme="minorEastAsia" w:hAnsiTheme="minorEastAsia" w:eastAsiaTheme="minorEastAsia" w:cstheme="minorEastAsia"/>
          <w:szCs w:val="21"/>
          <w:lang w:eastAsia="zh-CN"/>
        </w:rPr>
        <w:t>件技术部分对此作出说明。</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对于招标公告/投标邀请书专用资质业绩条件有要求，但国家或行业尚未开展国家认可的第三方机构检验、试验的产品，无需提供国家认可第三方出具的检验、试验报告，但宜在投标文件技术部分对此作出说明。</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上述情况，经评标委员会确认后，不予否决，将在详评打分中考虑。</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1.2指定品牌型号</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招标公告/投标邀请书</w:t>
      </w:r>
      <w:r>
        <w:rPr>
          <w:rFonts w:hint="eastAsia" w:asciiTheme="minorEastAsia" w:hAnsiTheme="minorEastAsia" w:eastAsiaTheme="minorEastAsia" w:cstheme="minorEastAsia"/>
          <w:szCs w:val="21"/>
        </w:rPr>
        <w:t>附件《货物清单》物料描述或《技术规范书》中，因技术原因部分货物标明了品牌或型号，实际采购物资不以此为准，投标人根据技术规范自行选择品牌型号进行投标</w:t>
      </w:r>
      <w:r>
        <w:rPr>
          <w:rFonts w:asciiTheme="minorEastAsia" w:hAnsiTheme="minorEastAsia" w:eastAsiaTheme="minorEastAsia" w:cstheme="minorEastAsia"/>
          <w:szCs w:val="21"/>
        </w:rPr>
        <w:t>。</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1.3代理商投标</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若投标人为代理商，是否要求提供制造商授权委托书详见需求一览表。该投标人和所代理制造商的同类销售业绩可累计计入（</w:t>
      </w:r>
      <w:r>
        <w:rPr>
          <w:rFonts w:asciiTheme="minorEastAsia" w:hAnsiTheme="minorEastAsia" w:eastAsiaTheme="minorEastAsia" w:cstheme="minorEastAsia"/>
          <w:szCs w:val="21"/>
          <w:highlight w:val="yellow"/>
        </w:rPr>
        <w:t>如使用制造商业绩需提供制造商出具的授权委托书，且一个制造商对同一品牌同一型号的货物不得委托两个及以上个代理商参加投标</w:t>
      </w:r>
      <w:r>
        <w:rPr>
          <w:rFonts w:asciiTheme="minorEastAsia" w:hAnsiTheme="minorEastAsia" w:eastAsiaTheme="minorEastAsia" w:cstheme="minorEastAsia"/>
          <w:szCs w:val="21"/>
        </w:rPr>
        <w:t>）。若制造商和该投标人提供相同业绩，只统计一次，制造商和该投标人之间的买卖业绩不认可。</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 w:val="21"/>
          <w:szCs w:val="21"/>
        </w:rPr>
        <w:t>若投标人为代理商</w:t>
      </w:r>
      <w:r>
        <w:rPr>
          <w:rFonts w:hint="eastAsia" w:asciiTheme="minorEastAsia" w:hAnsiTheme="minorEastAsia" w:eastAsiaTheme="minorEastAsia" w:cstheme="minorEastAsia"/>
          <w:sz w:val="21"/>
          <w:szCs w:val="21"/>
          <w:lang w:val="en-US" w:eastAsia="zh-CN"/>
        </w:rPr>
        <w:t>/集货商</w:t>
      </w:r>
      <w:r>
        <w:rPr>
          <w:rFonts w:hint="eastAsia" w:asciiTheme="minorEastAsia" w:hAnsiTheme="minorEastAsia" w:eastAsiaTheme="minorEastAsia" w:cstheme="minorEastAsia"/>
          <w:sz w:val="21"/>
          <w:szCs w:val="21"/>
        </w:rPr>
        <w:t>，允许提供制造方委托检验（检测）报告。</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若投标人为代理商，必须提供该代理商的审计报告。</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b/>
          <w:bCs/>
          <w:color w:val="FF0000"/>
          <w:szCs w:val="21"/>
        </w:rPr>
      </w:pPr>
      <w:r>
        <w:rPr>
          <w:rFonts w:asciiTheme="minorEastAsia" w:hAnsiTheme="minorEastAsia" w:eastAsiaTheme="minorEastAsia" w:cstheme="minorEastAsia"/>
          <w:szCs w:val="21"/>
        </w:rPr>
        <w:t>1.4为承诺不存在“法定代表人或单位负责人为同一人或者存在控股、管理关系的不同单位，参加同一包货物投标”行为，在商务文件中提供“特定关系公司投标合法性”承诺函（格式详见第六章投标文件格式）。若未在投标文件商务部分提供本承诺函，当不存在上述关联行为时，将按照减分处理；当存在上述关联行为时，将对投标进行否决处理。在中标后续各环节发现有上述行为的，招标人保留对相关供应商进行处理的权利，由此产生的一切后果由相关供应商承担。请各投标人对“信用中国”网站和国家企业信用信息公示系统的法定代表人和股权关系进行自查。如发现网站信息与实际不一致，请及时联系网站进行更新，并在投标文件中提供市场监督管理部门出具的‘名称变更证明’等相关证明材料，如未提供上述材料则以评标委员会网站查询结果为准，同时对投标进行否决处理。</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Cs w:val="21"/>
          <w:highlight w:val="yellow"/>
          <w:lang w:eastAsia="zh-CN"/>
        </w:rPr>
      </w:pPr>
      <w:r>
        <w:rPr>
          <w:rFonts w:hint="eastAsia" w:asciiTheme="minorEastAsia" w:hAnsiTheme="minorEastAsia" w:eastAsiaTheme="minorEastAsia" w:cstheme="minorEastAsia"/>
          <w:szCs w:val="21"/>
          <w:highlight w:val="yellow"/>
        </w:rPr>
        <w:t>1.</w:t>
      </w:r>
      <w:r>
        <w:rPr>
          <w:rFonts w:hint="eastAsia" w:asciiTheme="minorEastAsia" w:hAnsiTheme="minorEastAsia" w:eastAsiaTheme="minorEastAsia" w:cstheme="minorEastAsia"/>
          <w:szCs w:val="21"/>
          <w:highlight w:val="yellow"/>
          <w:lang w:val="en-US" w:eastAsia="zh-CN"/>
        </w:rPr>
        <w:t>5</w:t>
      </w:r>
      <w:r>
        <w:rPr>
          <w:rFonts w:hint="eastAsia" w:asciiTheme="minorEastAsia" w:hAnsiTheme="minorEastAsia" w:eastAsiaTheme="minorEastAsia" w:cstheme="minorEastAsia"/>
          <w:szCs w:val="21"/>
          <w:highlight w:val="yellow"/>
        </w:rPr>
        <w:t>在本次招标采购中，中标人与项目需求单位签订协议。项目需求单位通过采购订单的方式进行采购。在省管产业单位电商化采购专区上履约，需求单位在平台上完成下订单、结算、支付等采购过程。</w:t>
      </w:r>
    </w:p>
    <w:p>
      <w:pPr>
        <w:tabs>
          <w:tab w:val="left" w:pos="1134"/>
        </w:tabs>
        <w:adjustRightInd w:val="0"/>
        <w:snapToGrid w:val="0"/>
        <w:spacing w:line="360" w:lineRule="auto"/>
        <w:ind w:firstLine="422" w:firstLineChars="200"/>
        <w:rPr>
          <w:rFonts w:hint="eastAsia" w:asciiTheme="minorEastAsia" w:hAnsiTheme="minorEastAsia" w:eastAsiaTheme="minorEastAsia" w:cstheme="minorEastAsia"/>
          <w:szCs w:val="21"/>
          <w:highlight w:val="yellow"/>
        </w:rPr>
      </w:pPr>
      <w:r>
        <w:rPr>
          <w:rFonts w:hint="eastAsia" w:asciiTheme="minorEastAsia" w:hAnsiTheme="minorEastAsia" w:eastAsiaTheme="minorEastAsia" w:cstheme="minorEastAsia"/>
          <w:b/>
          <w:bCs/>
          <w:szCs w:val="21"/>
          <w:highlight w:val="yellow"/>
        </w:rPr>
        <w:t>履约具体流程如下：</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1.本次中标结果的履约平台为国网电商科技有限公司运营的“国家电网公司省管产业单位交易专区”(以下简称“交易专区”)（http：//j.esgcc.com.cn），供应商中标后应按时在交易专区完成入驻及供货信息上架，并保证上架的供货信息与中标结果完全一致。</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2.在交易专区中，省管产业单位发生采购需求时，在交易专区上依次向中标供应商下单、审批、订单确认。省管产业单位在交易专区向中标供应商下单后，中标供应商需向平台运营方支付平台服务费，支付平台服务费后可查看订单详情并进行履约。</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 xml:space="preserve">3.中标供应商应与国网电商科技有限公司另行签订平台服务协议并按时支付平台服务费，服务费收取标准为： </w:t>
      </w:r>
      <w:r>
        <w:rPr>
          <w:rFonts w:hint="eastAsia" w:asciiTheme="minorEastAsia" w:hAnsiTheme="minorEastAsia" w:eastAsiaTheme="minorEastAsia" w:cstheme="minorEastAsia"/>
          <w:b/>
          <w:bCs/>
          <w:color w:val="FF0000"/>
          <w:szCs w:val="21"/>
          <w:highlight w:val="yellow"/>
          <w:shd w:val="clear" w:color="FFFFFF" w:fill="D9D9D9"/>
          <w:lang w:val="en-US" w:eastAsia="zh-CN"/>
        </w:rPr>
        <w:t>0.8%</w:t>
      </w:r>
      <w:r>
        <w:rPr>
          <w:rFonts w:hint="eastAsia" w:asciiTheme="minorEastAsia" w:hAnsiTheme="minorEastAsia" w:eastAsiaTheme="minorEastAsia" w:cstheme="minorEastAsia"/>
          <w:b/>
          <w:bCs/>
          <w:szCs w:val="21"/>
          <w:highlight w:val="yellow"/>
          <w:lang w:val="en-US" w:eastAsia="zh-CN"/>
        </w:rPr>
        <w:t xml:space="preserve"> </w:t>
      </w:r>
      <w:r>
        <w:rPr>
          <w:rFonts w:hint="eastAsia" w:asciiTheme="minorEastAsia" w:hAnsiTheme="minorEastAsia" w:eastAsiaTheme="minorEastAsia" w:cstheme="minorEastAsia"/>
          <w:szCs w:val="21"/>
          <w:highlight w:val="yellow"/>
          <w:lang w:val="en-US" w:eastAsia="zh-CN"/>
        </w:rPr>
        <w:t>。</w:t>
      </w:r>
    </w:p>
    <w:p>
      <w:pPr>
        <w:tabs>
          <w:tab w:val="left" w:pos="1134"/>
        </w:tabs>
        <w:adjustRightInd w:val="0"/>
        <w:snapToGrid w:val="0"/>
        <w:spacing w:line="360" w:lineRule="auto"/>
        <w:ind w:firstLine="420" w:firstLineChars="200"/>
        <w:rPr>
          <w:rFonts w:asciiTheme="minorEastAsia" w:hAnsiTheme="minorEastAsia" w:eastAsiaTheme="minorEastAsia" w:cstheme="minorEastAsia"/>
          <w:szCs w:val="21"/>
          <w:highlight w:val="yellow"/>
        </w:rPr>
      </w:pPr>
      <w:r>
        <w:rPr>
          <w:rFonts w:hint="eastAsia" w:asciiTheme="minorEastAsia" w:hAnsiTheme="minorEastAsia" w:eastAsiaTheme="minorEastAsia" w:cstheme="minorEastAsia"/>
          <w:szCs w:val="21"/>
          <w:highlight w:val="yellow"/>
          <w:lang w:val="en-US" w:eastAsia="zh-CN"/>
        </w:rPr>
        <w:t>国网电商科技有限公司向中标供应商开具符合要求的发票。</w:t>
      </w:r>
    </w:p>
    <w:p>
      <w:pPr>
        <w:tabs>
          <w:tab w:val="left" w:pos="1134"/>
        </w:tabs>
        <w:adjustRightInd w:val="0"/>
        <w:snapToGrid w:val="0"/>
        <w:spacing w:line="360" w:lineRule="auto"/>
        <w:ind w:firstLine="420" w:firstLineChars="200"/>
        <w:rPr>
          <w:rFonts w:hint="default"/>
          <w:highlight w:val="yellow"/>
          <w:lang w:val="en-US"/>
        </w:rPr>
      </w:pPr>
      <w:r>
        <w:rPr>
          <w:rFonts w:hint="eastAsia" w:asciiTheme="minorEastAsia" w:hAnsiTheme="minorEastAsia" w:eastAsiaTheme="minorEastAsia" w:cstheme="minorEastAsia"/>
          <w:szCs w:val="21"/>
          <w:highlight w:val="yellow"/>
        </w:rPr>
        <w:t>1.</w:t>
      </w:r>
      <w:r>
        <w:rPr>
          <w:rFonts w:hint="eastAsia" w:asciiTheme="minorEastAsia" w:hAnsiTheme="minorEastAsia" w:eastAsiaTheme="minorEastAsia" w:cstheme="minorEastAsia"/>
          <w:szCs w:val="21"/>
          <w:highlight w:val="yellow"/>
          <w:lang w:val="en-US" w:eastAsia="zh-CN"/>
        </w:rPr>
        <w:t>5</w:t>
      </w:r>
      <w:r>
        <w:rPr>
          <w:rFonts w:hint="eastAsia" w:asciiTheme="minorEastAsia" w:hAnsiTheme="minorEastAsia" w:eastAsiaTheme="minorEastAsia" w:cstheme="minorEastAsia"/>
          <w:szCs w:val="21"/>
          <w:highlight w:val="yellow"/>
        </w:rPr>
        <w:t>.2各潜在投标人均须按照要求的增值税专用发票税率计算投标报价，但在中标后及合同履约期间，如遇国家税收政策调整变化，按调整后的税收政策执行，税前单价保持不变。具体详见财政部财务总局发布的相关文件。</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Cs w:val="21"/>
          <w:lang w:val="en-US" w:eastAsia="zh-CN"/>
        </w:rPr>
      </w:pPr>
      <w:r>
        <w:rPr>
          <w:rFonts w:asciiTheme="minorEastAsia" w:hAnsiTheme="minorEastAsia" w:eastAsiaTheme="minorEastAsia" w:cstheme="minorEastAsia"/>
          <w:szCs w:val="21"/>
        </w:rPr>
        <w:t>1.</w:t>
      </w:r>
      <w:r>
        <w:rPr>
          <w:rFonts w:hint="eastAsia" w:asciiTheme="minorEastAsia" w:hAnsiTheme="minorEastAsia" w:eastAsiaTheme="minorEastAsia" w:cstheme="minorEastAsia"/>
          <w:szCs w:val="21"/>
          <w:lang w:val="en-US" w:eastAsia="zh-CN"/>
        </w:rPr>
        <w:t>6</w:t>
      </w:r>
      <w:r>
        <w:rPr>
          <w:rFonts w:asciiTheme="minorEastAsia" w:hAnsiTheme="minorEastAsia" w:eastAsiaTheme="minorEastAsia" w:cstheme="minorEastAsia"/>
          <w:szCs w:val="21"/>
        </w:rPr>
        <w:t>电子商务平台-电工交易专区价格部分未能成功上传，视为弃标，造成的一切后果，由投标人自行承担。如上传不成功，请联系电子商务平台运维电话：010-63411000</w:t>
      </w:r>
      <w:r>
        <w:rPr>
          <w:rFonts w:hint="eastAsia" w:asciiTheme="minorEastAsia" w:hAnsiTheme="minorEastAsia" w:eastAsiaTheme="minorEastAsia" w:cstheme="minorEastAsia"/>
          <w:szCs w:val="21"/>
          <w:lang w:val="en-US" w:eastAsia="zh-CN"/>
        </w:rPr>
        <w:t>。</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1.7为了进一步提升工具性能以及用户体验，请投标人下载最新版本投标工具进行投标，具体请详见电子商务平台-电工交易专区相关公告。</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p>
    <w:p>
      <w:bookmarkStart w:id="146" w:name="_GoBack"/>
      <w:bookmarkEnd w:id="1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jc w:val="center"/>
      <w:rPr>
        <w:rFonts w:hint="eastAsia" w:eastAsia="等线"/>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8"/>
                            <w:spacing w:beforeLines="0" w:afterLines="0"/>
                            <w:rPr>
                              <w:rFonts w:hint="default" w:eastAsia="宋体"/>
                              <w:sz w:val="18"/>
                              <w:szCs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3UTQAAAAAgEAAA8AAAAAAAAAAQAgAAAAIgAAAGRycy9kb3du&#10;cmV2LnhtbFBLAQIUABQAAAAIAIdO4kAWJSK0zgEAAJYDAAAOAAAAAAAAAAEAIAAAAB8BAABkcnMv&#10;ZTJvRG9jLnhtbFBLBQYAAAAABgAGAFkBAABfBQAAAAA=&#10;">
              <v:fill on="f" focussize="0,0"/>
              <v:stroke on="f"/>
              <v:imagedata o:title=""/>
              <o:lock v:ext="edit" aspectratio="f"/>
              <v:textbox inset="0mm,0mm,0mm,0mm" style="mso-fit-shape-to-text:t;">
                <w:txbxContent>
                  <w:p>
                    <w:pPr>
                      <w:pStyle w:val="8"/>
                      <w:spacing w:beforeLines="0" w:afterLines="0"/>
                      <w:rPr>
                        <w:rFonts w:hint="default" w:eastAsia="宋体"/>
                        <w:sz w:val="18"/>
                        <w:szCs w:val="18"/>
                      </w:rPr>
                    </w:pPr>
                  </w:p>
                </w:txbxContent>
              </v:textbox>
            </v:shape>
          </w:pict>
        </mc:Fallback>
      </mc:AlternateContent>
    </w:r>
    <w:r>
      <w:rPr>
        <w:rFonts w:hint="eastAsia"/>
        <w:sz w:val="18"/>
        <w:szCs w:val="18"/>
        <w:lang w:val="en-US" w:eastAsia="zh-CN"/>
      </w:rPr>
      <w:t>1</w:t>
    </w:r>
  </w:p>
  <w:p>
    <w:pPr>
      <w:pStyle w:val="8"/>
      <w:spacing w:beforeLines="0" w:afterLines="0"/>
      <w:rPr>
        <w:rFonts w:hint="default"/>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A8E0F"/>
    <w:multiLevelType w:val="singleLevel"/>
    <w:tmpl w:val="A9FA8E0F"/>
    <w:lvl w:ilvl="0" w:tentative="0">
      <w:start w:val="1"/>
      <w:numFmt w:val="decimal"/>
      <w:suff w:val="nothing"/>
      <w:lvlText w:val="（%1）"/>
      <w:lvlJc w:val="left"/>
    </w:lvl>
  </w:abstractNum>
  <w:abstractNum w:abstractNumId="1">
    <w:nsid w:val="6FCB2E15"/>
    <w:multiLevelType w:val="singleLevel"/>
    <w:tmpl w:val="6FCB2E15"/>
    <w:lvl w:ilvl="0" w:tentative="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01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jc w:val="both"/>
    </w:pPr>
    <w:rPr>
      <w:rFonts w:hint="eastAsia" w:ascii="等线" w:hAnsi="等线" w:eastAsia="等线" w:cs="Times New Roman"/>
      <w:kern w:val="2"/>
      <w:sz w:val="21"/>
      <w:szCs w:val="22"/>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spacing w:beforeLines="0" w:afterLines="0"/>
      <w:ind w:firstLine="420"/>
    </w:pPr>
    <w:rPr>
      <w:rFonts w:hint="eastAsia"/>
      <w:sz w:val="21"/>
      <w:szCs w:val="24"/>
    </w:rPr>
  </w:style>
  <w:style w:type="paragraph" w:styleId="3">
    <w:name w:val="Body Text Indent"/>
    <w:basedOn w:val="1"/>
    <w:next w:val="4"/>
    <w:unhideWhenUsed/>
    <w:qFormat/>
    <w:uiPriority w:val="0"/>
    <w:pPr>
      <w:autoSpaceDE w:val="0"/>
      <w:autoSpaceDN w:val="0"/>
      <w:spacing w:beforeLines="0" w:after="120" w:afterLines="0"/>
      <w:ind w:left="420"/>
    </w:pPr>
    <w:rPr>
      <w:rFonts w:hint="eastAsia" w:ascii="Times New Roman" w:hAnsi="Times New Roman" w:eastAsia="宋体"/>
      <w:sz w:val="21"/>
      <w:szCs w:val="24"/>
      <w:lang w:val="zh-CN"/>
    </w:rPr>
  </w:style>
  <w:style w:type="paragraph" w:styleId="4">
    <w:name w:val="envelope return"/>
    <w:basedOn w:val="1"/>
    <w:qFormat/>
    <w:uiPriority w:val="0"/>
    <w:pPr>
      <w:snapToGrid w:val="0"/>
    </w:pPr>
    <w:rPr>
      <w:rFonts w:hint="eastAsia" w:ascii="Arial" w:hAnsi="Arial" w:eastAsia="宋体" w:cs="Times New Roman"/>
      <w:szCs w:val="20"/>
    </w:rPr>
  </w:style>
  <w:style w:type="paragraph" w:customStyle="1" w:styleId="5">
    <w:name w:val="表格文字"/>
    <w:basedOn w:val="6"/>
    <w:next w:val="1"/>
    <w:unhideWhenUsed/>
    <w:qFormat/>
    <w:uiPriority w:val="0"/>
    <w:pPr>
      <w:spacing w:beforeLines="0" w:afterLines="0"/>
      <w:ind w:firstLine="0" w:firstLineChars="0"/>
      <w:jc w:val="center"/>
    </w:pPr>
    <w:rPr>
      <w:rFonts w:hint="eastAsia"/>
      <w:sz w:val="21"/>
      <w:szCs w:val="20"/>
    </w:rPr>
  </w:style>
  <w:style w:type="paragraph" w:styleId="6">
    <w:name w:val="List"/>
    <w:basedOn w:val="1"/>
    <w:unhideWhenUsed/>
    <w:qFormat/>
    <w:uiPriority w:val="0"/>
    <w:pPr>
      <w:spacing w:beforeLines="0" w:afterLines="0"/>
      <w:ind w:left="200" w:hanging="200" w:hangingChars="200"/>
    </w:pPr>
    <w:rPr>
      <w:rFonts w:hint="eastAsia" w:ascii="宋体" w:hAnsi="宋体" w:eastAsia="宋体" w:cs="宋体"/>
      <w:sz w:val="21"/>
      <w:szCs w:val="21"/>
    </w:rPr>
  </w:style>
  <w:style w:type="paragraph" w:styleId="7">
    <w:name w:val="annotation text"/>
    <w:basedOn w:val="1"/>
    <w:unhideWhenUsed/>
    <w:qFormat/>
    <w:uiPriority w:val="0"/>
    <w:pPr>
      <w:jc w:val="left"/>
    </w:pPr>
    <w:rPr>
      <w:rFonts w:ascii="Times New Roman" w:hAnsi="Times New Roman" w:cs="Times New Roman"/>
      <w:szCs w:val="24"/>
    </w:rPr>
  </w:style>
  <w:style w:type="paragraph" w:styleId="8">
    <w:name w:val="footer"/>
    <w:basedOn w:val="1"/>
    <w:unhideWhenUsed/>
    <w:qFormat/>
    <w:uiPriority w:val="99"/>
    <w:pPr>
      <w:tabs>
        <w:tab w:val="center" w:pos="4153"/>
        <w:tab w:val="right" w:pos="8306"/>
      </w:tabs>
      <w:snapToGrid w:val="0"/>
      <w:spacing w:beforeLines="0" w:afterLines="0"/>
      <w:jc w:val="left"/>
    </w:pPr>
    <w:rPr>
      <w:rFonts w:hint="eastAsia"/>
      <w:sz w:val="18"/>
      <w:szCs w:val="18"/>
    </w:rPr>
  </w:style>
  <w:style w:type="character" w:styleId="11">
    <w:name w:val="Hyperlink"/>
    <w:unhideWhenUsed/>
    <w:qFormat/>
    <w:uiPriority w:val="99"/>
    <w:rPr>
      <w:rFonts w:hint="default"/>
      <w:color w:val="0000FF"/>
      <w:sz w:val="24"/>
      <w:szCs w:val="24"/>
      <w:u w:val="single"/>
    </w:rPr>
  </w:style>
  <w:style w:type="paragraph" w:customStyle="1" w:styleId="12">
    <w:name w:val="正文文本2"/>
    <w:basedOn w:val="1"/>
    <w:unhideWhenUsed/>
    <w:qFormat/>
    <w:uiPriority w:val="0"/>
    <w:pPr>
      <w:autoSpaceDE w:val="0"/>
      <w:autoSpaceDN w:val="0"/>
      <w:spacing w:beforeLines="0" w:afterLines="0"/>
      <w:jc w:val="left"/>
    </w:pPr>
    <w:rPr>
      <w:rFonts w:hint="eastAsia" w:ascii="宋体" w:hAnsi="宋体" w:eastAsia="宋体"/>
      <w:sz w:val="20"/>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2025-06-20T03:11:52Z</dcterms:created>
  <dc:creator>Administrator</dc:creator>
  <cp:lastModifiedBy>Administrator</cp:lastModifiedBy>
  <dcterms:modified xsi:type="dcterms:W3CDTF">2025-06-20T03:12:11Z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B33F3D4D3B4E4B479850744A937D038D</vt:lpwstr>
  </property>
</Properties>
</file>