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6177F0">
      <w:pPr>
        <w:rPr>
          <w:rFonts w:hint="eastAsia" w:ascii="微软雅黑" w:hAnsi="微软雅黑" w:eastAsia="微软雅黑"/>
          <w:b/>
          <w:bCs/>
          <w:sz w:val="32"/>
          <w:szCs w:val="36"/>
        </w:rPr>
      </w:pPr>
      <w:r>
        <w:rPr>
          <w:rFonts w:hint="eastAsia" w:ascii="微软雅黑" w:hAnsi="微软雅黑" w:eastAsia="微软雅黑"/>
          <w:b/>
          <w:bCs/>
          <w:sz w:val="32"/>
          <w:szCs w:val="36"/>
        </w:rPr>
        <w:t>投标人端</w:t>
      </w:r>
    </w:p>
    <w:p w14:paraId="0E24D730">
      <w:pPr>
        <w:pStyle w:val="30"/>
        <w:numPr>
          <w:ilvl w:val="0"/>
          <w:numId w:val="1"/>
        </w:numPr>
        <w:rPr>
          <w:rFonts w:hint="eastAsia" w:ascii="微软雅黑" w:hAnsi="微软雅黑" w:eastAsia="微软雅黑"/>
          <w:b/>
          <w:bCs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1263650</wp:posOffset>
            </wp:positionV>
            <wp:extent cx="1965960" cy="1965960"/>
            <wp:effectExtent l="0" t="0" r="0" b="0"/>
            <wp:wrapTopAndBottom/>
            <wp:docPr id="1" name="图片 1" descr="4f5a32a1d4f6849949e8bb73098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5a32a1d4f6849949e8bb7309850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</w:rPr>
        <w:t>微信公众号搜索“敬业招采”，</w:t>
      </w:r>
      <w:r>
        <w:rPr>
          <w:rFonts w:hint="eastAsia" w:ascii="微软雅黑" w:hAnsi="微软雅黑" w:eastAsia="微软雅黑"/>
          <w:b/>
          <w:bCs/>
          <w:lang w:val="en-US" w:eastAsia="zh-CN"/>
        </w:rPr>
        <w:t>或微信扫一扫下方二维码，</w:t>
      </w:r>
      <w:r>
        <w:rPr>
          <w:rFonts w:hint="eastAsia" w:ascii="微软雅黑" w:hAnsi="微软雅黑" w:eastAsia="微软雅黑"/>
          <w:b/>
          <w:bCs/>
        </w:rPr>
        <w:t>进入主页点击右下角“用户协同”→“平台账号”，输入登录信息点击“登录”</w:t>
      </w:r>
      <w:bookmarkStart w:id="0" w:name="_GoBack"/>
      <w:bookmarkEnd w:id="0"/>
      <w:r>
        <w:drawing>
          <wp:inline distT="0" distB="0" distL="0" distR="0">
            <wp:extent cx="5274310" cy="8038465"/>
            <wp:effectExtent l="0" t="0" r="2540" b="635"/>
            <wp:docPr id="271778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7813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89855" cy="8863330"/>
            <wp:effectExtent l="0" t="0" r="0" b="0"/>
            <wp:docPr id="343251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514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32705" cy="8418830"/>
            <wp:effectExtent l="0" t="0" r="0" b="1270"/>
            <wp:docPr id="15909722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7224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8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038E">
      <w:pPr>
        <w:pStyle w:val="30"/>
        <w:numPr>
          <w:ilvl w:val="0"/>
          <w:numId w:val="1"/>
        </w:numPr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用户登陆后，页面底部菜单栏中有“首页“、”招标项目“、”非标项目“、”消息通知“四项</w:t>
      </w:r>
    </w:p>
    <w:p w14:paraId="51EB0508">
      <w:pPr>
        <w:pStyle w:val="30"/>
        <w:numPr>
          <w:ilvl w:val="0"/>
          <w:numId w:val="2"/>
        </w:numPr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在底部菜单栏“首页“项中，点击”今日开标“右侧”查看更多“，可查看相关内容</w:t>
      </w:r>
      <w:r>
        <w:drawing>
          <wp:inline distT="0" distB="0" distL="0" distR="0">
            <wp:extent cx="5104130" cy="8409305"/>
            <wp:effectExtent l="0" t="0" r="1270" b="0"/>
            <wp:docPr id="4975610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56103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8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9A1B0">
      <w:pPr>
        <w:pStyle w:val="30"/>
        <w:ind w:left="810"/>
        <w:rPr>
          <w:rFonts w:hint="eastAsia" w:ascii="微软雅黑" w:hAnsi="微软雅黑" w:eastAsia="微软雅黑"/>
          <w:b/>
          <w:bCs/>
        </w:rPr>
      </w:pPr>
      <w:r>
        <w:drawing>
          <wp:inline distT="0" distB="0" distL="0" distR="0">
            <wp:extent cx="5123180" cy="8409305"/>
            <wp:effectExtent l="0" t="0" r="1270" b="0"/>
            <wp:docPr id="1937409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0920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8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32705" cy="8456930"/>
            <wp:effectExtent l="0" t="0" r="0" b="1270"/>
            <wp:docPr id="1885182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8203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8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A6D8F">
      <w:pPr>
        <w:pStyle w:val="30"/>
        <w:ind w:left="810"/>
        <w:rPr>
          <w:rFonts w:hint="eastAsia" w:ascii="微软雅黑" w:hAnsi="微软雅黑" w:eastAsia="微软雅黑"/>
          <w:b/>
          <w:bCs/>
        </w:rPr>
      </w:pPr>
    </w:p>
    <w:p w14:paraId="063DA130">
      <w:pPr>
        <w:pStyle w:val="30"/>
        <w:numPr>
          <w:ilvl w:val="0"/>
          <w:numId w:val="2"/>
        </w:numPr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在底部菜单栏“首页“项中，点击”待办业务“右侧”查看更多“，可查看相关内容</w:t>
      </w:r>
    </w:p>
    <w:p w14:paraId="3045CCE9">
      <w:pPr>
        <w:pStyle w:val="30"/>
        <w:ind w:left="810"/>
        <w:rPr>
          <w:rFonts w:hint="eastAsia"/>
        </w:rPr>
      </w:pPr>
      <w:r>
        <w:drawing>
          <wp:inline distT="0" distB="0" distL="0" distR="0">
            <wp:extent cx="5142230" cy="8428355"/>
            <wp:effectExtent l="0" t="0" r="1270" b="0"/>
            <wp:docPr id="550607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0742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8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132705" cy="8380730"/>
            <wp:effectExtent l="0" t="0" r="0" b="1270"/>
            <wp:docPr id="353215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1566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8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BFDE6">
      <w:pPr>
        <w:pStyle w:val="30"/>
        <w:ind w:left="810"/>
        <w:rPr>
          <w:rFonts w:hint="eastAsia"/>
        </w:rPr>
      </w:pPr>
    </w:p>
    <w:p w14:paraId="143629E7">
      <w:pPr>
        <w:pStyle w:val="30"/>
        <w:numPr>
          <w:ilvl w:val="0"/>
          <w:numId w:val="2"/>
        </w:numPr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在底部菜单栏“首页“项中，点击”消息通知“右侧”查看更多“，可查看相关内容，点击后会跳转到底部菜单栏中的“消息通知”，用户也可以直接点击底部菜单栏的“消息通知”进行查看相关内容。</w:t>
      </w:r>
    </w:p>
    <w:p w14:paraId="42443324">
      <w:pPr>
        <w:pStyle w:val="30"/>
        <w:ind w:left="810"/>
        <w:rPr>
          <w:rFonts w:hint="eastAsia" w:ascii="微软雅黑" w:hAnsi="微软雅黑" w:eastAsia="微软雅黑"/>
          <w:b/>
          <w:bCs/>
        </w:rPr>
      </w:pPr>
      <w:r>
        <w:drawing>
          <wp:inline distT="0" distB="0" distL="0" distR="0">
            <wp:extent cx="5085080" cy="8380730"/>
            <wp:effectExtent l="0" t="0" r="1270" b="1270"/>
            <wp:docPr id="15336045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0451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5714" cy="8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151755" cy="8437880"/>
            <wp:effectExtent l="0" t="0" r="0" b="1270"/>
            <wp:docPr id="1803672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7208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8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17434">
      <w:pPr>
        <w:pStyle w:val="30"/>
        <w:numPr>
          <w:ilvl w:val="0"/>
          <w:numId w:val="2"/>
        </w:numPr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在底部菜单栏“首页“项中，点击“系统公告”右侧”查看更多“，可查看相关内容</w:t>
      </w:r>
    </w:p>
    <w:p w14:paraId="786B2D86">
      <w:pPr>
        <w:pStyle w:val="30"/>
        <w:ind w:left="810"/>
        <w:rPr>
          <w:rFonts w:hint="eastAsia"/>
        </w:rPr>
      </w:pPr>
      <w:r>
        <w:drawing>
          <wp:inline distT="0" distB="0" distL="0" distR="0">
            <wp:extent cx="5123180" cy="8466455"/>
            <wp:effectExtent l="0" t="0" r="1270" b="0"/>
            <wp:docPr id="658573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7356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8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113655" cy="8380730"/>
            <wp:effectExtent l="0" t="0" r="0" b="1270"/>
            <wp:docPr id="20367460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74607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8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0A22B">
      <w:pPr>
        <w:ind w:left="450"/>
        <w:rPr>
          <w:rFonts w:hint="eastAsia" w:ascii="微软雅黑" w:hAnsi="微软雅黑" w:eastAsia="微软雅黑"/>
          <w:b/>
          <w:bCs/>
        </w:rPr>
      </w:pPr>
    </w:p>
    <w:p w14:paraId="31BFEF67">
      <w:pPr>
        <w:pStyle w:val="30"/>
        <w:numPr>
          <w:ilvl w:val="0"/>
          <w:numId w:val="2"/>
        </w:numPr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在底部菜单栏“招标项目“项中，可点击”招标方式 “、”审查方式“、“筛选”，查看相关内容</w:t>
      </w:r>
      <w:r>
        <w:drawing>
          <wp:inline distT="0" distB="0" distL="0" distR="0">
            <wp:extent cx="5104130" cy="8437880"/>
            <wp:effectExtent l="0" t="0" r="1270" b="1270"/>
            <wp:docPr id="414728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2889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8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132705" cy="8399780"/>
            <wp:effectExtent l="0" t="0" r="0" b="1270"/>
            <wp:docPr id="972372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37254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8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113655" cy="8418830"/>
            <wp:effectExtent l="0" t="0" r="0" b="1270"/>
            <wp:docPr id="1729140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4075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4286" cy="8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151755" cy="8447405"/>
            <wp:effectExtent l="0" t="0" r="0" b="0"/>
            <wp:docPr id="126460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030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8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B881">
      <w:pPr>
        <w:pStyle w:val="30"/>
        <w:ind w:left="810"/>
        <w:rPr>
          <w:rFonts w:hint="eastAsia" w:ascii="微软雅黑" w:hAnsi="微软雅黑" w:eastAsia="微软雅黑"/>
          <w:b/>
          <w:bCs/>
        </w:rPr>
      </w:pPr>
    </w:p>
    <w:p w14:paraId="59B92B22">
      <w:pPr>
        <w:pStyle w:val="30"/>
        <w:numPr>
          <w:ilvl w:val="0"/>
          <w:numId w:val="2"/>
        </w:numPr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在底部菜单栏“非标项目“项中，可点击”采购方式 “、”报价状态“、“筛选”，查看相关内容</w:t>
      </w:r>
    </w:p>
    <w:p w14:paraId="14E8C50E">
      <w:pPr>
        <w:pStyle w:val="30"/>
        <w:rPr>
          <w:rFonts w:hint="eastAsia" w:ascii="微软雅黑" w:hAnsi="微软雅黑" w:eastAsia="微软雅黑"/>
          <w:b/>
          <w:bCs/>
        </w:rPr>
      </w:pPr>
    </w:p>
    <w:p w14:paraId="7C098964">
      <w:pPr>
        <w:pStyle w:val="30"/>
        <w:ind w:left="810"/>
        <w:rPr>
          <w:rFonts w:hint="eastAsia"/>
        </w:rPr>
      </w:pPr>
      <w:r>
        <w:drawing>
          <wp:inline distT="0" distB="0" distL="0" distR="0">
            <wp:extent cx="5132705" cy="8428355"/>
            <wp:effectExtent l="0" t="0" r="0" b="0"/>
            <wp:docPr id="1433198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9813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8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104130" cy="8437880"/>
            <wp:effectExtent l="0" t="0" r="1270" b="1270"/>
            <wp:docPr id="3560013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0138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8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142230" cy="8390255"/>
            <wp:effectExtent l="0" t="0" r="1270" b="0"/>
            <wp:docPr id="803197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9730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8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3F0B7">
      <w:pPr>
        <w:pStyle w:val="30"/>
        <w:ind w:left="810"/>
        <w:rPr>
          <w:rFonts w:hint="eastAsia" w:ascii="微软雅黑" w:hAnsi="微软雅黑" w:eastAsia="微软雅黑"/>
          <w:b/>
          <w:bCs/>
        </w:rPr>
      </w:pPr>
      <w:r>
        <w:drawing>
          <wp:inline distT="0" distB="0" distL="0" distR="0">
            <wp:extent cx="5104130" cy="8342630"/>
            <wp:effectExtent l="0" t="0" r="1270" b="1270"/>
            <wp:docPr id="1781897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97936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8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0CB1">
      <w:pPr>
        <w:pStyle w:val="30"/>
        <w:numPr>
          <w:ilvl w:val="0"/>
          <w:numId w:val="2"/>
        </w:num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回应磋商:</w:t>
      </w:r>
    </w:p>
    <w:p w14:paraId="6E60FA30">
      <w:pPr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非标项目：</w:t>
      </w:r>
    </w:p>
    <w:p w14:paraId="52B0EA1F">
      <w:pPr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①非标项目当招标人发起磋商时，投标人会收到磋商信息，投标人回应磋商。</w:t>
      </w:r>
    </w:p>
    <w:p w14:paraId="0ED26CBB">
      <w:pPr>
        <w:rPr>
          <w:rFonts w:hint="eastAsia" w:ascii="微软雅黑" w:hAnsi="微软雅黑" w:eastAsia="微软雅黑"/>
          <w:b/>
          <w:bCs/>
        </w:rPr>
      </w:pPr>
      <w:r>
        <w:drawing>
          <wp:inline distT="0" distB="0" distL="0" distR="0">
            <wp:extent cx="3742690" cy="7990205"/>
            <wp:effectExtent l="0" t="0" r="0" b="0"/>
            <wp:docPr id="826746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4601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7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C0D1">
      <w:pPr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②投标人，点击底部菜单栏中的“非标项目”，进入相应的非标项目进行报价</w:t>
      </w:r>
    </w:p>
    <w:p w14:paraId="5D9FDCB0">
      <w:pPr>
        <w:rPr>
          <w:rFonts w:hint="eastAsia" w:ascii="微软雅黑" w:hAnsi="微软雅黑" w:eastAsia="微软雅黑"/>
          <w:b/>
          <w:bCs/>
        </w:rPr>
      </w:pPr>
      <w:r>
        <w:drawing>
          <wp:inline distT="0" distB="0" distL="0" distR="0">
            <wp:extent cx="3799840" cy="8114030"/>
            <wp:effectExtent l="0" t="0" r="0" b="1270"/>
            <wp:docPr id="1189684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84288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8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4BD6D">
      <w:pPr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③点击进入后，填报磋商价格及数量进行“提交”，“确认”后招标人会收到提交的磋商价格</w:t>
      </w:r>
    </w:p>
    <w:p w14:paraId="4DCF4B20">
      <w:pPr>
        <w:rPr>
          <w:rFonts w:hint="eastAsia" w:ascii="微软雅黑" w:hAnsi="微软雅黑" w:eastAsia="微软雅黑"/>
          <w:b/>
          <w:bCs/>
        </w:rPr>
      </w:pPr>
      <w:r>
        <w:drawing>
          <wp:inline distT="0" distB="0" distL="0" distR="0">
            <wp:extent cx="2561590" cy="7999730"/>
            <wp:effectExtent l="0" t="0" r="0" b="1270"/>
            <wp:docPr id="16585922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9227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61905" cy="8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4057">
      <w:pPr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drawing>
          <wp:inline distT="0" distB="0" distL="0" distR="0">
            <wp:extent cx="1660525" cy="5295900"/>
            <wp:effectExtent l="0" t="0" r="0" b="0"/>
            <wp:docPr id="6561585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158582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</w:rPr>
        <w:t xml:space="preserve">                 </w:t>
      </w:r>
      <w:r>
        <w:rPr>
          <w:rFonts w:ascii="微软雅黑" w:hAnsi="微软雅黑" w:eastAsia="微软雅黑"/>
          <w:b/>
          <w:bCs/>
        </w:rPr>
        <w:drawing>
          <wp:inline distT="0" distB="0" distL="0" distR="0">
            <wp:extent cx="1660525" cy="5318125"/>
            <wp:effectExtent l="0" t="0" r="0" b="0"/>
            <wp:docPr id="590284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84232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AF1F5">
      <w:pPr>
        <w:rPr>
          <w:rFonts w:hint="eastAsia" w:ascii="微软雅黑" w:hAnsi="微软雅黑" w:eastAsia="微软雅黑"/>
          <w:b/>
          <w:bCs/>
        </w:rPr>
      </w:pPr>
    </w:p>
    <w:p w14:paraId="762F5B6D">
      <w:p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招标项目</w:t>
      </w:r>
    </w:p>
    <w:p w14:paraId="7DD1FFA1">
      <w:pPr>
        <w:pStyle w:val="30"/>
        <w:numPr>
          <w:ilvl w:val="1"/>
          <w:numId w:val="1"/>
        </w:num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招标项目当招标人发起磋商时，投标人会收到磋商信息，投标人回应磋商。</w:t>
      </w:r>
    </w:p>
    <w:p w14:paraId="3E73D13B">
      <w:pPr>
        <w:rPr>
          <w:rFonts w:ascii="微软雅黑" w:hAnsi="微软雅黑" w:eastAsia="微软雅黑"/>
          <w:b/>
          <w:bCs/>
        </w:rPr>
      </w:pPr>
      <w:r>
        <w:drawing>
          <wp:inline distT="0" distB="0" distL="0" distR="0">
            <wp:extent cx="3799840" cy="8009255"/>
            <wp:effectExtent l="0" t="0" r="0" b="0"/>
            <wp:docPr id="4072818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81888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8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D8CD8">
      <w:pPr>
        <w:pStyle w:val="30"/>
        <w:numPr>
          <w:ilvl w:val="1"/>
          <w:numId w:val="1"/>
        </w:numPr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投标人，点击底部菜单栏中的“招标项目”，进入相应的招标项目进行报价</w:t>
      </w:r>
    </w:p>
    <w:p w14:paraId="3EAC15CB">
      <w:pPr>
        <w:rPr>
          <w:rFonts w:ascii="微软雅黑" w:hAnsi="微软雅黑" w:eastAsia="微软雅黑"/>
          <w:b/>
          <w:bCs/>
        </w:rPr>
      </w:pPr>
      <w:r>
        <w:drawing>
          <wp:inline distT="0" distB="0" distL="0" distR="0">
            <wp:extent cx="3799840" cy="8009255"/>
            <wp:effectExtent l="0" t="0" r="0" b="0"/>
            <wp:docPr id="16478229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22998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8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261B">
      <w:pPr>
        <w:rPr>
          <w:rFonts w:ascii="微软雅黑" w:hAnsi="微软雅黑" w:eastAsia="微软雅黑"/>
          <w:b/>
          <w:bCs/>
        </w:rPr>
      </w:pPr>
      <w:r>
        <w:drawing>
          <wp:inline distT="0" distB="0" distL="0" distR="0">
            <wp:extent cx="3828415" cy="7942580"/>
            <wp:effectExtent l="0" t="0" r="635" b="1270"/>
            <wp:docPr id="1374120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2070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7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C45EB">
      <w:pPr>
        <w:rPr>
          <w:rFonts w:hint="eastAsia" w:ascii="微软雅黑" w:hAnsi="微软雅黑" w:eastAsia="微软雅黑"/>
          <w:b/>
          <w:bCs/>
        </w:rPr>
      </w:pPr>
    </w:p>
    <w:p w14:paraId="4F30F40F">
      <w:pPr>
        <w:pStyle w:val="30"/>
        <w:numPr>
          <w:ilvl w:val="1"/>
          <w:numId w:val="1"/>
        </w:numPr>
        <w:rPr>
          <w:rFonts w:hint="eastAsia"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点击进入后，填报磋商价格及数量进行“提交”，“确认”后招标人会收到提交的磋</w:t>
      </w:r>
    </w:p>
    <w:p w14:paraId="5EF598FD">
      <w:pPr>
        <w:rPr>
          <w:rFonts w:ascii="微软雅黑" w:hAnsi="微软雅黑" w:eastAsia="微软雅黑"/>
          <w:b/>
          <w:bCs/>
        </w:rPr>
      </w:pPr>
      <w:r>
        <w:drawing>
          <wp:inline distT="0" distB="0" distL="0" distR="0">
            <wp:extent cx="2485390" cy="7933055"/>
            <wp:effectExtent l="0" t="0" r="0" b="0"/>
            <wp:docPr id="1317985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85383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7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</w:rPr>
        <w:t>·</w:t>
      </w:r>
    </w:p>
    <w:p w14:paraId="569FB431">
      <w:pPr>
        <w:rPr>
          <w:rFonts w:ascii="微软雅黑" w:hAnsi="微软雅黑" w:eastAsia="微软雅黑"/>
          <w:b/>
          <w:bCs/>
        </w:rPr>
      </w:pPr>
    </w:p>
    <w:p w14:paraId="6AA8E389">
      <w:pPr>
        <w:rPr>
          <w:rFonts w:hint="eastAsia"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drawing>
          <wp:inline distT="0" distB="0" distL="0" distR="0">
            <wp:extent cx="1638300" cy="5295900"/>
            <wp:effectExtent l="0" t="0" r="0" b="0"/>
            <wp:docPr id="10528698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69847" name="图片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bCs/>
        </w:rPr>
        <w:t xml:space="preserve">          </w:t>
      </w:r>
      <w:r>
        <w:rPr>
          <w:rFonts w:ascii="微软雅黑" w:hAnsi="微软雅黑" w:eastAsia="微软雅黑"/>
          <w:b/>
          <w:bCs/>
        </w:rPr>
        <w:drawing>
          <wp:inline distT="0" distB="0" distL="0" distR="0">
            <wp:extent cx="1660525" cy="5318125"/>
            <wp:effectExtent l="0" t="0" r="0" b="0"/>
            <wp:docPr id="17482735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73509" name="图片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53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037F2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8D4971"/>
    <w:multiLevelType w:val="multilevel"/>
    <w:tmpl w:val="1A8D4971"/>
    <w:lvl w:ilvl="0" w:tentative="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5D177773"/>
    <w:multiLevelType w:val="multilevel"/>
    <w:tmpl w:val="5D177773"/>
    <w:lvl w:ilvl="0" w:tentative="0">
      <w:start w:val="1"/>
      <w:numFmt w:val="decimal"/>
      <w:lvlText w:val="%1、"/>
      <w:lvlJc w:val="left"/>
      <w:pPr>
        <w:ind w:left="810" w:hanging="360"/>
      </w:pPr>
      <w:rPr>
        <w:rFonts w:hint="default"/>
      </w:rPr>
    </w:lvl>
    <w:lvl w:ilvl="1" w:tentative="0">
      <w:start w:val="6"/>
      <w:numFmt w:val="decimal"/>
      <w:lvlText w:val="%2、"/>
      <w:lvlJc w:val="left"/>
      <w:pPr>
        <w:ind w:left="125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770" w:hanging="440"/>
      </w:pPr>
    </w:lvl>
    <w:lvl w:ilvl="3" w:tentative="0">
      <w:start w:val="1"/>
      <w:numFmt w:val="decimal"/>
      <w:lvlText w:val="%4."/>
      <w:lvlJc w:val="left"/>
      <w:pPr>
        <w:ind w:left="2210" w:hanging="440"/>
      </w:pPr>
    </w:lvl>
    <w:lvl w:ilvl="4" w:tentative="0">
      <w:start w:val="1"/>
      <w:numFmt w:val="lowerLetter"/>
      <w:lvlText w:val="%5)"/>
      <w:lvlJc w:val="left"/>
      <w:pPr>
        <w:ind w:left="2650" w:hanging="440"/>
      </w:pPr>
    </w:lvl>
    <w:lvl w:ilvl="5" w:tentative="0">
      <w:start w:val="1"/>
      <w:numFmt w:val="lowerRoman"/>
      <w:lvlText w:val="%6."/>
      <w:lvlJc w:val="right"/>
      <w:pPr>
        <w:ind w:left="3090" w:hanging="440"/>
      </w:pPr>
    </w:lvl>
    <w:lvl w:ilvl="6" w:tentative="0">
      <w:start w:val="1"/>
      <w:numFmt w:val="decimal"/>
      <w:lvlText w:val="%7."/>
      <w:lvlJc w:val="left"/>
      <w:pPr>
        <w:ind w:left="3530" w:hanging="440"/>
      </w:pPr>
    </w:lvl>
    <w:lvl w:ilvl="7" w:tentative="0">
      <w:start w:val="1"/>
      <w:numFmt w:val="lowerLetter"/>
      <w:lvlText w:val="%8)"/>
      <w:lvlJc w:val="left"/>
      <w:pPr>
        <w:ind w:left="3970" w:hanging="440"/>
      </w:pPr>
    </w:lvl>
    <w:lvl w:ilvl="8" w:tentative="0">
      <w:start w:val="1"/>
      <w:numFmt w:val="lowerRoman"/>
      <w:lvlText w:val="%9."/>
      <w:lvlJc w:val="right"/>
      <w:pPr>
        <w:ind w:left="441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462"/>
    <w:rsid w:val="001B0ABB"/>
    <w:rsid w:val="001C2EE5"/>
    <w:rsid w:val="0028409B"/>
    <w:rsid w:val="00287009"/>
    <w:rsid w:val="00557CDB"/>
    <w:rsid w:val="006F5207"/>
    <w:rsid w:val="00766148"/>
    <w:rsid w:val="008307D7"/>
    <w:rsid w:val="00956DCE"/>
    <w:rsid w:val="009A4450"/>
    <w:rsid w:val="00AB0936"/>
    <w:rsid w:val="00B33A71"/>
    <w:rsid w:val="00B36670"/>
    <w:rsid w:val="00B42462"/>
    <w:rsid w:val="00CA70A5"/>
    <w:rsid w:val="00D81D61"/>
    <w:rsid w:val="00DC35DA"/>
    <w:rsid w:val="00E63FAE"/>
    <w:rsid w:val="00F13C6B"/>
    <w:rsid w:val="2E30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2F5597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608</Words>
  <Characters>608</Characters>
  <Lines>39</Lines>
  <Paragraphs>17</Paragraphs>
  <TotalTime>4</TotalTime>
  <ScaleCrop>false</ScaleCrop>
  <LinksUpToDate>false</LinksUpToDate>
  <CharactersWithSpaces>645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2025-07-02T03:18:00Z</dcterms:created>
  <dc:creator>Guilin Ma (马郌林)</dc:creator>
  <cp:lastModifiedBy>Lenovo</cp:lastModifiedBy>
  <dcterms:modified xsi:type="dcterms:W3CDTF">2025-07-02T06:07:38Z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eyJoZGlkIjoiMzhjMGRlZjUxYzk1MDA0ZTMwMTBlZmEyMTI1NDc1ZWMiLCJ1c2VySWQiOiI5MjQwNjk1ODUifQ==</vt:lpwstr>
  </property>
  <property fmtid="{D5CDD505-2E9C-101B-9397-08002B2CF9AE}" pid="3" name="KSOProductBuildVer">
    <vt:lpwstr>2052-12.1.0.21541</vt:lpwstr>
  </property>
  <property fmtid="{D5CDD505-2E9C-101B-9397-08002B2CF9AE}" pid="4" name="ICV">
    <vt:lpwstr>B91702E77F6848CA9761E4AF159B89E3_12</vt:lpwstr>
  </property>
</Properties>
</file>