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供应商必须为《关于公布集团公司2024-2025年法律服务项目第一批资格审查合格单位名单的通知》内蒙古能源〔2024〕234号中公布的法律服务机构名单内的单位：北京大成（内蒙古）律师事务所、北京市中伦律师事务所、北京大成律师事务所、北京市炜衡（呼和浩特）律师事务所、经世律师事务所、北京金诚同达律师事务所、北京市东卫律师事务所、北京策略（呼和浩特）律师事务所、内蒙古若辉律师事务所、北京市君合律师事务所、内蒙古东日律师事务所，提供有效期内的律师事务所执业许可证。</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二、提供承诺函，内容如下，不得删减或者修改承诺函内容：</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内蒙古能源发电新丰热电有限公司：</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（1）供应商应签订保密承诺，承诺在本项目工作范围内的各项事务，未经采购人同意不可随意泄露，不同时参与与本项目服务事项相关的其他代理人事项。</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（2）供应商应自觉遵守国家、自治区、内蒙古能源集团有限公司及采购人有关企业法律服务商管理办法及各项规定。</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3）供应商在服务期限内，每周应指派至少1名以上业务能力强、长期从事电力建设、煤矿建设、劳动用工、企业法律顾问等有关事务五年以上的资深律师分别在采购人指定地点进行现场办公每周不低于半个工作日。</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（4）采购人在采购内容范围内，可随时联系供应商派驻指定律师，为采购人解决各项法律事务。</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（5）对采购人服务范围内的法律文书应由资深律师亲自审核签字。</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（6）需根据采购人要求或临时性指示处理其他杂项法律事务。</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（7）如遇法律事务繁杂、重大案件较多等情况，供应商应按照采购人实际需求，增加律师人数以满足项目正常进行，此项所需费用包含在供应商报价中。</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（8）供应商保证本项目派驻人员已经过专业培训，对本项目范围内外聘律师服务具备充足经验。</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（9）供应商应保证派驻人员的工作经验及从业资格，高质量完成本项目服务内容。</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（10）常年法律顾问每周不低于半天的出勤率为100%。</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（11）按要求出具法律意见书，解答法律咨询，参加采购人涉法涉诉、合规管理事项等专题会，满足采购人质量和时限要求。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（12）审查合同、制度等不发生问题。</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13）配合采购人开展普法合规培训总计不少于4次；一般诉讼案件参与完成率达到100%；在履行本项目期间不出现由于供应商责任造成的异常及不安全事件；任何一项工作结束后，都要及时做好记录工作，按采购人要求设立相应的台账，并及时反馈给采购人；供应商派驻人员应保持通讯联络畅通，及时到场处理各项紧急工作任务；供应商应免费向采购人相关人员提供本项目服务范围内的各项法律事务问题进行解答、并按需出具相关法律文件；供应商在项目实施过程中对采购人外聘律师服务范围的安全负责，因供应商责任在服务工作过程中导致人身伤亡或设备损坏、丢失的，由供应商承担全部责任。</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（14）供应商承诺满足的其他条件详见附件2“4.2.2专用部分”（二十三）。</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（15）承诺派驻本项目的团队人员在本单位工作满一年以上。</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（16）承诺已知晓本项目询价通知单及其相关附件的一切要求。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pStyle w:val="11"/>
              <w:wordWrap w:val="0"/>
              <w:adjustRightInd w:val="0"/>
              <w:snapToGrid w:val="0"/>
              <w:spacing w:before="156" w:beforeLines="50" w:after="156" w:afterLines="50" w:line="360" w:lineRule="auto"/>
              <w:jc w:val="both"/>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三、拟派本项目的团队人员不得少于3人，均需有5年及以上执业经历，团队人员2022年1月1日至报价截止时间（以合同签订日期为准）均需具有至少1份工程合同或供热合同诉讼业绩（提供执业证书扫描件及业绩合同扫描件，业绩合同需能体现团队律师名字，签字盖章日期齐全，否则不予认可）。</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四、《询价/竞价授权报名表》</w:t>
      </w:r>
      <w:r>
        <w:rPr>
          <w:rFonts w:hint="eastAsia" w:ascii="微软雅黑" w:hAnsi="微软雅黑" w:eastAsia="微软雅黑"/>
          <w:color w:val="000000" w:themeColor="text1"/>
          <w14:textFill>
            <w14:solidFill>
              <w14:schemeClr w14:val="tx1"/>
            </w14:solidFill>
          </w14:textFill>
        </w:rPr>
        <w:t>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rPr>
        <w:t>《询价/竞价授权报名表》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bookmarkStart w:id="0" w:name="_GoBack"/>
      <w:bookmarkEnd w:id="0"/>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2"/>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77060B0B"/>
    <w:multiLevelType w:val="singleLevel"/>
    <w:tmpl w:val="77060B0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WI1Yjg5ZmE1N2VkYWRmZmZlYzA4NGQxNmM1Y2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5EF2B41"/>
    <w:rsid w:val="09D7375B"/>
    <w:rsid w:val="0D9756D8"/>
    <w:rsid w:val="0DA40B84"/>
    <w:rsid w:val="13AA206A"/>
    <w:rsid w:val="170220CE"/>
    <w:rsid w:val="1C7F397A"/>
    <w:rsid w:val="1CFC48EF"/>
    <w:rsid w:val="1D756E18"/>
    <w:rsid w:val="22836D67"/>
    <w:rsid w:val="26076B01"/>
    <w:rsid w:val="2BDC7050"/>
    <w:rsid w:val="2CF47971"/>
    <w:rsid w:val="2D857478"/>
    <w:rsid w:val="2E34016C"/>
    <w:rsid w:val="2F5A077C"/>
    <w:rsid w:val="32607A69"/>
    <w:rsid w:val="356B13C7"/>
    <w:rsid w:val="3C9765FD"/>
    <w:rsid w:val="40BC08F6"/>
    <w:rsid w:val="431922A3"/>
    <w:rsid w:val="457219C0"/>
    <w:rsid w:val="45817B3D"/>
    <w:rsid w:val="46096A07"/>
    <w:rsid w:val="46D76164"/>
    <w:rsid w:val="48565574"/>
    <w:rsid w:val="4D8D4D74"/>
    <w:rsid w:val="59A21062"/>
    <w:rsid w:val="5DC673A8"/>
    <w:rsid w:val="5EC744C3"/>
    <w:rsid w:val="62A77132"/>
    <w:rsid w:val="67416B13"/>
    <w:rsid w:val="675A710F"/>
    <w:rsid w:val="676013FA"/>
    <w:rsid w:val="6CBC5656"/>
    <w:rsid w:val="726A5CB0"/>
    <w:rsid w:val="777501D2"/>
    <w:rsid w:val="777971DA"/>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吴秋丽</cp:lastModifiedBy>
  <dcterms:modified xsi:type="dcterms:W3CDTF">2024-04-27T02:36:57Z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