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00"/>
        <w:rPr>
          <w:color w:val="auto"/>
          <w:sz w:val="20"/>
          <w:highlight w:val="none"/>
        </w:rPr>
      </w:pPr>
    </w:p>
    <w:p>
      <w:pPr>
        <w:jc w:val="center"/>
        <w:rPr>
          <w:rFonts w:eastAsia="黑体"/>
          <w:color w:val="auto"/>
          <w:sz w:val="28"/>
          <w:szCs w:val="28"/>
          <w:highlight w:val="none"/>
        </w:rPr>
      </w:pPr>
    </w:p>
    <w:p>
      <w:pPr>
        <w:jc w:val="center"/>
        <w:rPr>
          <w:rFonts w:eastAsia="黑体"/>
          <w:color w:val="auto"/>
          <w:sz w:val="28"/>
          <w:szCs w:val="28"/>
          <w:highlight w:val="none"/>
        </w:rPr>
      </w:pPr>
    </w:p>
    <w:p>
      <w:pPr>
        <w:jc w:val="center"/>
        <w:rPr>
          <w:rFonts w:hint="eastAsia" w:eastAsia="黑体"/>
          <w:color w:val="auto"/>
          <w:sz w:val="36"/>
          <w:szCs w:val="36"/>
          <w:highlight w:val="none"/>
        </w:rPr>
      </w:pPr>
      <w:r>
        <w:rPr>
          <w:rFonts w:hint="eastAsia" w:eastAsia="黑体"/>
          <w:color w:val="auto"/>
          <w:sz w:val="36"/>
          <w:szCs w:val="36"/>
          <w:highlight w:val="none"/>
        </w:rPr>
        <w:t>东莞市轨道交通1号线一期工程</w:t>
      </w:r>
    </w:p>
    <w:p>
      <w:pPr>
        <w:jc w:val="center"/>
        <w:rPr>
          <w:rFonts w:eastAsia="黑体"/>
          <w:color w:val="auto"/>
          <w:sz w:val="28"/>
          <w:szCs w:val="28"/>
          <w:highlight w:val="none"/>
        </w:rPr>
      </w:pPr>
      <w:r>
        <w:rPr>
          <w:rFonts w:hint="eastAsia" w:eastAsia="黑体"/>
          <w:color w:val="auto"/>
          <w:sz w:val="36"/>
          <w:szCs w:val="36"/>
          <w:highlight w:val="none"/>
        </w:rPr>
        <w:t>2025-2026年结构变形监测项目</w:t>
      </w:r>
    </w:p>
    <w:p>
      <w:pPr>
        <w:jc w:val="center"/>
        <w:rPr>
          <w:rFonts w:eastAsia="黑体"/>
          <w:color w:val="auto"/>
          <w:sz w:val="28"/>
          <w:szCs w:val="28"/>
          <w:highlight w:val="none"/>
        </w:rPr>
      </w:pPr>
    </w:p>
    <w:p>
      <w:pPr>
        <w:jc w:val="center"/>
        <w:rPr>
          <w:rFonts w:eastAsia="黑体"/>
          <w:color w:val="auto"/>
          <w:sz w:val="28"/>
          <w:szCs w:val="28"/>
          <w:highlight w:val="none"/>
        </w:rPr>
      </w:pPr>
    </w:p>
    <w:p>
      <w:pPr>
        <w:jc w:val="center"/>
        <w:rPr>
          <w:rFonts w:eastAsia="黑体"/>
          <w:color w:val="auto"/>
          <w:sz w:val="28"/>
          <w:szCs w:val="28"/>
          <w:highlight w:val="none"/>
        </w:rPr>
      </w:pPr>
    </w:p>
    <w:p>
      <w:pPr>
        <w:rPr>
          <w:color w:val="auto"/>
          <w:sz w:val="28"/>
          <w:szCs w:val="28"/>
          <w:highlight w:val="none"/>
        </w:rPr>
      </w:pPr>
    </w:p>
    <w:p>
      <w:pPr>
        <w:rPr>
          <w:color w:val="auto"/>
          <w:sz w:val="28"/>
          <w:szCs w:val="24"/>
          <w:highlight w:val="none"/>
        </w:rPr>
      </w:pPr>
    </w:p>
    <w:p>
      <w:pPr>
        <w:jc w:val="center"/>
        <w:rPr>
          <w:rFonts w:eastAsia="黑体"/>
          <w:color w:val="auto"/>
          <w:sz w:val="44"/>
          <w:szCs w:val="24"/>
          <w:highlight w:val="none"/>
        </w:rPr>
      </w:pPr>
      <w:r>
        <w:rPr>
          <w:rFonts w:hint="eastAsia" w:eastAsia="黑体"/>
          <w:color w:val="auto"/>
          <w:sz w:val="44"/>
          <w:szCs w:val="24"/>
          <w:highlight w:val="none"/>
        </w:rPr>
        <w:t>招标文件</w:t>
      </w:r>
    </w:p>
    <w:p>
      <w:pPr>
        <w:spacing w:line="400" w:lineRule="exact"/>
        <w:rPr>
          <w:color w:val="auto"/>
          <w:szCs w:val="24"/>
          <w:highlight w:val="none"/>
        </w:rPr>
      </w:pPr>
    </w:p>
    <w:p>
      <w:pPr>
        <w:spacing w:line="400" w:lineRule="exact"/>
        <w:rPr>
          <w:color w:val="auto"/>
          <w:szCs w:val="24"/>
          <w:highlight w:val="none"/>
        </w:rPr>
      </w:pPr>
    </w:p>
    <w:p>
      <w:pPr>
        <w:spacing w:line="400" w:lineRule="exact"/>
        <w:rPr>
          <w:color w:val="auto"/>
          <w:szCs w:val="24"/>
          <w:highlight w:val="none"/>
        </w:rPr>
      </w:pPr>
    </w:p>
    <w:p>
      <w:pPr>
        <w:spacing w:line="400" w:lineRule="exact"/>
        <w:rPr>
          <w:color w:val="auto"/>
          <w:szCs w:val="24"/>
          <w:highlight w:val="none"/>
        </w:rPr>
      </w:pPr>
    </w:p>
    <w:p>
      <w:pPr>
        <w:spacing w:line="400" w:lineRule="exact"/>
        <w:rPr>
          <w:color w:val="auto"/>
          <w:szCs w:val="24"/>
          <w:highlight w:val="none"/>
        </w:rPr>
      </w:pPr>
    </w:p>
    <w:p>
      <w:pPr>
        <w:spacing w:line="400" w:lineRule="exact"/>
        <w:rPr>
          <w:color w:val="auto"/>
          <w:szCs w:val="24"/>
          <w:highlight w:val="none"/>
        </w:rPr>
      </w:pPr>
    </w:p>
    <w:p>
      <w:pPr>
        <w:spacing w:line="400" w:lineRule="exact"/>
        <w:rPr>
          <w:color w:val="auto"/>
          <w:szCs w:val="24"/>
          <w:highlight w:val="none"/>
        </w:rPr>
      </w:pPr>
    </w:p>
    <w:p>
      <w:pPr>
        <w:spacing w:line="400" w:lineRule="exact"/>
        <w:rPr>
          <w:color w:val="auto"/>
          <w:szCs w:val="24"/>
          <w:highlight w:val="none"/>
        </w:rPr>
      </w:pPr>
    </w:p>
    <w:p>
      <w:pPr>
        <w:spacing w:line="400" w:lineRule="exact"/>
        <w:rPr>
          <w:color w:val="auto"/>
          <w:szCs w:val="24"/>
          <w:highlight w:val="none"/>
        </w:rPr>
      </w:pPr>
    </w:p>
    <w:p>
      <w:pPr>
        <w:spacing w:line="400" w:lineRule="exact"/>
        <w:rPr>
          <w:color w:val="auto"/>
          <w:szCs w:val="24"/>
          <w:highlight w:val="none"/>
        </w:rPr>
      </w:pPr>
    </w:p>
    <w:p>
      <w:pPr>
        <w:jc w:val="center"/>
        <w:rPr>
          <w:rFonts w:eastAsia="黑体"/>
          <w:color w:val="auto"/>
          <w:sz w:val="28"/>
          <w:szCs w:val="24"/>
          <w:highlight w:val="none"/>
          <w:u w:val="single"/>
        </w:rPr>
      </w:pPr>
      <w:r>
        <w:rPr>
          <w:rFonts w:hint="eastAsia" w:eastAsia="黑体"/>
          <w:color w:val="auto"/>
          <w:sz w:val="28"/>
          <w:szCs w:val="24"/>
          <w:highlight w:val="none"/>
        </w:rPr>
        <w:t>招标人：</w:t>
      </w:r>
      <w:r>
        <w:rPr>
          <w:rFonts w:eastAsia="黑体"/>
          <w:color w:val="auto"/>
          <w:sz w:val="28"/>
          <w:szCs w:val="24"/>
          <w:highlight w:val="none"/>
          <w:u w:val="single"/>
        </w:rPr>
        <w:t xml:space="preserve"> </w:t>
      </w:r>
      <w:r>
        <w:rPr>
          <w:rFonts w:hint="eastAsia" w:eastAsia="黑体"/>
          <w:color w:val="auto"/>
          <w:sz w:val="28"/>
          <w:szCs w:val="24"/>
          <w:highlight w:val="none"/>
          <w:u w:val="single"/>
        </w:rPr>
        <w:t>东莞市轨道一号线建设发展有限公司</w:t>
      </w:r>
      <w:r>
        <w:rPr>
          <w:rFonts w:eastAsia="黑体"/>
          <w:color w:val="auto"/>
          <w:sz w:val="28"/>
          <w:szCs w:val="24"/>
          <w:highlight w:val="none"/>
          <w:u w:val="single"/>
        </w:rPr>
        <w:t xml:space="preserve">  </w:t>
      </w:r>
    </w:p>
    <w:p>
      <w:pPr>
        <w:jc w:val="center"/>
        <w:rPr>
          <w:rFonts w:eastAsia="黑体"/>
          <w:color w:val="auto"/>
          <w:sz w:val="28"/>
          <w:szCs w:val="24"/>
          <w:highlight w:val="none"/>
        </w:rPr>
      </w:pPr>
      <w:r>
        <w:rPr>
          <w:rFonts w:eastAsia="黑体"/>
          <w:color w:val="auto"/>
          <w:sz w:val="28"/>
          <w:szCs w:val="24"/>
          <w:highlight w:val="none"/>
        </w:rPr>
        <w:t xml:space="preserve">   </w:t>
      </w:r>
      <w:r>
        <w:rPr>
          <w:rFonts w:hint="eastAsia" w:eastAsia="黑体"/>
          <w:color w:val="auto"/>
          <w:sz w:val="28"/>
          <w:szCs w:val="24"/>
          <w:highlight w:val="none"/>
        </w:rPr>
        <w:t>招标代理：</w:t>
      </w:r>
      <w:r>
        <w:rPr>
          <w:rFonts w:hint="eastAsia" w:eastAsia="黑体"/>
          <w:color w:val="auto"/>
          <w:sz w:val="28"/>
          <w:szCs w:val="24"/>
          <w:highlight w:val="none"/>
          <w:u w:val="single"/>
        </w:rPr>
        <w:t xml:space="preserve"> 广东省机电设备招标有限公司</w:t>
      </w:r>
      <w:r>
        <w:rPr>
          <w:rFonts w:eastAsia="黑体"/>
          <w:color w:val="auto"/>
          <w:sz w:val="28"/>
          <w:szCs w:val="24"/>
          <w:highlight w:val="none"/>
          <w:u w:val="single"/>
        </w:rPr>
        <w:t xml:space="preserve"> </w:t>
      </w:r>
    </w:p>
    <w:p>
      <w:pPr>
        <w:jc w:val="center"/>
        <w:rPr>
          <w:rFonts w:eastAsia="黑体"/>
          <w:color w:val="auto"/>
          <w:sz w:val="28"/>
          <w:szCs w:val="24"/>
          <w:highlight w:val="none"/>
        </w:rPr>
      </w:pPr>
      <w:r>
        <w:rPr>
          <w:rFonts w:hint="eastAsia" w:eastAsia="黑体"/>
          <w:color w:val="auto"/>
          <w:sz w:val="28"/>
          <w:szCs w:val="24"/>
          <w:highlight w:val="none"/>
        </w:rPr>
        <w:t xml:space="preserve"> </w:t>
      </w:r>
    </w:p>
    <w:p>
      <w:pPr>
        <w:jc w:val="center"/>
        <w:rPr>
          <w:rFonts w:eastAsia="黑体"/>
          <w:color w:val="auto"/>
          <w:sz w:val="28"/>
          <w:szCs w:val="24"/>
          <w:highlight w:val="none"/>
        </w:rPr>
      </w:pPr>
      <w:r>
        <w:rPr>
          <w:color w:val="auto"/>
          <w:szCs w:val="24"/>
          <w:highlight w:val="none"/>
          <w:u w:val="single"/>
        </w:rPr>
        <w:t xml:space="preserve">  </w:t>
      </w:r>
      <w:r>
        <w:rPr>
          <w:rFonts w:hint="eastAsia"/>
          <w:color w:val="auto"/>
          <w:szCs w:val="24"/>
          <w:highlight w:val="none"/>
          <w:u w:val="single"/>
        </w:rPr>
        <w:t>2025</w:t>
      </w:r>
      <w:r>
        <w:rPr>
          <w:color w:val="auto"/>
          <w:szCs w:val="24"/>
          <w:highlight w:val="none"/>
          <w:u w:val="single"/>
        </w:rPr>
        <w:t xml:space="preserve">  </w:t>
      </w:r>
      <w:r>
        <w:rPr>
          <w:rFonts w:hint="eastAsia" w:eastAsia="黑体"/>
          <w:color w:val="auto"/>
          <w:sz w:val="28"/>
          <w:szCs w:val="24"/>
          <w:highlight w:val="none"/>
        </w:rPr>
        <w:t>年</w:t>
      </w:r>
      <w:r>
        <w:rPr>
          <w:color w:val="auto"/>
          <w:szCs w:val="24"/>
          <w:highlight w:val="none"/>
          <w:u w:val="single"/>
        </w:rPr>
        <w:t xml:space="preserve">  </w:t>
      </w:r>
      <w:r>
        <w:rPr>
          <w:rFonts w:hint="eastAsia"/>
          <w:color w:val="auto"/>
          <w:szCs w:val="24"/>
          <w:highlight w:val="none"/>
          <w:u w:val="single"/>
          <w:lang w:val="en-US" w:eastAsia="zh-CN"/>
        </w:rPr>
        <w:t>08</w:t>
      </w:r>
      <w:r>
        <w:rPr>
          <w:color w:val="auto"/>
          <w:szCs w:val="24"/>
          <w:highlight w:val="none"/>
          <w:u w:val="single"/>
        </w:rPr>
        <w:t xml:space="preserve">  </w:t>
      </w:r>
      <w:r>
        <w:rPr>
          <w:rFonts w:hint="eastAsia" w:eastAsia="黑体"/>
          <w:color w:val="auto"/>
          <w:sz w:val="28"/>
          <w:szCs w:val="24"/>
          <w:highlight w:val="none"/>
        </w:rPr>
        <w:t>月</w:t>
      </w:r>
    </w:p>
    <w:p>
      <w:pPr>
        <w:jc w:val="center"/>
        <w:rPr>
          <w:rFonts w:eastAsia="黑体"/>
          <w:color w:val="auto"/>
          <w:sz w:val="28"/>
          <w:szCs w:val="24"/>
          <w:highlight w:val="none"/>
        </w:rPr>
      </w:pPr>
    </w:p>
    <w:p>
      <w:pPr>
        <w:keepNext/>
        <w:keepLines/>
        <w:adjustRightInd w:val="0"/>
        <w:spacing w:before="240" w:after="60"/>
        <w:jc w:val="center"/>
        <w:textAlignment w:val="baseline"/>
        <w:outlineLvl w:val="0"/>
        <w:rPr>
          <w:rFonts w:hint="eastAsia" w:eastAsia="黑体"/>
          <w:color w:val="auto"/>
          <w:kern w:val="24"/>
          <w:sz w:val="28"/>
          <w:szCs w:val="20"/>
          <w:highlight w:val="none"/>
        </w:rPr>
        <w:sectPr>
          <w:pgSz w:w="11906" w:h="16838"/>
          <w:pgMar w:top="1440" w:right="1800" w:bottom="1440" w:left="1800" w:header="851" w:footer="992" w:gutter="0"/>
          <w:cols w:space="720" w:num="1"/>
          <w:titlePg/>
          <w:docGrid w:type="lines" w:linePitch="312" w:charSpace="0"/>
        </w:sectPr>
      </w:pPr>
      <w:bookmarkStart w:id="0" w:name="_Toc18043"/>
      <w:bookmarkStart w:id="1" w:name="_Toc170804547"/>
      <w:bookmarkStart w:id="2" w:name="_Toc22487"/>
      <w:bookmarkStart w:id="3" w:name="_Toc5162"/>
      <w:bookmarkStart w:id="4" w:name="_Toc18744"/>
      <w:bookmarkStart w:id="5" w:name="_Toc8314"/>
    </w:p>
    <w:p>
      <w:pPr>
        <w:keepNext/>
        <w:keepLines/>
        <w:adjustRightInd w:val="0"/>
        <w:spacing w:before="240" w:after="60"/>
        <w:jc w:val="center"/>
        <w:textAlignment w:val="baseline"/>
        <w:outlineLvl w:val="0"/>
        <w:rPr>
          <w:rFonts w:eastAsia="黑体"/>
          <w:color w:val="auto"/>
          <w:kern w:val="24"/>
          <w:sz w:val="28"/>
          <w:szCs w:val="20"/>
          <w:highlight w:val="none"/>
        </w:rPr>
      </w:pPr>
      <w:bookmarkStart w:id="6" w:name="_Toc2096614663"/>
      <w:bookmarkStart w:id="7" w:name="_Toc11345"/>
      <w:bookmarkStart w:id="8" w:name="_Toc30035"/>
      <w:bookmarkStart w:id="9" w:name="_Toc184"/>
      <w:bookmarkStart w:id="10" w:name="_Toc2479"/>
      <w:r>
        <w:rPr>
          <w:rFonts w:hint="eastAsia" w:eastAsia="黑体"/>
          <w:color w:val="auto"/>
          <w:kern w:val="24"/>
          <w:sz w:val="28"/>
          <w:szCs w:val="20"/>
          <w:highlight w:val="none"/>
        </w:rPr>
        <w:t>目</w:t>
      </w:r>
      <w:r>
        <w:rPr>
          <w:rFonts w:eastAsia="黑体"/>
          <w:color w:val="auto"/>
          <w:kern w:val="24"/>
          <w:sz w:val="28"/>
          <w:szCs w:val="20"/>
          <w:highlight w:val="none"/>
        </w:rPr>
        <w:t xml:space="preserve">  </w:t>
      </w:r>
      <w:r>
        <w:rPr>
          <w:rFonts w:hint="eastAsia" w:eastAsia="黑体"/>
          <w:color w:val="auto"/>
          <w:kern w:val="24"/>
          <w:sz w:val="28"/>
          <w:szCs w:val="20"/>
          <w:highlight w:val="none"/>
        </w:rPr>
        <w:t>录</w:t>
      </w:r>
      <w:bookmarkEnd w:id="0"/>
      <w:bookmarkEnd w:id="1"/>
      <w:bookmarkEnd w:id="2"/>
      <w:bookmarkEnd w:id="3"/>
      <w:bookmarkEnd w:id="4"/>
      <w:bookmarkEnd w:id="5"/>
      <w:bookmarkEnd w:id="6"/>
      <w:bookmarkEnd w:id="7"/>
      <w:bookmarkEnd w:id="8"/>
      <w:bookmarkEnd w:id="9"/>
      <w:bookmarkEnd w:id="10"/>
    </w:p>
    <w:p>
      <w:pPr>
        <w:tabs>
          <w:tab w:val="right" w:leader="dot" w:pos="8100"/>
          <w:tab w:val="right" w:leader="dot" w:pos="8630"/>
        </w:tabs>
        <w:adjustRightInd w:val="0"/>
        <w:spacing w:before="120" w:after="120" w:line="312" w:lineRule="atLeast"/>
        <w:ind w:right="25" w:rightChars="12"/>
        <w:jc w:val="center"/>
        <w:textAlignment w:val="baseline"/>
        <w:rPr>
          <w:rFonts w:eastAsia="长城仿宋"/>
          <w:b/>
          <w:caps/>
          <w:color w:val="auto"/>
          <w:kern w:val="0"/>
          <w:sz w:val="20"/>
          <w:szCs w:val="20"/>
          <w:highlight w:val="none"/>
        </w:rPr>
      </w:pPr>
    </w:p>
    <w:p>
      <w:pPr>
        <w:pStyle w:val="28"/>
        <w:tabs>
          <w:tab w:val="right" w:leader="dot" w:pos="9639"/>
          <w:tab w:val="clear" w:pos="8100"/>
        </w:tabs>
        <w:rPr>
          <w:color w:val="auto"/>
          <w:highlight w:val="none"/>
        </w:rPr>
      </w:pPr>
      <w:r>
        <w:rPr>
          <w:b w:val="0"/>
          <w:caps w:val="0"/>
          <w:color w:val="auto"/>
          <w:highlight w:val="none"/>
        </w:rPr>
        <w:fldChar w:fldCharType="begin"/>
      </w:r>
      <w:r>
        <w:rPr>
          <w:b w:val="0"/>
          <w:caps w:val="0"/>
          <w:color w:val="auto"/>
          <w:highlight w:val="none"/>
        </w:rPr>
        <w:instrText xml:space="preserve"> TOC \o "1-3" \h \z \u </w:instrText>
      </w:r>
      <w:r>
        <w:rPr>
          <w:b w:val="0"/>
          <w:caps w:val="0"/>
          <w:color w:val="auto"/>
          <w:highlight w:val="none"/>
        </w:rPr>
        <w:fldChar w:fldCharType="separate"/>
      </w:r>
      <w:r>
        <w:rPr>
          <w:caps w:val="0"/>
          <w:color w:val="auto"/>
          <w:highlight w:val="none"/>
        </w:rPr>
        <w:fldChar w:fldCharType="begin"/>
      </w:r>
      <w:r>
        <w:rPr>
          <w:caps w:val="0"/>
          <w:color w:val="auto"/>
          <w:highlight w:val="none"/>
        </w:rPr>
        <w:instrText xml:space="preserve"> HYPERLINK \l _Toc30035 </w:instrText>
      </w:r>
      <w:r>
        <w:rPr>
          <w:caps w:val="0"/>
          <w:color w:val="auto"/>
          <w:highlight w:val="none"/>
        </w:rPr>
        <w:fldChar w:fldCharType="separate"/>
      </w:r>
      <w:r>
        <w:rPr>
          <w:rFonts w:hint="eastAsia" w:eastAsia="黑体"/>
          <w:color w:val="auto"/>
          <w:kern w:val="24"/>
          <w:szCs w:val="20"/>
          <w:highlight w:val="none"/>
        </w:rPr>
        <w:t>目</w:t>
      </w:r>
      <w:r>
        <w:rPr>
          <w:rFonts w:eastAsia="黑体"/>
          <w:color w:val="auto"/>
          <w:kern w:val="24"/>
          <w:szCs w:val="20"/>
          <w:highlight w:val="none"/>
        </w:rPr>
        <w:t xml:space="preserve">  </w:t>
      </w:r>
      <w:r>
        <w:rPr>
          <w:rFonts w:hint="eastAsia" w:eastAsia="黑体"/>
          <w:color w:val="auto"/>
          <w:kern w:val="24"/>
          <w:szCs w:val="20"/>
          <w:highlight w:val="none"/>
        </w:rPr>
        <w:t>录</w:t>
      </w:r>
      <w:r>
        <w:rPr>
          <w:color w:val="auto"/>
          <w:highlight w:val="none"/>
        </w:rPr>
        <w:tab/>
      </w:r>
      <w:r>
        <w:rPr>
          <w:color w:val="auto"/>
          <w:highlight w:val="none"/>
        </w:rPr>
        <w:fldChar w:fldCharType="begin"/>
      </w:r>
      <w:r>
        <w:rPr>
          <w:color w:val="auto"/>
          <w:highlight w:val="none"/>
        </w:rPr>
        <w:instrText xml:space="preserve"> PAGEREF _Toc30035 \h </w:instrText>
      </w:r>
      <w:r>
        <w:rPr>
          <w:color w:val="auto"/>
          <w:highlight w:val="none"/>
        </w:rPr>
        <w:fldChar w:fldCharType="separate"/>
      </w:r>
      <w:r>
        <w:rPr>
          <w:color w:val="auto"/>
          <w:highlight w:val="none"/>
        </w:rPr>
        <w:t>2</w:t>
      </w:r>
      <w:r>
        <w:rPr>
          <w:color w:val="auto"/>
          <w:highlight w:val="none"/>
        </w:rPr>
        <w:fldChar w:fldCharType="end"/>
      </w:r>
      <w:r>
        <w:rPr>
          <w:caps w:val="0"/>
          <w:color w:val="auto"/>
          <w:highlight w:val="none"/>
        </w:rPr>
        <w:fldChar w:fldCharType="end"/>
      </w:r>
    </w:p>
    <w:p>
      <w:pPr>
        <w:pStyle w:val="28"/>
        <w:tabs>
          <w:tab w:val="right" w:leader="dot" w:pos="9639"/>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_Toc28938 </w:instrText>
      </w:r>
      <w:r>
        <w:rPr>
          <w:color w:val="auto"/>
          <w:szCs w:val="24"/>
          <w:highlight w:val="none"/>
        </w:rPr>
        <w:fldChar w:fldCharType="separate"/>
      </w:r>
      <w:r>
        <w:rPr>
          <w:rFonts w:hint="eastAsia" w:eastAsia="黑体"/>
          <w:color w:val="auto"/>
          <w:kern w:val="24"/>
          <w:szCs w:val="20"/>
          <w:highlight w:val="none"/>
        </w:rPr>
        <w:t>第一卷</w:t>
      </w:r>
      <w:r>
        <w:rPr>
          <w:color w:val="auto"/>
          <w:highlight w:val="none"/>
        </w:rPr>
        <w:tab/>
      </w:r>
      <w:r>
        <w:rPr>
          <w:color w:val="auto"/>
          <w:highlight w:val="none"/>
        </w:rPr>
        <w:fldChar w:fldCharType="begin"/>
      </w:r>
      <w:r>
        <w:rPr>
          <w:color w:val="auto"/>
          <w:highlight w:val="none"/>
        </w:rPr>
        <w:instrText xml:space="preserve"> PAGEREF _Toc28938 \h </w:instrText>
      </w:r>
      <w:r>
        <w:rPr>
          <w:color w:val="auto"/>
          <w:highlight w:val="none"/>
        </w:rPr>
        <w:fldChar w:fldCharType="separate"/>
      </w:r>
      <w:r>
        <w:rPr>
          <w:color w:val="auto"/>
          <w:highlight w:val="none"/>
        </w:rPr>
        <w:t>5</w:t>
      </w:r>
      <w:r>
        <w:rPr>
          <w:color w:val="auto"/>
          <w:highlight w:val="none"/>
        </w:rPr>
        <w:fldChar w:fldCharType="end"/>
      </w:r>
      <w:r>
        <w:rPr>
          <w:color w:val="auto"/>
          <w:szCs w:val="24"/>
          <w:highlight w:val="none"/>
        </w:rPr>
        <w:fldChar w:fldCharType="end"/>
      </w:r>
    </w:p>
    <w:p>
      <w:pPr>
        <w:pStyle w:val="28"/>
        <w:tabs>
          <w:tab w:val="right" w:leader="dot" w:pos="9639"/>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_Toc16020 </w:instrText>
      </w:r>
      <w:r>
        <w:rPr>
          <w:color w:val="auto"/>
          <w:szCs w:val="24"/>
          <w:highlight w:val="none"/>
        </w:rPr>
        <w:fldChar w:fldCharType="separate"/>
      </w:r>
      <w:r>
        <w:rPr>
          <w:rFonts w:hint="eastAsia" w:eastAsia="黑体"/>
          <w:color w:val="auto"/>
          <w:kern w:val="24"/>
          <w:szCs w:val="20"/>
          <w:highlight w:val="none"/>
        </w:rPr>
        <w:t>第一章招标公告</w:t>
      </w:r>
      <w:r>
        <w:rPr>
          <w:color w:val="auto"/>
          <w:highlight w:val="none"/>
        </w:rPr>
        <w:tab/>
      </w:r>
      <w:r>
        <w:rPr>
          <w:color w:val="auto"/>
          <w:highlight w:val="none"/>
        </w:rPr>
        <w:fldChar w:fldCharType="begin"/>
      </w:r>
      <w:r>
        <w:rPr>
          <w:color w:val="auto"/>
          <w:highlight w:val="none"/>
        </w:rPr>
        <w:instrText xml:space="preserve"> PAGEREF _Toc16020 \h </w:instrText>
      </w:r>
      <w:r>
        <w:rPr>
          <w:color w:val="auto"/>
          <w:highlight w:val="none"/>
        </w:rPr>
        <w:fldChar w:fldCharType="separate"/>
      </w:r>
      <w:r>
        <w:rPr>
          <w:color w:val="auto"/>
          <w:highlight w:val="none"/>
        </w:rPr>
        <w:t>5</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_Toc10076 </w:instrText>
      </w:r>
      <w:r>
        <w:rPr>
          <w:color w:val="auto"/>
          <w:szCs w:val="24"/>
          <w:highlight w:val="none"/>
        </w:rPr>
        <w:fldChar w:fldCharType="separate"/>
      </w:r>
      <w:r>
        <w:rPr>
          <w:rFonts w:eastAsia="黑体"/>
          <w:color w:val="auto"/>
          <w:kern w:val="0"/>
          <w:szCs w:val="20"/>
          <w:highlight w:val="none"/>
        </w:rPr>
        <w:t xml:space="preserve">1. </w:t>
      </w:r>
      <w:r>
        <w:rPr>
          <w:rFonts w:hint="eastAsia" w:eastAsia="黑体"/>
          <w:color w:val="auto"/>
          <w:kern w:val="0"/>
          <w:szCs w:val="20"/>
          <w:highlight w:val="none"/>
        </w:rPr>
        <w:t>招标条件</w:t>
      </w:r>
      <w:r>
        <w:rPr>
          <w:color w:val="auto"/>
          <w:highlight w:val="none"/>
        </w:rPr>
        <w:tab/>
      </w:r>
      <w:r>
        <w:rPr>
          <w:color w:val="auto"/>
          <w:highlight w:val="none"/>
        </w:rPr>
        <w:fldChar w:fldCharType="begin"/>
      </w:r>
      <w:r>
        <w:rPr>
          <w:color w:val="auto"/>
          <w:highlight w:val="none"/>
        </w:rPr>
        <w:instrText xml:space="preserve"> PAGEREF _Toc10076 \h </w:instrText>
      </w:r>
      <w:r>
        <w:rPr>
          <w:color w:val="auto"/>
          <w:highlight w:val="none"/>
        </w:rPr>
        <w:fldChar w:fldCharType="separate"/>
      </w:r>
      <w:r>
        <w:rPr>
          <w:color w:val="auto"/>
          <w:highlight w:val="none"/>
        </w:rPr>
        <w:t>5</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_Toc32387 </w:instrText>
      </w:r>
      <w:r>
        <w:rPr>
          <w:color w:val="auto"/>
          <w:szCs w:val="24"/>
          <w:highlight w:val="none"/>
        </w:rPr>
        <w:fldChar w:fldCharType="separate"/>
      </w:r>
      <w:r>
        <w:rPr>
          <w:rFonts w:eastAsia="黑体"/>
          <w:color w:val="auto"/>
          <w:kern w:val="0"/>
          <w:szCs w:val="20"/>
          <w:highlight w:val="none"/>
        </w:rPr>
        <w:t xml:space="preserve">2. </w:t>
      </w:r>
      <w:r>
        <w:rPr>
          <w:rFonts w:hint="eastAsia" w:eastAsia="黑体"/>
          <w:color w:val="auto"/>
          <w:kern w:val="0"/>
          <w:szCs w:val="20"/>
          <w:highlight w:val="none"/>
        </w:rPr>
        <w:t>项目概况与招标范围</w:t>
      </w:r>
      <w:r>
        <w:rPr>
          <w:color w:val="auto"/>
          <w:highlight w:val="none"/>
        </w:rPr>
        <w:tab/>
      </w:r>
      <w:r>
        <w:rPr>
          <w:color w:val="auto"/>
          <w:highlight w:val="none"/>
        </w:rPr>
        <w:fldChar w:fldCharType="begin"/>
      </w:r>
      <w:r>
        <w:rPr>
          <w:color w:val="auto"/>
          <w:highlight w:val="none"/>
        </w:rPr>
        <w:instrText xml:space="preserve"> PAGEREF _Toc32387 \h </w:instrText>
      </w:r>
      <w:r>
        <w:rPr>
          <w:color w:val="auto"/>
          <w:highlight w:val="none"/>
        </w:rPr>
        <w:fldChar w:fldCharType="separate"/>
      </w:r>
      <w:r>
        <w:rPr>
          <w:color w:val="auto"/>
          <w:highlight w:val="none"/>
        </w:rPr>
        <w:t>5</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_Toc29568 </w:instrText>
      </w:r>
      <w:r>
        <w:rPr>
          <w:color w:val="auto"/>
          <w:szCs w:val="24"/>
          <w:highlight w:val="none"/>
        </w:rPr>
        <w:fldChar w:fldCharType="separate"/>
      </w:r>
      <w:r>
        <w:rPr>
          <w:rFonts w:eastAsia="黑体"/>
          <w:color w:val="auto"/>
          <w:kern w:val="0"/>
          <w:szCs w:val="20"/>
          <w:highlight w:val="none"/>
        </w:rPr>
        <w:t xml:space="preserve">3. </w:t>
      </w:r>
      <w:r>
        <w:rPr>
          <w:rFonts w:hint="eastAsia" w:eastAsia="黑体"/>
          <w:color w:val="auto"/>
          <w:kern w:val="0"/>
          <w:szCs w:val="20"/>
          <w:highlight w:val="none"/>
        </w:rPr>
        <w:t>投标人资格要求</w:t>
      </w:r>
      <w:r>
        <w:rPr>
          <w:color w:val="auto"/>
          <w:highlight w:val="none"/>
        </w:rPr>
        <w:tab/>
      </w:r>
      <w:r>
        <w:rPr>
          <w:color w:val="auto"/>
          <w:highlight w:val="none"/>
        </w:rPr>
        <w:fldChar w:fldCharType="begin"/>
      </w:r>
      <w:r>
        <w:rPr>
          <w:color w:val="auto"/>
          <w:highlight w:val="none"/>
        </w:rPr>
        <w:instrText xml:space="preserve"> PAGEREF _Toc29568 \h </w:instrText>
      </w:r>
      <w:r>
        <w:rPr>
          <w:color w:val="auto"/>
          <w:highlight w:val="none"/>
        </w:rPr>
        <w:fldChar w:fldCharType="separate"/>
      </w:r>
      <w:r>
        <w:rPr>
          <w:color w:val="auto"/>
          <w:highlight w:val="none"/>
        </w:rPr>
        <w:t>6</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_Toc22622 </w:instrText>
      </w:r>
      <w:r>
        <w:rPr>
          <w:color w:val="auto"/>
          <w:szCs w:val="24"/>
          <w:highlight w:val="none"/>
        </w:rPr>
        <w:fldChar w:fldCharType="separate"/>
      </w:r>
      <w:r>
        <w:rPr>
          <w:rFonts w:eastAsia="黑体"/>
          <w:color w:val="auto"/>
          <w:kern w:val="0"/>
          <w:szCs w:val="20"/>
          <w:highlight w:val="none"/>
        </w:rPr>
        <w:t xml:space="preserve">4. </w:t>
      </w:r>
      <w:r>
        <w:rPr>
          <w:rFonts w:hint="eastAsia" w:eastAsia="黑体"/>
          <w:color w:val="auto"/>
          <w:kern w:val="0"/>
          <w:szCs w:val="20"/>
          <w:highlight w:val="none"/>
        </w:rPr>
        <w:t>招标文件的获取</w:t>
      </w:r>
      <w:r>
        <w:rPr>
          <w:color w:val="auto"/>
          <w:highlight w:val="none"/>
        </w:rPr>
        <w:tab/>
      </w:r>
      <w:r>
        <w:rPr>
          <w:color w:val="auto"/>
          <w:highlight w:val="none"/>
        </w:rPr>
        <w:fldChar w:fldCharType="begin"/>
      </w:r>
      <w:r>
        <w:rPr>
          <w:color w:val="auto"/>
          <w:highlight w:val="none"/>
        </w:rPr>
        <w:instrText xml:space="preserve"> PAGEREF _Toc22622 \h </w:instrText>
      </w:r>
      <w:r>
        <w:rPr>
          <w:color w:val="auto"/>
          <w:highlight w:val="none"/>
        </w:rPr>
        <w:fldChar w:fldCharType="separate"/>
      </w:r>
      <w:r>
        <w:rPr>
          <w:color w:val="auto"/>
          <w:highlight w:val="none"/>
        </w:rPr>
        <w:t>6</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_Toc1202 </w:instrText>
      </w:r>
      <w:r>
        <w:rPr>
          <w:color w:val="auto"/>
          <w:szCs w:val="24"/>
          <w:highlight w:val="none"/>
        </w:rPr>
        <w:fldChar w:fldCharType="separate"/>
      </w:r>
      <w:r>
        <w:rPr>
          <w:rFonts w:eastAsia="黑体"/>
          <w:color w:val="auto"/>
          <w:kern w:val="0"/>
          <w:szCs w:val="20"/>
          <w:highlight w:val="none"/>
        </w:rPr>
        <w:t xml:space="preserve">5. </w:t>
      </w:r>
      <w:r>
        <w:rPr>
          <w:rFonts w:hint="eastAsia" w:eastAsia="黑体"/>
          <w:color w:val="auto"/>
          <w:kern w:val="0"/>
          <w:szCs w:val="20"/>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_Toc1202 \h </w:instrText>
      </w:r>
      <w:r>
        <w:rPr>
          <w:color w:val="auto"/>
          <w:highlight w:val="none"/>
        </w:rPr>
        <w:fldChar w:fldCharType="separate"/>
      </w:r>
      <w:r>
        <w:rPr>
          <w:color w:val="auto"/>
          <w:highlight w:val="none"/>
        </w:rPr>
        <w:t>7</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_Toc15267 </w:instrText>
      </w:r>
      <w:r>
        <w:rPr>
          <w:color w:val="auto"/>
          <w:szCs w:val="24"/>
          <w:highlight w:val="none"/>
        </w:rPr>
        <w:fldChar w:fldCharType="separate"/>
      </w:r>
      <w:r>
        <w:rPr>
          <w:rFonts w:eastAsia="黑体"/>
          <w:color w:val="auto"/>
          <w:kern w:val="0"/>
          <w:szCs w:val="20"/>
          <w:highlight w:val="none"/>
        </w:rPr>
        <w:t xml:space="preserve">6. </w:t>
      </w:r>
      <w:r>
        <w:rPr>
          <w:rFonts w:hint="eastAsia" w:eastAsia="黑体"/>
          <w:color w:val="auto"/>
          <w:kern w:val="0"/>
          <w:szCs w:val="20"/>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_Toc15267 \h </w:instrText>
      </w:r>
      <w:r>
        <w:rPr>
          <w:color w:val="auto"/>
          <w:highlight w:val="none"/>
        </w:rPr>
        <w:fldChar w:fldCharType="separate"/>
      </w:r>
      <w:r>
        <w:rPr>
          <w:color w:val="auto"/>
          <w:highlight w:val="none"/>
        </w:rPr>
        <w:t>7</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_Toc15607 </w:instrText>
      </w:r>
      <w:r>
        <w:rPr>
          <w:color w:val="auto"/>
          <w:szCs w:val="24"/>
          <w:highlight w:val="none"/>
        </w:rPr>
        <w:fldChar w:fldCharType="separate"/>
      </w:r>
      <w:r>
        <w:rPr>
          <w:rFonts w:eastAsia="黑体"/>
          <w:color w:val="auto"/>
          <w:kern w:val="0"/>
          <w:szCs w:val="20"/>
          <w:highlight w:val="none"/>
        </w:rPr>
        <w:t xml:space="preserve">7. </w:t>
      </w:r>
      <w:r>
        <w:rPr>
          <w:rFonts w:hint="eastAsia" w:eastAsia="黑体"/>
          <w:color w:val="auto"/>
          <w:kern w:val="0"/>
          <w:szCs w:val="20"/>
          <w:highlight w:val="none"/>
        </w:rPr>
        <w:t>联系方式</w:t>
      </w:r>
      <w:r>
        <w:rPr>
          <w:color w:val="auto"/>
          <w:highlight w:val="none"/>
        </w:rPr>
        <w:tab/>
      </w:r>
      <w:r>
        <w:rPr>
          <w:color w:val="auto"/>
          <w:highlight w:val="none"/>
        </w:rPr>
        <w:fldChar w:fldCharType="begin"/>
      </w:r>
      <w:r>
        <w:rPr>
          <w:color w:val="auto"/>
          <w:highlight w:val="none"/>
        </w:rPr>
        <w:instrText xml:space="preserve"> PAGEREF _Toc15607 \h </w:instrText>
      </w:r>
      <w:r>
        <w:rPr>
          <w:color w:val="auto"/>
          <w:highlight w:val="none"/>
        </w:rPr>
        <w:fldChar w:fldCharType="separate"/>
      </w:r>
      <w:r>
        <w:rPr>
          <w:color w:val="auto"/>
          <w:highlight w:val="none"/>
        </w:rPr>
        <w:t>7</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_Toc30902 </w:instrText>
      </w:r>
      <w:r>
        <w:rPr>
          <w:color w:val="auto"/>
          <w:szCs w:val="24"/>
          <w:highlight w:val="none"/>
        </w:rPr>
        <w:fldChar w:fldCharType="separate"/>
      </w:r>
      <w:r>
        <w:rPr>
          <w:rFonts w:hint="eastAsia" w:eastAsia="黑体"/>
          <w:color w:val="auto"/>
          <w:kern w:val="0"/>
          <w:szCs w:val="20"/>
          <w:highlight w:val="none"/>
        </w:rPr>
        <w:t>附件一：投标申请人声明</w:t>
      </w:r>
      <w:r>
        <w:rPr>
          <w:color w:val="auto"/>
          <w:highlight w:val="none"/>
        </w:rPr>
        <w:tab/>
      </w:r>
      <w:r>
        <w:rPr>
          <w:color w:val="auto"/>
          <w:highlight w:val="none"/>
        </w:rPr>
        <w:fldChar w:fldCharType="begin"/>
      </w:r>
      <w:r>
        <w:rPr>
          <w:color w:val="auto"/>
          <w:highlight w:val="none"/>
        </w:rPr>
        <w:instrText xml:space="preserve"> PAGEREF _Toc30902 \h </w:instrText>
      </w:r>
      <w:r>
        <w:rPr>
          <w:color w:val="auto"/>
          <w:highlight w:val="none"/>
        </w:rPr>
        <w:fldChar w:fldCharType="separate"/>
      </w:r>
      <w:r>
        <w:rPr>
          <w:color w:val="auto"/>
          <w:highlight w:val="none"/>
        </w:rPr>
        <w:t>9</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_Toc12214 </w:instrText>
      </w:r>
      <w:r>
        <w:rPr>
          <w:color w:val="auto"/>
          <w:szCs w:val="24"/>
          <w:highlight w:val="none"/>
        </w:rPr>
        <w:fldChar w:fldCharType="separate"/>
      </w:r>
      <w:r>
        <w:rPr>
          <w:rFonts w:hint="eastAsia" w:eastAsia="黑体"/>
          <w:color w:val="auto"/>
          <w:kern w:val="0"/>
          <w:szCs w:val="20"/>
          <w:highlight w:val="none"/>
        </w:rPr>
        <w:t>附件二：以往工程中因违约被业主书面拒绝投标的名单</w:t>
      </w:r>
      <w:r>
        <w:rPr>
          <w:color w:val="auto"/>
          <w:highlight w:val="none"/>
        </w:rPr>
        <w:tab/>
      </w:r>
      <w:r>
        <w:rPr>
          <w:color w:val="auto"/>
          <w:highlight w:val="none"/>
        </w:rPr>
        <w:fldChar w:fldCharType="begin"/>
      </w:r>
      <w:r>
        <w:rPr>
          <w:color w:val="auto"/>
          <w:highlight w:val="none"/>
        </w:rPr>
        <w:instrText xml:space="preserve"> PAGEREF _Toc12214 \h </w:instrText>
      </w:r>
      <w:r>
        <w:rPr>
          <w:color w:val="auto"/>
          <w:highlight w:val="none"/>
        </w:rPr>
        <w:fldChar w:fldCharType="separate"/>
      </w:r>
      <w:r>
        <w:rPr>
          <w:color w:val="auto"/>
          <w:highlight w:val="none"/>
        </w:rPr>
        <w:t>12</w:t>
      </w:r>
      <w:r>
        <w:rPr>
          <w:color w:val="auto"/>
          <w:highlight w:val="none"/>
        </w:rPr>
        <w:fldChar w:fldCharType="end"/>
      </w:r>
      <w:r>
        <w:rPr>
          <w:color w:val="auto"/>
          <w:szCs w:val="24"/>
          <w:highlight w:val="none"/>
        </w:rPr>
        <w:fldChar w:fldCharType="end"/>
      </w:r>
    </w:p>
    <w:p>
      <w:pPr>
        <w:pStyle w:val="28"/>
        <w:tabs>
          <w:tab w:val="right" w:leader="dot" w:pos="9639"/>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_Toc4015 </w:instrText>
      </w:r>
      <w:r>
        <w:rPr>
          <w:color w:val="auto"/>
          <w:szCs w:val="24"/>
          <w:highlight w:val="none"/>
        </w:rPr>
        <w:fldChar w:fldCharType="separate"/>
      </w:r>
      <w:r>
        <w:rPr>
          <w:rFonts w:hint="eastAsia" w:eastAsia="黑体"/>
          <w:color w:val="auto"/>
          <w:kern w:val="24"/>
          <w:szCs w:val="20"/>
          <w:highlight w:val="none"/>
        </w:rPr>
        <w:t>第二章投标人须知</w:t>
      </w:r>
      <w:r>
        <w:rPr>
          <w:color w:val="auto"/>
          <w:highlight w:val="none"/>
        </w:rPr>
        <w:tab/>
      </w:r>
      <w:r>
        <w:rPr>
          <w:color w:val="auto"/>
          <w:highlight w:val="none"/>
        </w:rPr>
        <w:fldChar w:fldCharType="begin"/>
      </w:r>
      <w:r>
        <w:rPr>
          <w:color w:val="auto"/>
          <w:highlight w:val="none"/>
        </w:rPr>
        <w:instrText xml:space="preserve"> PAGEREF _Toc4015 \h </w:instrText>
      </w:r>
      <w:r>
        <w:rPr>
          <w:color w:val="auto"/>
          <w:highlight w:val="none"/>
        </w:rPr>
        <w:fldChar w:fldCharType="separate"/>
      </w:r>
      <w:r>
        <w:rPr>
          <w:color w:val="auto"/>
          <w:highlight w:val="none"/>
        </w:rPr>
        <w:t>13</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_Toc21960 </w:instrText>
      </w:r>
      <w:r>
        <w:rPr>
          <w:color w:val="auto"/>
          <w:szCs w:val="24"/>
          <w:highlight w:val="none"/>
        </w:rPr>
        <w:fldChar w:fldCharType="separate"/>
      </w:r>
      <w:r>
        <w:rPr>
          <w:rFonts w:eastAsia="黑体"/>
          <w:color w:val="auto"/>
          <w:kern w:val="0"/>
          <w:szCs w:val="20"/>
          <w:highlight w:val="none"/>
        </w:rPr>
        <w:t xml:space="preserve">1. </w:t>
      </w:r>
      <w:r>
        <w:rPr>
          <w:rFonts w:hint="eastAsia" w:eastAsia="黑体"/>
          <w:color w:val="auto"/>
          <w:kern w:val="0"/>
          <w:szCs w:val="20"/>
          <w:highlight w:val="none"/>
        </w:rPr>
        <w:t>总则</w:t>
      </w:r>
      <w:r>
        <w:rPr>
          <w:color w:val="auto"/>
          <w:highlight w:val="none"/>
        </w:rPr>
        <w:tab/>
      </w:r>
      <w:r>
        <w:rPr>
          <w:color w:val="auto"/>
          <w:highlight w:val="none"/>
        </w:rPr>
        <w:fldChar w:fldCharType="begin"/>
      </w:r>
      <w:r>
        <w:rPr>
          <w:color w:val="auto"/>
          <w:highlight w:val="none"/>
        </w:rPr>
        <w:instrText xml:space="preserve"> PAGEREF _Toc21960 \h </w:instrText>
      </w:r>
      <w:r>
        <w:rPr>
          <w:color w:val="auto"/>
          <w:highlight w:val="none"/>
        </w:rPr>
        <w:fldChar w:fldCharType="separate"/>
      </w:r>
      <w:r>
        <w:rPr>
          <w:color w:val="auto"/>
          <w:highlight w:val="none"/>
        </w:rPr>
        <w:t>29</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_Toc12954 </w:instrText>
      </w:r>
      <w:r>
        <w:rPr>
          <w:color w:val="auto"/>
          <w:szCs w:val="24"/>
          <w:highlight w:val="none"/>
        </w:rPr>
        <w:fldChar w:fldCharType="separate"/>
      </w:r>
      <w:r>
        <w:rPr>
          <w:rFonts w:eastAsia="黑体"/>
          <w:color w:val="auto"/>
          <w:szCs w:val="20"/>
          <w:highlight w:val="none"/>
        </w:rPr>
        <w:t xml:space="preserve">1.1 </w:t>
      </w:r>
      <w:r>
        <w:rPr>
          <w:rFonts w:hint="eastAsia" w:eastAsia="黑体"/>
          <w:color w:val="auto"/>
          <w:szCs w:val="20"/>
          <w:highlight w:val="none"/>
        </w:rPr>
        <w:t>招标项目概况</w:t>
      </w:r>
      <w:r>
        <w:rPr>
          <w:color w:val="auto"/>
          <w:highlight w:val="none"/>
        </w:rPr>
        <w:tab/>
      </w:r>
      <w:r>
        <w:rPr>
          <w:color w:val="auto"/>
          <w:highlight w:val="none"/>
        </w:rPr>
        <w:fldChar w:fldCharType="begin"/>
      </w:r>
      <w:r>
        <w:rPr>
          <w:color w:val="auto"/>
          <w:highlight w:val="none"/>
        </w:rPr>
        <w:instrText xml:space="preserve"> PAGEREF _Toc12954 \h </w:instrText>
      </w:r>
      <w:r>
        <w:rPr>
          <w:color w:val="auto"/>
          <w:highlight w:val="none"/>
        </w:rPr>
        <w:fldChar w:fldCharType="separate"/>
      </w:r>
      <w:r>
        <w:rPr>
          <w:color w:val="auto"/>
          <w:highlight w:val="none"/>
        </w:rPr>
        <w:t>29</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_Toc11073 </w:instrText>
      </w:r>
      <w:r>
        <w:rPr>
          <w:color w:val="auto"/>
          <w:szCs w:val="24"/>
          <w:highlight w:val="none"/>
        </w:rPr>
        <w:fldChar w:fldCharType="separate"/>
      </w:r>
      <w:r>
        <w:rPr>
          <w:rFonts w:eastAsia="黑体"/>
          <w:color w:val="auto"/>
          <w:szCs w:val="20"/>
          <w:highlight w:val="none"/>
        </w:rPr>
        <w:t xml:space="preserve">1.2 </w:t>
      </w:r>
      <w:r>
        <w:rPr>
          <w:rFonts w:hint="eastAsia" w:eastAsia="黑体"/>
          <w:color w:val="auto"/>
          <w:szCs w:val="20"/>
          <w:highlight w:val="none"/>
        </w:rPr>
        <w:t>招标项目的资金来源和落实情况</w:t>
      </w:r>
      <w:r>
        <w:rPr>
          <w:color w:val="auto"/>
          <w:highlight w:val="none"/>
        </w:rPr>
        <w:tab/>
      </w:r>
      <w:r>
        <w:rPr>
          <w:color w:val="auto"/>
          <w:highlight w:val="none"/>
        </w:rPr>
        <w:fldChar w:fldCharType="begin"/>
      </w:r>
      <w:r>
        <w:rPr>
          <w:color w:val="auto"/>
          <w:highlight w:val="none"/>
        </w:rPr>
        <w:instrText xml:space="preserve"> PAGEREF _Toc11073 \h </w:instrText>
      </w:r>
      <w:r>
        <w:rPr>
          <w:color w:val="auto"/>
          <w:highlight w:val="none"/>
        </w:rPr>
        <w:fldChar w:fldCharType="separate"/>
      </w:r>
      <w:r>
        <w:rPr>
          <w:color w:val="auto"/>
          <w:highlight w:val="none"/>
        </w:rPr>
        <w:t>29</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_Toc32427 </w:instrText>
      </w:r>
      <w:r>
        <w:rPr>
          <w:color w:val="auto"/>
          <w:szCs w:val="24"/>
          <w:highlight w:val="none"/>
        </w:rPr>
        <w:fldChar w:fldCharType="separate"/>
      </w:r>
      <w:r>
        <w:rPr>
          <w:rFonts w:eastAsia="黑体"/>
          <w:color w:val="auto"/>
          <w:szCs w:val="20"/>
          <w:highlight w:val="none"/>
        </w:rPr>
        <w:t>1.3</w:t>
      </w:r>
      <w:r>
        <w:rPr>
          <w:rFonts w:hint="eastAsia" w:eastAsia="黑体"/>
          <w:color w:val="auto"/>
          <w:szCs w:val="20"/>
          <w:highlight w:val="none"/>
        </w:rPr>
        <w:t>招标范围和招标内容</w:t>
      </w:r>
      <w:r>
        <w:rPr>
          <w:color w:val="auto"/>
          <w:highlight w:val="none"/>
        </w:rPr>
        <w:tab/>
      </w:r>
      <w:r>
        <w:rPr>
          <w:color w:val="auto"/>
          <w:highlight w:val="none"/>
        </w:rPr>
        <w:fldChar w:fldCharType="begin"/>
      </w:r>
      <w:r>
        <w:rPr>
          <w:color w:val="auto"/>
          <w:highlight w:val="none"/>
        </w:rPr>
        <w:instrText xml:space="preserve"> PAGEREF _Toc32427 \h </w:instrText>
      </w:r>
      <w:r>
        <w:rPr>
          <w:color w:val="auto"/>
          <w:highlight w:val="none"/>
        </w:rPr>
        <w:fldChar w:fldCharType="separate"/>
      </w:r>
      <w:r>
        <w:rPr>
          <w:color w:val="auto"/>
          <w:highlight w:val="none"/>
        </w:rPr>
        <w:t>29</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_Toc19518 </w:instrText>
      </w:r>
      <w:r>
        <w:rPr>
          <w:color w:val="auto"/>
          <w:szCs w:val="24"/>
          <w:highlight w:val="none"/>
        </w:rPr>
        <w:fldChar w:fldCharType="separate"/>
      </w:r>
      <w:r>
        <w:rPr>
          <w:rFonts w:eastAsia="黑体"/>
          <w:color w:val="auto"/>
          <w:szCs w:val="20"/>
          <w:highlight w:val="none"/>
        </w:rPr>
        <w:t>1.4</w:t>
      </w:r>
      <w:r>
        <w:rPr>
          <w:rFonts w:hint="eastAsia" w:eastAsia="黑体"/>
          <w:color w:val="auto"/>
          <w:szCs w:val="20"/>
          <w:highlight w:val="none"/>
        </w:rPr>
        <w:t>投标人资格要求</w:t>
      </w:r>
      <w:r>
        <w:rPr>
          <w:color w:val="auto"/>
          <w:highlight w:val="none"/>
        </w:rPr>
        <w:tab/>
      </w:r>
      <w:r>
        <w:rPr>
          <w:color w:val="auto"/>
          <w:highlight w:val="none"/>
        </w:rPr>
        <w:fldChar w:fldCharType="begin"/>
      </w:r>
      <w:r>
        <w:rPr>
          <w:color w:val="auto"/>
          <w:highlight w:val="none"/>
        </w:rPr>
        <w:instrText xml:space="preserve"> PAGEREF _Toc19518 \h </w:instrText>
      </w:r>
      <w:r>
        <w:rPr>
          <w:color w:val="auto"/>
          <w:highlight w:val="none"/>
        </w:rPr>
        <w:fldChar w:fldCharType="separate"/>
      </w:r>
      <w:r>
        <w:rPr>
          <w:color w:val="auto"/>
          <w:highlight w:val="none"/>
        </w:rPr>
        <w:t>29</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_Toc4484 </w:instrText>
      </w:r>
      <w:r>
        <w:rPr>
          <w:color w:val="auto"/>
          <w:szCs w:val="24"/>
          <w:highlight w:val="none"/>
        </w:rPr>
        <w:fldChar w:fldCharType="separate"/>
      </w:r>
      <w:r>
        <w:rPr>
          <w:rFonts w:eastAsia="黑体"/>
          <w:color w:val="auto"/>
          <w:szCs w:val="20"/>
          <w:highlight w:val="none"/>
        </w:rPr>
        <w:t>1.5</w:t>
      </w:r>
      <w:r>
        <w:rPr>
          <w:rFonts w:hint="eastAsia" w:eastAsia="黑体"/>
          <w:color w:val="auto"/>
          <w:szCs w:val="20"/>
          <w:highlight w:val="none"/>
        </w:rPr>
        <w:t>费用承担</w:t>
      </w:r>
      <w:r>
        <w:rPr>
          <w:color w:val="auto"/>
          <w:highlight w:val="none"/>
        </w:rPr>
        <w:tab/>
      </w:r>
      <w:r>
        <w:rPr>
          <w:color w:val="auto"/>
          <w:highlight w:val="none"/>
        </w:rPr>
        <w:fldChar w:fldCharType="begin"/>
      </w:r>
      <w:r>
        <w:rPr>
          <w:color w:val="auto"/>
          <w:highlight w:val="none"/>
        </w:rPr>
        <w:instrText xml:space="preserve"> PAGEREF _Toc4484 \h </w:instrText>
      </w:r>
      <w:r>
        <w:rPr>
          <w:color w:val="auto"/>
          <w:highlight w:val="none"/>
        </w:rPr>
        <w:fldChar w:fldCharType="separate"/>
      </w:r>
      <w:r>
        <w:rPr>
          <w:color w:val="auto"/>
          <w:highlight w:val="none"/>
        </w:rPr>
        <w:t>31</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_Toc13202 </w:instrText>
      </w:r>
      <w:r>
        <w:rPr>
          <w:color w:val="auto"/>
          <w:szCs w:val="24"/>
          <w:highlight w:val="none"/>
        </w:rPr>
        <w:fldChar w:fldCharType="separate"/>
      </w:r>
      <w:r>
        <w:rPr>
          <w:rFonts w:eastAsia="黑体"/>
          <w:color w:val="auto"/>
          <w:szCs w:val="20"/>
          <w:highlight w:val="none"/>
        </w:rPr>
        <w:t>1.6</w:t>
      </w:r>
      <w:r>
        <w:rPr>
          <w:rFonts w:hint="eastAsia" w:eastAsia="黑体"/>
          <w:color w:val="auto"/>
          <w:szCs w:val="20"/>
          <w:highlight w:val="none"/>
        </w:rPr>
        <w:t>保密</w:t>
      </w:r>
      <w:r>
        <w:rPr>
          <w:color w:val="auto"/>
          <w:highlight w:val="none"/>
        </w:rPr>
        <w:tab/>
      </w:r>
      <w:r>
        <w:rPr>
          <w:color w:val="auto"/>
          <w:highlight w:val="none"/>
        </w:rPr>
        <w:fldChar w:fldCharType="begin"/>
      </w:r>
      <w:r>
        <w:rPr>
          <w:color w:val="auto"/>
          <w:highlight w:val="none"/>
        </w:rPr>
        <w:instrText xml:space="preserve"> PAGEREF _Toc13202 \h </w:instrText>
      </w:r>
      <w:r>
        <w:rPr>
          <w:color w:val="auto"/>
          <w:highlight w:val="none"/>
        </w:rPr>
        <w:fldChar w:fldCharType="separate"/>
      </w:r>
      <w:r>
        <w:rPr>
          <w:color w:val="auto"/>
          <w:highlight w:val="none"/>
        </w:rPr>
        <w:t>31</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_Toc29363 </w:instrText>
      </w:r>
      <w:r>
        <w:rPr>
          <w:color w:val="auto"/>
          <w:szCs w:val="24"/>
          <w:highlight w:val="none"/>
        </w:rPr>
        <w:fldChar w:fldCharType="separate"/>
      </w:r>
      <w:r>
        <w:rPr>
          <w:rFonts w:eastAsia="黑体"/>
          <w:color w:val="auto"/>
          <w:szCs w:val="20"/>
          <w:highlight w:val="none"/>
        </w:rPr>
        <w:t xml:space="preserve">1.7 </w:t>
      </w:r>
      <w:r>
        <w:rPr>
          <w:rFonts w:hint="eastAsia" w:eastAsia="黑体"/>
          <w:color w:val="auto"/>
          <w:szCs w:val="20"/>
          <w:highlight w:val="none"/>
        </w:rPr>
        <w:t>语言文字</w:t>
      </w:r>
      <w:r>
        <w:rPr>
          <w:color w:val="auto"/>
          <w:highlight w:val="none"/>
        </w:rPr>
        <w:tab/>
      </w:r>
      <w:r>
        <w:rPr>
          <w:color w:val="auto"/>
          <w:highlight w:val="none"/>
        </w:rPr>
        <w:fldChar w:fldCharType="begin"/>
      </w:r>
      <w:r>
        <w:rPr>
          <w:color w:val="auto"/>
          <w:highlight w:val="none"/>
        </w:rPr>
        <w:instrText xml:space="preserve"> PAGEREF _Toc29363 \h </w:instrText>
      </w:r>
      <w:r>
        <w:rPr>
          <w:color w:val="auto"/>
          <w:highlight w:val="none"/>
        </w:rPr>
        <w:fldChar w:fldCharType="separate"/>
      </w:r>
      <w:r>
        <w:rPr>
          <w:color w:val="auto"/>
          <w:highlight w:val="none"/>
        </w:rPr>
        <w:t>31</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_Toc5283 </w:instrText>
      </w:r>
      <w:r>
        <w:rPr>
          <w:color w:val="auto"/>
          <w:szCs w:val="24"/>
          <w:highlight w:val="none"/>
        </w:rPr>
        <w:fldChar w:fldCharType="separate"/>
      </w:r>
      <w:r>
        <w:rPr>
          <w:rFonts w:eastAsia="黑体"/>
          <w:color w:val="auto"/>
          <w:szCs w:val="20"/>
          <w:highlight w:val="none"/>
        </w:rPr>
        <w:t>1.8</w:t>
      </w:r>
      <w:r>
        <w:rPr>
          <w:rFonts w:hint="eastAsia" w:eastAsia="黑体"/>
          <w:color w:val="auto"/>
          <w:szCs w:val="20"/>
          <w:highlight w:val="none"/>
        </w:rPr>
        <w:t>计量单位</w:t>
      </w:r>
      <w:r>
        <w:rPr>
          <w:color w:val="auto"/>
          <w:highlight w:val="none"/>
        </w:rPr>
        <w:tab/>
      </w:r>
      <w:r>
        <w:rPr>
          <w:color w:val="auto"/>
          <w:highlight w:val="none"/>
        </w:rPr>
        <w:fldChar w:fldCharType="begin"/>
      </w:r>
      <w:r>
        <w:rPr>
          <w:color w:val="auto"/>
          <w:highlight w:val="none"/>
        </w:rPr>
        <w:instrText xml:space="preserve"> PAGEREF _Toc5283 \h </w:instrText>
      </w:r>
      <w:r>
        <w:rPr>
          <w:color w:val="auto"/>
          <w:highlight w:val="none"/>
        </w:rPr>
        <w:fldChar w:fldCharType="separate"/>
      </w:r>
      <w:r>
        <w:rPr>
          <w:color w:val="auto"/>
          <w:highlight w:val="none"/>
        </w:rPr>
        <w:t>31</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_Toc25421 </w:instrText>
      </w:r>
      <w:r>
        <w:rPr>
          <w:color w:val="auto"/>
          <w:szCs w:val="24"/>
          <w:highlight w:val="none"/>
        </w:rPr>
        <w:fldChar w:fldCharType="separate"/>
      </w:r>
      <w:r>
        <w:rPr>
          <w:rFonts w:eastAsia="黑体"/>
          <w:color w:val="auto"/>
          <w:szCs w:val="20"/>
          <w:highlight w:val="none"/>
        </w:rPr>
        <w:t xml:space="preserve">1.9 </w:t>
      </w:r>
      <w:r>
        <w:rPr>
          <w:rFonts w:hint="eastAsia" w:eastAsia="黑体"/>
          <w:color w:val="auto"/>
          <w:szCs w:val="20"/>
          <w:highlight w:val="none"/>
        </w:rPr>
        <w:t>踏勘现场</w:t>
      </w:r>
      <w:r>
        <w:rPr>
          <w:color w:val="auto"/>
          <w:highlight w:val="none"/>
        </w:rPr>
        <w:tab/>
      </w:r>
      <w:r>
        <w:rPr>
          <w:color w:val="auto"/>
          <w:highlight w:val="none"/>
        </w:rPr>
        <w:fldChar w:fldCharType="begin"/>
      </w:r>
      <w:r>
        <w:rPr>
          <w:color w:val="auto"/>
          <w:highlight w:val="none"/>
        </w:rPr>
        <w:instrText xml:space="preserve"> PAGEREF _Toc25421 \h </w:instrText>
      </w:r>
      <w:r>
        <w:rPr>
          <w:color w:val="auto"/>
          <w:highlight w:val="none"/>
        </w:rPr>
        <w:fldChar w:fldCharType="separate"/>
      </w:r>
      <w:r>
        <w:rPr>
          <w:color w:val="auto"/>
          <w:highlight w:val="none"/>
        </w:rPr>
        <w:t>31</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_Toc8848 </w:instrText>
      </w:r>
      <w:r>
        <w:rPr>
          <w:color w:val="auto"/>
          <w:szCs w:val="24"/>
          <w:highlight w:val="none"/>
        </w:rPr>
        <w:fldChar w:fldCharType="separate"/>
      </w:r>
      <w:r>
        <w:rPr>
          <w:rFonts w:eastAsia="黑体"/>
          <w:color w:val="auto"/>
          <w:szCs w:val="20"/>
          <w:highlight w:val="none"/>
        </w:rPr>
        <w:t>1.10</w:t>
      </w:r>
      <w:r>
        <w:rPr>
          <w:rFonts w:hint="eastAsia" w:eastAsia="黑体"/>
          <w:color w:val="auto"/>
          <w:szCs w:val="20"/>
          <w:highlight w:val="none"/>
        </w:rPr>
        <w:t>投标预备会</w:t>
      </w:r>
      <w:r>
        <w:rPr>
          <w:color w:val="auto"/>
          <w:highlight w:val="none"/>
        </w:rPr>
        <w:tab/>
      </w:r>
      <w:r>
        <w:rPr>
          <w:color w:val="auto"/>
          <w:highlight w:val="none"/>
        </w:rPr>
        <w:fldChar w:fldCharType="begin"/>
      </w:r>
      <w:r>
        <w:rPr>
          <w:color w:val="auto"/>
          <w:highlight w:val="none"/>
        </w:rPr>
        <w:instrText xml:space="preserve"> PAGEREF _Toc8848 \h </w:instrText>
      </w:r>
      <w:r>
        <w:rPr>
          <w:color w:val="auto"/>
          <w:highlight w:val="none"/>
        </w:rPr>
        <w:fldChar w:fldCharType="separate"/>
      </w:r>
      <w:r>
        <w:rPr>
          <w:color w:val="auto"/>
          <w:highlight w:val="none"/>
        </w:rPr>
        <w:t>31</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_Toc18677 </w:instrText>
      </w:r>
      <w:r>
        <w:rPr>
          <w:color w:val="auto"/>
          <w:szCs w:val="24"/>
          <w:highlight w:val="none"/>
        </w:rPr>
        <w:fldChar w:fldCharType="separate"/>
      </w:r>
      <w:r>
        <w:rPr>
          <w:rFonts w:eastAsia="黑体"/>
          <w:color w:val="auto"/>
          <w:szCs w:val="20"/>
          <w:highlight w:val="none"/>
        </w:rPr>
        <w:t xml:space="preserve">1.11 </w:t>
      </w:r>
      <w:r>
        <w:rPr>
          <w:rFonts w:hint="eastAsia" w:eastAsia="黑体"/>
          <w:color w:val="auto"/>
          <w:szCs w:val="20"/>
          <w:highlight w:val="none"/>
        </w:rPr>
        <w:t>分包</w:t>
      </w:r>
      <w:r>
        <w:rPr>
          <w:color w:val="auto"/>
          <w:highlight w:val="none"/>
        </w:rPr>
        <w:tab/>
      </w:r>
      <w:r>
        <w:rPr>
          <w:color w:val="auto"/>
          <w:highlight w:val="none"/>
        </w:rPr>
        <w:fldChar w:fldCharType="begin"/>
      </w:r>
      <w:r>
        <w:rPr>
          <w:color w:val="auto"/>
          <w:highlight w:val="none"/>
        </w:rPr>
        <w:instrText xml:space="preserve"> PAGEREF _Toc18677 \h </w:instrText>
      </w:r>
      <w:r>
        <w:rPr>
          <w:color w:val="auto"/>
          <w:highlight w:val="none"/>
        </w:rPr>
        <w:fldChar w:fldCharType="separate"/>
      </w:r>
      <w:r>
        <w:rPr>
          <w:color w:val="auto"/>
          <w:highlight w:val="none"/>
        </w:rPr>
        <w:t>32</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_Toc14187 </w:instrText>
      </w:r>
      <w:r>
        <w:rPr>
          <w:color w:val="auto"/>
          <w:szCs w:val="24"/>
          <w:highlight w:val="none"/>
        </w:rPr>
        <w:fldChar w:fldCharType="separate"/>
      </w:r>
      <w:r>
        <w:rPr>
          <w:rFonts w:eastAsia="黑体"/>
          <w:color w:val="auto"/>
          <w:szCs w:val="20"/>
          <w:highlight w:val="none"/>
        </w:rPr>
        <w:t>1.12</w:t>
      </w:r>
      <w:r>
        <w:rPr>
          <w:rFonts w:hint="eastAsia" w:eastAsia="黑体"/>
          <w:color w:val="auto"/>
          <w:szCs w:val="20"/>
          <w:highlight w:val="none"/>
        </w:rPr>
        <w:t>响应和偏差</w:t>
      </w:r>
      <w:r>
        <w:rPr>
          <w:color w:val="auto"/>
          <w:highlight w:val="none"/>
        </w:rPr>
        <w:tab/>
      </w:r>
      <w:r>
        <w:rPr>
          <w:color w:val="auto"/>
          <w:highlight w:val="none"/>
        </w:rPr>
        <w:fldChar w:fldCharType="begin"/>
      </w:r>
      <w:r>
        <w:rPr>
          <w:color w:val="auto"/>
          <w:highlight w:val="none"/>
        </w:rPr>
        <w:instrText xml:space="preserve"> PAGEREF _Toc14187 \h </w:instrText>
      </w:r>
      <w:r>
        <w:rPr>
          <w:color w:val="auto"/>
          <w:highlight w:val="none"/>
        </w:rPr>
        <w:fldChar w:fldCharType="separate"/>
      </w:r>
      <w:r>
        <w:rPr>
          <w:color w:val="auto"/>
          <w:highlight w:val="none"/>
        </w:rPr>
        <w:t>32</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_Toc23686 </w:instrText>
      </w:r>
      <w:r>
        <w:rPr>
          <w:color w:val="auto"/>
          <w:szCs w:val="24"/>
          <w:highlight w:val="none"/>
        </w:rPr>
        <w:fldChar w:fldCharType="separate"/>
      </w:r>
      <w:r>
        <w:rPr>
          <w:rFonts w:eastAsia="黑体"/>
          <w:color w:val="auto"/>
          <w:kern w:val="0"/>
          <w:szCs w:val="20"/>
          <w:highlight w:val="none"/>
        </w:rPr>
        <w:t xml:space="preserve">2. </w:t>
      </w:r>
      <w:r>
        <w:rPr>
          <w:rFonts w:hint="eastAsia" w:eastAsia="黑体"/>
          <w:color w:val="auto"/>
          <w:kern w:val="0"/>
          <w:szCs w:val="20"/>
          <w:highlight w:val="none"/>
        </w:rPr>
        <w:t>招标文件</w:t>
      </w:r>
      <w:r>
        <w:rPr>
          <w:color w:val="auto"/>
          <w:highlight w:val="none"/>
        </w:rPr>
        <w:tab/>
      </w:r>
      <w:r>
        <w:rPr>
          <w:color w:val="auto"/>
          <w:highlight w:val="none"/>
        </w:rPr>
        <w:fldChar w:fldCharType="begin"/>
      </w:r>
      <w:r>
        <w:rPr>
          <w:color w:val="auto"/>
          <w:highlight w:val="none"/>
        </w:rPr>
        <w:instrText xml:space="preserve"> PAGEREF _Toc23686 \h </w:instrText>
      </w:r>
      <w:r>
        <w:rPr>
          <w:color w:val="auto"/>
          <w:highlight w:val="none"/>
        </w:rPr>
        <w:fldChar w:fldCharType="separate"/>
      </w:r>
      <w:r>
        <w:rPr>
          <w:color w:val="auto"/>
          <w:highlight w:val="none"/>
        </w:rPr>
        <w:t>32</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_Toc7024 </w:instrText>
      </w:r>
      <w:r>
        <w:rPr>
          <w:color w:val="auto"/>
          <w:szCs w:val="24"/>
          <w:highlight w:val="none"/>
        </w:rPr>
        <w:fldChar w:fldCharType="separate"/>
      </w:r>
      <w:r>
        <w:rPr>
          <w:rFonts w:eastAsia="黑体"/>
          <w:color w:val="auto"/>
          <w:szCs w:val="20"/>
          <w:highlight w:val="none"/>
        </w:rPr>
        <w:t xml:space="preserve">2.1 </w:t>
      </w:r>
      <w:r>
        <w:rPr>
          <w:rFonts w:hint="eastAsia" w:eastAsia="黑体"/>
          <w:color w:val="auto"/>
          <w:szCs w:val="20"/>
          <w:highlight w:val="none"/>
        </w:rPr>
        <w:t>招标文件的组成</w:t>
      </w:r>
      <w:r>
        <w:rPr>
          <w:color w:val="auto"/>
          <w:highlight w:val="none"/>
        </w:rPr>
        <w:tab/>
      </w:r>
      <w:r>
        <w:rPr>
          <w:color w:val="auto"/>
          <w:highlight w:val="none"/>
        </w:rPr>
        <w:fldChar w:fldCharType="begin"/>
      </w:r>
      <w:r>
        <w:rPr>
          <w:color w:val="auto"/>
          <w:highlight w:val="none"/>
        </w:rPr>
        <w:instrText xml:space="preserve"> PAGEREF _Toc7024 \h </w:instrText>
      </w:r>
      <w:r>
        <w:rPr>
          <w:color w:val="auto"/>
          <w:highlight w:val="none"/>
        </w:rPr>
        <w:fldChar w:fldCharType="separate"/>
      </w:r>
      <w:r>
        <w:rPr>
          <w:color w:val="auto"/>
          <w:highlight w:val="none"/>
        </w:rPr>
        <w:t>32</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_Toc5359 </w:instrText>
      </w:r>
      <w:r>
        <w:rPr>
          <w:color w:val="auto"/>
          <w:szCs w:val="24"/>
          <w:highlight w:val="none"/>
        </w:rPr>
        <w:fldChar w:fldCharType="separate"/>
      </w:r>
      <w:r>
        <w:rPr>
          <w:rFonts w:eastAsia="黑体"/>
          <w:color w:val="auto"/>
          <w:szCs w:val="20"/>
          <w:highlight w:val="none"/>
        </w:rPr>
        <w:t xml:space="preserve">2.2 </w:t>
      </w:r>
      <w:r>
        <w:rPr>
          <w:rFonts w:hint="eastAsia" w:eastAsia="黑体"/>
          <w:color w:val="auto"/>
          <w:szCs w:val="20"/>
          <w:highlight w:val="none"/>
        </w:rPr>
        <w:t>招标文件的澄清</w:t>
      </w:r>
      <w:r>
        <w:rPr>
          <w:color w:val="auto"/>
          <w:highlight w:val="none"/>
        </w:rPr>
        <w:tab/>
      </w:r>
      <w:r>
        <w:rPr>
          <w:color w:val="auto"/>
          <w:highlight w:val="none"/>
        </w:rPr>
        <w:fldChar w:fldCharType="begin"/>
      </w:r>
      <w:r>
        <w:rPr>
          <w:color w:val="auto"/>
          <w:highlight w:val="none"/>
        </w:rPr>
        <w:instrText xml:space="preserve"> PAGEREF _Toc5359 \h </w:instrText>
      </w:r>
      <w:r>
        <w:rPr>
          <w:color w:val="auto"/>
          <w:highlight w:val="none"/>
        </w:rPr>
        <w:fldChar w:fldCharType="separate"/>
      </w:r>
      <w:r>
        <w:rPr>
          <w:color w:val="auto"/>
          <w:highlight w:val="none"/>
        </w:rPr>
        <w:t>32</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_Toc748 </w:instrText>
      </w:r>
      <w:r>
        <w:rPr>
          <w:color w:val="auto"/>
          <w:szCs w:val="24"/>
          <w:highlight w:val="none"/>
        </w:rPr>
        <w:fldChar w:fldCharType="separate"/>
      </w:r>
      <w:r>
        <w:rPr>
          <w:rFonts w:eastAsia="黑体"/>
          <w:color w:val="auto"/>
          <w:szCs w:val="20"/>
          <w:highlight w:val="none"/>
        </w:rPr>
        <w:t xml:space="preserve">2.3 </w:t>
      </w:r>
      <w:r>
        <w:rPr>
          <w:rFonts w:hint="eastAsia" w:eastAsia="黑体"/>
          <w:color w:val="auto"/>
          <w:szCs w:val="20"/>
          <w:highlight w:val="none"/>
        </w:rPr>
        <w:t>招标文件的修改</w:t>
      </w:r>
      <w:r>
        <w:rPr>
          <w:color w:val="auto"/>
          <w:highlight w:val="none"/>
        </w:rPr>
        <w:tab/>
      </w:r>
      <w:r>
        <w:rPr>
          <w:color w:val="auto"/>
          <w:highlight w:val="none"/>
        </w:rPr>
        <w:fldChar w:fldCharType="begin"/>
      </w:r>
      <w:r>
        <w:rPr>
          <w:color w:val="auto"/>
          <w:highlight w:val="none"/>
        </w:rPr>
        <w:instrText xml:space="preserve"> PAGEREF _Toc748 \h </w:instrText>
      </w:r>
      <w:r>
        <w:rPr>
          <w:color w:val="auto"/>
          <w:highlight w:val="none"/>
        </w:rPr>
        <w:fldChar w:fldCharType="separate"/>
      </w:r>
      <w:r>
        <w:rPr>
          <w:color w:val="auto"/>
          <w:highlight w:val="none"/>
        </w:rPr>
        <w:t>33</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_Toc29182 </w:instrText>
      </w:r>
      <w:r>
        <w:rPr>
          <w:color w:val="auto"/>
          <w:szCs w:val="24"/>
          <w:highlight w:val="none"/>
        </w:rPr>
        <w:fldChar w:fldCharType="separate"/>
      </w:r>
      <w:r>
        <w:rPr>
          <w:rFonts w:eastAsia="黑体"/>
          <w:color w:val="auto"/>
          <w:szCs w:val="20"/>
          <w:highlight w:val="none"/>
        </w:rPr>
        <w:t xml:space="preserve">2.4 </w:t>
      </w:r>
      <w:r>
        <w:rPr>
          <w:rFonts w:hint="eastAsia" w:eastAsia="黑体"/>
          <w:color w:val="auto"/>
          <w:szCs w:val="20"/>
          <w:highlight w:val="none"/>
        </w:rPr>
        <w:t>招标文件的异议</w:t>
      </w:r>
      <w:r>
        <w:rPr>
          <w:color w:val="auto"/>
          <w:highlight w:val="none"/>
        </w:rPr>
        <w:tab/>
      </w:r>
      <w:r>
        <w:rPr>
          <w:color w:val="auto"/>
          <w:highlight w:val="none"/>
        </w:rPr>
        <w:fldChar w:fldCharType="begin"/>
      </w:r>
      <w:r>
        <w:rPr>
          <w:color w:val="auto"/>
          <w:highlight w:val="none"/>
        </w:rPr>
        <w:instrText xml:space="preserve"> PAGEREF _Toc29182 \h </w:instrText>
      </w:r>
      <w:r>
        <w:rPr>
          <w:color w:val="auto"/>
          <w:highlight w:val="none"/>
        </w:rPr>
        <w:fldChar w:fldCharType="separate"/>
      </w:r>
      <w:r>
        <w:rPr>
          <w:color w:val="auto"/>
          <w:highlight w:val="none"/>
        </w:rPr>
        <w:t>33</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_Toc24664 </w:instrText>
      </w:r>
      <w:r>
        <w:rPr>
          <w:color w:val="auto"/>
          <w:szCs w:val="24"/>
          <w:highlight w:val="none"/>
        </w:rPr>
        <w:fldChar w:fldCharType="separate"/>
      </w:r>
      <w:r>
        <w:rPr>
          <w:rFonts w:eastAsia="黑体"/>
          <w:color w:val="auto"/>
          <w:kern w:val="0"/>
          <w:szCs w:val="20"/>
          <w:highlight w:val="none"/>
        </w:rPr>
        <w:t xml:space="preserve">3. </w:t>
      </w:r>
      <w:r>
        <w:rPr>
          <w:rFonts w:hint="eastAsia" w:eastAsia="黑体"/>
          <w:color w:val="auto"/>
          <w:kern w:val="0"/>
          <w:szCs w:val="20"/>
          <w:highlight w:val="none"/>
        </w:rPr>
        <w:t>投标文件</w:t>
      </w:r>
      <w:r>
        <w:rPr>
          <w:color w:val="auto"/>
          <w:highlight w:val="none"/>
        </w:rPr>
        <w:tab/>
      </w:r>
      <w:r>
        <w:rPr>
          <w:color w:val="auto"/>
          <w:highlight w:val="none"/>
        </w:rPr>
        <w:fldChar w:fldCharType="begin"/>
      </w:r>
      <w:r>
        <w:rPr>
          <w:color w:val="auto"/>
          <w:highlight w:val="none"/>
        </w:rPr>
        <w:instrText xml:space="preserve"> PAGEREF _Toc24664 \h </w:instrText>
      </w:r>
      <w:r>
        <w:rPr>
          <w:color w:val="auto"/>
          <w:highlight w:val="none"/>
        </w:rPr>
        <w:fldChar w:fldCharType="separate"/>
      </w:r>
      <w:r>
        <w:rPr>
          <w:color w:val="auto"/>
          <w:highlight w:val="none"/>
        </w:rPr>
        <w:t>33</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_Toc28293 </w:instrText>
      </w:r>
      <w:r>
        <w:rPr>
          <w:color w:val="auto"/>
          <w:szCs w:val="24"/>
          <w:highlight w:val="none"/>
        </w:rPr>
        <w:fldChar w:fldCharType="separate"/>
      </w:r>
      <w:r>
        <w:rPr>
          <w:rFonts w:eastAsia="黑体"/>
          <w:color w:val="auto"/>
          <w:szCs w:val="20"/>
          <w:highlight w:val="none"/>
        </w:rPr>
        <w:t xml:space="preserve">3.1 </w:t>
      </w:r>
      <w:r>
        <w:rPr>
          <w:rFonts w:hint="eastAsia" w:eastAsia="黑体"/>
          <w:color w:val="auto"/>
          <w:szCs w:val="20"/>
          <w:highlight w:val="none"/>
        </w:rPr>
        <w:t>投标文件的组成</w:t>
      </w:r>
      <w:r>
        <w:rPr>
          <w:color w:val="auto"/>
          <w:highlight w:val="none"/>
        </w:rPr>
        <w:tab/>
      </w:r>
      <w:r>
        <w:rPr>
          <w:color w:val="auto"/>
          <w:highlight w:val="none"/>
        </w:rPr>
        <w:fldChar w:fldCharType="begin"/>
      </w:r>
      <w:r>
        <w:rPr>
          <w:color w:val="auto"/>
          <w:highlight w:val="none"/>
        </w:rPr>
        <w:instrText xml:space="preserve"> PAGEREF _Toc28293 \h </w:instrText>
      </w:r>
      <w:r>
        <w:rPr>
          <w:color w:val="auto"/>
          <w:highlight w:val="none"/>
        </w:rPr>
        <w:fldChar w:fldCharType="separate"/>
      </w:r>
      <w:r>
        <w:rPr>
          <w:color w:val="auto"/>
          <w:highlight w:val="none"/>
        </w:rPr>
        <w:t>33</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_Toc23661 </w:instrText>
      </w:r>
      <w:r>
        <w:rPr>
          <w:color w:val="auto"/>
          <w:szCs w:val="24"/>
          <w:highlight w:val="none"/>
        </w:rPr>
        <w:fldChar w:fldCharType="separate"/>
      </w:r>
      <w:r>
        <w:rPr>
          <w:rFonts w:eastAsia="黑体"/>
          <w:color w:val="auto"/>
          <w:szCs w:val="20"/>
          <w:highlight w:val="none"/>
        </w:rPr>
        <w:t xml:space="preserve">3.2 </w:t>
      </w:r>
      <w:r>
        <w:rPr>
          <w:rFonts w:hint="eastAsia" w:eastAsia="黑体"/>
          <w:color w:val="auto"/>
          <w:szCs w:val="20"/>
          <w:highlight w:val="none"/>
        </w:rPr>
        <w:t>投标报价</w:t>
      </w:r>
      <w:r>
        <w:rPr>
          <w:color w:val="auto"/>
          <w:highlight w:val="none"/>
        </w:rPr>
        <w:tab/>
      </w:r>
      <w:r>
        <w:rPr>
          <w:color w:val="auto"/>
          <w:highlight w:val="none"/>
        </w:rPr>
        <w:fldChar w:fldCharType="begin"/>
      </w:r>
      <w:r>
        <w:rPr>
          <w:color w:val="auto"/>
          <w:highlight w:val="none"/>
        </w:rPr>
        <w:instrText xml:space="preserve"> PAGEREF _Toc23661 \h </w:instrText>
      </w:r>
      <w:r>
        <w:rPr>
          <w:color w:val="auto"/>
          <w:highlight w:val="none"/>
        </w:rPr>
        <w:fldChar w:fldCharType="separate"/>
      </w:r>
      <w:r>
        <w:rPr>
          <w:color w:val="auto"/>
          <w:highlight w:val="none"/>
        </w:rPr>
        <w:t>34</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_Toc5300 </w:instrText>
      </w:r>
      <w:r>
        <w:rPr>
          <w:color w:val="auto"/>
          <w:szCs w:val="24"/>
          <w:highlight w:val="none"/>
        </w:rPr>
        <w:fldChar w:fldCharType="separate"/>
      </w:r>
      <w:r>
        <w:rPr>
          <w:rFonts w:eastAsia="黑体"/>
          <w:color w:val="auto"/>
          <w:szCs w:val="20"/>
          <w:highlight w:val="none"/>
        </w:rPr>
        <w:t xml:space="preserve">3.3 </w:t>
      </w:r>
      <w:r>
        <w:rPr>
          <w:rFonts w:hint="eastAsia" w:eastAsia="黑体"/>
          <w:color w:val="auto"/>
          <w:szCs w:val="20"/>
          <w:highlight w:val="none"/>
        </w:rPr>
        <w:t>投标有效期</w:t>
      </w:r>
      <w:r>
        <w:rPr>
          <w:color w:val="auto"/>
          <w:highlight w:val="none"/>
        </w:rPr>
        <w:tab/>
      </w:r>
      <w:r>
        <w:rPr>
          <w:color w:val="auto"/>
          <w:highlight w:val="none"/>
        </w:rPr>
        <w:fldChar w:fldCharType="begin"/>
      </w:r>
      <w:r>
        <w:rPr>
          <w:color w:val="auto"/>
          <w:highlight w:val="none"/>
        </w:rPr>
        <w:instrText xml:space="preserve"> PAGEREF _Toc5300 \h </w:instrText>
      </w:r>
      <w:r>
        <w:rPr>
          <w:color w:val="auto"/>
          <w:highlight w:val="none"/>
        </w:rPr>
        <w:fldChar w:fldCharType="separate"/>
      </w:r>
      <w:r>
        <w:rPr>
          <w:color w:val="auto"/>
          <w:highlight w:val="none"/>
        </w:rPr>
        <w:t>34</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_Toc17087 </w:instrText>
      </w:r>
      <w:r>
        <w:rPr>
          <w:color w:val="auto"/>
          <w:szCs w:val="24"/>
          <w:highlight w:val="none"/>
        </w:rPr>
        <w:fldChar w:fldCharType="separate"/>
      </w:r>
      <w:r>
        <w:rPr>
          <w:rFonts w:eastAsia="黑体"/>
          <w:color w:val="auto"/>
          <w:szCs w:val="20"/>
          <w:highlight w:val="none"/>
        </w:rPr>
        <w:t xml:space="preserve">3.4 </w:t>
      </w:r>
      <w:r>
        <w:rPr>
          <w:rFonts w:hint="eastAsia" w:eastAsia="黑体"/>
          <w:color w:val="auto"/>
          <w:szCs w:val="20"/>
          <w:highlight w:val="none"/>
        </w:rPr>
        <w:t>投标保证金</w:t>
      </w:r>
      <w:r>
        <w:rPr>
          <w:color w:val="auto"/>
          <w:highlight w:val="none"/>
        </w:rPr>
        <w:tab/>
      </w:r>
      <w:r>
        <w:rPr>
          <w:color w:val="auto"/>
          <w:highlight w:val="none"/>
        </w:rPr>
        <w:fldChar w:fldCharType="begin"/>
      </w:r>
      <w:r>
        <w:rPr>
          <w:color w:val="auto"/>
          <w:highlight w:val="none"/>
        </w:rPr>
        <w:instrText xml:space="preserve"> PAGEREF _Toc17087 \h </w:instrText>
      </w:r>
      <w:r>
        <w:rPr>
          <w:color w:val="auto"/>
          <w:highlight w:val="none"/>
        </w:rPr>
        <w:fldChar w:fldCharType="separate"/>
      </w:r>
      <w:r>
        <w:rPr>
          <w:color w:val="auto"/>
          <w:highlight w:val="none"/>
        </w:rPr>
        <w:t>34</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_Toc7978 </w:instrText>
      </w:r>
      <w:r>
        <w:rPr>
          <w:color w:val="auto"/>
          <w:szCs w:val="24"/>
          <w:highlight w:val="none"/>
        </w:rPr>
        <w:fldChar w:fldCharType="separate"/>
      </w:r>
      <w:r>
        <w:rPr>
          <w:rFonts w:eastAsia="黑体"/>
          <w:color w:val="auto"/>
          <w:szCs w:val="20"/>
          <w:highlight w:val="none"/>
        </w:rPr>
        <w:t xml:space="preserve">3.5 </w:t>
      </w:r>
      <w:r>
        <w:rPr>
          <w:rFonts w:hint="eastAsia" w:eastAsia="黑体"/>
          <w:color w:val="auto"/>
          <w:szCs w:val="20"/>
          <w:highlight w:val="none"/>
        </w:rPr>
        <w:t>资格审查资料</w:t>
      </w:r>
      <w:r>
        <w:rPr>
          <w:color w:val="auto"/>
          <w:highlight w:val="none"/>
        </w:rPr>
        <w:tab/>
      </w:r>
      <w:r>
        <w:rPr>
          <w:color w:val="auto"/>
          <w:highlight w:val="none"/>
        </w:rPr>
        <w:fldChar w:fldCharType="begin"/>
      </w:r>
      <w:r>
        <w:rPr>
          <w:color w:val="auto"/>
          <w:highlight w:val="none"/>
        </w:rPr>
        <w:instrText xml:space="preserve"> PAGEREF _Toc7978 \h </w:instrText>
      </w:r>
      <w:r>
        <w:rPr>
          <w:color w:val="auto"/>
          <w:highlight w:val="none"/>
        </w:rPr>
        <w:fldChar w:fldCharType="separate"/>
      </w:r>
      <w:r>
        <w:rPr>
          <w:color w:val="auto"/>
          <w:highlight w:val="none"/>
        </w:rPr>
        <w:t>35</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_Toc21682 </w:instrText>
      </w:r>
      <w:r>
        <w:rPr>
          <w:color w:val="auto"/>
          <w:szCs w:val="24"/>
          <w:highlight w:val="none"/>
        </w:rPr>
        <w:fldChar w:fldCharType="separate"/>
      </w:r>
      <w:r>
        <w:rPr>
          <w:rFonts w:eastAsia="黑体"/>
          <w:color w:val="auto"/>
          <w:szCs w:val="20"/>
          <w:highlight w:val="none"/>
        </w:rPr>
        <w:t xml:space="preserve">3.6 </w:t>
      </w:r>
      <w:r>
        <w:rPr>
          <w:rFonts w:hint="eastAsia" w:eastAsia="黑体"/>
          <w:color w:val="auto"/>
          <w:szCs w:val="20"/>
          <w:highlight w:val="none"/>
        </w:rPr>
        <w:t>备选投标方案</w:t>
      </w:r>
      <w:r>
        <w:rPr>
          <w:color w:val="auto"/>
          <w:highlight w:val="none"/>
        </w:rPr>
        <w:tab/>
      </w:r>
      <w:r>
        <w:rPr>
          <w:color w:val="auto"/>
          <w:highlight w:val="none"/>
        </w:rPr>
        <w:fldChar w:fldCharType="begin"/>
      </w:r>
      <w:r>
        <w:rPr>
          <w:color w:val="auto"/>
          <w:highlight w:val="none"/>
        </w:rPr>
        <w:instrText xml:space="preserve"> PAGEREF _Toc21682 \h </w:instrText>
      </w:r>
      <w:r>
        <w:rPr>
          <w:color w:val="auto"/>
          <w:highlight w:val="none"/>
        </w:rPr>
        <w:fldChar w:fldCharType="separate"/>
      </w:r>
      <w:r>
        <w:rPr>
          <w:color w:val="auto"/>
          <w:highlight w:val="none"/>
        </w:rPr>
        <w:t>35</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_Toc6256 </w:instrText>
      </w:r>
      <w:r>
        <w:rPr>
          <w:color w:val="auto"/>
          <w:szCs w:val="24"/>
          <w:highlight w:val="none"/>
        </w:rPr>
        <w:fldChar w:fldCharType="separate"/>
      </w:r>
      <w:r>
        <w:rPr>
          <w:rFonts w:eastAsia="黑体"/>
          <w:color w:val="auto"/>
          <w:szCs w:val="20"/>
          <w:highlight w:val="none"/>
        </w:rPr>
        <w:t xml:space="preserve">3.7 </w:t>
      </w:r>
      <w:r>
        <w:rPr>
          <w:rFonts w:hint="eastAsia" w:eastAsia="黑体"/>
          <w:color w:val="auto"/>
          <w:szCs w:val="20"/>
          <w:highlight w:val="none"/>
        </w:rPr>
        <w:t>投标文件的编制</w:t>
      </w:r>
      <w:r>
        <w:rPr>
          <w:color w:val="auto"/>
          <w:highlight w:val="none"/>
        </w:rPr>
        <w:tab/>
      </w:r>
      <w:r>
        <w:rPr>
          <w:color w:val="auto"/>
          <w:highlight w:val="none"/>
        </w:rPr>
        <w:fldChar w:fldCharType="begin"/>
      </w:r>
      <w:r>
        <w:rPr>
          <w:color w:val="auto"/>
          <w:highlight w:val="none"/>
        </w:rPr>
        <w:instrText xml:space="preserve"> PAGEREF _Toc6256 \h </w:instrText>
      </w:r>
      <w:r>
        <w:rPr>
          <w:color w:val="auto"/>
          <w:highlight w:val="none"/>
        </w:rPr>
        <w:fldChar w:fldCharType="separate"/>
      </w:r>
      <w:r>
        <w:rPr>
          <w:color w:val="auto"/>
          <w:highlight w:val="none"/>
        </w:rPr>
        <w:t>35</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_Toc4650 </w:instrText>
      </w:r>
      <w:r>
        <w:rPr>
          <w:color w:val="auto"/>
          <w:szCs w:val="24"/>
          <w:highlight w:val="none"/>
        </w:rPr>
        <w:fldChar w:fldCharType="separate"/>
      </w:r>
      <w:r>
        <w:rPr>
          <w:rFonts w:eastAsia="黑体"/>
          <w:color w:val="auto"/>
          <w:kern w:val="0"/>
          <w:szCs w:val="20"/>
          <w:highlight w:val="none"/>
        </w:rPr>
        <w:t xml:space="preserve">4. </w:t>
      </w:r>
      <w:r>
        <w:rPr>
          <w:rFonts w:hint="eastAsia" w:eastAsia="黑体"/>
          <w:color w:val="auto"/>
          <w:kern w:val="0"/>
          <w:szCs w:val="20"/>
          <w:highlight w:val="none"/>
        </w:rPr>
        <w:t>投标</w:t>
      </w:r>
      <w:r>
        <w:rPr>
          <w:color w:val="auto"/>
          <w:highlight w:val="none"/>
        </w:rPr>
        <w:tab/>
      </w:r>
      <w:r>
        <w:rPr>
          <w:color w:val="auto"/>
          <w:highlight w:val="none"/>
        </w:rPr>
        <w:fldChar w:fldCharType="begin"/>
      </w:r>
      <w:r>
        <w:rPr>
          <w:color w:val="auto"/>
          <w:highlight w:val="none"/>
        </w:rPr>
        <w:instrText xml:space="preserve"> PAGEREF _Toc4650 \h </w:instrText>
      </w:r>
      <w:r>
        <w:rPr>
          <w:color w:val="auto"/>
          <w:highlight w:val="none"/>
        </w:rPr>
        <w:fldChar w:fldCharType="separate"/>
      </w:r>
      <w:r>
        <w:rPr>
          <w:color w:val="auto"/>
          <w:highlight w:val="none"/>
        </w:rPr>
        <w:t>36</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_Toc16461 </w:instrText>
      </w:r>
      <w:r>
        <w:rPr>
          <w:color w:val="auto"/>
          <w:szCs w:val="24"/>
          <w:highlight w:val="none"/>
        </w:rPr>
        <w:fldChar w:fldCharType="separate"/>
      </w:r>
      <w:r>
        <w:rPr>
          <w:rFonts w:eastAsia="黑体"/>
          <w:color w:val="auto"/>
          <w:szCs w:val="20"/>
          <w:highlight w:val="none"/>
        </w:rPr>
        <w:t xml:space="preserve">4.1 </w:t>
      </w:r>
      <w:r>
        <w:rPr>
          <w:rFonts w:hint="eastAsia" w:eastAsia="黑体"/>
          <w:color w:val="auto"/>
          <w:szCs w:val="20"/>
          <w:highlight w:val="none"/>
        </w:rPr>
        <w:t>投标文件的密封和标记</w:t>
      </w:r>
      <w:r>
        <w:rPr>
          <w:color w:val="auto"/>
          <w:highlight w:val="none"/>
        </w:rPr>
        <w:tab/>
      </w:r>
      <w:r>
        <w:rPr>
          <w:color w:val="auto"/>
          <w:highlight w:val="none"/>
        </w:rPr>
        <w:fldChar w:fldCharType="begin"/>
      </w:r>
      <w:r>
        <w:rPr>
          <w:color w:val="auto"/>
          <w:highlight w:val="none"/>
        </w:rPr>
        <w:instrText xml:space="preserve"> PAGEREF _Toc16461 \h </w:instrText>
      </w:r>
      <w:r>
        <w:rPr>
          <w:color w:val="auto"/>
          <w:highlight w:val="none"/>
        </w:rPr>
        <w:fldChar w:fldCharType="separate"/>
      </w:r>
      <w:r>
        <w:rPr>
          <w:color w:val="auto"/>
          <w:highlight w:val="none"/>
        </w:rPr>
        <w:t>36</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_Toc25950 </w:instrText>
      </w:r>
      <w:r>
        <w:rPr>
          <w:color w:val="auto"/>
          <w:szCs w:val="24"/>
          <w:highlight w:val="none"/>
        </w:rPr>
        <w:fldChar w:fldCharType="separate"/>
      </w:r>
      <w:r>
        <w:rPr>
          <w:rFonts w:eastAsia="黑体"/>
          <w:color w:val="auto"/>
          <w:szCs w:val="20"/>
          <w:highlight w:val="none"/>
        </w:rPr>
        <w:t xml:space="preserve">4.2 </w:t>
      </w:r>
      <w:r>
        <w:rPr>
          <w:rFonts w:hint="eastAsia" w:eastAsia="黑体"/>
          <w:color w:val="auto"/>
          <w:szCs w:val="20"/>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_Toc25950 \h </w:instrText>
      </w:r>
      <w:r>
        <w:rPr>
          <w:color w:val="auto"/>
          <w:highlight w:val="none"/>
        </w:rPr>
        <w:fldChar w:fldCharType="separate"/>
      </w:r>
      <w:r>
        <w:rPr>
          <w:color w:val="auto"/>
          <w:highlight w:val="none"/>
        </w:rPr>
        <w:t>36</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_Toc9066 </w:instrText>
      </w:r>
      <w:r>
        <w:rPr>
          <w:color w:val="auto"/>
          <w:szCs w:val="24"/>
          <w:highlight w:val="none"/>
        </w:rPr>
        <w:fldChar w:fldCharType="separate"/>
      </w:r>
      <w:r>
        <w:rPr>
          <w:rFonts w:eastAsia="黑体"/>
          <w:color w:val="auto"/>
          <w:szCs w:val="20"/>
          <w:highlight w:val="none"/>
        </w:rPr>
        <w:t xml:space="preserve">4.3 </w:t>
      </w:r>
      <w:r>
        <w:rPr>
          <w:rFonts w:hint="eastAsia" w:eastAsia="黑体"/>
          <w:color w:val="auto"/>
          <w:szCs w:val="20"/>
          <w:highlight w:val="none"/>
        </w:rPr>
        <w:t>投标文件的修改与撤回</w:t>
      </w:r>
      <w:r>
        <w:rPr>
          <w:color w:val="auto"/>
          <w:highlight w:val="none"/>
        </w:rPr>
        <w:tab/>
      </w:r>
      <w:r>
        <w:rPr>
          <w:color w:val="auto"/>
          <w:highlight w:val="none"/>
        </w:rPr>
        <w:fldChar w:fldCharType="begin"/>
      </w:r>
      <w:r>
        <w:rPr>
          <w:color w:val="auto"/>
          <w:highlight w:val="none"/>
        </w:rPr>
        <w:instrText xml:space="preserve"> PAGEREF _Toc9066 \h </w:instrText>
      </w:r>
      <w:r>
        <w:rPr>
          <w:color w:val="auto"/>
          <w:highlight w:val="none"/>
        </w:rPr>
        <w:fldChar w:fldCharType="separate"/>
      </w:r>
      <w:r>
        <w:rPr>
          <w:color w:val="auto"/>
          <w:highlight w:val="none"/>
        </w:rPr>
        <w:t>36</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_Toc28283 </w:instrText>
      </w:r>
      <w:r>
        <w:rPr>
          <w:color w:val="auto"/>
          <w:szCs w:val="24"/>
          <w:highlight w:val="none"/>
        </w:rPr>
        <w:fldChar w:fldCharType="separate"/>
      </w:r>
      <w:r>
        <w:rPr>
          <w:rFonts w:eastAsia="黑体"/>
          <w:color w:val="auto"/>
          <w:kern w:val="0"/>
          <w:szCs w:val="20"/>
          <w:highlight w:val="none"/>
        </w:rPr>
        <w:t xml:space="preserve">5. </w:t>
      </w:r>
      <w:r>
        <w:rPr>
          <w:rFonts w:hint="eastAsia" w:eastAsia="黑体"/>
          <w:color w:val="auto"/>
          <w:kern w:val="0"/>
          <w:szCs w:val="20"/>
          <w:highlight w:val="none"/>
        </w:rPr>
        <w:t>开标</w:t>
      </w:r>
      <w:r>
        <w:rPr>
          <w:color w:val="auto"/>
          <w:highlight w:val="none"/>
        </w:rPr>
        <w:tab/>
      </w:r>
      <w:r>
        <w:rPr>
          <w:color w:val="auto"/>
          <w:highlight w:val="none"/>
        </w:rPr>
        <w:fldChar w:fldCharType="begin"/>
      </w:r>
      <w:r>
        <w:rPr>
          <w:color w:val="auto"/>
          <w:highlight w:val="none"/>
        </w:rPr>
        <w:instrText xml:space="preserve"> PAGEREF _Toc28283 \h </w:instrText>
      </w:r>
      <w:r>
        <w:rPr>
          <w:color w:val="auto"/>
          <w:highlight w:val="none"/>
        </w:rPr>
        <w:fldChar w:fldCharType="separate"/>
      </w:r>
      <w:r>
        <w:rPr>
          <w:color w:val="auto"/>
          <w:highlight w:val="none"/>
        </w:rPr>
        <w:t>37</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_Toc5850 </w:instrText>
      </w:r>
      <w:r>
        <w:rPr>
          <w:color w:val="auto"/>
          <w:szCs w:val="24"/>
          <w:highlight w:val="none"/>
        </w:rPr>
        <w:fldChar w:fldCharType="separate"/>
      </w:r>
      <w:r>
        <w:rPr>
          <w:rFonts w:eastAsia="黑体"/>
          <w:color w:val="auto"/>
          <w:szCs w:val="20"/>
          <w:highlight w:val="none"/>
        </w:rPr>
        <w:t xml:space="preserve">5.1 </w:t>
      </w:r>
      <w:r>
        <w:rPr>
          <w:rFonts w:hint="eastAsia" w:eastAsia="黑体"/>
          <w:color w:val="auto"/>
          <w:szCs w:val="20"/>
          <w:highlight w:val="none"/>
        </w:rPr>
        <w:t>开标时间和地点</w:t>
      </w:r>
      <w:r>
        <w:rPr>
          <w:color w:val="auto"/>
          <w:highlight w:val="none"/>
        </w:rPr>
        <w:tab/>
      </w:r>
      <w:r>
        <w:rPr>
          <w:color w:val="auto"/>
          <w:highlight w:val="none"/>
        </w:rPr>
        <w:fldChar w:fldCharType="begin"/>
      </w:r>
      <w:r>
        <w:rPr>
          <w:color w:val="auto"/>
          <w:highlight w:val="none"/>
        </w:rPr>
        <w:instrText xml:space="preserve"> PAGEREF _Toc5850 \h </w:instrText>
      </w:r>
      <w:r>
        <w:rPr>
          <w:color w:val="auto"/>
          <w:highlight w:val="none"/>
        </w:rPr>
        <w:fldChar w:fldCharType="separate"/>
      </w:r>
      <w:r>
        <w:rPr>
          <w:color w:val="auto"/>
          <w:highlight w:val="none"/>
        </w:rPr>
        <w:t>37</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_Toc30070 </w:instrText>
      </w:r>
      <w:r>
        <w:rPr>
          <w:color w:val="auto"/>
          <w:szCs w:val="24"/>
          <w:highlight w:val="none"/>
        </w:rPr>
        <w:fldChar w:fldCharType="separate"/>
      </w:r>
      <w:r>
        <w:rPr>
          <w:rFonts w:eastAsia="黑体"/>
          <w:color w:val="auto"/>
          <w:szCs w:val="20"/>
          <w:highlight w:val="none"/>
        </w:rPr>
        <w:t xml:space="preserve">5.2 </w:t>
      </w:r>
      <w:r>
        <w:rPr>
          <w:rFonts w:hint="eastAsia" w:eastAsia="黑体"/>
          <w:color w:val="auto"/>
          <w:szCs w:val="20"/>
          <w:highlight w:val="none"/>
        </w:rPr>
        <w:t>开标程序</w:t>
      </w:r>
      <w:r>
        <w:rPr>
          <w:color w:val="auto"/>
          <w:highlight w:val="none"/>
        </w:rPr>
        <w:tab/>
      </w:r>
      <w:r>
        <w:rPr>
          <w:color w:val="auto"/>
          <w:highlight w:val="none"/>
        </w:rPr>
        <w:fldChar w:fldCharType="begin"/>
      </w:r>
      <w:r>
        <w:rPr>
          <w:color w:val="auto"/>
          <w:highlight w:val="none"/>
        </w:rPr>
        <w:instrText xml:space="preserve"> PAGEREF _Toc30070 \h </w:instrText>
      </w:r>
      <w:r>
        <w:rPr>
          <w:color w:val="auto"/>
          <w:highlight w:val="none"/>
        </w:rPr>
        <w:fldChar w:fldCharType="separate"/>
      </w:r>
      <w:r>
        <w:rPr>
          <w:color w:val="auto"/>
          <w:highlight w:val="none"/>
        </w:rPr>
        <w:t>37</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_Toc13607 </w:instrText>
      </w:r>
      <w:r>
        <w:rPr>
          <w:color w:val="auto"/>
          <w:szCs w:val="24"/>
          <w:highlight w:val="none"/>
        </w:rPr>
        <w:fldChar w:fldCharType="separate"/>
      </w:r>
      <w:r>
        <w:rPr>
          <w:rFonts w:eastAsia="黑体"/>
          <w:color w:val="auto"/>
          <w:szCs w:val="20"/>
          <w:highlight w:val="none"/>
        </w:rPr>
        <w:t xml:space="preserve">5.3 </w:t>
      </w:r>
      <w:r>
        <w:rPr>
          <w:rFonts w:hint="eastAsia" w:eastAsia="黑体"/>
          <w:color w:val="auto"/>
          <w:szCs w:val="20"/>
          <w:highlight w:val="none"/>
        </w:rPr>
        <w:t>开标异议</w:t>
      </w:r>
      <w:r>
        <w:rPr>
          <w:color w:val="auto"/>
          <w:highlight w:val="none"/>
        </w:rPr>
        <w:tab/>
      </w:r>
      <w:r>
        <w:rPr>
          <w:color w:val="auto"/>
          <w:highlight w:val="none"/>
        </w:rPr>
        <w:fldChar w:fldCharType="begin"/>
      </w:r>
      <w:r>
        <w:rPr>
          <w:color w:val="auto"/>
          <w:highlight w:val="none"/>
        </w:rPr>
        <w:instrText xml:space="preserve"> PAGEREF _Toc13607 \h </w:instrText>
      </w:r>
      <w:r>
        <w:rPr>
          <w:color w:val="auto"/>
          <w:highlight w:val="none"/>
        </w:rPr>
        <w:fldChar w:fldCharType="separate"/>
      </w:r>
      <w:r>
        <w:rPr>
          <w:color w:val="auto"/>
          <w:highlight w:val="none"/>
        </w:rPr>
        <w:t>37</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_Toc31606 </w:instrText>
      </w:r>
      <w:r>
        <w:rPr>
          <w:color w:val="auto"/>
          <w:szCs w:val="24"/>
          <w:highlight w:val="none"/>
        </w:rPr>
        <w:fldChar w:fldCharType="separate"/>
      </w:r>
      <w:r>
        <w:rPr>
          <w:rFonts w:eastAsia="黑体"/>
          <w:color w:val="auto"/>
          <w:kern w:val="0"/>
          <w:szCs w:val="20"/>
          <w:highlight w:val="none"/>
        </w:rPr>
        <w:t xml:space="preserve">6. </w:t>
      </w:r>
      <w:r>
        <w:rPr>
          <w:rFonts w:hint="eastAsia" w:eastAsia="黑体"/>
          <w:color w:val="auto"/>
          <w:kern w:val="0"/>
          <w:szCs w:val="20"/>
          <w:highlight w:val="none"/>
        </w:rPr>
        <w:t>评标</w:t>
      </w:r>
      <w:r>
        <w:rPr>
          <w:color w:val="auto"/>
          <w:highlight w:val="none"/>
        </w:rPr>
        <w:tab/>
      </w:r>
      <w:r>
        <w:rPr>
          <w:color w:val="auto"/>
          <w:highlight w:val="none"/>
        </w:rPr>
        <w:fldChar w:fldCharType="begin"/>
      </w:r>
      <w:r>
        <w:rPr>
          <w:color w:val="auto"/>
          <w:highlight w:val="none"/>
        </w:rPr>
        <w:instrText xml:space="preserve"> PAGEREF _Toc31606 \h </w:instrText>
      </w:r>
      <w:r>
        <w:rPr>
          <w:color w:val="auto"/>
          <w:highlight w:val="none"/>
        </w:rPr>
        <w:fldChar w:fldCharType="separate"/>
      </w:r>
      <w:r>
        <w:rPr>
          <w:color w:val="auto"/>
          <w:highlight w:val="none"/>
        </w:rPr>
        <w:t>37</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_Toc4248 </w:instrText>
      </w:r>
      <w:r>
        <w:rPr>
          <w:color w:val="auto"/>
          <w:szCs w:val="24"/>
          <w:highlight w:val="none"/>
        </w:rPr>
        <w:fldChar w:fldCharType="separate"/>
      </w:r>
      <w:r>
        <w:rPr>
          <w:rFonts w:eastAsia="黑体"/>
          <w:color w:val="auto"/>
          <w:szCs w:val="20"/>
          <w:highlight w:val="none"/>
        </w:rPr>
        <w:t xml:space="preserve">6.1 </w:t>
      </w:r>
      <w:r>
        <w:rPr>
          <w:rFonts w:hint="eastAsia" w:eastAsia="黑体"/>
          <w:color w:val="auto"/>
          <w:szCs w:val="20"/>
          <w:highlight w:val="none"/>
        </w:rPr>
        <w:t>评标委员会</w:t>
      </w:r>
      <w:r>
        <w:rPr>
          <w:color w:val="auto"/>
          <w:highlight w:val="none"/>
        </w:rPr>
        <w:tab/>
      </w:r>
      <w:r>
        <w:rPr>
          <w:color w:val="auto"/>
          <w:highlight w:val="none"/>
        </w:rPr>
        <w:fldChar w:fldCharType="begin"/>
      </w:r>
      <w:r>
        <w:rPr>
          <w:color w:val="auto"/>
          <w:highlight w:val="none"/>
        </w:rPr>
        <w:instrText xml:space="preserve"> PAGEREF _Toc4248 \h </w:instrText>
      </w:r>
      <w:r>
        <w:rPr>
          <w:color w:val="auto"/>
          <w:highlight w:val="none"/>
        </w:rPr>
        <w:fldChar w:fldCharType="separate"/>
      </w:r>
      <w:r>
        <w:rPr>
          <w:color w:val="auto"/>
          <w:highlight w:val="none"/>
        </w:rPr>
        <w:t>37</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_Toc28789 </w:instrText>
      </w:r>
      <w:r>
        <w:rPr>
          <w:color w:val="auto"/>
          <w:szCs w:val="24"/>
          <w:highlight w:val="none"/>
        </w:rPr>
        <w:fldChar w:fldCharType="separate"/>
      </w:r>
      <w:r>
        <w:rPr>
          <w:rFonts w:eastAsia="黑体"/>
          <w:color w:val="auto"/>
          <w:szCs w:val="20"/>
          <w:highlight w:val="none"/>
        </w:rPr>
        <w:t xml:space="preserve">6.2 </w:t>
      </w:r>
      <w:r>
        <w:rPr>
          <w:rFonts w:hint="eastAsia" w:eastAsia="黑体"/>
          <w:color w:val="auto"/>
          <w:szCs w:val="20"/>
          <w:highlight w:val="none"/>
        </w:rPr>
        <w:t>评标原则</w:t>
      </w:r>
      <w:r>
        <w:rPr>
          <w:color w:val="auto"/>
          <w:highlight w:val="none"/>
        </w:rPr>
        <w:tab/>
      </w:r>
      <w:r>
        <w:rPr>
          <w:color w:val="auto"/>
          <w:highlight w:val="none"/>
        </w:rPr>
        <w:fldChar w:fldCharType="begin"/>
      </w:r>
      <w:r>
        <w:rPr>
          <w:color w:val="auto"/>
          <w:highlight w:val="none"/>
        </w:rPr>
        <w:instrText xml:space="preserve"> PAGEREF _Toc28789 \h </w:instrText>
      </w:r>
      <w:r>
        <w:rPr>
          <w:color w:val="auto"/>
          <w:highlight w:val="none"/>
        </w:rPr>
        <w:fldChar w:fldCharType="separate"/>
      </w:r>
      <w:r>
        <w:rPr>
          <w:color w:val="auto"/>
          <w:highlight w:val="none"/>
        </w:rPr>
        <w:t>38</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_Toc11461 </w:instrText>
      </w:r>
      <w:r>
        <w:rPr>
          <w:color w:val="auto"/>
          <w:szCs w:val="24"/>
          <w:highlight w:val="none"/>
        </w:rPr>
        <w:fldChar w:fldCharType="separate"/>
      </w:r>
      <w:r>
        <w:rPr>
          <w:rFonts w:eastAsia="黑体"/>
          <w:color w:val="auto"/>
          <w:szCs w:val="20"/>
          <w:highlight w:val="none"/>
        </w:rPr>
        <w:t xml:space="preserve">6.3 </w:t>
      </w:r>
      <w:r>
        <w:rPr>
          <w:rFonts w:hint="eastAsia" w:eastAsia="黑体"/>
          <w:color w:val="auto"/>
          <w:szCs w:val="20"/>
          <w:highlight w:val="none"/>
        </w:rPr>
        <w:t>评标</w:t>
      </w:r>
      <w:r>
        <w:rPr>
          <w:color w:val="auto"/>
          <w:highlight w:val="none"/>
        </w:rPr>
        <w:tab/>
      </w:r>
      <w:r>
        <w:rPr>
          <w:color w:val="auto"/>
          <w:highlight w:val="none"/>
        </w:rPr>
        <w:fldChar w:fldCharType="begin"/>
      </w:r>
      <w:r>
        <w:rPr>
          <w:color w:val="auto"/>
          <w:highlight w:val="none"/>
        </w:rPr>
        <w:instrText xml:space="preserve"> PAGEREF _Toc11461 \h </w:instrText>
      </w:r>
      <w:r>
        <w:rPr>
          <w:color w:val="auto"/>
          <w:highlight w:val="none"/>
        </w:rPr>
        <w:fldChar w:fldCharType="separate"/>
      </w:r>
      <w:r>
        <w:rPr>
          <w:color w:val="auto"/>
          <w:highlight w:val="none"/>
        </w:rPr>
        <w:t>38</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_Toc30478 </w:instrText>
      </w:r>
      <w:r>
        <w:rPr>
          <w:color w:val="auto"/>
          <w:szCs w:val="24"/>
          <w:highlight w:val="none"/>
        </w:rPr>
        <w:fldChar w:fldCharType="separate"/>
      </w:r>
      <w:r>
        <w:rPr>
          <w:rFonts w:eastAsia="黑体"/>
          <w:color w:val="auto"/>
          <w:kern w:val="0"/>
          <w:szCs w:val="20"/>
          <w:highlight w:val="none"/>
        </w:rPr>
        <w:t xml:space="preserve">7. </w:t>
      </w:r>
      <w:r>
        <w:rPr>
          <w:rFonts w:hint="eastAsia" w:eastAsia="黑体"/>
          <w:color w:val="auto"/>
          <w:kern w:val="0"/>
          <w:szCs w:val="20"/>
          <w:highlight w:val="none"/>
        </w:rPr>
        <w:t>合同授予</w:t>
      </w:r>
      <w:r>
        <w:rPr>
          <w:color w:val="auto"/>
          <w:highlight w:val="none"/>
        </w:rPr>
        <w:tab/>
      </w:r>
      <w:r>
        <w:rPr>
          <w:color w:val="auto"/>
          <w:highlight w:val="none"/>
        </w:rPr>
        <w:fldChar w:fldCharType="begin"/>
      </w:r>
      <w:r>
        <w:rPr>
          <w:color w:val="auto"/>
          <w:highlight w:val="none"/>
        </w:rPr>
        <w:instrText xml:space="preserve"> PAGEREF _Toc30478 \h </w:instrText>
      </w:r>
      <w:r>
        <w:rPr>
          <w:color w:val="auto"/>
          <w:highlight w:val="none"/>
        </w:rPr>
        <w:fldChar w:fldCharType="separate"/>
      </w:r>
      <w:r>
        <w:rPr>
          <w:color w:val="auto"/>
          <w:highlight w:val="none"/>
        </w:rPr>
        <w:t>38</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_Toc8633 </w:instrText>
      </w:r>
      <w:r>
        <w:rPr>
          <w:color w:val="auto"/>
          <w:szCs w:val="24"/>
          <w:highlight w:val="none"/>
        </w:rPr>
        <w:fldChar w:fldCharType="separate"/>
      </w:r>
      <w:r>
        <w:rPr>
          <w:rFonts w:eastAsia="黑体"/>
          <w:color w:val="auto"/>
          <w:szCs w:val="20"/>
          <w:highlight w:val="none"/>
        </w:rPr>
        <w:t xml:space="preserve">7.1 </w:t>
      </w:r>
      <w:r>
        <w:rPr>
          <w:rFonts w:hint="eastAsia" w:eastAsia="黑体"/>
          <w:color w:val="auto"/>
          <w:szCs w:val="20"/>
          <w:highlight w:val="none"/>
        </w:rPr>
        <w:t>中标候选人公示</w:t>
      </w:r>
      <w:r>
        <w:rPr>
          <w:color w:val="auto"/>
          <w:highlight w:val="none"/>
        </w:rPr>
        <w:tab/>
      </w:r>
      <w:r>
        <w:rPr>
          <w:color w:val="auto"/>
          <w:highlight w:val="none"/>
        </w:rPr>
        <w:fldChar w:fldCharType="begin"/>
      </w:r>
      <w:r>
        <w:rPr>
          <w:color w:val="auto"/>
          <w:highlight w:val="none"/>
        </w:rPr>
        <w:instrText xml:space="preserve"> PAGEREF _Toc8633 \h </w:instrText>
      </w:r>
      <w:r>
        <w:rPr>
          <w:color w:val="auto"/>
          <w:highlight w:val="none"/>
        </w:rPr>
        <w:fldChar w:fldCharType="separate"/>
      </w:r>
      <w:r>
        <w:rPr>
          <w:color w:val="auto"/>
          <w:highlight w:val="none"/>
        </w:rPr>
        <w:t>38</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_Toc12177 </w:instrText>
      </w:r>
      <w:r>
        <w:rPr>
          <w:color w:val="auto"/>
          <w:szCs w:val="24"/>
          <w:highlight w:val="none"/>
        </w:rPr>
        <w:fldChar w:fldCharType="separate"/>
      </w:r>
      <w:r>
        <w:rPr>
          <w:rFonts w:eastAsia="黑体"/>
          <w:color w:val="auto"/>
          <w:szCs w:val="20"/>
          <w:highlight w:val="none"/>
        </w:rPr>
        <w:t xml:space="preserve">7.2 </w:t>
      </w:r>
      <w:r>
        <w:rPr>
          <w:rFonts w:hint="eastAsia" w:eastAsia="黑体"/>
          <w:color w:val="auto"/>
          <w:szCs w:val="20"/>
          <w:highlight w:val="none"/>
        </w:rPr>
        <w:t>评标结果异议</w:t>
      </w:r>
      <w:r>
        <w:rPr>
          <w:color w:val="auto"/>
          <w:highlight w:val="none"/>
        </w:rPr>
        <w:tab/>
      </w:r>
      <w:r>
        <w:rPr>
          <w:color w:val="auto"/>
          <w:highlight w:val="none"/>
        </w:rPr>
        <w:fldChar w:fldCharType="begin"/>
      </w:r>
      <w:r>
        <w:rPr>
          <w:color w:val="auto"/>
          <w:highlight w:val="none"/>
        </w:rPr>
        <w:instrText xml:space="preserve"> PAGEREF _Toc12177 \h </w:instrText>
      </w:r>
      <w:r>
        <w:rPr>
          <w:color w:val="auto"/>
          <w:highlight w:val="none"/>
        </w:rPr>
        <w:fldChar w:fldCharType="separate"/>
      </w:r>
      <w:r>
        <w:rPr>
          <w:color w:val="auto"/>
          <w:highlight w:val="none"/>
        </w:rPr>
        <w:t>38</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_Toc7472 </w:instrText>
      </w:r>
      <w:r>
        <w:rPr>
          <w:color w:val="auto"/>
          <w:szCs w:val="24"/>
          <w:highlight w:val="none"/>
        </w:rPr>
        <w:fldChar w:fldCharType="separate"/>
      </w:r>
      <w:r>
        <w:rPr>
          <w:rFonts w:eastAsia="黑体"/>
          <w:color w:val="auto"/>
          <w:szCs w:val="20"/>
          <w:highlight w:val="none"/>
        </w:rPr>
        <w:t xml:space="preserve">7.3 </w:t>
      </w:r>
      <w:r>
        <w:rPr>
          <w:rFonts w:hint="eastAsia" w:eastAsia="黑体"/>
          <w:color w:val="auto"/>
          <w:szCs w:val="20"/>
          <w:highlight w:val="none"/>
        </w:rPr>
        <w:t>中标候选人履约能力审查</w:t>
      </w:r>
      <w:r>
        <w:rPr>
          <w:color w:val="auto"/>
          <w:highlight w:val="none"/>
        </w:rPr>
        <w:tab/>
      </w:r>
      <w:r>
        <w:rPr>
          <w:color w:val="auto"/>
          <w:highlight w:val="none"/>
        </w:rPr>
        <w:fldChar w:fldCharType="begin"/>
      </w:r>
      <w:r>
        <w:rPr>
          <w:color w:val="auto"/>
          <w:highlight w:val="none"/>
        </w:rPr>
        <w:instrText xml:space="preserve"> PAGEREF _Toc7472 \h </w:instrText>
      </w:r>
      <w:r>
        <w:rPr>
          <w:color w:val="auto"/>
          <w:highlight w:val="none"/>
        </w:rPr>
        <w:fldChar w:fldCharType="separate"/>
      </w:r>
      <w:r>
        <w:rPr>
          <w:color w:val="auto"/>
          <w:highlight w:val="none"/>
        </w:rPr>
        <w:t>38</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_Toc3278 </w:instrText>
      </w:r>
      <w:r>
        <w:rPr>
          <w:color w:val="auto"/>
          <w:szCs w:val="24"/>
          <w:highlight w:val="none"/>
        </w:rPr>
        <w:fldChar w:fldCharType="separate"/>
      </w:r>
      <w:r>
        <w:rPr>
          <w:rFonts w:eastAsia="黑体"/>
          <w:color w:val="auto"/>
          <w:szCs w:val="20"/>
          <w:highlight w:val="none"/>
        </w:rPr>
        <w:t xml:space="preserve">7.4 </w:t>
      </w:r>
      <w:r>
        <w:rPr>
          <w:rFonts w:hint="eastAsia" w:eastAsia="黑体"/>
          <w:color w:val="auto"/>
          <w:szCs w:val="20"/>
          <w:highlight w:val="none"/>
        </w:rPr>
        <w:t>定标</w:t>
      </w:r>
      <w:r>
        <w:rPr>
          <w:color w:val="auto"/>
          <w:highlight w:val="none"/>
        </w:rPr>
        <w:tab/>
      </w:r>
      <w:r>
        <w:rPr>
          <w:color w:val="auto"/>
          <w:highlight w:val="none"/>
        </w:rPr>
        <w:fldChar w:fldCharType="begin"/>
      </w:r>
      <w:r>
        <w:rPr>
          <w:color w:val="auto"/>
          <w:highlight w:val="none"/>
        </w:rPr>
        <w:instrText xml:space="preserve"> PAGEREF _Toc3278 \h </w:instrText>
      </w:r>
      <w:r>
        <w:rPr>
          <w:color w:val="auto"/>
          <w:highlight w:val="none"/>
        </w:rPr>
        <w:fldChar w:fldCharType="separate"/>
      </w:r>
      <w:r>
        <w:rPr>
          <w:color w:val="auto"/>
          <w:highlight w:val="none"/>
        </w:rPr>
        <w:t>39</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_Toc23218 </w:instrText>
      </w:r>
      <w:r>
        <w:rPr>
          <w:color w:val="auto"/>
          <w:szCs w:val="24"/>
          <w:highlight w:val="none"/>
        </w:rPr>
        <w:fldChar w:fldCharType="separate"/>
      </w:r>
      <w:r>
        <w:rPr>
          <w:rFonts w:eastAsia="黑体"/>
          <w:color w:val="auto"/>
          <w:szCs w:val="20"/>
          <w:highlight w:val="none"/>
        </w:rPr>
        <w:t xml:space="preserve">7.5 </w:t>
      </w:r>
      <w:r>
        <w:rPr>
          <w:rFonts w:hint="eastAsia" w:eastAsia="黑体"/>
          <w:color w:val="auto"/>
          <w:szCs w:val="20"/>
          <w:highlight w:val="none"/>
        </w:rPr>
        <w:t>中标通知</w:t>
      </w:r>
      <w:r>
        <w:rPr>
          <w:color w:val="auto"/>
          <w:highlight w:val="none"/>
        </w:rPr>
        <w:tab/>
      </w:r>
      <w:r>
        <w:rPr>
          <w:color w:val="auto"/>
          <w:highlight w:val="none"/>
        </w:rPr>
        <w:fldChar w:fldCharType="begin"/>
      </w:r>
      <w:r>
        <w:rPr>
          <w:color w:val="auto"/>
          <w:highlight w:val="none"/>
        </w:rPr>
        <w:instrText xml:space="preserve"> PAGEREF _Toc23218 \h </w:instrText>
      </w:r>
      <w:r>
        <w:rPr>
          <w:color w:val="auto"/>
          <w:highlight w:val="none"/>
        </w:rPr>
        <w:fldChar w:fldCharType="separate"/>
      </w:r>
      <w:r>
        <w:rPr>
          <w:color w:val="auto"/>
          <w:highlight w:val="none"/>
        </w:rPr>
        <w:t>39</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_Toc2111 </w:instrText>
      </w:r>
      <w:r>
        <w:rPr>
          <w:color w:val="auto"/>
          <w:szCs w:val="24"/>
          <w:highlight w:val="none"/>
        </w:rPr>
        <w:fldChar w:fldCharType="separate"/>
      </w:r>
      <w:r>
        <w:rPr>
          <w:rFonts w:eastAsia="黑体"/>
          <w:color w:val="auto"/>
          <w:szCs w:val="20"/>
          <w:highlight w:val="none"/>
        </w:rPr>
        <w:t xml:space="preserve">7.6 </w:t>
      </w:r>
      <w:r>
        <w:rPr>
          <w:rFonts w:hint="eastAsia" w:eastAsia="黑体"/>
          <w:color w:val="auto"/>
          <w:szCs w:val="20"/>
          <w:highlight w:val="none"/>
        </w:rPr>
        <w:t>履约保证金</w:t>
      </w:r>
      <w:r>
        <w:rPr>
          <w:color w:val="auto"/>
          <w:highlight w:val="none"/>
        </w:rPr>
        <w:tab/>
      </w:r>
      <w:r>
        <w:rPr>
          <w:color w:val="auto"/>
          <w:highlight w:val="none"/>
        </w:rPr>
        <w:fldChar w:fldCharType="begin"/>
      </w:r>
      <w:r>
        <w:rPr>
          <w:color w:val="auto"/>
          <w:highlight w:val="none"/>
        </w:rPr>
        <w:instrText xml:space="preserve"> PAGEREF _Toc2111 \h </w:instrText>
      </w:r>
      <w:r>
        <w:rPr>
          <w:color w:val="auto"/>
          <w:highlight w:val="none"/>
        </w:rPr>
        <w:fldChar w:fldCharType="separate"/>
      </w:r>
      <w:r>
        <w:rPr>
          <w:color w:val="auto"/>
          <w:highlight w:val="none"/>
        </w:rPr>
        <w:t>39</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_Toc12697 </w:instrText>
      </w:r>
      <w:r>
        <w:rPr>
          <w:color w:val="auto"/>
          <w:szCs w:val="24"/>
          <w:highlight w:val="none"/>
        </w:rPr>
        <w:fldChar w:fldCharType="separate"/>
      </w:r>
      <w:r>
        <w:rPr>
          <w:rFonts w:eastAsia="黑体"/>
          <w:color w:val="auto"/>
          <w:szCs w:val="20"/>
          <w:highlight w:val="none"/>
        </w:rPr>
        <w:t xml:space="preserve">7.7 </w:t>
      </w:r>
      <w:r>
        <w:rPr>
          <w:rFonts w:hint="eastAsia" w:eastAsia="黑体"/>
          <w:color w:val="auto"/>
          <w:szCs w:val="20"/>
          <w:highlight w:val="none"/>
        </w:rPr>
        <w:t>签订合同</w:t>
      </w:r>
      <w:r>
        <w:rPr>
          <w:color w:val="auto"/>
          <w:highlight w:val="none"/>
        </w:rPr>
        <w:tab/>
      </w:r>
      <w:r>
        <w:rPr>
          <w:color w:val="auto"/>
          <w:highlight w:val="none"/>
        </w:rPr>
        <w:fldChar w:fldCharType="begin"/>
      </w:r>
      <w:r>
        <w:rPr>
          <w:color w:val="auto"/>
          <w:highlight w:val="none"/>
        </w:rPr>
        <w:instrText xml:space="preserve"> PAGEREF _Toc12697 \h </w:instrText>
      </w:r>
      <w:r>
        <w:rPr>
          <w:color w:val="auto"/>
          <w:highlight w:val="none"/>
        </w:rPr>
        <w:fldChar w:fldCharType="separate"/>
      </w:r>
      <w:r>
        <w:rPr>
          <w:color w:val="auto"/>
          <w:highlight w:val="none"/>
        </w:rPr>
        <w:t>39</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_Toc30839 </w:instrText>
      </w:r>
      <w:r>
        <w:rPr>
          <w:color w:val="auto"/>
          <w:szCs w:val="24"/>
          <w:highlight w:val="none"/>
        </w:rPr>
        <w:fldChar w:fldCharType="separate"/>
      </w:r>
      <w:r>
        <w:rPr>
          <w:rFonts w:eastAsia="黑体"/>
          <w:color w:val="auto"/>
          <w:kern w:val="0"/>
          <w:szCs w:val="20"/>
          <w:highlight w:val="none"/>
        </w:rPr>
        <w:t>8.纪律和监督</w:t>
      </w:r>
      <w:r>
        <w:rPr>
          <w:color w:val="auto"/>
          <w:highlight w:val="none"/>
        </w:rPr>
        <w:tab/>
      </w:r>
      <w:r>
        <w:rPr>
          <w:color w:val="auto"/>
          <w:highlight w:val="none"/>
        </w:rPr>
        <w:fldChar w:fldCharType="begin"/>
      </w:r>
      <w:r>
        <w:rPr>
          <w:color w:val="auto"/>
          <w:highlight w:val="none"/>
        </w:rPr>
        <w:instrText xml:space="preserve"> PAGEREF _Toc30839 \h </w:instrText>
      </w:r>
      <w:r>
        <w:rPr>
          <w:color w:val="auto"/>
          <w:highlight w:val="none"/>
        </w:rPr>
        <w:fldChar w:fldCharType="separate"/>
      </w:r>
      <w:r>
        <w:rPr>
          <w:color w:val="auto"/>
          <w:highlight w:val="none"/>
        </w:rPr>
        <w:t>39</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_Toc4170 </w:instrText>
      </w:r>
      <w:r>
        <w:rPr>
          <w:color w:val="auto"/>
          <w:szCs w:val="24"/>
          <w:highlight w:val="none"/>
        </w:rPr>
        <w:fldChar w:fldCharType="separate"/>
      </w:r>
      <w:r>
        <w:rPr>
          <w:rFonts w:eastAsia="黑体"/>
          <w:color w:val="auto"/>
          <w:szCs w:val="20"/>
          <w:highlight w:val="none"/>
        </w:rPr>
        <w:t xml:space="preserve">8.1 </w:t>
      </w:r>
      <w:r>
        <w:rPr>
          <w:rFonts w:hint="eastAsia" w:eastAsia="黑体"/>
          <w:color w:val="auto"/>
          <w:szCs w:val="20"/>
          <w:highlight w:val="none"/>
        </w:rPr>
        <w:t>对招标人的纪律要求</w:t>
      </w:r>
      <w:r>
        <w:rPr>
          <w:color w:val="auto"/>
          <w:highlight w:val="none"/>
        </w:rPr>
        <w:tab/>
      </w:r>
      <w:r>
        <w:rPr>
          <w:color w:val="auto"/>
          <w:highlight w:val="none"/>
        </w:rPr>
        <w:fldChar w:fldCharType="begin"/>
      </w:r>
      <w:r>
        <w:rPr>
          <w:color w:val="auto"/>
          <w:highlight w:val="none"/>
        </w:rPr>
        <w:instrText xml:space="preserve"> PAGEREF _Toc4170 \h </w:instrText>
      </w:r>
      <w:r>
        <w:rPr>
          <w:color w:val="auto"/>
          <w:highlight w:val="none"/>
        </w:rPr>
        <w:fldChar w:fldCharType="separate"/>
      </w:r>
      <w:r>
        <w:rPr>
          <w:color w:val="auto"/>
          <w:highlight w:val="none"/>
        </w:rPr>
        <w:t>39</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_Toc13860 </w:instrText>
      </w:r>
      <w:r>
        <w:rPr>
          <w:color w:val="auto"/>
          <w:szCs w:val="24"/>
          <w:highlight w:val="none"/>
        </w:rPr>
        <w:fldChar w:fldCharType="separate"/>
      </w:r>
      <w:r>
        <w:rPr>
          <w:rFonts w:eastAsia="黑体"/>
          <w:color w:val="auto"/>
          <w:szCs w:val="20"/>
          <w:highlight w:val="none"/>
        </w:rPr>
        <w:t xml:space="preserve">8.2 </w:t>
      </w:r>
      <w:r>
        <w:rPr>
          <w:rFonts w:hint="eastAsia" w:eastAsia="黑体"/>
          <w:color w:val="auto"/>
          <w:szCs w:val="20"/>
          <w:highlight w:val="none"/>
        </w:rPr>
        <w:t>对投标人的纪律要求</w:t>
      </w:r>
      <w:r>
        <w:rPr>
          <w:color w:val="auto"/>
          <w:highlight w:val="none"/>
        </w:rPr>
        <w:tab/>
      </w:r>
      <w:r>
        <w:rPr>
          <w:color w:val="auto"/>
          <w:highlight w:val="none"/>
        </w:rPr>
        <w:fldChar w:fldCharType="begin"/>
      </w:r>
      <w:r>
        <w:rPr>
          <w:color w:val="auto"/>
          <w:highlight w:val="none"/>
        </w:rPr>
        <w:instrText xml:space="preserve"> PAGEREF _Toc13860 \h </w:instrText>
      </w:r>
      <w:r>
        <w:rPr>
          <w:color w:val="auto"/>
          <w:highlight w:val="none"/>
        </w:rPr>
        <w:fldChar w:fldCharType="separate"/>
      </w:r>
      <w:r>
        <w:rPr>
          <w:color w:val="auto"/>
          <w:highlight w:val="none"/>
        </w:rPr>
        <w:t>40</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_Toc15339 </w:instrText>
      </w:r>
      <w:r>
        <w:rPr>
          <w:color w:val="auto"/>
          <w:szCs w:val="24"/>
          <w:highlight w:val="none"/>
        </w:rPr>
        <w:fldChar w:fldCharType="separate"/>
      </w:r>
      <w:r>
        <w:rPr>
          <w:rFonts w:eastAsia="黑体"/>
          <w:color w:val="auto"/>
          <w:szCs w:val="20"/>
          <w:highlight w:val="none"/>
        </w:rPr>
        <w:t xml:space="preserve">8.3 </w:t>
      </w:r>
      <w:r>
        <w:rPr>
          <w:rFonts w:hint="eastAsia" w:eastAsia="黑体"/>
          <w:color w:val="auto"/>
          <w:szCs w:val="20"/>
          <w:highlight w:val="none"/>
        </w:rPr>
        <w:t>对评标委员会成员的纪律要求</w:t>
      </w:r>
      <w:r>
        <w:rPr>
          <w:color w:val="auto"/>
          <w:highlight w:val="none"/>
        </w:rPr>
        <w:tab/>
      </w:r>
      <w:r>
        <w:rPr>
          <w:color w:val="auto"/>
          <w:highlight w:val="none"/>
        </w:rPr>
        <w:fldChar w:fldCharType="begin"/>
      </w:r>
      <w:r>
        <w:rPr>
          <w:color w:val="auto"/>
          <w:highlight w:val="none"/>
        </w:rPr>
        <w:instrText xml:space="preserve"> PAGEREF _Toc15339 \h </w:instrText>
      </w:r>
      <w:r>
        <w:rPr>
          <w:color w:val="auto"/>
          <w:highlight w:val="none"/>
        </w:rPr>
        <w:fldChar w:fldCharType="separate"/>
      </w:r>
      <w:r>
        <w:rPr>
          <w:color w:val="auto"/>
          <w:highlight w:val="none"/>
        </w:rPr>
        <w:t>40</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_Toc18929 </w:instrText>
      </w:r>
      <w:r>
        <w:rPr>
          <w:color w:val="auto"/>
          <w:szCs w:val="24"/>
          <w:highlight w:val="none"/>
        </w:rPr>
        <w:fldChar w:fldCharType="separate"/>
      </w:r>
      <w:r>
        <w:rPr>
          <w:rFonts w:eastAsia="黑体"/>
          <w:color w:val="auto"/>
          <w:szCs w:val="20"/>
          <w:highlight w:val="none"/>
        </w:rPr>
        <w:t xml:space="preserve">8.4 </w:t>
      </w:r>
      <w:r>
        <w:rPr>
          <w:rFonts w:hint="eastAsia" w:eastAsia="黑体"/>
          <w:color w:val="auto"/>
          <w:szCs w:val="20"/>
          <w:highlight w:val="none"/>
        </w:rPr>
        <w:t>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_Toc18929 \h </w:instrText>
      </w:r>
      <w:r>
        <w:rPr>
          <w:color w:val="auto"/>
          <w:highlight w:val="none"/>
        </w:rPr>
        <w:fldChar w:fldCharType="separate"/>
      </w:r>
      <w:r>
        <w:rPr>
          <w:color w:val="auto"/>
          <w:highlight w:val="none"/>
        </w:rPr>
        <w:t>40</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_Toc1343 </w:instrText>
      </w:r>
      <w:r>
        <w:rPr>
          <w:color w:val="auto"/>
          <w:szCs w:val="24"/>
          <w:highlight w:val="none"/>
        </w:rPr>
        <w:fldChar w:fldCharType="separate"/>
      </w:r>
      <w:r>
        <w:rPr>
          <w:rFonts w:eastAsia="黑体"/>
          <w:color w:val="auto"/>
          <w:szCs w:val="20"/>
          <w:highlight w:val="none"/>
        </w:rPr>
        <w:t xml:space="preserve">8.5 </w:t>
      </w:r>
      <w:r>
        <w:rPr>
          <w:rFonts w:hint="eastAsia" w:eastAsia="黑体"/>
          <w:color w:val="auto"/>
          <w:szCs w:val="20"/>
          <w:highlight w:val="none"/>
        </w:rPr>
        <w:t>投诉</w:t>
      </w:r>
      <w:r>
        <w:rPr>
          <w:color w:val="auto"/>
          <w:highlight w:val="none"/>
        </w:rPr>
        <w:tab/>
      </w:r>
      <w:r>
        <w:rPr>
          <w:color w:val="auto"/>
          <w:highlight w:val="none"/>
        </w:rPr>
        <w:fldChar w:fldCharType="begin"/>
      </w:r>
      <w:r>
        <w:rPr>
          <w:color w:val="auto"/>
          <w:highlight w:val="none"/>
        </w:rPr>
        <w:instrText xml:space="preserve"> PAGEREF _Toc1343 \h </w:instrText>
      </w:r>
      <w:r>
        <w:rPr>
          <w:color w:val="auto"/>
          <w:highlight w:val="none"/>
        </w:rPr>
        <w:fldChar w:fldCharType="separate"/>
      </w:r>
      <w:r>
        <w:rPr>
          <w:color w:val="auto"/>
          <w:highlight w:val="none"/>
        </w:rPr>
        <w:t>40</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_Toc6369 </w:instrText>
      </w:r>
      <w:r>
        <w:rPr>
          <w:color w:val="auto"/>
          <w:szCs w:val="24"/>
          <w:highlight w:val="none"/>
        </w:rPr>
        <w:fldChar w:fldCharType="separate"/>
      </w:r>
      <w:r>
        <w:rPr>
          <w:rFonts w:eastAsia="黑体"/>
          <w:color w:val="auto"/>
          <w:kern w:val="0"/>
          <w:szCs w:val="20"/>
          <w:highlight w:val="none"/>
        </w:rPr>
        <w:t xml:space="preserve">9. </w:t>
      </w:r>
      <w:r>
        <w:rPr>
          <w:rFonts w:hint="eastAsia" w:eastAsia="黑体"/>
          <w:color w:val="auto"/>
          <w:kern w:val="0"/>
          <w:szCs w:val="20"/>
          <w:highlight w:val="none"/>
        </w:rPr>
        <w:t>是否采用电子招标投标</w:t>
      </w:r>
      <w:r>
        <w:rPr>
          <w:color w:val="auto"/>
          <w:highlight w:val="none"/>
        </w:rPr>
        <w:tab/>
      </w:r>
      <w:r>
        <w:rPr>
          <w:color w:val="auto"/>
          <w:highlight w:val="none"/>
        </w:rPr>
        <w:fldChar w:fldCharType="begin"/>
      </w:r>
      <w:r>
        <w:rPr>
          <w:color w:val="auto"/>
          <w:highlight w:val="none"/>
        </w:rPr>
        <w:instrText xml:space="preserve"> PAGEREF _Toc6369 \h </w:instrText>
      </w:r>
      <w:r>
        <w:rPr>
          <w:color w:val="auto"/>
          <w:highlight w:val="none"/>
        </w:rPr>
        <w:fldChar w:fldCharType="separate"/>
      </w:r>
      <w:r>
        <w:rPr>
          <w:color w:val="auto"/>
          <w:highlight w:val="none"/>
        </w:rPr>
        <w:t>40</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_Toc27721 </w:instrText>
      </w:r>
      <w:r>
        <w:rPr>
          <w:color w:val="auto"/>
          <w:szCs w:val="24"/>
          <w:highlight w:val="none"/>
        </w:rPr>
        <w:fldChar w:fldCharType="separate"/>
      </w:r>
      <w:r>
        <w:rPr>
          <w:rFonts w:eastAsia="黑体"/>
          <w:color w:val="auto"/>
          <w:kern w:val="0"/>
          <w:szCs w:val="20"/>
          <w:highlight w:val="none"/>
        </w:rPr>
        <w:t xml:space="preserve">10. </w:t>
      </w:r>
      <w:r>
        <w:rPr>
          <w:rFonts w:hint="eastAsia" w:eastAsia="黑体"/>
          <w:color w:val="auto"/>
          <w:kern w:val="0"/>
          <w:szCs w:val="20"/>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_Toc27721 \h </w:instrText>
      </w:r>
      <w:r>
        <w:rPr>
          <w:color w:val="auto"/>
          <w:highlight w:val="none"/>
        </w:rPr>
        <w:fldChar w:fldCharType="separate"/>
      </w:r>
      <w:r>
        <w:rPr>
          <w:color w:val="auto"/>
          <w:highlight w:val="none"/>
        </w:rPr>
        <w:t>40</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_Toc27220 </w:instrText>
      </w:r>
      <w:r>
        <w:rPr>
          <w:color w:val="auto"/>
          <w:szCs w:val="24"/>
          <w:highlight w:val="none"/>
        </w:rPr>
        <w:fldChar w:fldCharType="separate"/>
      </w:r>
      <w:r>
        <w:rPr>
          <w:rFonts w:hint="eastAsia" w:eastAsia="黑体"/>
          <w:color w:val="auto"/>
          <w:szCs w:val="20"/>
          <w:highlight w:val="none"/>
        </w:rPr>
        <w:t>附件一：开标记录表</w:t>
      </w:r>
      <w:r>
        <w:rPr>
          <w:color w:val="auto"/>
          <w:highlight w:val="none"/>
        </w:rPr>
        <w:tab/>
      </w:r>
      <w:r>
        <w:rPr>
          <w:color w:val="auto"/>
          <w:highlight w:val="none"/>
        </w:rPr>
        <w:fldChar w:fldCharType="begin"/>
      </w:r>
      <w:r>
        <w:rPr>
          <w:color w:val="auto"/>
          <w:highlight w:val="none"/>
        </w:rPr>
        <w:instrText xml:space="preserve"> PAGEREF _Toc27220 \h </w:instrText>
      </w:r>
      <w:r>
        <w:rPr>
          <w:color w:val="auto"/>
          <w:highlight w:val="none"/>
        </w:rPr>
        <w:fldChar w:fldCharType="separate"/>
      </w:r>
      <w:r>
        <w:rPr>
          <w:color w:val="auto"/>
          <w:highlight w:val="none"/>
        </w:rPr>
        <w:t>41</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_Toc24028 </w:instrText>
      </w:r>
      <w:r>
        <w:rPr>
          <w:color w:val="auto"/>
          <w:szCs w:val="24"/>
          <w:highlight w:val="none"/>
        </w:rPr>
        <w:fldChar w:fldCharType="separate"/>
      </w:r>
      <w:r>
        <w:rPr>
          <w:rFonts w:hint="eastAsia" w:eastAsia="黑体"/>
          <w:color w:val="auto"/>
          <w:szCs w:val="20"/>
          <w:highlight w:val="none"/>
        </w:rPr>
        <w:t>附件二：问题澄清通知</w:t>
      </w:r>
      <w:r>
        <w:rPr>
          <w:color w:val="auto"/>
          <w:highlight w:val="none"/>
        </w:rPr>
        <w:tab/>
      </w:r>
      <w:r>
        <w:rPr>
          <w:color w:val="auto"/>
          <w:highlight w:val="none"/>
        </w:rPr>
        <w:fldChar w:fldCharType="begin"/>
      </w:r>
      <w:r>
        <w:rPr>
          <w:color w:val="auto"/>
          <w:highlight w:val="none"/>
        </w:rPr>
        <w:instrText xml:space="preserve"> PAGEREF _Toc24028 \h </w:instrText>
      </w:r>
      <w:r>
        <w:rPr>
          <w:color w:val="auto"/>
          <w:highlight w:val="none"/>
        </w:rPr>
        <w:fldChar w:fldCharType="separate"/>
      </w:r>
      <w:r>
        <w:rPr>
          <w:color w:val="auto"/>
          <w:highlight w:val="none"/>
        </w:rPr>
        <w:t>41</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_Toc30462 </w:instrText>
      </w:r>
      <w:r>
        <w:rPr>
          <w:color w:val="auto"/>
          <w:szCs w:val="24"/>
          <w:highlight w:val="none"/>
        </w:rPr>
        <w:fldChar w:fldCharType="separate"/>
      </w:r>
      <w:r>
        <w:rPr>
          <w:rFonts w:hint="eastAsia" w:eastAsia="黑体"/>
          <w:color w:val="auto"/>
          <w:szCs w:val="20"/>
          <w:highlight w:val="none"/>
        </w:rPr>
        <w:t>附件三：问题的澄清</w:t>
      </w:r>
      <w:r>
        <w:rPr>
          <w:color w:val="auto"/>
          <w:highlight w:val="none"/>
        </w:rPr>
        <w:tab/>
      </w:r>
      <w:r>
        <w:rPr>
          <w:color w:val="auto"/>
          <w:highlight w:val="none"/>
        </w:rPr>
        <w:fldChar w:fldCharType="begin"/>
      </w:r>
      <w:r>
        <w:rPr>
          <w:color w:val="auto"/>
          <w:highlight w:val="none"/>
        </w:rPr>
        <w:instrText xml:space="preserve"> PAGEREF _Toc30462 \h </w:instrText>
      </w:r>
      <w:r>
        <w:rPr>
          <w:color w:val="auto"/>
          <w:highlight w:val="none"/>
        </w:rPr>
        <w:fldChar w:fldCharType="separate"/>
      </w:r>
      <w:r>
        <w:rPr>
          <w:color w:val="auto"/>
          <w:highlight w:val="none"/>
        </w:rPr>
        <w:t>41</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_Toc23130 </w:instrText>
      </w:r>
      <w:r>
        <w:rPr>
          <w:color w:val="auto"/>
          <w:szCs w:val="24"/>
          <w:highlight w:val="none"/>
        </w:rPr>
        <w:fldChar w:fldCharType="separate"/>
      </w:r>
      <w:r>
        <w:rPr>
          <w:rFonts w:hint="eastAsia" w:eastAsia="黑体"/>
          <w:color w:val="auto"/>
          <w:szCs w:val="20"/>
          <w:highlight w:val="none"/>
        </w:rPr>
        <w:t>附件四：中标通知书</w:t>
      </w:r>
      <w:r>
        <w:rPr>
          <w:color w:val="auto"/>
          <w:highlight w:val="none"/>
        </w:rPr>
        <w:tab/>
      </w:r>
      <w:r>
        <w:rPr>
          <w:color w:val="auto"/>
          <w:highlight w:val="none"/>
        </w:rPr>
        <w:fldChar w:fldCharType="begin"/>
      </w:r>
      <w:r>
        <w:rPr>
          <w:color w:val="auto"/>
          <w:highlight w:val="none"/>
        </w:rPr>
        <w:instrText xml:space="preserve"> PAGEREF _Toc23130 \h </w:instrText>
      </w:r>
      <w:r>
        <w:rPr>
          <w:color w:val="auto"/>
          <w:highlight w:val="none"/>
        </w:rPr>
        <w:fldChar w:fldCharType="separate"/>
      </w:r>
      <w:r>
        <w:rPr>
          <w:color w:val="auto"/>
          <w:highlight w:val="none"/>
        </w:rPr>
        <w:t>41</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_Toc17966 </w:instrText>
      </w:r>
      <w:r>
        <w:rPr>
          <w:color w:val="auto"/>
          <w:szCs w:val="24"/>
          <w:highlight w:val="none"/>
        </w:rPr>
        <w:fldChar w:fldCharType="separate"/>
      </w:r>
      <w:r>
        <w:rPr>
          <w:rFonts w:hint="eastAsia" w:eastAsia="黑体"/>
          <w:color w:val="auto"/>
          <w:szCs w:val="20"/>
          <w:highlight w:val="none"/>
        </w:rPr>
        <w:t>附件五：中标结果通知书</w:t>
      </w:r>
      <w:r>
        <w:rPr>
          <w:color w:val="auto"/>
          <w:highlight w:val="none"/>
        </w:rPr>
        <w:tab/>
      </w:r>
      <w:r>
        <w:rPr>
          <w:color w:val="auto"/>
          <w:highlight w:val="none"/>
        </w:rPr>
        <w:fldChar w:fldCharType="begin"/>
      </w:r>
      <w:r>
        <w:rPr>
          <w:color w:val="auto"/>
          <w:highlight w:val="none"/>
        </w:rPr>
        <w:instrText xml:space="preserve"> PAGEREF _Toc17966 \h </w:instrText>
      </w:r>
      <w:r>
        <w:rPr>
          <w:color w:val="auto"/>
          <w:highlight w:val="none"/>
        </w:rPr>
        <w:fldChar w:fldCharType="separate"/>
      </w:r>
      <w:r>
        <w:rPr>
          <w:color w:val="auto"/>
          <w:highlight w:val="none"/>
        </w:rPr>
        <w:t>41</w:t>
      </w:r>
      <w:r>
        <w:rPr>
          <w:color w:val="auto"/>
          <w:highlight w:val="none"/>
        </w:rPr>
        <w:fldChar w:fldCharType="end"/>
      </w:r>
      <w:r>
        <w:rPr>
          <w:color w:val="auto"/>
          <w:szCs w:val="24"/>
          <w:highlight w:val="none"/>
        </w:rPr>
        <w:fldChar w:fldCharType="end"/>
      </w:r>
    </w:p>
    <w:p>
      <w:pPr>
        <w:pStyle w:val="28"/>
        <w:tabs>
          <w:tab w:val="right" w:leader="dot" w:pos="9639"/>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_Toc6762 </w:instrText>
      </w:r>
      <w:r>
        <w:rPr>
          <w:color w:val="auto"/>
          <w:szCs w:val="24"/>
          <w:highlight w:val="none"/>
        </w:rPr>
        <w:fldChar w:fldCharType="separate"/>
      </w:r>
      <w:r>
        <w:rPr>
          <w:rFonts w:hint="eastAsia" w:eastAsia="黑体"/>
          <w:color w:val="auto"/>
          <w:kern w:val="24"/>
          <w:szCs w:val="20"/>
          <w:highlight w:val="none"/>
        </w:rPr>
        <w:t>第三章评标办法（综合评估法）</w:t>
      </w:r>
      <w:r>
        <w:rPr>
          <w:color w:val="auto"/>
          <w:highlight w:val="none"/>
        </w:rPr>
        <w:tab/>
      </w:r>
      <w:r>
        <w:rPr>
          <w:color w:val="auto"/>
          <w:highlight w:val="none"/>
        </w:rPr>
        <w:fldChar w:fldCharType="begin"/>
      </w:r>
      <w:r>
        <w:rPr>
          <w:color w:val="auto"/>
          <w:highlight w:val="none"/>
        </w:rPr>
        <w:instrText xml:space="preserve"> PAGEREF _Toc6762 \h </w:instrText>
      </w:r>
      <w:r>
        <w:rPr>
          <w:color w:val="auto"/>
          <w:highlight w:val="none"/>
        </w:rPr>
        <w:fldChar w:fldCharType="separate"/>
      </w:r>
      <w:r>
        <w:rPr>
          <w:color w:val="auto"/>
          <w:highlight w:val="none"/>
        </w:rPr>
        <w:t>42</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_Toc2619 </w:instrText>
      </w:r>
      <w:r>
        <w:rPr>
          <w:color w:val="auto"/>
          <w:szCs w:val="24"/>
          <w:highlight w:val="none"/>
        </w:rPr>
        <w:fldChar w:fldCharType="separate"/>
      </w:r>
      <w:r>
        <w:rPr>
          <w:rFonts w:eastAsia="黑体"/>
          <w:color w:val="auto"/>
          <w:kern w:val="0"/>
          <w:szCs w:val="20"/>
          <w:highlight w:val="none"/>
        </w:rPr>
        <w:t xml:space="preserve">1. </w:t>
      </w:r>
      <w:r>
        <w:rPr>
          <w:rFonts w:hint="eastAsia" w:eastAsia="黑体"/>
          <w:color w:val="auto"/>
          <w:kern w:val="0"/>
          <w:szCs w:val="20"/>
          <w:highlight w:val="none"/>
        </w:rPr>
        <w:t>评标方法</w:t>
      </w:r>
      <w:r>
        <w:rPr>
          <w:color w:val="auto"/>
          <w:highlight w:val="none"/>
        </w:rPr>
        <w:tab/>
      </w:r>
      <w:r>
        <w:rPr>
          <w:color w:val="auto"/>
          <w:highlight w:val="none"/>
        </w:rPr>
        <w:fldChar w:fldCharType="begin"/>
      </w:r>
      <w:r>
        <w:rPr>
          <w:color w:val="auto"/>
          <w:highlight w:val="none"/>
        </w:rPr>
        <w:instrText xml:space="preserve"> PAGEREF _Toc2619 \h </w:instrText>
      </w:r>
      <w:r>
        <w:rPr>
          <w:color w:val="auto"/>
          <w:highlight w:val="none"/>
        </w:rPr>
        <w:fldChar w:fldCharType="separate"/>
      </w:r>
      <w:r>
        <w:rPr>
          <w:color w:val="auto"/>
          <w:highlight w:val="none"/>
        </w:rPr>
        <w:t>49</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_Toc6700 </w:instrText>
      </w:r>
      <w:r>
        <w:rPr>
          <w:color w:val="auto"/>
          <w:szCs w:val="24"/>
          <w:highlight w:val="none"/>
        </w:rPr>
        <w:fldChar w:fldCharType="separate"/>
      </w:r>
      <w:r>
        <w:rPr>
          <w:rFonts w:eastAsia="黑体"/>
          <w:color w:val="auto"/>
          <w:kern w:val="0"/>
          <w:szCs w:val="20"/>
          <w:highlight w:val="none"/>
        </w:rPr>
        <w:t xml:space="preserve">2. </w:t>
      </w:r>
      <w:r>
        <w:rPr>
          <w:rFonts w:hint="eastAsia" w:eastAsia="黑体"/>
          <w:color w:val="auto"/>
          <w:kern w:val="0"/>
          <w:szCs w:val="20"/>
          <w:highlight w:val="none"/>
        </w:rPr>
        <w:t>评审标准</w:t>
      </w:r>
      <w:r>
        <w:rPr>
          <w:color w:val="auto"/>
          <w:highlight w:val="none"/>
        </w:rPr>
        <w:tab/>
      </w:r>
      <w:r>
        <w:rPr>
          <w:color w:val="auto"/>
          <w:highlight w:val="none"/>
        </w:rPr>
        <w:fldChar w:fldCharType="begin"/>
      </w:r>
      <w:r>
        <w:rPr>
          <w:color w:val="auto"/>
          <w:highlight w:val="none"/>
        </w:rPr>
        <w:instrText xml:space="preserve"> PAGEREF _Toc6700 \h </w:instrText>
      </w:r>
      <w:r>
        <w:rPr>
          <w:color w:val="auto"/>
          <w:highlight w:val="none"/>
        </w:rPr>
        <w:fldChar w:fldCharType="separate"/>
      </w:r>
      <w:r>
        <w:rPr>
          <w:color w:val="auto"/>
          <w:highlight w:val="none"/>
        </w:rPr>
        <w:t>49</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_Toc7521 </w:instrText>
      </w:r>
      <w:r>
        <w:rPr>
          <w:color w:val="auto"/>
          <w:szCs w:val="24"/>
          <w:highlight w:val="none"/>
        </w:rPr>
        <w:fldChar w:fldCharType="separate"/>
      </w:r>
      <w:r>
        <w:rPr>
          <w:rFonts w:ascii="黑体" w:eastAsia="黑体"/>
          <w:color w:val="auto"/>
          <w:szCs w:val="20"/>
          <w:highlight w:val="none"/>
        </w:rPr>
        <w:t xml:space="preserve">2.1 </w:t>
      </w:r>
      <w:r>
        <w:rPr>
          <w:rFonts w:hint="eastAsia" w:ascii="黑体" w:eastAsia="黑体"/>
          <w:color w:val="auto"/>
          <w:szCs w:val="20"/>
          <w:highlight w:val="none"/>
        </w:rPr>
        <w:t>初步评审标准</w:t>
      </w:r>
      <w:r>
        <w:rPr>
          <w:color w:val="auto"/>
          <w:highlight w:val="none"/>
        </w:rPr>
        <w:tab/>
      </w:r>
      <w:r>
        <w:rPr>
          <w:color w:val="auto"/>
          <w:highlight w:val="none"/>
        </w:rPr>
        <w:fldChar w:fldCharType="begin"/>
      </w:r>
      <w:r>
        <w:rPr>
          <w:color w:val="auto"/>
          <w:highlight w:val="none"/>
        </w:rPr>
        <w:instrText xml:space="preserve"> PAGEREF _Toc7521 \h </w:instrText>
      </w:r>
      <w:r>
        <w:rPr>
          <w:color w:val="auto"/>
          <w:highlight w:val="none"/>
        </w:rPr>
        <w:fldChar w:fldCharType="separate"/>
      </w:r>
      <w:r>
        <w:rPr>
          <w:color w:val="auto"/>
          <w:highlight w:val="none"/>
        </w:rPr>
        <w:t>49</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_Toc18200 </w:instrText>
      </w:r>
      <w:r>
        <w:rPr>
          <w:color w:val="auto"/>
          <w:szCs w:val="24"/>
          <w:highlight w:val="none"/>
        </w:rPr>
        <w:fldChar w:fldCharType="separate"/>
      </w:r>
      <w:r>
        <w:rPr>
          <w:rFonts w:ascii="黑体" w:eastAsia="黑体"/>
          <w:color w:val="auto"/>
          <w:szCs w:val="20"/>
          <w:highlight w:val="none"/>
        </w:rPr>
        <w:t xml:space="preserve">2.2 </w:t>
      </w:r>
      <w:r>
        <w:rPr>
          <w:rFonts w:hint="eastAsia" w:ascii="黑体" w:eastAsia="黑体"/>
          <w:color w:val="auto"/>
          <w:szCs w:val="20"/>
          <w:highlight w:val="none"/>
        </w:rPr>
        <w:t>分值构成与评分标准</w:t>
      </w:r>
      <w:r>
        <w:rPr>
          <w:color w:val="auto"/>
          <w:highlight w:val="none"/>
        </w:rPr>
        <w:tab/>
      </w:r>
      <w:r>
        <w:rPr>
          <w:color w:val="auto"/>
          <w:highlight w:val="none"/>
        </w:rPr>
        <w:fldChar w:fldCharType="begin"/>
      </w:r>
      <w:r>
        <w:rPr>
          <w:color w:val="auto"/>
          <w:highlight w:val="none"/>
        </w:rPr>
        <w:instrText xml:space="preserve"> PAGEREF _Toc18200 \h </w:instrText>
      </w:r>
      <w:r>
        <w:rPr>
          <w:color w:val="auto"/>
          <w:highlight w:val="none"/>
        </w:rPr>
        <w:fldChar w:fldCharType="separate"/>
      </w:r>
      <w:r>
        <w:rPr>
          <w:color w:val="auto"/>
          <w:highlight w:val="none"/>
        </w:rPr>
        <w:t>49</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_Toc11772 </w:instrText>
      </w:r>
      <w:r>
        <w:rPr>
          <w:color w:val="auto"/>
          <w:szCs w:val="24"/>
          <w:highlight w:val="none"/>
        </w:rPr>
        <w:fldChar w:fldCharType="separate"/>
      </w:r>
      <w:r>
        <w:rPr>
          <w:rFonts w:eastAsia="黑体"/>
          <w:color w:val="auto"/>
          <w:kern w:val="0"/>
          <w:szCs w:val="20"/>
          <w:highlight w:val="none"/>
        </w:rPr>
        <w:t xml:space="preserve">3. </w:t>
      </w:r>
      <w:r>
        <w:rPr>
          <w:rFonts w:hint="eastAsia" w:eastAsia="黑体"/>
          <w:color w:val="auto"/>
          <w:kern w:val="0"/>
          <w:szCs w:val="20"/>
          <w:highlight w:val="none"/>
        </w:rPr>
        <w:t>评标程序</w:t>
      </w:r>
      <w:r>
        <w:rPr>
          <w:color w:val="auto"/>
          <w:highlight w:val="none"/>
        </w:rPr>
        <w:tab/>
      </w:r>
      <w:r>
        <w:rPr>
          <w:color w:val="auto"/>
          <w:highlight w:val="none"/>
        </w:rPr>
        <w:fldChar w:fldCharType="begin"/>
      </w:r>
      <w:r>
        <w:rPr>
          <w:color w:val="auto"/>
          <w:highlight w:val="none"/>
        </w:rPr>
        <w:instrText xml:space="preserve"> PAGEREF _Toc11772 \h </w:instrText>
      </w:r>
      <w:r>
        <w:rPr>
          <w:color w:val="auto"/>
          <w:highlight w:val="none"/>
        </w:rPr>
        <w:fldChar w:fldCharType="separate"/>
      </w:r>
      <w:r>
        <w:rPr>
          <w:color w:val="auto"/>
          <w:highlight w:val="none"/>
        </w:rPr>
        <w:t>49</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_Toc10821 </w:instrText>
      </w:r>
      <w:r>
        <w:rPr>
          <w:color w:val="auto"/>
          <w:szCs w:val="24"/>
          <w:highlight w:val="none"/>
        </w:rPr>
        <w:fldChar w:fldCharType="separate"/>
      </w:r>
      <w:r>
        <w:rPr>
          <w:rFonts w:ascii="黑体" w:eastAsia="黑体"/>
          <w:color w:val="auto"/>
          <w:szCs w:val="20"/>
          <w:highlight w:val="none"/>
        </w:rPr>
        <w:t xml:space="preserve">3.1 </w:t>
      </w:r>
      <w:r>
        <w:rPr>
          <w:rFonts w:hint="eastAsia" w:ascii="黑体" w:eastAsia="黑体"/>
          <w:color w:val="auto"/>
          <w:szCs w:val="20"/>
          <w:highlight w:val="none"/>
        </w:rPr>
        <w:t>初步评审</w:t>
      </w:r>
      <w:r>
        <w:rPr>
          <w:color w:val="auto"/>
          <w:highlight w:val="none"/>
        </w:rPr>
        <w:tab/>
      </w:r>
      <w:r>
        <w:rPr>
          <w:color w:val="auto"/>
          <w:highlight w:val="none"/>
        </w:rPr>
        <w:fldChar w:fldCharType="begin"/>
      </w:r>
      <w:r>
        <w:rPr>
          <w:color w:val="auto"/>
          <w:highlight w:val="none"/>
        </w:rPr>
        <w:instrText xml:space="preserve"> PAGEREF _Toc10821 \h </w:instrText>
      </w:r>
      <w:r>
        <w:rPr>
          <w:color w:val="auto"/>
          <w:highlight w:val="none"/>
        </w:rPr>
        <w:fldChar w:fldCharType="separate"/>
      </w:r>
      <w:r>
        <w:rPr>
          <w:color w:val="auto"/>
          <w:highlight w:val="none"/>
        </w:rPr>
        <w:t>49</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_Toc12715 </w:instrText>
      </w:r>
      <w:r>
        <w:rPr>
          <w:color w:val="auto"/>
          <w:szCs w:val="24"/>
          <w:highlight w:val="none"/>
        </w:rPr>
        <w:fldChar w:fldCharType="separate"/>
      </w:r>
      <w:r>
        <w:rPr>
          <w:rFonts w:ascii="黑体" w:eastAsia="黑体"/>
          <w:color w:val="auto"/>
          <w:szCs w:val="20"/>
          <w:highlight w:val="none"/>
        </w:rPr>
        <w:t xml:space="preserve">3.2 </w:t>
      </w:r>
      <w:r>
        <w:rPr>
          <w:rFonts w:hint="eastAsia" w:ascii="黑体" w:eastAsia="黑体"/>
          <w:color w:val="auto"/>
          <w:szCs w:val="20"/>
          <w:highlight w:val="none"/>
        </w:rPr>
        <w:t>详细评审</w:t>
      </w:r>
      <w:r>
        <w:rPr>
          <w:color w:val="auto"/>
          <w:highlight w:val="none"/>
        </w:rPr>
        <w:tab/>
      </w:r>
      <w:r>
        <w:rPr>
          <w:color w:val="auto"/>
          <w:highlight w:val="none"/>
        </w:rPr>
        <w:fldChar w:fldCharType="begin"/>
      </w:r>
      <w:r>
        <w:rPr>
          <w:color w:val="auto"/>
          <w:highlight w:val="none"/>
        </w:rPr>
        <w:instrText xml:space="preserve"> PAGEREF _Toc12715 \h </w:instrText>
      </w:r>
      <w:r>
        <w:rPr>
          <w:color w:val="auto"/>
          <w:highlight w:val="none"/>
        </w:rPr>
        <w:fldChar w:fldCharType="separate"/>
      </w:r>
      <w:r>
        <w:rPr>
          <w:color w:val="auto"/>
          <w:highlight w:val="none"/>
        </w:rPr>
        <w:t>50</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_Toc22617 </w:instrText>
      </w:r>
      <w:r>
        <w:rPr>
          <w:color w:val="auto"/>
          <w:szCs w:val="24"/>
          <w:highlight w:val="none"/>
        </w:rPr>
        <w:fldChar w:fldCharType="separate"/>
      </w:r>
      <w:r>
        <w:rPr>
          <w:rFonts w:ascii="黑体" w:eastAsia="黑体"/>
          <w:color w:val="auto"/>
          <w:szCs w:val="20"/>
          <w:highlight w:val="none"/>
        </w:rPr>
        <w:t xml:space="preserve">3.3 </w:t>
      </w:r>
      <w:r>
        <w:rPr>
          <w:rFonts w:hint="eastAsia" w:ascii="黑体" w:eastAsia="黑体"/>
          <w:color w:val="auto"/>
          <w:szCs w:val="20"/>
          <w:highlight w:val="none"/>
        </w:rPr>
        <w:t>投标文件的澄清</w:t>
      </w:r>
      <w:r>
        <w:rPr>
          <w:color w:val="auto"/>
          <w:highlight w:val="none"/>
        </w:rPr>
        <w:tab/>
      </w:r>
      <w:r>
        <w:rPr>
          <w:color w:val="auto"/>
          <w:highlight w:val="none"/>
        </w:rPr>
        <w:fldChar w:fldCharType="begin"/>
      </w:r>
      <w:r>
        <w:rPr>
          <w:color w:val="auto"/>
          <w:highlight w:val="none"/>
        </w:rPr>
        <w:instrText xml:space="preserve"> PAGEREF _Toc22617 \h </w:instrText>
      </w:r>
      <w:r>
        <w:rPr>
          <w:color w:val="auto"/>
          <w:highlight w:val="none"/>
        </w:rPr>
        <w:fldChar w:fldCharType="separate"/>
      </w:r>
      <w:r>
        <w:rPr>
          <w:color w:val="auto"/>
          <w:highlight w:val="none"/>
        </w:rPr>
        <w:t>50</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_Toc15168 </w:instrText>
      </w:r>
      <w:r>
        <w:rPr>
          <w:color w:val="auto"/>
          <w:szCs w:val="24"/>
          <w:highlight w:val="none"/>
        </w:rPr>
        <w:fldChar w:fldCharType="separate"/>
      </w:r>
      <w:r>
        <w:rPr>
          <w:rFonts w:ascii="黑体" w:eastAsia="黑体"/>
          <w:color w:val="auto"/>
          <w:szCs w:val="20"/>
          <w:highlight w:val="none"/>
        </w:rPr>
        <w:t xml:space="preserve">3.4 </w:t>
      </w:r>
      <w:r>
        <w:rPr>
          <w:rFonts w:hint="eastAsia" w:ascii="黑体" w:eastAsia="黑体"/>
          <w:color w:val="auto"/>
          <w:szCs w:val="20"/>
          <w:highlight w:val="none"/>
        </w:rPr>
        <w:t>评标结果</w:t>
      </w:r>
      <w:r>
        <w:rPr>
          <w:color w:val="auto"/>
          <w:highlight w:val="none"/>
        </w:rPr>
        <w:tab/>
      </w:r>
      <w:r>
        <w:rPr>
          <w:color w:val="auto"/>
          <w:highlight w:val="none"/>
        </w:rPr>
        <w:fldChar w:fldCharType="begin"/>
      </w:r>
      <w:r>
        <w:rPr>
          <w:color w:val="auto"/>
          <w:highlight w:val="none"/>
        </w:rPr>
        <w:instrText xml:space="preserve"> PAGEREF _Toc15168 \h </w:instrText>
      </w:r>
      <w:r>
        <w:rPr>
          <w:color w:val="auto"/>
          <w:highlight w:val="none"/>
        </w:rPr>
        <w:fldChar w:fldCharType="separate"/>
      </w:r>
      <w:r>
        <w:rPr>
          <w:color w:val="auto"/>
          <w:highlight w:val="none"/>
        </w:rPr>
        <w:t>50</w:t>
      </w:r>
      <w:r>
        <w:rPr>
          <w:color w:val="auto"/>
          <w:highlight w:val="none"/>
        </w:rPr>
        <w:fldChar w:fldCharType="end"/>
      </w:r>
      <w:r>
        <w:rPr>
          <w:color w:val="auto"/>
          <w:szCs w:val="24"/>
          <w:highlight w:val="none"/>
        </w:rPr>
        <w:fldChar w:fldCharType="end"/>
      </w:r>
    </w:p>
    <w:p>
      <w:pPr>
        <w:pStyle w:val="28"/>
        <w:tabs>
          <w:tab w:val="right" w:leader="dot" w:pos="9639"/>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_Toc27843 </w:instrText>
      </w:r>
      <w:r>
        <w:rPr>
          <w:color w:val="auto"/>
          <w:szCs w:val="24"/>
          <w:highlight w:val="none"/>
        </w:rPr>
        <w:fldChar w:fldCharType="separate"/>
      </w:r>
      <w:r>
        <w:rPr>
          <w:rFonts w:hint="eastAsia" w:eastAsia="黑体"/>
          <w:color w:val="auto"/>
          <w:kern w:val="24"/>
          <w:szCs w:val="20"/>
          <w:highlight w:val="none"/>
        </w:rPr>
        <w:t>第四章合同条款及附件</w:t>
      </w:r>
      <w:r>
        <w:rPr>
          <w:color w:val="auto"/>
          <w:highlight w:val="none"/>
        </w:rPr>
        <w:tab/>
      </w:r>
      <w:r>
        <w:rPr>
          <w:color w:val="auto"/>
          <w:highlight w:val="none"/>
        </w:rPr>
        <w:fldChar w:fldCharType="begin"/>
      </w:r>
      <w:r>
        <w:rPr>
          <w:color w:val="auto"/>
          <w:highlight w:val="none"/>
        </w:rPr>
        <w:instrText xml:space="preserve"> PAGEREF _Toc27843 \h </w:instrText>
      </w:r>
      <w:r>
        <w:rPr>
          <w:color w:val="auto"/>
          <w:highlight w:val="none"/>
        </w:rPr>
        <w:fldChar w:fldCharType="separate"/>
      </w:r>
      <w:r>
        <w:rPr>
          <w:color w:val="auto"/>
          <w:highlight w:val="none"/>
        </w:rPr>
        <w:t>51</w:t>
      </w:r>
      <w:r>
        <w:rPr>
          <w:color w:val="auto"/>
          <w:highlight w:val="none"/>
        </w:rPr>
        <w:fldChar w:fldCharType="end"/>
      </w:r>
      <w:r>
        <w:rPr>
          <w:color w:val="auto"/>
          <w:szCs w:val="24"/>
          <w:highlight w:val="none"/>
        </w:rPr>
        <w:fldChar w:fldCharType="end"/>
      </w:r>
    </w:p>
    <w:p>
      <w:pPr>
        <w:pStyle w:val="28"/>
        <w:tabs>
          <w:tab w:val="right" w:leader="dot" w:pos="9639"/>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_Toc582 </w:instrText>
      </w:r>
      <w:r>
        <w:rPr>
          <w:color w:val="auto"/>
          <w:szCs w:val="24"/>
          <w:highlight w:val="none"/>
        </w:rPr>
        <w:fldChar w:fldCharType="separate"/>
      </w:r>
      <w:r>
        <w:rPr>
          <w:rFonts w:hint="eastAsia" w:eastAsia="黑体"/>
          <w:color w:val="auto"/>
          <w:kern w:val="24"/>
          <w:szCs w:val="20"/>
          <w:highlight w:val="none"/>
        </w:rPr>
        <w:t>第二卷</w:t>
      </w:r>
      <w:r>
        <w:rPr>
          <w:color w:val="auto"/>
          <w:highlight w:val="none"/>
        </w:rPr>
        <w:tab/>
      </w:r>
      <w:r>
        <w:rPr>
          <w:color w:val="auto"/>
          <w:highlight w:val="none"/>
        </w:rPr>
        <w:fldChar w:fldCharType="begin"/>
      </w:r>
      <w:r>
        <w:rPr>
          <w:color w:val="auto"/>
          <w:highlight w:val="none"/>
        </w:rPr>
        <w:instrText xml:space="preserve"> PAGEREF _Toc582 \h </w:instrText>
      </w:r>
      <w:r>
        <w:rPr>
          <w:color w:val="auto"/>
          <w:highlight w:val="none"/>
        </w:rPr>
        <w:fldChar w:fldCharType="separate"/>
      </w:r>
      <w:r>
        <w:rPr>
          <w:color w:val="auto"/>
          <w:highlight w:val="none"/>
        </w:rPr>
        <w:t>64</w:t>
      </w:r>
      <w:r>
        <w:rPr>
          <w:color w:val="auto"/>
          <w:highlight w:val="none"/>
        </w:rPr>
        <w:fldChar w:fldCharType="end"/>
      </w:r>
      <w:r>
        <w:rPr>
          <w:color w:val="auto"/>
          <w:szCs w:val="24"/>
          <w:highlight w:val="none"/>
        </w:rPr>
        <w:fldChar w:fldCharType="end"/>
      </w:r>
    </w:p>
    <w:p>
      <w:pPr>
        <w:pStyle w:val="28"/>
        <w:tabs>
          <w:tab w:val="right" w:leader="dot" w:pos="9639"/>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_Toc22919 </w:instrText>
      </w:r>
      <w:r>
        <w:rPr>
          <w:color w:val="auto"/>
          <w:szCs w:val="24"/>
          <w:highlight w:val="none"/>
        </w:rPr>
        <w:fldChar w:fldCharType="separate"/>
      </w:r>
      <w:r>
        <w:rPr>
          <w:rFonts w:hint="eastAsia" w:eastAsia="黑体"/>
          <w:color w:val="auto"/>
          <w:kern w:val="24"/>
          <w:szCs w:val="20"/>
          <w:highlight w:val="none"/>
        </w:rPr>
        <w:t>第五章 委托人要求</w:t>
      </w:r>
      <w:r>
        <w:rPr>
          <w:color w:val="auto"/>
          <w:highlight w:val="none"/>
        </w:rPr>
        <w:tab/>
      </w:r>
      <w:r>
        <w:rPr>
          <w:color w:val="auto"/>
          <w:highlight w:val="none"/>
        </w:rPr>
        <w:fldChar w:fldCharType="begin"/>
      </w:r>
      <w:r>
        <w:rPr>
          <w:color w:val="auto"/>
          <w:highlight w:val="none"/>
        </w:rPr>
        <w:instrText xml:space="preserve"> PAGEREF _Toc22919 \h </w:instrText>
      </w:r>
      <w:r>
        <w:rPr>
          <w:color w:val="auto"/>
          <w:highlight w:val="none"/>
        </w:rPr>
        <w:fldChar w:fldCharType="separate"/>
      </w:r>
      <w:r>
        <w:rPr>
          <w:color w:val="auto"/>
          <w:highlight w:val="none"/>
        </w:rPr>
        <w:t>64</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_Toc6240 </w:instrText>
      </w:r>
      <w:r>
        <w:rPr>
          <w:color w:val="auto"/>
          <w:szCs w:val="24"/>
          <w:highlight w:val="none"/>
        </w:rPr>
        <w:fldChar w:fldCharType="separate"/>
      </w:r>
      <w:r>
        <w:rPr>
          <w:rFonts w:hint="eastAsia" w:asciiTheme="minorEastAsia" w:hAnsiTheme="minorEastAsia" w:eastAsiaTheme="minorEastAsia" w:cstheme="minorEastAsia"/>
          <w:color w:val="auto"/>
          <w:szCs w:val="21"/>
          <w:highlight w:val="none"/>
        </w:rPr>
        <w:t>一、项目名称</w:t>
      </w:r>
      <w:r>
        <w:rPr>
          <w:color w:val="auto"/>
          <w:highlight w:val="none"/>
        </w:rPr>
        <w:tab/>
      </w:r>
      <w:r>
        <w:rPr>
          <w:color w:val="auto"/>
          <w:highlight w:val="none"/>
        </w:rPr>
        <w:fldChar w:fldCharType="begin"/>
      </w:r>
      <w:r>
        <w:rPr>
          <w:color w:val="auto"/>
          <w:highlight w:val="none"/>
        </w:rPr>
        <w:instrText xml:space="preserve"> PAGEREF _Toc6240 \h </w:instrText>
      </w:r>
      <w:r>
        <w:rPr>
          <w:color w:val="auto"/>
          <w:highlight w:val="none"/>
        </w:rPr>
        <w:fldChar w:fldCharType="separate"/>
      </w:r>
      <w:r>
        <w:rPr>
          <w:color w:val="auto"/>
          <w:highlight w:val="none"/>
        </w:rPr>
        <w:t>65</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_Toc31692 </w:instrText>
      </w:r>
      <w:r>
        <w:rPr>
          <w:color w:val="auto"/>
          <w:szCs w:val="24"/>
          <w:highlight w:val="none"/>
        </w:rPr>
        <w:fldChar w:fldCharType="separate"/>
      </w:r>
      <w:r>
        <w:rPr>
          <w:rFonts w:hint="eastAsia" w:asciiTheme="minorEastAsia" w:hAnsiTheme="minorEastAsia" w:eastAsiaTheme="minorEastAsia" w:cstheme="minorEastAsia"/>
          <w:color w:val="auto"/>
          <w:szCs w:val="21"/>
          <w:highlight w:val="none"/>
        </w:rPr>
        <w:t>二、 编制依据</w:t>
      </w:r>
      <w:r>
        <w:rPr>
          <w:color w:val="auto"/>
          <w:highlight w:val="none"/>
        </w:rPr>
        <w:tab/>
      </w:r>
      <w:r>
        <w:rPr>
          <w:color w:val="auto"/>
          <w:highlight w:val="none"/>
        </w:rPr>
        <w:fldChar w:fldCharType="begin"/>
      </w:r>
      <w:r>
        <w:rPr>
          <w:color w:val="auto"/>
          <w:highlight w:val="none"/>
        </w:rPr>
        <w:instrText xml:space="preserve"> PAGEREF _Toc31692 \h </w:instrText>
      </w:r>
      <w:r>
        <w:rPr>
          <w:color w:val="auto"/>
          <w:highlight w:val="none"/>
        </w:rPr>
        <w:fldChar w:fldCharType="separate"/>
      </w:r>
      <w:r>
        <w:rPr>
          <w:color w:val="auto"/>
          <w:highlight w:val="none"/>
        </w:rPr>
        <w:t>65</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_Toc18563 </w:instrText>
      </w:r>
      <w:r>
        <w:rPr>
          <w:color w:val="auto"/>
          <w:szCs w:val="24"/>
          <w:highlight w:val="none"/>
        </w:rPr>
        <w:fldChar w:fldCharType="separate"/>
      </w:r>
      <w:r>
        <w:rPr>
          <w:rFonts w:hint="eastAsia" w:asciiTheme="minorEastAsia" w:hAnsiTheme="minorEastAsia" w:eastAsiaTheme="minorEastAsia" w:cstheme="minorEastAsia"/>
          <w:color w:val="auto"/>
          <w:szCs w:val="21"/>
          <w:highlight w:val="none"/>
        </w:rPr>
        <w:t>三、项目概况</w:t>
      </w:r>
      <w:r>
        <w:rPr>
          <w:color w:val="auto"/>
          <w:highlight w:val="none"/>
        </w:rPr>
        <w:tab/>
      </w:r>
      <w:r>
        <w:rPr>
          <w:color w:val="auto"/>
          <w:highlight w:val="none"/>
        </w:rPr>
        <w:fldChar w:fldCharType="begin"/>
      </w:r>
      <w:r>
        <w:rPr>
          <w:color w:val="auto"/>
          <w:highlight w:val="none"/>
        </w:rPr>
        <w:instrText xml:space="preserve"> PAGEREF _Toc18563 \h </w:instrText>
      </w:r>
      <w:r>
        <w:rPr>
          <w:color w:val="auto"/>
          <w:highlight w:val="none"/>
        </w:rPr>
        <w:fldChar w:fldCharType="separate"/>
      </w:r>
      <w:r>
        <w:rPr>
          <w:color w:val="auto"/>
          <w:highlight w:val="none"/>
        </w:rPr>
        <w:t>65</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_Toc5028 </w:instrText>
      </w:r>
      <w:r>
        <w:rPr>
          <w:color w:val="auto"/>
          <w:szCs w:val="24"/>
          <w:highlight w:val="none"/>
        </w:rPr>
        <w:fldChar w:fldCharType="separate"/>
      </w:r>
      <w:r>
        <w:rPr>
          <w:rFonts w:hint="eastAsia" w:asciiTheme="minorEastAsia" w:hAnsiTheme="minorEastAsia" w:eastAsiaTheme="minorEastAsia" w:cstheme="minorEastAsia"/>
          <w:color w:val="auto"/>
          <w:szCs w:val="21"/>
          <w:highlight w:val="none"/>
        </w:rPr>
        <w:t>四、项目条件</w:t>
      </w:r>
      <w:r>
        <w:rPr>
          <w:color w:val="auto"/>
          <w:highlight w:val="none"/>
        </w:rPr>
        <w:tab/>
      </w:r>
      <w:r>
        <w:rPr>
          <w:color w:val="auto"/>
          <w:highlight w:val="none"/>
        </w:rPr>
        <w:fldChar w:fldCharType="begin"/>
      </w:r>
      <w:r>
        <w:rPr>
          <w:color w:val="auto"/>
          <w:highlight w:val="none"/>
        </w:rPr>
        <w:instrText xml:space="preserve"> PAGEREF _Toc5028 \h </w:instrText>
      </w:r>
      <w:r>
        <w:rPr>
          <w:color w:val="auto"/>
          <w:highlight w:val="none"/>
        </w:rPr>
        <w:fldChar w:fldCharType="separate"/>
      </w:r>
      <w:r>
        <w:rPr>
          <w:color w:val="auto"/>
          <w:highlight w:val="none"/>
        </w:rPr>
        <w:t>66</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_Toc6175 </w:instrText>
      </w:r>
      <w:r>
        <w:rPr>
          <w:color w:val="auto"/>
          <w:szCs w:val="24"/>
          <w:highlight w:val="none"/>
        </w:rPr>
        <w:fldChar w:fldCharType="separate"/>
      </w:r>
      <w:r>
        <w:rPr>
          <w:rFonts w:hint="eastAsia" w:asciiTheme="minorEastAsia" w:hAnsiTheme="minorEastAsia" w:eastAsiaTheme="minorEastAsia" w:cstheme="minorEastAsia"/>
          <w:color w:val="auto"/>
          <w:szCs w:val="21"/>
          <w:highlight w:val="none"/>
        </w:rPr>
        <w:t>五、人员要求</w:t>
      </w:r>
      <w:r>
        <w:rPr>
          <w:color w:val="auto"/>
          <w:highlight w:val="none"/>
        </w:rPr>
        <w:tab/>
      </w:r>
      <w:r>
        <w:rPr>
          <w:color w:val="auto"/>
          <w:highlight w:val="none"/>
        </w:rPr>
        <w:fldChar w:fldCharType="begin"/>
      </w:r>
      <w:r>
        <w:rPr>
          <w:color w:val="auto"/>
          <w:highlight w:val="none"/>
        </w:rPr>
        <w:instrText xml:space="preserve"> PAGEREF _Toc6175 \h </w:instrText>
      </w:r>
      <w:r>
        <w:rPr>
          <w:color w:val="auto"/>
          <w:highlight w:val="none"/>
        </w:rPr>
        <w:fldChar w:fldCharType="separate"/>
      </w:r>
      <w:r>
        <w:rPr>
          <w:color w:val="auto"/>
          <w:highlight w:val="none"/>
        </w:rPr>
        <w:t>66</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_Toc5379 </w:instrText>
      </w:r>
      <w:r>
        <w:rPr>
          <w:color w:val="auto"/>
          <w:szCs w:val="24"/>
          <w:highlight w:val="none"/>
        </w:rPr>
        <w:fldChar w:fldCharType="separate"/>
      </w:r>
      <w:r>
        <w:rPr>
          <w:rFonts w:hint="eastAsia" w:asciiTheme="minorEastAsia" w:hAnsiTheme="minorEastAsia" w:eastAsiaTheme="minorEastAsia" w:cstheme="minorEastAsia"/>
          <w:color w:val="auto"/>
          <w:szCs w:val="21"/>
          <w:highlight w:val="none"/>
        </w:rPr>
        <w:t>六、主要仪器设备要求</w:t>
      </w:r>
      <w:r>
        <w:rPr>
          <w:color w:val="auto"/>
          <w:highlight w:val="none"/>
        </w:rPr>
        <w:tab/>
      </w:r>
      <w:r>
        <w:rPr>
          <w:color w:val="auto"/>
          <w:highlight w:val="none"/>
        </w:rPr>
        <w:fldChar w:fldCharType="begin"/>
      </w:r>
      <w:r>
        <w:rPr>
          <w:color w:val="auto"/>
          <w:highlight w:val="none"/>
        </w:rPr>
        <w:instrText xml:space="preserve"> PAGEREF _Toc5379 \h </w:instrText>
      </w:r>
      <w:r>
        <w:rPr>
          <w:color w:val="auto"/>
          <w:highlight w:val="none"/>
        </w:rPr>
        <w:fldChar w:fldCharType="separate"/>
      </w:r>
      <w:r>
        <w:rPr>
          <w:color w:val="auto"/>
          <w:highlight w:val="none"/>
        </w:rPr>
        <w:t>67</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_Toc2952 </w:instrText>
      </w:r>
      <w:r>
        <w:rPr>
          <w:color w:val="auto"/>
          <w:szCs w:val="24"/>
          <w:highlight w:val="none"/>
        </w:rPr>
        <w:fldChar w:fldCharType="separate"/>
      </w:r>
      <w:r>
        <w:rPr>
          <w:rFonts w:hint="eastAsia" w:asciiTheme="minorEastAsia" w:hAnsiTheme="minorEastAsia" w:eastAsiaTheme="minorEastAsia" w:cstheme="minorEastAsia"/>
          <w:color w:val="auto"/>
          <w:szCs w:val="21"/>
          <w:highlight w:val="none"/>
        </w:rPr>
        <w:t>七、承包方式</w:t>
      </w:r>
      <w:r>
        <w:rPr>
          <w:color w:val="auto"/>
          <w:highlight w:val="none"/>
        </w:rPr>
        <w:tab/>
      </w:r>
      <w:r>
        <w:rPr>
          <w:color w:val="auto"/>
          <w:highlight w:val="none"/>
        </w:rPr>
        <w:fldChar w:fldCharType="begin"/>
      </w:r>
      <w:r>
        <w:rPr>
          <w:color w:val="auto"/>
          <w:highlight w:val="none"/>
        </w:rPr>
        <w:instrText xml:space="preserve"> PAGEREF _Toc2952 \h </w:instrText>
      </w:r>
      <w:r>
        <w:rPr>
          <w:color w:val="auto"/>
          <w:highlight w:val="none"/>
        </w:rPr>
        <w:fldChar w:fldCharType="separate"/>
      </w:r>
      <w:r>
        <w:rPr>
          <w:color w:val="auto"/>
          <w:highlight w:val="none"/>
        </w:rPr>
        <w:t>67</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_Toc31707 </w:instrText>
      </w:r>
      <w:r>
        <w:rPr>
          <w:color w:val="auto"/>
          <w:szCs w:val="24"/>
          <w:highlight w:val="none"/>
        </w:rPr>
        <w:fldChar w:fldCharType="separate"/>
      </w:r>
      <w:r>
        <w:rPr>
          <w:rFonts w:hint="eastAsia" w:asciiTheme="minorEastAsia" w:hAnsiTheme="minorEastAsia" w:eastAsiaTheme="minorEastAsia" w:cstheme="minorEastAsia"/>
          <w:color w:val="auto"/>
          <w:szCs w:val="21"/>
          <w:highlight w:val="none"/>
        </w:rPr>
        <w:t>八、技术要求</w:t>
      </w:r>
      <w:r>
        <w:rPr>
          <w:color w:val="auto"/>
          <w:highlight w:val="none"/>
        </w:rPr>
        <w:tab/>
      </w:r>
      <w:r>
        <w:rPr>
          <w:color w:val="auto"/>
          <w:highlight w:val="none"/>
        </w:rPr>
        <w:fldChar w:fldCharType="begin"/>
      </w:r>
      <w:r>
        <w:rPr>
          <w:color w:val="auto"/>
          <w:highlight w:val="none"/>
        </w:rPr>
        <w:instrText xml:space="preserve"> PAGEREF _Toc31707 \h </w:instrText>
      </w:r>
      <w:r>
        <w:rPr>
          <w:color w:val="auto"/>
          <w:highlight w:val="none"/>
        </w:rPr>
        <w:fldChar w:fldCharType="separate"/>
      </w:r>
      <w:r>
        <w:rPr>
          <w:color w:val="auto"/>
          <w:highlight w:val="none"/>
        </w:rPr>
        <w:t>67</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_Toc7411 </w:instrText>
      </w:r>
      <w:r>
        <w:rPr>
          <w:color w:val="auto"/>
          <w:szCs w:val="24"/>
          <w:highlight w:val="none"/>
        </w:rPr>
        <w:fldChar w:fldCharType="separate"/>
      </w:r>
      <w:r>
        <w:rPr>
          <w:rFonts w:hint="eastAsia" w:asciiTheme="minorEastAsia" w:hAnsiTheme="minorEastAsia" w:eastAsiaTheme="minorEastAsia" w:cstheme="minorEastAsia"/>
          <w:color w:val="auto"/>
          <w:szCs w:val="21"/>
          <w:highlight w:val="none"/>
        </w:rPr>
        <w:t>九、工期要求</w:t>
      </w:r>
      <w:r>
        <w:rPr>
          <w:color w:val="auto"/>
          <w:highlight w:val="none"/>
        </w:rPr>
        <w:tab/>
      </w:r>
      <w:r>
        <w:rPr>
          <w:color w:val="auto"/>
          <w:highlight w:val="none"/>
        </w:rPr>
        <w:fldChar w:fldCharType="begin"/>
      </w:r>
      <w:r>
        <w:rPr>
          <w:color w:val="auto"/>
          <w:highlight w:val="none"/>
        </w:rPr>
        <w:instrText xml:space="preserve"> PAGEREF _Toc7411 \h </w:instrText>
      </w:r>
      <w:r>
        <w:rPr>
          <w:color w:val="auto"/>
          <w:highlight w:val="none"/>
        </w:rPr>
        <w:fldChar w:fldCharType="separate"/>
      </w:r>
      <w:r>
        <w:rPr>
          <w:color w:val="auto"/>
          <w:highlight w:val="none"/>
        </w:rPr>
        <w:t>72</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_Toc23144 </w:instrText>
      </w:r>
      <w:r>
        <w:rPr>
          <w:color w:val="auto"/>
          <w:szCs w:val="24"/>
          <w:highlight w:val="none"/>
        </w:rPr>
        <w:fldChar w:fldCharType="separate"/>
      </w:r>
      <w:r>
        <w:rPr>
          <w:rFonts w:hint="eastAsia" w:asciiTheme="minorEastAsia" w:hAnsiTheme="minorEastAsia" w:eastAsiaTheme="minorEastAsia" w:cstheme="minorEastAsia"/>
          <w:color w:val="auto"/>
          <w:szCs w:val="21"/>
          <w:highlight w:val="none"/>
        </w:rPr>
        <w:t>十、工程量清单</w:t>
      </w:r>
      <w:r>
        <w:rPr>
          <w:color w:val="auto"/>
          <w:highlight w:val="none"/>
        </w:rPr>
        <w:tab/>
      </w:r>
      <w:r>
        <w:rPr>
          <w:color w:val="auto"/>
          <w:highlight w:val="none"/>
        </w:rPr>
        <w:fldChar w:fldCharType="begin"/>
      </w:r>
      <w:r>
        <w:rPr>
          <w:color w:val="auto"/>
          <w:highlight w:val="none"/>
        </w:rPr>
        <w:instrText xml:space="preserve"> PAGEREF _Toc23144 \h </w:instrText>
      </w:r>
      <w:r>
        <w:rPr>
          <w:color w:val="auto"/>
          <w:highlight w:val="none"/>
        </w:rPr>
        <w:fldChar w:fldCharType="separate"/>
      </w:r>
      <w:r>
        <w:rPr>
          <w:color w:val="auto"/>
          <w:highlight w:val="none"/>
        </w:rPr>
        <w:t>73</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_Toc6914 </w:instrText>
      </w:r>
      <w:r>
        <w:rPr>
          <w:color w:val="auto"/>
          <w:szCs w:val="24"/>
          <w:highlight w:val="none"/>
        </w:rPr>
        <w:fldChar w:fldCharType="separate"/>
      </w:r>
      <w:r>
        <w:rPr>
          <w:rFonts w:hint="eastAsia" w:asciiTheme="minorEastAsia" w:hAnsiTheme="minorEastAsia" w:eastAsiaTheme="minorEastAsia" w:cstheme="minorEastAsia"/>
          <w:color w:val="auto"/>
          <w:szCs w:val="21"/>
          <w:highlight w:val="none"/>
        </w:rPr>
        <w:t>十一、附件</w:t>
      </w:r>
      <w:r>
        <w:rPr>
          <w:color w:val="auto"/>
          <w:highlight w:val="none"/>
        </w:rPr>
        <w:tab/>
      </w:r>
      <w:r>
        <w:rPr>
          <w:color w:val="auto"/>
          <w:highlight w:val="none"/>
        </w:rPr>
        <w:fldChar w:fldCharType="begin"/>
      </w:r>
      <w:r>
        <w:rPr>
          <w:color w:val="auto"/>
          <w:highlight w:val="none"/>
        </w:rPr>
        <w:instrText xml:space="preserve"> PAGEREF _Toc6914 \h </w:instrText>
      </w:r>
      <w:r>
        <w:rPr>
          <w:color w:val="auto"/>
          <w:highlight w:val="none"/>
        </w:rPr>
        <w:fldChar w:fldCharType="separate"/>
      </w:r>
      <w:r>
        <w:rPr>
          <w:color w:val="auto"/>
          <w:highlight w:val="none"/>
        </w:rPr>
        <w:t>73</w:t>
      </w:r>
      <w:r>
        <w:rPr>
          <w:color w:val="auto"/>
          <w:highlight w:val="none"/>
        </w:rPr>
        <w:fldChar w:fldCharType="end"/>
      </w:r>
      <w:r>
        <w:rPr>
          <w:color w:val="auto"/>
          <w:szCs w:val="24"/>
          <w:highlight w:val="none"/>
        </w:rPr>
        <w:fldChar w:fldCharType="end"/>
      </w:r>
    </w:p>
    <w:p>
      <w:pPr>
        <w:pStyle w:val="28"/>
        <w:tabs>
          <w:tab w:val="right" w:leader="dot" w:pos="9639"/>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_Toc7352 </w:instrText>
      </w:r>
      <w:r>
        <w:rPr>
          <w:color w:val="auto"/>
          <w:szCs w:val="24"/>
          <w:highlight w:val="none"/>
        </w:rPr>
        <w:fldChar w:fldCharType="separate"/>
      </w:r>
      <w:r>
        <w:rPr>
          <w:rFonts w:hint="eastAsia" w:eastAsia="黑体"/>
          <w:color w:val="auto"/>
          <w:kern w:val="24"/>
          <w:szCs w:val="20"/>
          <w:highlight w:val="none"/>
        </w:rPr>
        <w:t>第三卷</w:t>
      </w:r>
      <w:r>
        <w:rPr>
          <w:color w:val="auto"/>
          <w:highlight w:val="none"/>
        </w:rPr>
        <w:tab/>
      </w:r>
      <w:r>
        <w:rPr>
          <w:color w:val="auto"/>
          <w:highlight w:val="none"/>
        </w:rPr>
        <w:fldChar w:fldCharType="begin"/>
      </w:r>
      <w:r>
        <w:rPr>
          <w:color w:val="auto"/>
          <w:highlight w:val="none"/>
        </w:rPr>
        <w:instrText xml:space="preserve"> PAGEREF _Toc7352 \h </w:instrText>
      </w:r>
      <w:r>
        <w:rPr>
          <w:color w:val="auto"/>
          <w:highlight w:val="none"/>
        </w:rPr>
        <w:fldChar w:fldCharType="separate"/>
      </w:r>
      <w:r>
        <w:rPr>
          <w:color w:val="auto"/>
          <w:highlight w:val="none"/>
        </w:rPr>
        <w:t>74</w:t>
      </w:r>
      <w:r>
        <w:rPr>
          <w:color w:val="auto"/>
          <w:highlight w:val="none"/>
        </w:rPr>
        <w:fldChar w:fldCharType="end"/>
      </w:r>
      <w:r>
        <w:rPr>
          <w:color w:val="auto"/>
          <w:szCs w:val="24"/>
          <w:highlight w:val="none"/>
        </w:rPr>
        <w:fldChar w:fldCharType="end"/>
      </w:r>
    </w:p>
    <w:p>
      <w:pPr>
        <w:pStyle w:val="28"/>
        <w:tabs>
          <w:tab w:val="right" w:leader="dot" w:pos="9639"/>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_Toc437 </w:instrText>
      </w:r>
      <w:r>
        <w:rPr>
          <w:color w:val="auto"/>
          <w:szCs w:val="24"/>
          <w:highlight w:val="none"/>
        </w:rPr>
        <w:fldChar w:fldCharType="separate"/>
      </w:r>
      <w:r>
        <w:rPr>
          <w:rFonts w:hint="eastAsia" w:eastAsia="黑体"/>
          <w:color w:val="auto"/>
          <w:kern w:val="24"/>
          <w:szCs w:val="20"/>
          <w:highlight w:val="none"/>
        </w:rPr>
        <w:t>第六章投标文件格式</w:t>
      </w:r>
      <w:r>
        <w:rPr>
          <w:color w:val="auto"/>
          <w:highlight w:val="none"/>
        </w:rPr>
        <w:tab/>
      </w:r>
      <w:r>
        <w:rPr>
          <w:color w:val="auto"/>
          <w:highlight w:val="none"/>
        </w:rPr>
        <w:fldChar w:fldCharType="begin"/>
      </w:r>
      <w:r>
        <w:rPr>
          <w:color w:val="auto"/>
          <w:highlight w:val="none"/>
        </w:rPr>
        <w:instrText xml:space="preserve"> PAGEREF _Toc437 \h </w:instrText>
      </w:r>
      <w:r>
        <w:rPr>
          <w:color w:val="auto"/>
          <w:highlight w:val="none"/>
        </w:rPr>
        <w:fldChar w:fldCharType="separate"/>
      </w:r>
      <w:r>
        <w:rPr>
          <w:color w:val="auto"/>
          <w:highlight w:val="none"/>
        </w:rPr>
        <w:t>74</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_Toc13902 </w:instrText>
      </w:r>
      <w:r>
        <w:rPr>
          <w:color w:val="auto"/>
          <w:szCs w:val="24"/>
          <w:highlight w:val="none"/>
        </w:rPr>
        <w:fldChar w:fldCharType="separate"/>
      </w:r>
      <w:r>
        <w:rPr>
          <w:rFonts w:ascii="宋体" w:hAnsi="宋体" w:eastAsia="黑体"/>
          <w:color w:val="auto"/>
          <w:kern w:val="0"/>
          <w:szCs w:val="20"/>
          <w:highlight w:val="none"/>
        </w:rPr>
        <w:t>1.</w:t>
      </w:r>
      <w:r>
        <w:rPr>
          <w:rFonts w:hint="eastAsia" w:ascii="宋体" w:hAnsi="宋体" w:eastAsia="黑体"/>
          <w:color w:val="auto"/>
          <w:kern w:val="0"/>
          <w:szCs w:val="20"/>
          <w:highlight w:val="none"/>
        </w:rPr>
        <w:t>投标函及投标函附录</w:t>
      </w:r>
      <w:r>
        <w:rPr>
          <w:color w:val="auto"/>
          <w:highlight w:val="none"/>
        </w:rPr>
        <w:tab/>
      </w:r>
      <w:r>
        <w:rPr>
          <w:color w:val="auto"/>
          <w:highlight w:val="none"/>
        </w:rPr>
        <w:fldChar w:fldCharType="begin"/>
      </w:r>
      <w:r>
        <w:rPr>
          <w:color w:val="auto"/>
          <w:highlight w:val="none"/>
        </w:rPr>
        <w:instrText xml:space="preserve"> PAGEREF _Toc13902 \h </w:instrText>
      </w:r>
      <w:r>
        <w:rPr>
          <w:color w:val="auto"/>
          <w:highlight w:val="none"/>
        </w:rPr>
        <w:fldChar w:fldCharType="separate"/>
      </w:r>
      <w:r>
        <w:rPr>
          <w:color w:val="auto"/>
          <w:highlight w:val="none"/>
        </w:rPr>
        <w:t>78</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_Toc18433 </w:instrText>
      </w:r>
      <w:r>
        <w:rPr>
          <w:color w:val="auto"/>
          <w:szCs w:val="24"/>
          <w:highlight w:val="none"/>
        </w:rPr>
        <w:fldChar w:fldCharType="separate"/>
      </w:r>
      <w:r>
        <w:rPr>
          <w:rFonts w:hint="eastAsia" w:ascii="宋体" w:hAnsi="宋体" w:eastAsia="黑体"/>
          <w:color w:val="auto"/>
          <w:szCs w:val="20"/>
          <w:highlight w:val="none"/>
        </w:rPr>
        <w:t>（一）投标函</w:t>
      </w:r>
      <w:r>
        <w:rPr>
          <w:color w:val="auto"/>
          <w:highlight w:val="none"/>
        </w:rPr>
        <w:tab/>
      </w:r>
      <w:r>
        <w:rPr>
          <w:color w:val="auto"/>
          <w:highlight w:val="none"/>
        </w:rPr>
        <w:fldChar w:fldCharType="begin"/>
      </w:r>
      <w:r>
        <w:rPr>
          <w:color w:val="auto"/>
          <w:highlight w:val="none"/>
        </w:rPr>
        <w:instrText xml:space="preserve"> PAGEREF _Toc18433 \h </w:instrText>
      </w:r>
      <w:r>
        <w:rPr>
          <w:color w:val="auto"/>
          <w:highlight w:val="none"/>
        </w:rPr>
        <w:fldChar w:fldCharType="separate"/>
      </w:r>
      <w:r>
        <w:rPr>
          <w:color w:val="auto"/>
          <w:highlight w:val="none"/>
        </w:rPr>
        <w:t>78</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_Toc13793 </w:instrText>
      </w:r>
      <w:r>
        <w:rPr>
          <w:color w:val="auto"/>
          <w:szCs w:val="24"/>
          <w:highlight w:val="none"/>
        </w:rPr>
        <w:fldChar w:fldCharType="separate"/>
      </w:r>
      <w:r>
        <w:rPr>
          <w:rFonts w:hint="eastAsia" w:ascii="宋体" w:hAnsi="宋体" w:eastAsia="黑体"/>
          <w:color w:val="auto"/>
          <w:szCs w:val="20"/>
          <w:highlight w:val="none"/>
        </w:rPr>
        <w:t>（二）投标函附录</w:t>
      </w:r>
      <w:r>
        <w:rPr>
          <w:color w:val="auto"/>
          <w:highlight w:val="none"/>
        </w:rPr>
        <w:tab/>
      </w:r>
      <w:r>
        <w:rPr>
          <w:color w:val="auto"/>
          <w:highlight w:val="none"/>
        </w:rPr>
        <w:fldChar w:fldCharType="begin"/>
      </w:r>
      <w:r>
        <w:rPr>
          <w:color w:val="auto"/>
          <w:highlight w:val="none"/>
        </w:rPr>
        <w:instrText xml:space="preserve"> PAGEREF _Toc13793 \h </w:instrText>
      </w:r>
      <w:r>
        <w:rPr>
          <w:color w:val="auto"/>
          <w:highlight w:val="none"/>
        </w:rPr>
        <w:fldChar w:fldCharType="separate"/>
      </w:r>
      <w:r>
        <w:rPr>
          <w:color w:val="auto"/>
          <w:highlight w:val="none"/>
        </w:rPr>
        <w:t>79</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_Toc12041 </w:instrText>
      </w:r>
      <w:r>
        <w:rPr>
          <w:color w:val="auto"/>
          <w:szCs w:val="24"/>
          <w:highlight w:val="none"/>
        </w:rPr>
        <w:fldChar w:fldCharType="separate"/>
      </w:r>
      <w:r>
        <w:rPr>
          <w:rFonts w:ascii="宋体" w:hAnsi="宋体" w:eastAsia="黑体"/>
          <w:color w:val="auto"/>
          <w:kern w:val="0"/>
          <w:szCs w:val="20"/>
          <w:highlight w:val="none"/>
        </w:rPr>
        <w:t>2.</w:t>
      </w:r>
      <w:r>
        <w:rPr>
          <w:rFonts w:hint="eastAsia" w:ascii="宋体" w:hAnsi="宋体" w:eastAsia="黑体"/>
          <w:color w:val="auto"/>
          <w:kern w:val="0"/>
          <w:szCs w:val="20"/>
          <w:highlight w:val="none"/>
        </w:rPr>
        <w:t>法定代表人身份证明</w:t>
      </w:r>
      <w:r>
        <w:rPr>
          <w:color w:val="auto"/>
          <w:highlight w:val="none"/>
        </w:rPr>
        <w:tab/>
      </w:r>
      <w:r>
        <w:rPr>
          <w:color w:val="auto"/>
          <w:highlight w:val="none"/>
        </w:rPr>
        <w:fldChar w:fldCharType="begin"/>
      </w:r>
      <w:r>
        <w:rPr>
          <w:color w:val="auto"/>
          <w:highlight w:val="none"/>
        </w:rPr>
        <w:instrText xml:space="preserve"> PAGEREF _Toc12041 \h </w:instrText>
      </w:r>
      <w:r>
        <w:rPr>
          <w:color w:val="auto"/>
          <w:highlight w:val="none"/>
        </w:rPr>
        <w:fldChar w:fldCharType="separate"/>
      </w:r>
      <w:r>
        <w:rPr>
          <w:color w:val="auto"/>
          <w:highlight w:val="none"/>
        </w:rPr>
        <w:t>80</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_Toc14370 </w:instrText>
      </w:r>
      <w:r>
        <w:rPr>
          <w:color w:val="auto"/>
          <w:szCs w:val="24"/>
          <w:highlight w:val="none"/>
        </w:rPr>
        <w:fldChar w:fldCharType="separate"/>
      </w:r>
      <w:r>
        <w:rPr>
          <w:rFonts w:ascii="宋体" w:hAnsi="宋体" w:eastAsia="黑体"/>
          <w:color w:val="auto"/>
          <w:kern w:val="0"/>
          <w:szCs w:val="20"/>
          <w:highlight w:val="none"/>
        </w:rPr>
        <w:t>3.</w:t>
      </w:r>
      <w:r>
        <w:rPr>
          <w:rFonts w:hint="eastAsia" w:ascii="宋体" w:hAnsi="宋体" w:eastAsia="黑体"/>
          <w:color w:val="auto"/>
          <w:kern w:val="0"/>
          <w:szCs w:val="20"/>
          <w:highlight w:val="none"/>
        </w:rPr>
        <w:t>法定代表人授权委托书</w:t>
      </w:r>
      <w:r>
        <w:rPr>
          <w:color w:val="auto"/>
          <w:highlight w:val="none"/>
        </w:rPr>
        <w:tab/>
      </w:r>
      <w:r>
        <w:rPr>
          <w:color w:val="auto"/>
          <w:highlight w:val="none"/>
        </w:rPr>
        <w:fldChar w:fldCharType="begin"/>
      </w:r>
      <w:r>
        <w:rPr>
          <w:color w:val="auto"/>
          <w:highlight w:val="none"/>
        </w:rPr>
        <w:instrText xml:space="preserve"> PAGEREF _Toc14370 \h </w:instrText>
      </w:r>
      <w:r>
        <w:rPr>
          <w:color w:val="auto"/>
          <w:highlight w:val="none"/>
        </w:rPr>
        <w:fldChar w:fldCharType="separate"/>
      </w:r>
      <w:r>
        <w:rPr>
          <w:color w:val="auto"/>
          <w:highlight w:val="none"/>
        </w:rPr>
        <w:t>81</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_Toc18518 </w:instrText>
      </w:r>
      <w:r>
        <w:rPr>
          <w:color w:val="auto"/>
          <w:szCs w:val="24"/>
          <w:highlight w:val="none"/>
        </w:rPr>
        <w:fldChar w:fldCharType="separate"/>
      </w:r>
      <w:r>
        <w:rPr>
          <w:rFonts w:ascii="宋体" w:hAnsi="宋体" w:eastAsia="黑体"/>
          <w:color w:val="auto"/>
          <w:kern w:val="0"/>
          <w:szCs w:val="20"/>
          <w:highlight w:val="none"/>
        </w:rPr>
        <w:t>4</w:t>
      </w:r>
      <w:r>
        <w:rPr>
          <w:rFonts w:hint="eastAsia" w:ascii="宋体" w:hAnsi="宋体" w:eastAsia="黑体"/>
          <w:color w:val="auto"/>
          <w:kern w:val="0"/>
          <w:szCs w:val="20"/>
          <w:highlight w:val="none"/>
        </w:rPr>
        <w:t>.廉洁承诺书</w:t>
      </w:r>
      <w:r>
        <w:rPr>
          <w:color w:val="auto"/>
          <w:highlight w:val="none"/>
        </w:rPr>
        <w:tab/>
      </w:r>
      <w:r>
        <w:rPr>
          <w:color w:val="auto"/>
          <w:highlight w:val="none"/>
        </w:rPr>
        <w:fldChar w:fldCharType="begin"/>
      </w:r>
      <w:r>
        <w:rPr>
          <w:color w:val="auto"/>
          <w:highlight w:val="none"/>
        </w:rPr>
        <w:instrText xml:space="preserve"> PAGEREF _Toc18518 \h </w:instrText>
      </w:r>
      <w:r>
        <w:rPr>
          <w:color w:val="auto"/>
          <w:highlight w:val="none"/>
        </w:rPr>
        <w:fldChar w:fldCharType="separate"/>
      </w:r>
      <w:r>
        <w:rPr>
          <w:color w:val="auto"/>
          <w:highlight w:val="none"/>
        </w:rPr>
        <w:t>82</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_Toc14767 </w:instrText>
      </w:r>
      <w:r>
        <w:rPr>
          <w:color w:val="auto"/>
          <w:szCs w:val="24"/>
          <w:highlight w:val="none"/>
        </w:rPr>
        <w:fldChar w:fldCharType="separate"/>
      </w:r>
      <w:r>
        <w:rPr>
          <w:rFonts w:hint="eastAsia" w:ascii="宋体" w:hAnsi="宋体" w:eastAsia="黑体"/>
          <w:color w:val="auto"/>
          <w:kern w:val="0"/>
          <w:szCs w:val="20"/>
          <w:highlight w:val="none"/>
        </w:rPr>
        <w:t>5</w:t>
      </w:r>
      <w:r>
        <w:rPr>
          <w:rFonts w:ascii="宋体" w:hAnsi="宋体" w:eastAsia="黑体"/>
          <w:color w:val="auto"/>
          <w:kern w:val="0"/>
          <w:szCs w:val="20"/>
          <w:highlight w:val="none"/>
        </w:rPr>
        <w:t>.</w:t>
      </w:r>
      <w:r>
        <w:rPr>
          <w:rFonts w:hint="eastAsia" w:ascii="宋体" w:hAnsi="宋体" w:eastAsia="黑体"/>
          <w:color w:val="auto"/>
          <w:kern w:val="0"/>
          <w:szCs w:val="20"/>
          <w:highlight w:val="none"/>
        </w:rPr>
        <w:t>监测单位组织机构表</w:t>
      </w:r>
      <w:r>
        <w:rPr>
          <w:color w:val="auto"/>
          <w:highlight w:val="none"/>
        </w:rPr>
        <w:tab/>
      </w:r>
      <w:r>
        <w:rPr>
          <w:color w:val="auto"/>
          <w:highlight w:val="none"/>
        </w:rPr>
        <w:fldChar w:fldCharType="begin"/>
      </w:r>
      <w:r>
        <w:rPr>
          <w:color w:val="auto"/>
          <w:highlight w:val="none"/>
        </w:rPr>
        <w:instrText xml:space="preserve"> PAGEREF _Toc14767 \h </w:instrText>
      </w:r>
      <w:r>
        <w:rPr>
          <w:color w:val="auto"/>
          <w:highlight w:val="none"/>
        </w:rPr>
        <w:fldChar w:fldCharType="separate"/>
      </w:r>
      <w:r>
        <w:rPr>
          <w:color w:val="auto"/>
          <w:highlight w:val="none"/>
        </w:rPr>
        <w:t>83</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_Toc21111 </w:instrText>
      </w:r>
      <w:r>
        <w:rPr>
          <w:color w:val="auto"/>
          <w:szCs w:val="24"/>
          <w:highlight w:val="none"/>
        </w:rPr>
        <w:fldChar w:fldCharType="separate"/>
      </w:r>
      <w:r>
        <w:rPr>
          <w:rFonts w:hint="eastAsia" w:ascii="宋体" w:hAnsi="宋体" w:eastAsia="黑体"/>
          <w:color w:val="auto"/>
          <w:kern w:val="0"/>
          <w:szCs w:val="28"/>
          <w:highlight w:val="none"/>
        </w:rPr>
        <w:t>6</w:t>
      </w:r>
      <w:r>
        <w:rPr>
          <w:rFonts w:ascii="宋体" w:hAnsi="宋体" w:eastAsia="黑体"/>
          <w:color w:val="auto"/>
          <w:kern w:val="0"/>
          <w:szCs w:val="28"/>
          <w:highlight w:val="none"/>
        </w:rPr>
        <w:t>.</w:t>
      </w:r>
      <w:r>
        <w:rPr>
          <w:rFonts w:hint="eastAsia" w:ascii="宋体" w:hAnsi="宋体" w:eastAsia="黑体"/>
          <w:color w:val="auto"/>
          <w:kern w:val="0"/>
          <w:szCs w:val="28"/>
          <w:highlight w:val="none"/>
        </w:rPr>
        <w:t>工程量清单</w:t>
      </w:r>
      <w:r>
        <w:rPr>
          <w:color w:val="auto"/>
          <w:highlight w:val="none"/>
        </w:rPr>
        <w:tab/>
      </w:r>
      <w:r>
        <w:rPr>
          <w:color w:val="auto"/>
          <w:highlight w:val="none"/>
        </w:rPr>
        <w:fldChar w:fldCharType="begin"/>
      </w:r>
      <w:r>
        <w:rPr>
          <w:color w:val="auto"/>
          <w:highlight w:val="none"/>
        </w:rPr>
        <w:instrText xml:space="preserve"> PAGEREF _Toc21111 \h </w:instrText>
      </w:r>
      <w:r>
        <w:rPr>
          <w:color w:val="auto"/>
          <w:highlight w:val="none"/>
        </w:rPr>
        <w:fldChar w:fldCharType="separate"/>
      </w:r>
      <w:r>
        <w:rPr>
          <w:color w:val="auto"/>
          <w:highlight w:val="none"/>
        </w:rPr>
        <w:t>84</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_Toc2457 </w:instrText>
      </w:r>
      <w:r>
        <w:rPr>
          <w:color w:val="auto"/>
          <w:szCs w:val="24"/>
          <w:highlight w:val="none"/>
        </w:rPr>
        <w:fldChar w:fldCharType="separate"/>
      </w:r>
      <w:r>
        <w:rPr>
          <w:rFonts w:hint="eastAsia" w:ascii="宋体" w:hAnsi="宋体" w:eastAsia="黑体"/>
          <w:color w:val="auto"/>
          <w:kern w:val="24"/>
          <w:szCs w:val="20"/>
          <w:highlight w:val="none"/>
        </w:rPr>
        <w:t>（一）工程量清单说明</w:t>
      </w:r>
      <w:r>
        <w:rPr>
          <w:color w:val="auto"/>
          <w:highlight w:val="none"/>
        </w:rPr>
        <w:tab/>
      </w:r>
      <w:r>
        <w:rPr>
          <w:color w:val="auto"/>
          <w:highlight w:val="none"/>
        </w:rPr>
        <w:fldChar w:fldCharType="begin"/>
      </w:r>
      <w:r>
        <w:rPr>
          <w:color w:val="auto"/>
          <w:highlight w:val="none"/>
        </w:rPr>
        <w:instrText xml:space="preserve"> PAGEREF _Toc2457 \h </w:instrText>
      </w:r>
      <w:r>
        <w:rPr>
          <w:color w:val="auto"/>
          <w:highlight w:val="none"/>
        </w:rPr>
        <w:fldChar w:fldCharType="separate"/>
      </w:r>
      <w:r>
        <w:rPr>
          <w:color w:val="auto"/>
          <w:highlight w:val="none"/>
        </w:rPr>
        <w:t>84</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_Toc18414 </w:instrText>
      </w:r>
      <w:r>
        <w:rPr>
          <w:color w:val="auto"/>
          <w:szCs w:val="24"/>
          <w:highlight w:val="none"/>
        </w:rPr>
        <w:fldChar w:fldCharType="separate"/>
      </w:r>
      <w:r>
        <w:rPr>
          <w:rFonts w:hint="eastAsia" w:ascii="仿宋_GB2312" w:hAnsi="仿宋" w:eastAsia="仿宋_GB2312"/>
          <w:bCs/>
          <w:color w:val="auto"/>
          <w:szCs w:val="32"/>
          <w:highlight w:val="none"/>
        </w:rPr>
        <w:t>（二）</w:t>
      </w:r>
      <w:r>
        <w:rPr>
          <w:rFonts w:hint="eastAsia" w:ascii="宋体" w:hAnsi="宋体" w:eastAsia="黑体"/>
          <w:color w:val="auto"/>
          <w:kern w:val="24"/>
          <w:szCs w:val="20"/>
          <w:highlight w:val="none"/>
        </w:rPr>
        <w:t>工程量清单汇总表</w:t>
      </w:r>
      <w:r>
        <w:rPr>
          <w:color w:val="auto"/>
          <w:highlight w:val="none"/>
        </w:rPr>
        <w:tab/>
      </w:r>
      <w:r>
        <w:rPr>
          <w:color w:val="auto"/>
          <w:highlight w:val="none"/>
        </w:rPr>
        <w:fldChar w:fldCharType="begin"/>
      </w:r>
      <w:r>
        <w:rPr>
          <w:color w:val="auto"/>
          <w:highlight w:val="none"/>
        </w:rPr>
        <w:instrText xml:space="preserve"> PAGEREF _Toc18414 \h </w:instrText>
      </w:r>
      <w:r>
        <w:rPr>
          <w:color w:val="auto"/>
          <w:highlight w:val="none"/>
        </w:rPr>
        <w:fldChar w:fldCharType="separate"/>
      </w:r>
      <w:r>
        <w:rPr>
          <w:color w:val="auto"/>
          <w:highlight w:val="none"/>
        </w:rPr>
        <w:t>85</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_Toc26926 </w:instrText>
      </w:r>
      <w:r>
        <w:rPr>
          <w:color w:val="auto"/>
          <w:szCs w:val="24"/>
          <w:highlight w:val="none"/>
        </w:rPr>
        <w:fldChar w:fldCharType="separate"/>
      </w:r>
      <w:r>
        <w:rPr>
          <w:rFonts w:hint="eastAsia" w:ascii="宋体" w:hAnsi="宋体" w:eastAsia="黑体"/>
          <w:color w:val="auto"/>
          <w:kern w:val="24"/>
          <w:szCs w:val="20"/>
          <w:highlight w:val="none"/>
        </w:rPr>
        <w:t>7.合同条款响应性承诺书</w:t>
      </w:r>
      <w:r>
        <w:rPr>
          <w:color w:val="auto"/>
          <w:highlight w:val="none"/>
        </w:rPr>
        <w:tab/>
      </w:r>
      <w:r>
        <w:rPr>
          <w:color w:val="auto"/>
          <w:highlight w:val="none"/>
        </w:rPr>
        <w:fldChar w:fldCharType="begin"/>
      </w:r>
      <w:r>
        <w:rPr>
          <w:color w:val="auto"/>
          <w:highlight w:val="none"/>
        </w:rPr>
        <w:instrText xml:space="preserve"> PAGEREF _Toc26926 \h </w:instrText>
      </w:r>
      <w:r>
        <w:rPr>
          <w:color w:val="auto"/>
          <w:highlight w:val="none"/>
        </w:rPr>
        <w:fldChar w:fldCharType="separate"/>
      </w:r>
      <w:r>
        <w:rPr>
          <w:color w:val="auto"/>
          <w:highlight w:val="none"/>
        </w:rPr>
        <w:t>87</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_Toc6753 </w:instrText>
      </w:r>
      <w:r>
        <w:rPr>
          <w:color w:val="auto"/>
          <w:szCs w:val="24"/>
          <w:highlight w:val="none"/>
        </w:rPr>
        <w:fldChar w:fldCharType="separate"/>
      </w:r>
      <w:r>
        <w:rPr>
          <w:rFonts w:hint="eastAsia" w:ascii="宋体" w:hAnsi="宋体" w:eastAsia="黑体"/>
          <w:color w:val="auto"/>
          <w:kern w:val="24"/>
          <w:szCs w:val="20"/>
          <w:highlight w:val="none"/>
        </w:rPr>
        <w:t>8.拟投入本项目的主要仪器设备表</w:t>
      </w:r>
      <w:r>
        <w:rPr>
          <w:color w:val="auto"/>
          <w:highlight w:val="none"/>
        </w:rPr>
        <w:tab/>
      </w:r>
      <w:r>
        <w:rPr>
          <w:color w:val="auto"/>
          <w:highlight w:val="none"/>
        </w:rPr>
        <w:fldChar w:fldCharType="begin"/>
      </w:r>
      <w:r>
        <w:rPr>
          <w:color w:val="auto"/>
          <w:highlight w:val="none"/>
        </w:rPr>
        <w:instrText xml:space="preserve"> PAGEREF _Toc6753 \h </w:instrText>
      </w:r>
      <w:r>
        <w:rPr>
          <w:color w:val="auto"/>
          <w:highlight w:val="none"/>
        </w:rPr>
        <w:fldChar w:fldCharType="separate"/>
      </w:r>
      <w:r>
        <w:rPr>
          <w:color w:val="auto"/>
          <w:highlight w:val="none"/>
        </w:rPr>
        <w:t>88</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_Toc2781 </w:instrText>
      </w:r>
      <w:r>
        <w:rPr>
          <w:color w:val="auto"/>
          <w:szCs w:val="24"/>
          <w:highlight w:val="none"/>
        </w:rPr>
        <w:fldChar w:fldCharType="separate"/>
      </w:r>
      <w:r>
        <w:rPr>
          <w:rFonts w:hint="eastAsia" w:ascii="宋体" w:hAnsi="宋体" w:eastAsia="黑体"/>
          <w:color w:val="auto"/>
          <w:kern w:val="0"/>
          <w:szCs w:val="28"/>
          <w:highlight w:val="none"/>
        </w:rPr>
        <w:t>9</w:t>
      </w:r>
      <w:r>
        <w:rPr>
          <w:rFonts w:ascii="宋体" w:hAnsi="宋体" w:eastAsia="黑体"/>
          <w:color w:val="auto"/>
          <w:kern w:val="0"/>
          <w:szCs w:val="28"/>
          <w:highlight w:val="none"/>
        </w:rPr>
        <w:t>.</w:t>
      </w:r>
      <w:r>
        <w:rPr>
          <w:rFonts w:hint="eastAsia" w:ascii="宋体" w:hAnsi="宋体" w:eastAsia="黑体"/>
          <w:color w:val="auto"/>
          <w:kern w:val="0"/>
          <w:szCs w:val="28"/>
          <w:highlight w:val="none"/>
          <w:lang w:val="en-US" w:eastAsia="zh-CN"/>
        </w:rPr>
        <w:t>技术</w:t>
      </w:r>
      <w:r>
        <w:rPr>
          <w:rFonts w:hint="eastAsia" w:ascii="宋体" w:hAnsi="宋体" w:eastAsia="黑体"/>
          <w:color w:val="auto"/>
          <w:kern w:val="0"/>
          <w:szCs w:val="28"/>
          <w:highlight w:val="none"/>
        </w:rPr>
        <w:t>方案</w:t>
      </w:r>
      <w:r>
        <w:rPr>
          <w:color w:val="auto"/>
          <w:highlight w:val="none"/>
        </w:rPr>
        <w:tab/>
      </w:r>
      <w:r>
        <w:rPr>
          <w:color w:val="auto"/>
          <w:highlight w:val="none"/>
        </w:rPr>
        <w:fldChar w:fldCharType="begin"/>
      </w:r>
      <w:r>
        <w:rPr>
          <w:color w:val="auto"/>
          <w:highlight w:val="none"/>
        </w:rPr>
        <w:instrText xml:space="preserve"> PAGEREF _Toc2781 \h </w:instrText>
      </w:r>
      <w:r>
        <w:rPr>
          <w:color w:val="auto"/>
          <w:highlight w:val="none"/>
        </w:rPr>
        <w:fldChar w:fldCharType="separate"/>
      </w:r>
      <w:r>
        <w:rPr>
          <w:color w:val="auto"/>
          <w:highlight w:val="none"/>
        </w:rPr>
        <w:t>89</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_Toc9311 </w:instrText>
      </w:r>
      <w:r>
        <w:rPr>
          <w:color w:val="auto"/>
          <w:szCs w:val="24"/>
          <w:highlight w:val="none"/>
        </w:rPr>
        <w:fldChar w:fldCharType="separate"/>
      </w:r>
      <w:r>
        <w:rPr>
          <w:rFonts w:ascii="黑体" w:hAnsi="黑体" w:eastAsia="黑体"/>
          <w:color w:val="auto"/>
          <w:kern w:val="0"/>
          <w:szCs w:val="28"/>
          <w:highlight w:val="none"/>
        </w:rPr>
        <w:t>1</w:t>
      </w:r>
      <w:r>
        <w:rPr>
          <w:rFonts w:hint="eastAsia" w:ascii="黑体" w:hAnsi="黑体" w:eastAsia="黑体"/>
          <w:color w:val="auto"/>
          <w:kern w:val="0"/>
          <w:szCs w:val="28"/>
          <w:highlight w:val="none"/>
        </w:rPr>
        <w:t>0</w:t>
      </w:r>
      <w:r>
        <w:rPr>
          <w:rFonts w:ascii="黑体" w:hAnsi="黑体" w:eastAsia="黑体"/>
          <w:color w:val="auto"/>
          <w:kern w:val="0"/>
          <w:szCs w:val="28"/>
          <w:highlight w:val="none"/>
        </w:rPr>
        <w:t>.</w:t>
      </w:r>
      <w:r>
        <w:rPr>
          <w:rFonts w:hint="eastAsia" w:ascii="黑体" w:hAnsi="黑体" w:eastAsia="黑体"/>
          <w:color w:val="auto"/>
          <w:kern w:val="0"/>
          <w:szCs w:val="28"/>
          <w:highlight w:val="none"/>
        </w:rPr>
        <w:t>资格审查材料</w:t>
      </w:r>
      <w:r>
        <w:rPr>
          <w:color w:val="auto"/>
          <w:highlight w:val="none"/>
        </w:rPr>
        <w:tab/>
      </w:r>
      <w:r>
        <w:rPr>
          <w:color w:val="auto"/>
          <w:highlight w:val="none"/>
        </w:rPr>
        <w:fldChar w:fldCharType="begin"/>
      </w:r>
      <w:r>
        <w:rPr>
          <w:color w:val="auto"/>
          <w:highlight w:val="none"/>
        </w:rPr>
        <w:instrText xml:space="preserve"> PAGEREF _Toc9311 \h </w:instrText>
      </w:r>
      <w:r>
        <w:rPr>
          <w:color w:val="auto"/>
          <w:highlight w:val="none"/>
        </w:rPr>
        <w:fldChar w:fldCharType="separate"/>
      </w:r>
      <w:r>
        <w:rPr>
          <w:color w:val="auto"/>
          <w:highlight w:val="none"/>
        </w:rPr>
        <w:t>90</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_Toc29036 </w:instrText>
      </w:r>
      <w:r>
        <w:rPr>
          <w:color w:val="auto"/>
          <w:szCs w:val="24"/>
          <w:highlight w:val="none"/>
        </w:rPr>
        <w:fldChar w:fldCharType="separate"/>
      </w:r>
      <w:r>
        <w:rPr>
          <w:rFonts w:ascii="宋体" w:hAnsi="宋体" w:eastAsia="黑体"/>
          <w:color w:val="auto"/>
          <w:szCs w:val="20"/>
          <w:highlight w:val="none"/>
        </w:rPr>
        <w:t>(</w:t>
      </w:r>
      <w:r>
        <w:rPr>
          <w:rFonts w:hint="eastAsia" w:ascii="宋体" w:hAnsi="宋体" w:eastAsia="黑体"/>
          <w:color w:val="auto"/>
          <w:szCs w:val="20"/>
          <w:highlight w:val="none"/>
        </w:rPr>
        <w:t>一</w:t>
      </w:r>
      <w:r>
        <w:rPr>
          <w:rFonts w:ascii="宋体" w:hAnsi="宋体" w:eastAsia="黑体"/>
          <w:color w:val="auto"/>
          <w:szCs w:val="20"/>
          <w:highlight w:val="none"/>
        </w:rPr>
        <w:t>)</w:t>
      </w:r>
      <w:r>
        <w:rPr>
          <w:rFonts w:hint="eastAsia" w:ascii="宋体" w:hAnsi="宋体" w:eastAsia="黑体"/>
          <w:color w:val="auto"/>
          <w:szCs w:val="20"/>
          <w:highlight w:val="none"/>
        </w:rPr>
        <w:t>投标人基本情况表</w:t>
      </w:r>
      <w:r>
        <w:rPr>
          <w:color w:val="auto"/>
          <w:highlight w:val="none"/>
        </w:rPr>
        <w:tab/>
      </w:r>
      <w:r>
        <w:rPr>
          <w:color w:val="auto"/>
          <w:highlight w:val="none"/>
        </w:rPr>
        <w:fldChar w:fldCharType="begin"/>
      </w:r>
      <w:r>
        <w:rPr>
          <w:color w:val="auto"/>
          <w:highlight w:val="none"/>
        </w:rPr>
        <w:instrText xml:space="preserve"> PAGEREF _Toc29036 \h </w:instrText>
      </w:r>
      <w:r>
        <w:rPr>
          <w:color w:val="auto"/>
          <w:highlight w:val="none"/>
        </w:rPr>
        <w:fldChar w:fldCharType="separate"/>
      </w:r>
      <w:r>
        <w:rPr>
          <w:color w:val="auto"/>
          <w:highlight w:val="none"/>
        </w:rPr>
        <w:t>90</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_Toc28217 </w:instrText>
      </w:r>
      <w:r>
        <w:rPr>
          <w:color w:val="auto"/>
          <w:szCs w:val="24"/>
          <w:highlight w:val="none"/>
        </w:rPr>
        <w:fldChar w:fldCharType="separate"/>
      </w:r>
      <w:r>
        <w:rPr>
          <w:rFonts w:hint="eastAsia" w:ascii="宋体" w:hAnsi="宋体" w:eastAsia="黑体"/>
          <w:color w:val="auto"/>
          <w:szCs w:val="20"/>
          <w:highlight w:val="none"/>
        </w:rPr>
        <w:t>（二）近年完成的类似监测项目情况表</w:t>
      </w:r>
      <w:r>
        <w:rPr>
          <w:color w:val="auto"/>
          <w:highlight w:val="none"/>
        </w:rPr>
        <w:tab/>
      </w:r>
      <w:r>
        <w:rPr>
          <w:color w:val="auto"/>
          <w:highlight w:val="none"/>
        </w:rPr>
        <w:fldChar w:fldCharType="begin"/>
      </w:r>
      <w:r>
        <w:rPr>
          <w:color w:val="auto"/>
          <w:highlight w:val="none"/>
        </w:rPr>
        <w:instrText xml:space="preserve"> PAGEREF _Toc28217 \h </w:instrText>
      </w:r>
      <w:r>
        <w:rPr>
          <w:color w:val="auto"/>
          <w:highlight w:val="none"/>
        </w:rPr>
        <w:fldChar w:fldCharType="separate"/>
      </w:r>
      <w:r>
        <w:rPr>
          <w:color w:val="auto"/>
          <w:highlight w:val="none"/>
        </w:rPr>
        <w:t>91</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_Toc1729 </w:instrText>
      </w:r>
      <w:r>
        <w:rPr>
          <w:color w:val="auto"/>
          <w:szCs w:val="24"/>
          <w:highlight w:val="none"/>
        </w:rPr>
        <w:fldChar w:fldCharType="separate"/>
      </w:r>
      <w:r>
        <w:rPr>
          <w:rFonts w:hint="eastAsia" w:ascii="宋体" w:hAnsi="宋体" w:eastAsia="黑体"/>
          <w:color w:val="auto"/>
          <w:szCs w:val="20"/>
          <w:highlight w:val="none"/>
        </w:rPr>
        <w:t>（</w:t>
      </w:r>
      <w:r>
        <w:rPr>
          <w:rFonts w:hint="eastAsia" w:ascii="宋体" w:hAnsi="宋体" w:eastAsia="黑体"/>
          <w:color w:val="auto"/>
          <w:szCs w:val="20"/>
          <w:highlight w:val="none"/>
          <w:lang w:val="en-US" w:eastAsia="zh-CN"/>
        </w:rPr>
        <w:t>三</w:t>
      </w:r>
      <w:r>
        <w:rPr>
          <w:rFonts w:hint="eastAsia" w:ascii="宋体" w:hAnsi="宋体" w:eastAsia="黑体"/>
          <w:color w:val="auto"/>
          <w:szCs w:val="20"/>
          <w:highlight w:val="none"/>
        </w:rPr>
        <w:t>）拟</w:t>
      </w:r>
      <w:r>
        <w:rPr>
          <w:rFonts w:hint="eastAsia" w:ascii="宋体" w:hAnsi="宋体" w:eastAsia="黑体"/>
          <w:color w:val="auto"/>
          <w:szCs w:val="20"/>
          <w:highlight w:val="none"/>
          <w:lang w:val="en-US" w:eastAsia="zh-CN"/>
        </w:rPr>
        <w:t>投入本项目</w:t>
      </w:r>
      <w:r>
        <w:rPr>
          <w:rFonts w:hint="eastAsia" w:ascii="宋体" w:hAnsi="宋体" w:eastAsia="黑体"/>
          <w:color w:val="auto"/>
          <w:szCs w:val="20"/>
          <w:highlight w:val="none"/>
        </w:rPr>
        <w:t>的人员汇总表</w:t>
      </w:r>
      <w:r>
        <w:rPr>
          <w:color w:val="auto"/>
          <w:highlight w:val="none"/>
        </w:rPr>
        <w:tab/>
      </w:r>
      <w:r>
        <w:rPr>
          <w:color w:val="auto"/>
          <w:highlight w:val="none"/>
        </w:rPr>
        <w:fldChar w:fldCharType="begin"/>
      </w:r>
      <w:r>
        <w:rPr>
          <w:color w:val="auto"/>
          <w:highlight w:val="none"/>
        </w:rPr>
        <w:instrText xml:space="preserve"> PAGEREF _Toc1729 \h </w:instrText>
      </w:r>
      <w:r>
        <w:rPr>
          <w:color w:val="auto"/>
          <w:highlight w:val="none"/>
        </w:rPr>
        <w:fldChar w:fldCharType="separate"/>
      </w:r>
      <w:r>
        <w:rPr>
          <w:color w:val="auto"/>
          <w:highlight w:val="none"/>
        </w:rPr>
        <w:t>92</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_Toc28144 </w:instrText>
      </w:r>
      <w:r>
        <w:rPr>
          <w:color w:val="auto"/>
          <w:szCs w:val="24"/>
          <w:highlight w:val="none"/>
        </w:rPr>
        <w:fldChar w:fldCharType="separate"/>
      </w:r>
      <w:r>
        <w:rPr>
          <w:rFonts w:hint="eastAsia" w:ascii="宋体" w:hAnsi="宋体" w:eastAsia="黑体"/>
          <w:color w:val="auto"/>
          <w:szCs w:val="20"/>
          <w:highlight w:val="none"/>
        </w:rPr>
        <w:t>（</w:t>
      </w:r>
      <w:r>
        <w:rPr>
          <w:rFonts w:hint="eastAsia" w:ascii="宋体" w:hAnsi="宋体" w:eastAsia="黑体"/>
          <w:color w:val="auto"/>
          <w:szCs w:val="20"/>
          <w:highlight w:val="none"/>
          <w:lang w:val="en-US" w:eastAsia="zh-CN"/>
        </w:rPr>
        <w:t>四</w:t>
      </w:r>
      <w:r>
        <w:rPr>
          <w:rFonts w:hint="eastAsia" w:ascii="宋体" w:hAnsi="宋体" w:eastAsia="黑体"/>
          <w:color w:val="auto"/>
          <w:szCs w:val="20"/>
          <w:highlight w:val="none"/>
        </w:rPr>
        <w:t>）</w:t>
      </w:r>
      <w:r>
        <w:rPr>
          <w:rFonts w:hint="eastAsia" w:ascii="宋体" w:hAnsi="宋体" w:eastAsia="黑体"/>
          <w:color w:val="auto"/>
          <w:szCs w:val="20"/>
          <w:highlight w:val="none"/>
          <w:lang w:val="en-US" w:eastAsia="zh-CN"/>
        </w:rPr>
        <w:t>拟投入项目</w:t>
      </w:r>
      <w:r>
        <w:rPr>
          <w:rFonts w:hint="eastAsia" w:ascii="宋体" w:hAnsi="宋体" w:eastAsia="黑体"/>
          <w:color w:val="auto"/>
          <w:szCs w:val="20"/>
          <w:highlight w:val="none"/>
        </w:rPr>
        <w:t>人员简历表</w:t>
      </w:r>
      <w:r>
        <w:rPr>
          <w:color w:val="auto"/>
          <w:highlight w:val="none"/>
        </w:rPr>
        <w:tab/>
      </w:r>
      <w:r>
        <w:rPr>
          <w:color w:val="auto"/>
          <w:highlight w:val="none"/>
        </w:rPr>
        <w:fldChar w:fldCharType="begin"/>
      </w:r>
      <w:r>
        <w:rPr>
          <w:color w:val="auto"/>
          <w:highlight w:val="none"/>
        </w:rPr>
        <w:instrText xml:space="preserve"> PAGEREF _Toc28144 \h </w:instrText>
      </w:r>
      <w:r>
        <w:rPr>
          <w:color w:val="auto"/>
          <w:highlight w:val="none"/>
        </w:rPr>
        <w:fldChar w:fldCharType="separate"/>
      </w:r>
      <w:r>
        <w:rPr>
          <w:color w:val="auto"/>
          <w:highlight w:val="none"/>
        </w:rPr>
        <w:t>93</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_Toc30449 </w:instrText>
      </w:r>
      <w:r>
        <w:rPr>
          <w:color w:val="auto"/>
          <w:szCs w:val="24"/>
          <w:highlight w:val="none"/>
        </w:rPr>
        <w:fldChar w:fldCharType="separate"/>
      </w:r>
      <w:r>
        <w:rPr>
          <w:rFonts w:hint="eastAsia" w:ascii="宋体" w:hAnsi="宋体" w:eastAsia="黑体"/>
          <w:color w:val="auto"/>
          <w:szCs w:val="20"/>
          <w:highlight w:val="none"/>
        </w:rPr>
        <w:t>（五）投标申请人声明格式</w:t>
      </w:r>
      <w:r>
        <w:rPr>
          <w:color w:val="auto"/>
          <w:highlight w:val="none"/>
        </w:rPr>
        <w:tab/>
      </w:r>
      <w:r>
        <w:rPr>
          <w:color w:val="auto"/>
          <w:highlight w:val="none"/>
        </w:rPr>
        <w:fldChar w:fldCharType="begin"/>
      </w:r>
      <w:r>
        <w:rPr>
          <w:color w:val="auto"/>
          <w:highlight w:val="none"/>
        </w:rPr>
        <w:instrText xml:space="preserve"> PAGEREF _Toc30449 \h </w:instrText>
      </w:r>
      <w:r>
        <w:rPr>
          <w:color w:val="auto"/>
          <w:highlight w:val="none"/>
        </w:rPr>
        <w:fldChar w:fldCharType="separate"/>
      </w:r>
      <w:r>
        <w:rPr>
          <w:color w:val="auto"/>
          <w:highlight w:val="none"/>
        </w:rPr>
        <w:t>94</w:t>
      </w:r>
      <w:r>
        <w:rPr>
          <w:color w:val="auto"/>
          <w:highlight w:val="none"/>
        </w:rPr>
        <w:fldChar w:fldCharType="end"/>
      </w:r>
      <w:r>
        <w:rPr>
          <w:color w:val="auto"/>
          <w:szCs w:val="24"/>
          <w:highlight w:val="none"/>
        </w:rPr>
        <w:fldChar w:fldCharType="end"/>
      </w:r>
    </w:p>
    <w:p>
      <w:pPr>
        <w:pStyle w:val="20"/>
        <w:tabs>
          <w:tab w:val="right" w:leader="dot" w:pos="9639"/>
        </w:tabs>
        <w:rPr>
          <w:color w:val="auto"/>
          <w:highlight w:val="none"/>
        </w:rPr>
      </w:pPr>
      <w:r>
        <w:rPr>
          <w:color w:val="auto"/>
          <w:szCs w:val="24"/>
          <w:highlight w:val="none"/>
        </w:rPr>
        <w:fldChar w:fldCharType="begin"/>
      </w:r>
      <w:r>
        <w:rPr>
          <w:color w:val="auto"/>
          <w:szCs w:val="24"/>
          <w:highlight w:val="none"/>
        </w:rPr>
        <w:instrText xml:space="preserve"> HYPERLINK \l _Toc10550 </w:instrText>
      </w:r>
      <w:r>
        <w:rPr>
          <w:color w:val="auto"/>
          <w:szCs w:val="24"/>
          <w:highlight w:val="none"/>
        </w:rPr>
        <w:fldChar w:fldCharType="separate"/>
      </w:r>
      <w:r>
        <w:rPr>
          <w:rFonts w:ascii="宋体" w:hAnsi="宋体" w:eastAsia="黑体" w:cs="Tahoma"/>
          <w:color w:val="auto"/>
          <w:szCs w:val="20"/>
          <w:highlight w:val="none"/>
        </w:rPr>
        <w:t>(</w:t>
      </w:r>
      <w:r>
        <w:rPr>
          <w:rFonts w:hint="eastAsia" w:ascii="宋体" w:hAnsi="宋体" w:eastAsia="黑体" w:cs="Tahoma"/>
          <w:color w:val="auto"/>
          <w:szCs w:val="20"/>
          <w:highlight w:val="none"/>
        </w:rPr>
        <w:t>六</w:t>
      </w:r>
      <w:r>
        <w:rPr>
          <w:rFonts w:ascii="宋体" w:hAnsi="宋体" w:eastAsia="黑体" w:cs="Tahoma"/>
          <w:color w:val="auto"/>
          <w:szCs w:val="20"/>
          <w:highlight w:val="none"/>
        </w:rPr>
        <w:t>)</w:t>
      </w:r>
      <w:r>
        <w:rPr>
          <w:rFonts w:hint="eastAsia" w:ascii="宋体" w:hAnsi="宋体" w:eastAsia="黑体"/>
          <w:color w:val="auto"/>
          <w:szCs w:val="20"/>
          <w:highlight w:val="none"/>
        </w:rPr>
        <w:t>投标保函格式</w:t>
      </w:r>
      <w:r>
        <w:rPr>
          <w:color w:val="auto"/>
          <w:highlight w:val="none"/>
        </w:rPr>
        <w:tab/>
      </w:r>
      <w:r>
        <w:rPr>
          <w:color w:val="auto"/>
          <w:highlight w:val="none"/>
        </w:rPr>
        <w:fldChar w:fldCharType="begin"/>
      </w:r>
      <w:r>
        <w:rPr>
          <w:color w:val="auto"/>
          <w:highlight w:val="none"/>
        </w:rPr>
        <w:instrText xml:space="preserve"> PAGEREF _Toc10550 \h </w:instrText>
      </w:r>
      <w:r>
        <w:rPr>
          <w:color w:val="auto"/>
          <w:highlight w:val="none"/>
        </w:rPr>
        <w:fldChar w:fldCharType="separate"/>
      </w:r>
      <w:r>
        <w:rPr>
          <w:color w:val="auto"/>
          <w:highlight w:val="none"/>
        </w:rPr>
        <w:t>95</w:t>
      </w:r>
      <w:r>
        <w:rPr>
          <w:color w:val="auto"/>
          <w:highlight w:val="none"/>
        </w:rPr>
        <w:fldChar w:fldCharType="end"/>
      </w:r>
      <w:r>
        <w:rPr>
          <w:color w:val="auto"/>
          <w:szCs w:val="24"/>
          <w:highlight w:val="none"/>
        </w:rPr>
        <w:fldChar w:fldCharType="end"/>
      </w:r>
    </w:p>
    <w:p>
      <w:pPr>
        <w:pStyle w:val="32"/>
        <w:tabs>
          <w:tab w:val="right" w:leader="dot" w:pos="9639"/>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_Toc20415 </w:instrText>
      </w:r>
      <w:r>
        <w:rPr>
          <w:color w:val="auto"/>
          <w:szCs w:val="24"/>
          <w:highlight w:val="none"/>
        </w:rPr>
        <w:fldChar w:fldCharType="separate"/>
      </w:r>
      <w:r>
        <w:rPr>
          <w:rFonts w:ascii="黑体" w:hAnsi="黑体" w:eastAsia="黑体"/>
          <w:color w:val="auto"/>
          <w:kern w:val="0"/>
          <w:szCs w:val="28"/>
          <w:highlight w:val="none"/>
        </w:rPr>
        <w:t>1</w:t>
      </w:r>
      <w:r>
        <w:rPr>
          <w:rFonts w:hint="eastAsia" w:ascii="黑体" w:hAnsi="黑体" w:eastAsia="黑体"/>
          <w:color w:val="auto"/>
          <w:kern w:val="0"/>
          <w:szCs w:val="28"/>
          <w:highlight w:val="none"/>
        </w:rPr>
        <w:t>1</w:t>
      </w:r>
      <w:r>
        <w:rPr>
          <w:rFonts w:ascii="黑体" w:hAnsi="黑体" w:eastAsia="黑体"/>
          <w:color w:val="auto"/>
          <w:kern w:val="0"/>
          <w:szCs w:val="28"/>
          <w:highlight w:val="none"/>
        </w:rPr>
        <w:t>.</w:t>
      </w:r>
      <w:r>
        <w:rPr>
          <w:rFonts w:hint="eastAsia" w:ascii="黑体" w:hAnsi="黑体" w:eastAsia="黑体"/>
          <w:color w:val="auto"/>
          <w:kern w:val="0"/>
          <w:szCs w:val="28"/>
          <w:highlight w:val="none"/>
        </w:rPr>
        <w:t>须评审的其他资料（包含但不限于：含</w:t>
      </w:r>
      <w:r>
        <w:rPr>
          <w:rFonts w:hint="eastAsia" w:ascii="黑体" w:hAnsi="黑体" w:eastAsia="黑体"/>
          <w:color w:val="auto"/>
          <w:kern w:val="0"/>
          <w:szCs w:val="28"/>
          <w:highlight w:val="none"/>
          <w:lang w:val="en-US" w:eastAsia="zh-CN"/>
        </w:rPr>
        <w:t>业主评价、</w:t>
      </w:r>
      <w:r>
        <w:rPr>
          <w:rFonts w:hint="eastAsia" w:ascii="黑体" w:hAnsi="黑体" w:eastAsia="黑体"/>
          <w:color w:val="auto"/>
          <w:kern w:val="0"/>
          <w:szCs w:val="28"/>
          <w:highlight w:val="none"/>
        </w:rPr>
        <w:t>奖项荣誉证书等相关证明材料，格式自拟）</w:t>
      </w:r>
      <w:r>
        <w:rPr>
          <w:color w:val="auto"/>
          <w:highlight w:val="none"/>
        </w:rPr>
        <w:tab/>
      </w:r>
      <w:r>
        <w:rPr>
          <w:color w:val="auto"/>
          <w:highlight w:val="none"/>
        </w:rPr>
        <w:fldChar w:fldCharType="begin"/>
      </w:r>
      <w:r>
        <w:rPr>
          <w:color w:val="auto"/>
          <w:highlight w:val="none"/>
        </w:rPr>
        <w:instrText xml:space="preserve"> PAGEREF _Toc20415 \h </w:instrText>
      </w:r>
      <w:r>
        <w:rPr>
          <w:color w:val="auto"/>
          <w:highlight w:val="none"/>
        </w:rPr>
        <w:fldChar w:fldCharType="separate"/>
      </w:r>
      <w:r>
        <w:rPr>
          <w:color w:val="auto"/>
          <w:highlight w:val="none"/>
        </w:rPr>
        <w:t>97</w:t>
      </w:r>
      <w:r>
        <w:rPr>
          <w:color w:val="auto"/>
          <w:highlight w:val="none"/>
        </w:rPr>
        <w:fldChar w:fldCharType="end"/>
      </w:r>
      <w:r>
        <w:rPr>
          <w:color w:val="auto"/>
          <w:szCs w:val="24"/>
          <w:highlight w:val="none"/>
        </w:rPr>
        <w:fldChar w:fldCharType="end"/>
      </w:r>
    </w:p>
    <w:p>
      <w:pPr>
        <w:pStyle w:val="5"/>
        <w:rPr>
          <w:color w:val="auto"/>
          <w:highlight w:val="none"/>
        </w:rPr>
      </w:pPr>
      <w:r>
        <w:rPr>
          <w:color w:val="auto"/>
          <w:szCs w:val="24"/>
          <w:highlight w:val="none"/>
        </w:rPr>
        <w:fldChar w:fldCharType="end"/>
      </w:r>
      <w:r>
        <w:rPr>
          <w:color w:val="auto"/>
          <w:highlight w:val="none"/>
        </w:rPr>
        <w:br w:type="page"/>
      </w:r>
    </w:p>
    <w:p>
      <w:pPr>
        <w:keepNext/>
        <w:keepLines/>
        <w:adjustRightInd w:val="0"/>
        <w:spacing w:before="240" w:after="60"/>
        <w:jc w:val="center"/>
        <w:textAlignment w:val="baseline"/>
        <w:outlineLvl w:val="0"/>
        <w:rPr>
          <w:rFonts w:eastAsia="黑体"/>
          <w:color w:val="auto"/>
          <w:kern w:val="24"/>
          <w:sz w:val="28"/>
          <w:szCs w:val="20"/>
          <w:highlight w:val="none"/>
        </w:rPr>
      </w:pPr>
      <w:bookmarkStart w:id="11" w:name="_Toc1890961065"/>
      <w:bookmarkStart w:id="12" w:name="_Toc826"/>
      <w:bookmarkStart w:id="13" w:name="_Toc27584"/>
      <w:bookmarkStart w:id="14" w:name="_Toc25216"/>
      <w:bookmarkStart w:id="15" w:name="_Toc28938"/>
      <w:bookmarkStart w:id="16" w:name="_Toc10711"/>
      <w:bookmarkStart w:id="17" w:name="_Toc2500"/>
      <w:bookmarkStart w:id="18" w:name="_Toc170804548"/>
      <w:bookmarkStart w:id="19" w:name="_Toc6058"/>
      <w:bookmarkStart w:id="20" w:name="_Toc10555"/>
      <w:bookmarkStart w:id="21" w:name="_Toc31012"/>
      <w:r>
        <w:rPr>
          <w:rFonts w:hint="eastAsia" w:eastAsia="黑体"/>
          <w:color w:val="auto"/>
          <w:kern w:val="24"/>
          <w:sz w:val="28"/>
          <w:szCs w:val="20"/>
          <w:highlight w:val="none"/>
        </w:rPr>
        <w:t>第一卷</w:t>
      </w:r>
      <w:bookmarkEnd w:id="11"/>
      <w:bookmarkEnd w:id="12"/>
      <w:bookmarkEnd w:id="13"/>
      <w:bookmarkEnd w:id="14"/>
      <w:bookmarkEnd w:id="15"/>
      <w:bookmarkEnd w:id="16"/>
      <w:bookmarkEnd w:id="17"/>
      <w:bookmarkEnd w:id="18"/>
      <w:bookmarkEnd w:id="19"/>
      <w:bookmarkEnd w:id="20"/>
      <w:bookmarkEnd w:id="21"/>
    </w:p>
    <w:p>
      <w:pPr>
        <w:keepNext/>
        <w:keepLines/>
        <w:adjustRightInd w:val="0"/>
        <w:spacing w:before="240" w:after="60"/>
        <w:jc w:val="center"/>
        <w:textAlignment w:val="baseline"/>
        <w:outlineLvl w:val="0"/>
        <w:rPr>
          <w:rFonts w:eastAsia="黑体"/>
          <w:color w:val="auto"/>
          <w:kern w:val="24"/>
          <w:sz w:val="28"/>
          <w:szCs w:val="20"/>
          <w:highlight w:val="none"/>
        </w:rPr>
      </w:pPr>
      <w:bookmarkStart w:id="22" w:name="_Toc772127502"/>
      <w:bookmarkStart w:id="23" w:name="_Toc16020"/>
      <w:bookmarkStart w:id="24" w:name="_Toc11480"/>
      <w:bookmarkStart w:id="25" w:name="_Toc18609"/>
      <w:bookmarkStart w:id="26" w:name="_Toc19737"/>
      <w:bookmarkStart w:id="27" w:name="_Toc2617"/>
      <w:bookmarkStart w:id="28" w:name="_Toc2821"/>
      <w:bookmarkStart w:id="29" w:name="_Toc8509"/>
      <w:bookmarkStart w:id="30" w:name="_Toc170804549"/>
      <w:bookmarkStart w:id="31" w:name="_Toc23185"/>
      <w:bookmarkStart w:id="32" w:name="_Toc15192"/>
      <w:bookmarkStart w:id="33" w:name="OLE_LINK21"/>
      <w:r>
        <w:rPr>
          <w:rFonts w:hint="eastAsia" w:eastAsia="黑体"/>
          <w:color w:val="auto"/>
          <w:kern w:val="24"/>
          <w:sz w:val="28"/>
          <w:szCs w:val="20"/>
          <w:highlight w:val="none"/>
        </w:rPr>
        <w:t>第一章招标公告</w:t>
      </w:r>
      <w:bookmarkEnd w:id="22"/>
      <w:bookmarkEnd w:id="23"/>
      <w:bookmarkEnd w:id="24"/>
      <w:bookmarkEnd w:id="25"/>
      <w:bookmarkEnd w:id="26"/>
      <w:bookmarkEnd w:id="27"/>
      <w:bookmarkEnd w:id="28"/>
      <w:bookmarkEnd w:id="29"/>
      <w:bookmarkEnd w:id="30"/>
      <w:bookmarkEnd w:id="31"/>
      <w:bookmarkEnd w:id="32"/>
    </w:p>
    <w:p>
      <w:pPr>
        <w:spacing w:line="440" w:lineRule="exact"/>
        <w:jc w:val="center"/>
        <w:rPr>
          <w:rFonts w:hint="eastAsia" w:eastAsia="黑体"/>
          <w:color w:val="auto"/>
          <w:sz w:val="28"/>
          <w:szCs w:val="24"/>
          <w:highlight w:val="none"/>
        </w:rPr>
      </w:pPr>
      <w:r>
        <w:rPr>
          <w:rFonts w:hint="eastAsia" w:eastAsia="黑体"/>
          <w:color w:val="auto"/>
          <w:sz w:val="28"/>
          <w:szCs w:val="24"/>
          <w:highlight w:val="none"/>
        </w:rPr>
        <w:t>东莞</w:t>
      </w:r>
      <w:r>
        <w:rPr>
          <w:rFonts w:hint="eastAsia" w:eastAsia="黑体"/>
          <w:color w:val="auto"/>
          <w:sz w:val="28"/>
          <w:szCs w:val="24"/>
          <w:highlight w:val="none"/>
          <w:lang w:eastAsia="zh-CN"/>
        </w:rPr>
        <w:t>市</w:t>
      </w:r>
      <w:r>
        <w:rPr>
          <w:rFonts w:hint="eastAsia" w:eastAsia="黑体"/>
          <w:color w:val="auto"/>
          <w:sz w:val="28"/>
          <w:szCs w:val="24"/>
          <w:highlight w:val="none"/>
        </w:rPr>
        <w:t>轨道交通1号线</w:t>
      </w:r>
      <w:r>
        <w:rPr>
          <w:rFonts w:hint="eastAsia" w:eastAsia="黑体"/>
          <w:color w:val="auto"/>
          <w:sz w:val="28"/>
          <w:szCs w:val="24"/>
          <w:highlight w:val="none"/>
          <w:lang w:eastAsia="zh-CN"/>
        </w:rPr>
        <w:t>一期工程</w:t>
      </w:r>
      <w:r>
        <w:rPr>
          <w:rFonts w:hint="eastAsia" w:eastAsia="黑体"/>
          <w:color w:val="auto"/>
          <w:sz w:val="28"/>
          <w:szCs w:val="24"/>
          <w:highlight w:val="none"/>
        </w:rPr>
        <w:t>2025-2026年结构变形监测项目</w:t>
      </w:r>
    </w:p>
    <w:p>
      <w:pPr>
        <w:spacing w:line="440" w:lineRule="exact"/>
        <w:jc w:val="center"/>
        <w:rPr>
          <w:rFonts w:eastAsia="黑体"/>
          <w:color w:val="auto"/>
          <w:sz w:val="28"/>
          <w:szCs w:val="24"/>
          <w:highlight w:val="none"/>
        </w:rPr>
      </w:pPr>
      <w:r>
        <w:rPr>
          <w:rFonts w:hint="eastAsia" w:eastAsia="黑体"/>
          <w:color w:val="auto"/>
          <w:sz w:val="28"/>
          <w:szCs w:val="24"/>
          <w:highlight w:val="none"/>
        </w:rPr>
        <w:t>招标公告</w:t>
      </w:r>
    </w:p>
    <w:p>
      <w:pPr>
        <w:spacing w:line="440" w:lineRule="exact"/>
        <w:jc w:val="center"/>
        <w:rPr>
          <w:rFonts w:eastAsia="黑体"/>
          <w:i/>
          <w:color w:val="auto"/>
          <w:sz w:val="20"/>
          <w:szCs w:val="24"/>
          <w:highlight w:val="none"/>
        </w:rPr>
      </w:pPr>
    </w:p>
    <w:p>
      <w:pPr>
        <w:keepNext/>
        <w:keepLines/>
        <w:adjustRightInd w:val="0"/>
        <w:spacing w:before="240" w:after="120"/>
        <w:textAlignment w:val="baseline"/>
        <w:outlineLvl w:val="1"/>
        <w:rPr>
          <w:rFonts w:eastAsia="黑体"/>
          <w:color w:val="auto"/>
          <w:kern w:val="0"/>
          <w:sz w:val="24"/>
          <w:szCs w:val="20"/>
          <w:highlight w:val="none"/>
        </w:rPr>
      </w:pPr>
      <w:bookmarkStart w:id="34" w:name="_Toc32124"/>
      <w:bookmarkStart w:id="35" w:name="_Toc170804550"/>
      <w:bookmarkStart w:id="36" w:name="_Toc15651"/>
      <w:bookmarkStart w:id="37" w:name="_Toc2050730940"/>
      <w:bookmarkStart w:id="38" w:name="_Toc3042"/>
      <w:bookmarkStart w:id="39" w:name="_Toc10244"/>
      <w:bookmarkStart w:id="40" w:name="_Toc17916"/>
      <w:bookmarkStart w:id="41" w:name="_Toc10076"/>
      <w:bookmarkStart w:id="42" w:name="_Toc13106"/>
      <w:bookmarkStart w:id="43" w:name="_Toc7393"/>
      <w:bookmarkStart w:id="44" w:name="_Toc73"/>
      <w:r>
        <w:rPr>
          <w:rFonts w:eastAsia="黑体"/>
          <w:color w:val="auto"/>
          <w:kern w:val="0"/>
          <w:sz w:val="24"/>
          <w:szCs w:val="20"/>
          <w:highlight w:val="none"/>
        </w:rPr>
        <w:t xml:space="preserve">1. </w:t>
      </w:r>
      <w:r>
        <w:rPr>
          <w:rFonts w:hint="eastAsia" w:eastAsia="黑体"/>
          <w:color w:val="auto"/>
          <w:kern w:val="0"/>
          <w:sz w:val="24"/>
          <w:szCs w:val="20"/>
          <w:highlight w:val="none"/>
        </w:rPr>
        <w:t>招标条件</w:t>
      </w:r>
      <w:bookmarkEnd w:id="34"/>
      <w:bookmarkEnd w:id="35"/>
      <w:bookmarkEnd w:id="36"/>
      <w:bookmarkEnd w:id="37"/>
      <w:bookmarkEnd w:id="38"/>
      <w:bookmarkEnd w:id="39"/>
      <w:bookmarkEnd w:id="40"/>
      <w:bookmarkEnd w:id="41"/>
      <w:bookmarkEnd w:id="42"/>
      <w:bookmarkEnd w:id="43"/>
      <w:bookmarkEnd w:id="44"/>
    </w:p>
    <w:p>
      <w:pPr>
        <w:spacing w:line="360" w:lineRule="auto"/>
        <w:ind w:firstLine="420" w:firstLineChars="200"/>
        <w:rPr>
          <w:color w:val="auto"/>
          <w:szCs w:val="24"/>
          <w:highlight w:val="none"/>
        </w:rPr>
      </w:pPr>
      <w:r>
        <w:rPr>
          <w:rFonts w:hint="eastAsia"/>
          <w:color w:val="auto"/>
          <w:szCs w:val="24"/>
          <w:highlight w:val="none"/>
        </w:rPr>
        <w:t>根据</w:t>
      </w:r>
      <w:r>
        <w:rPr>
          <w:color w:val="auto"/>
          <w:szCs w:val="24"/>
          <w:highlight w:val="none"/>
        </w:rPr>
        <w:t xml:space="preserve"> </w:t>
      </w:r>
      <w:r>
        <w:rPr>
          <w:rFonts w:hint="eastAsia"/>
          <w:color w:val="auto"/>
          <w:szCs w:val="24"/>
          <w:highlight w:val="none"/>
          <w:u w:val="single"/>
        </w:rPr>
        <w:t>《广东省发展改革委关于东莞市城市轨道交通1号线一期工程可行性研究调整报告的批复》（粤发改投审</w:t>
      </w:r>
      <w:r>
        <w:rPr>
          <w:color w:val="auto"/>
          <w:szCs w:val="24"/>
          <w:highlight w:val="none"/>
          <w:u w:val="single"/>
        </w:rPr>
        <w:t>[202</w:t>
      </w:r>
      <w:r>
        <w:rPr>
          <w:rFonts w:hint="eastAsia"/>
          <w:color w:val="auto"/>
          <w:szCs w:val="24"/>
          <w:highlight w:val="none"/>
          <w:u w:val="single"/>
        </w:rPr>
        <w:t>4</w:t>
      </w:r>
      <w:r>
        <w:rPr>
          <w:color w:val="auto"/>
          <w:szCs w:val="24"/>
          <w:highlight w:val="none"/>
          <w:u w:val="single"/>
        </w:rPr>
        <w:t>]</w:t>
      </w:r>
      <w:r>
        <w:rPr>
          <w:rFonts w:hint="eastAsia"/>
          <w:color w:val="auto"/>
          <w:szCs w:val="24"/>
          <w:highlight w:val="none"/>
          <w:u w:val="single"/>
        </w:rPr>
        <w:t>47号）</w:t>
      </w:r>
      <w:r>
        <w:rPr>
          <w:rFonts w:hint="eastAsia"/>
          <w:color w:val="auto"/>
          <w:szCs w:val="24"/>
          <w:highlight w:val="none"/>
        </w:rPr>
        <w:t>批准，</w:t>
      </w:r>
      <w:bookmarkStart w:id="45" w:name="OLE_LINK5"/>
      <w:r>
        <w:rPr>
          <w:rFonts w:hint="eastAsia" w:asciiTheme="minorEastAsia" w:hAnsiTheme="minorEastAsia" w:eastAsiaTheme="minorEastAsia" w:cstheme="minorEastAsia"/>
          <w:color w:val="auto"/>
          <w:szCs w:val="21"/>
          <w:highlight w:val="none"/>
          <w:u w:val="single"/>
        </w:rPr>
        <w:t>东莞</w:t>
      </w:r>
      <w:r>
        <w:rPr>
          <w:rFonts w:hint="eastAsia" w:asciiTheme="minorEastAsia" w:hAnsiTheme="minorEastAsia" w:eastAsiaTheme="minorEastAsia" w:cstheme="minorEastAsia"/>
          <w:color w:val="auto"/>
          <w:szCs w:val="21"/>
          <w:highlight w:val="none"/>
          <w:u w:val="single"/>
          <w:lang w:eastAsia="zh-CN"/>
        </w:rPr>
        <w:t>市</w:t>
      </w:r>
      <w:r>
        <w:rPr>
          <w:rFonts w:hint="eastAsia" w:asciiTheme="minorEastAsia" w:hAnsiTheme="minorEastAsia" w:eastAsiaTheme="minorEastAsia" w:cstheme="minorEastAsia"/>
          <w:color w:val="auto"/>
          <w:szCs w:val="21"/>
          <w:highlight w:val="none"/>
          <w:u w:val="single"/>
        </w:rPr>
        <w:t>轨道交通1号线</w:t>
      </w:r>
      <w:r>
        <w:rPr>
          <w:rFonts w:hint="eastAsia" w:asciiTheme="minorEastAsia" w:hAnsiTheme="minorEastAsia" w:eastAsiaTheme="minorEastAsia" w:cstheme="minorEastAsia"/>
          <w:color w:val="auto"/>
          <w:szCs w:val="21"/>
          <w:highlight w:val="none"/>
          <w:u w:val="single"/>
          <w:lang w:eastAsia="zh-CN"/>
        </w:rPr>
        <w:t>一期工程</w:t>
      </w:r>
      <w:r>
        <w:rPr>
          <w:rFonts w:hint="eastAsia" w:asciiTheme="minorEastAsia" w:hAnsiTheme="minorEastAsia" w:eastAsiaTheme="minorEastAsia" w:cstheme="minorEastAsia"/>
          <w:color w:val="auto"/>
          <w:szCs w:val="21"/>
          <w:highlight w:val="none"/>
          <w:u w:val="single"/>
        </w:rPr>
        <w:t>2025-2026年结构变形监测项目</w:t>
      </w:r>
      <w:bookmarkEnd w:id="45"/>
      <w:r>
        <w:rPr>
          <w:rFonts w:hint="eastAsia"/>
          <w:color w:val="auto"/>
          <w:szCs w:val="24"/>
          <w:highlight w:val="none"/>
        </w:rPr>
        <w:t>建设资金来</w:t>
      </w:r>
      <w:r>
        <w:rPr>
          <w:rFonts w:hint="eastAsia"/>
          <w:color w:val="auto"/>
          <w:szCs w:val="24"/>
          <w:highlight w:val="none"/>
          <w:lang w:eastAsia="zh-CN"/>
        </w:rPr>
        <w:t>自</w:t>
      </w:r>
      <w:r>
        <w:rPr>
          <w:rFonts w:hint="eastAsia"/>
          <w:color w:val="auto"/>
          <w:szCs w:val="24"/>
          <w:highlight w:val="none"/>
        </w:rPr>
        <w:t>40%资本金和60%债务性资金，</w:t>
      </w:r>
      <w:r>
        <w:rPr>
          <w:rFonts w:hint="eastAsia"/>
          <w:color w:val="auto"/>
          <w:szCs w:val="24"/>
          <w:highlight w:val="none"/>
          <w:u w:val="single"/>
        </w:rPr>
        <w:t>东莞市轨道一号线建设发展有限公司</w:t>
      </w:r>
      <w:r>
        <w:rPr>
          <w:rFonts w:hint="eastAsia" w:ascii="宋体" w:hAnsi="宋体"/>
          <w:color w:val="auto"/>
          <w:szCs w:val="21"/>
          <w:highlight w:val="none"/>
        </w:rPr>
        <w:t>为项目业主，开展</w:t>
      </w:r>
      <w:bookmarkStart w:id="46" w:name="OLE_LINK2"/>
      <w:r>
        <w:rPr>
          <w:rFonts w:hint="eastAsia" w:asciiTheme="minorEastAsia" w:hAnsiTheme="minorEastAsia" w:eastAsiaTheme="minorEastAsia" w:cstheme="minorEastAsia"/>
          <w:color w:val="auto"/>
          <w:szCs w:val="21"/>
          <w:highlight w:val="none"/>
          <w:u w:val="single"/>
        </w:rPr>
        <w:t>东莞</w:t>
      </w:r>
      <w:r>
        <w:rPr>
          <w:rFonts w:hint="eastAsia" w:asciiTheme="minorEastAsia" w:hAnsiTheme="minorEastAsia" w:eastAsiaTheme="minorEastAsia" w:cstheme="minorEastAsia"/>
          <w:color w:val="auto"/>
          <w:szCs w:val="21"/>
          <w:highlight w:val="none"/>
          <w:u w:val="single"/>
          <w:lang w:eastAsia="zh-CN"/>
        </w:rPr>
        <w:t>市</w:t>
      </w:r>
      <w:r>
        <w:rPr>
          <w:rFonts w:hint="eastAsia" w:asciiTheme="minorEastAsia" w:hAnsiTheme="minorEastAsia" w:eastAsiaTheme="minorEastAsia" w:cstheme="minorEastAsia"/>
          <w:color w:val="auto"/>
          <w:szCs w:val="21"/>
          <w:highlight w:val="none"/>
          <w:u w:val="single"/>
        </w:rPr>
        <w:t>轨道交通1号线</w:t>
      </w:r>
      <w:r>
        <w:rPr>
          <w:rFonts w:hint="eastAsia" w:asciiTheme="minorEastAsia" w:hAnsiTheme="minorEastAsia" w:eastAsiaTheme="minorEastAsia" w:cstheme="minorEastAsia"/>
          <w:color w:val="auto"/>
          <w:szCs w:val="21"/>
          <w:highlight w:val="none"/>
          <w:u w:val="single"/>
          <w:lang w:eastAsia="zh-CN"/>
        </w:rPr>
        <w:t>一期工程</w:t>
      </w:r>
      <w:r>
        <w:rPr>
          <w:rFonts w:hint="eastAsia" w:asciiTheme="minorEastAsia" w:hAnsiTheme="minorEastAsia" w:eastAsiaTheme="minorEastAsia" w:cstheme="minorEastAsia"/>
          <w:color w:val="auto"/>
          <w:szCs w:val="21"/>
          <w:highlight w:val="none"/>
          <w:u w:val="single"/>
        </w:rPr>
        <w:t>2025-2026年结构变形监测项目</w:t>
      </w:r>
      <w:bookmarkEnd w:id="46"/>
      <w:r>
        <w:rPr>
          <w:rFonts w:hint="eastAsia" w:ascii="宋体" w:hAnsi="宋体"/>
          <w:color w:val="auto"/>
          <w:szCs w:val="21"/>
          <w:highlight w:val="none"/>
        </w:rPr>
        <w:t>招标相关工作。招标人为</w:t>
      </w:r>
      <w:r>
        <w:rPr>
          <w:rFonts w:hint="eastAsia" w:ascii="宋体" w:hAnsi="宋体"/>
          <w:color w:val="auto"/>
          <w:szCs w:val="21"/>
          <w:highlight w:val="none"/>
          <w:u w:val="single"/>
        </w:rPr>
        <w:t>东莞市轨道一号线建设发展有限公司</w:t>
      </w:r>
      <w:r>
        <w:rPr>
          <w:rFonts w:hint="eastAsia" w:ascii="宋体" w:hAnsi="宋体"/>
          <w:color w:val="auto"/>
          <w:szCs w:val="21"/>
          <w:highlight w:val="none"/>
        </w:rPr>
        <w:t>。</w:t>
      </w:r>
      <w:r>
        <w:rPr>
          <w:rFonts w:hint="eastAsia"/>
          <w:color w:val="auto"/>
          <w:szCs w:val="24"/>
          <w:highlight w:val="none"/>
        </w:rPr>
        <w:t>项目已具备招标条件，现对该项目进行公开招标。</w:t>
      </w:r>
    </w:p>
    <w:p>
      <w:pPr>
        <w:keepNext/>
        <w:keepLines/>
        <w:adjustRightInd w:val="0"/>
        <w:spacing w:before="240" w:after="120"/>
        <w:textAlignment w:val="baseline"/>
        <w:outlineLvl w:val="1"/>
        <w:rPr>
          <w:rFonts w:eastAsia="黑体"/>
          <w:color w:val="auto"/>
          <w:kern w:val="0"/>
          <w:sz w:val="24"/>
          <w:szCs w:val="20"/>
          <w:highlight w:val="none"/>
        </w:rPr>
      </w:pPr>
      <w:bookmarkStart w:id="47" w:name="_Toc1403"/>
      <w:bookmarkStart w:id="48" w:name="_Toc6073"/>
      <w:bookmarkStart w:id="49" w:name="_Toc7755"/>
      <w:bookmarkStart w:id="50" w:name="_Toc1669857877"/>
      <w:bookmarkStart w:id="51" w:name="_Toc19697"/>
      <w:bookmarkStart w:id="52" w:name="_Toc11396"/>
      <w:bookmarkStart w:id="53" w:name="_Toc25777"/>
      <w:bookmarkStart w:id="54" w:name="_Toc170804551"/>
      <w:bookmarkStart w:id="55" w:name="_Toc13582"/>
      <w:bookmarkStart w:id="56" w:name="_Toc32387"/>
      <w:bookmarkStart w:id="57" w:name="_Toc14900"/>
      <w:r>
        <w:rPr>
          <w:rFonts w:eastAsia="黑体"/>
          <w:color w:val="auto"/>
          <w:kern w:val="0"/>
          <w:sz w:val="24"/>
          <w:szCs w:val="20"/>
          <w:highlight w:val="none"/>
        </w:rPr>
        <w:t xml:space="preserve">2. </w:t>
      </w:r>
      <w:r>
        <w:rPr>
          <w:rFonts w:hint="eastAsia" w:eastAsia="黑体"/>
          <w:color w:val="auto"/>
          <w:kern w:val="0"/>
          <w:sz w:val="24"/>
          <w:szCs w:val="20"/>
          <w:highlight w:val="none"/>
        </w:rPr>
        <w:t>项目概况与招标范围</w:t>
      </w:r>
      <w:bookmarkEnd w:id="47"/>
      <w:bookmarkEnd w:id="48"/>
      <w:bookmarkEnd w:id="49"/>
      <w:bookmarkEnd w:id="50"/>
      <w:bookmarkEnd w:id="51"/>
      <w:bookmarkEnd w:id="52"/>
      <w:bookmarkEnd w:id="53"/>
      <w:bookmarkEnd w:id="54"/>
      <w:bookmarkEnd w:id="55"/>
      <w:bookmarkEnd w:id="56"/>
      <w:bookmarkEnd w:id="57"/>
    </w:p>
    <w:p>
      <w:pPr>
        <w:spacing w:line="400" w:lineRule="exact"/>
        <w:ind w:firstLine="315" w:firstLineChars="150"/>
        <w:rPr>
          <w:color w:val="auto"/>
          <w:szCs w:val="21"/>
          <w:highlight w:val="none"/>
        </w:rPr>
      </w:pPr>
      <w:r>
        <w:rPr>
          <w:color w:val="auto"/>
          <w:szCs w:val="21"/>
          <w:highlight w:val="none"/>
        </w:rPr>
        <w:t xml:space="preserve">2.1 </w:t>
      </w:r>
      <w:r>
        <w:rPr>
          <w:rFonts w:hint="eastAsia"/>
          <w:color w:val="auto"/>
          <w:szCs w:val="21"/>
          <w:highlight w:val="none"/>
        </w:rPr>
        <w:t>招标项目概况</w:t>
      </w:r>
    </w:p>
    <w:p>
      <w:pPr>
        <w:widowControl/>
        <w:spacing w:line="360" w:lineRule="auto"/>
        <w:ind w:firstLine="420" w:firstLineChars="200"/>
        <w:rPr>
          <w:color w:val="auto"/>
          <w:szCs w:val="21"/>
          <w:highlight w:val="none"/>
          <w:u w:val="single"/>
        </w:rPr>
      </w:pPr>
      <w:r>
        <w:rPr>
          <w:rFonts w:hint="eastAsia"/>
          <w:color w:val="auto"/>
          <w:szCs w:val="21"/>
          <w:highlight w:val="none"/>
        </w:rPr>
        <w:t>招标项目名称：</w:t>
      </w:r>
      <w:bookmarkStart w:id="58" w:name="OLE_LINK23"/>
      <w:r>
        <w:rPr>
          <w:rFonts w:hint="eastAsia" w:asciiTheme="minorEastAsia" w:hAnsiTheme="minorEastAsia" w:eastAsiaTheme="minorEastAsia" w:cstheme="minorEastAsia"/>
          <w:color w:val="auto"/>
          <w:szCs w:val="21"/>
          <w:highlight w:val="none"/>
          <w:u w:val="single"/>
        </w:rPr>
        <w:t>东莞</w:t>
      </w:r>
      <w:r>
        <w:rPr>
          <w:rFonts w:hint="eastAsia" w:asciiTheme="minorEastAsia" w:hAnsiTheme="minorEastAsia" w:eastAsiaTheme="minorEastAsia" w:cstheme="minorEastAsia"/>
          <w:color w:val="auto"/>
          <w:szCs w:val="21"/>
          <w:highlight w:val="none"/>
          <w:u w:val="single"/>
          <w:lang w:eastAsia="zh-CN"/>
        </w:rPr>
        <w:t>市</w:t>
      </w:r>
      <w:r>
        <w:rPr>
          <w:rFonts w:hint="eastAsia" w:asciiTheme="minorEastAsia" w:hAnsiTheme="minorEastAsia" w:eastAsiaTheme="minorEastAsia" w:cstheme="minorEastAsia"/>
          <w:color w:val="auto"/>
          <w:szCs w:val="21"/>
          <w:highlight w:val="none"/>
          <w:u w:val="single"/>
        </w:rPr>
        <w:t>轨道交通1号线</w:t>
      </w:r>
      <w:r>
        <w:rPr>
          <w:rFonts w:hint="eastAsia" w:asciiTheme="minorEastAsia" w:hAnsiTheme="minorEastAsia" w:eastAsiaTheme="minorEastAsia" w:cstheme="minorEastAsia"/>
          <w:color w:val="auto"/>
          <w:szCs w:val="21"/>
          <w:highlight w:val="none"/>
          <w:u w:val="single"/>
          <w:lang w:eastAsia="zh-CN"/>
        </w:rPr>
        <w:t>一期工程</w:t>
      </w:r>
      <w:r>
        <w:rPr>
          <w:rFonts w:hint="eastAsia" w:asciiTheme="minorEastAsia" w:hAnsiTheme="minorEastAsia" w:eastAsiaTheme="minorEastAsia" w:cstheme="minorEastAsia"/>
          <w:color w:val="auto"/>
          <w:szCs w:val="21"/>
          <w:highlight w:val="none"/>
          <w:u w:val="single"/>
        </w:rPr>
        <w:t>2025-2026年结构变形监测项目</w:t>
      </w:r>
      <w:bookmarkEnd w:id="58"/>
    </w:p>
    <w:p>
      <w:pPr>
        <w:widowControl/>
        <w:adjustRightInd w:val="0"/>
        <w:snapToGrid w:val="0"/>
        <w:spacing w:line="460" w:lineRule="exact"/>
        <w:ind w:firstLine="420" w:firstLineChars="200"/>
        <w:rPr>
          <w:rFonts w:asciiTheme="minorEastAsia" w:hAnsiTheme="minorEastAsia" w:eastAsiaTheme="minorEastAsia" w:cstheme="minorEastAsia"/>
          <w:color w:val="auto"/>
          <w:szCs w:val="21"/>
          <w:highlight w:val="none"/>
        </w:rPr>
      </w:pPr>
      <w:r>
        <w:rPr>
          <w:rFonts w:hint="eastAsia"/>
          <w:color w:val="auto"/>
          <w:szCs w:val="21"/>
          <w:highlight w:val="none"/>
        </w:rPr>
        <w:t>工程建设规模：</w:t>
      </w:r>
      <w:r>
        <w:rPr>
          <w:rFonts w:hint="eastAsia" w:asciiTheme="minorEastAsia" w:hAnsiTheme="minorEastAsia" w:eastAsiaTheme="minorEastAsia" w:cstheme="minorEastAsia"/>
          <w:color w:val="auto"/>
          <w:szCs w:val="21"/>
          <w:highlight w:val="none"/>
          <w:u w:val="single"/>
        </w:rPr>
        <w:t>本项目位于东莞市轨道交通1号线范围，1号线一期工程</w:t>
      </w:r>
      <w:r>
        <w:rPr>
          <w:rFonts w:hint="eastAsia" w:asciiTheme="minorEastAsia" w:hAnsiTheme="minorEastAsia" w:eastAsiaTheme="minorEastAsia" w:cstheme="minorEastAsia"/>
          <w:color w:val="auto"/>
          <w:szCs w:val="21"/>
          <w:highlight w:val="none"/>
          <w:u w:val="single"/>
          <w:lang w:val="en-US" w:eastAsia="zh-CN"/>
        </w:rPr>
        <w:t>线路</w:t>
      </w:r>
      <w:r>
        <w:rPr>
          <w:rFonts w:hint="eastAsia" w:asciiTheme="minorEastAsia" w:hAnsiTheme="minorEastAsia" w:eastAsiaTheme="minorEastAsia" w:cstheme="minorEastAsia"/>
          <w:color w:val="auto"/>
          <w:szCs w:val="21"/>
          <w:highlight w:val="none"/>
          <w:u w:val="single"/>
        </w:rPr>
        <w:t>长约57.46km，高架段线路长度约7.71km，地下段线路长度约49.44km，过渡段长度约0.32km。全线共设车站25座，其中高架站3座，地下站22座。在道滘镇粤晖路以北跨上梁洲二横路紧邻道滘镇污水处理站设置道滘车辆段1处，在黄江镇莞深高速公路、公常路、清龙路围合地块内设置黄江停车场1处，车辆段、停车场、松山湖设置主变电所，在黄江停车场、10#中间风井设置高边坡。</w:t>
      </w:r>
    </w:p>
    <w:p>
      <w:pPr>
        <w:widowControl/>
        <w:spacing w:line="360" w:lineRule="auto"/>
        <w:ind w:firstLine="420" w:firstLineChars="200"/>
        <w:rPr>
          <w:color w:val="auto"/>
          <w:sz w:val="22"/>
          <w:szCs w:val="24"/>
          <w:highlight w:val="none"/>
        </w:rPr>
      </w:pPr>
      <w:r>
        <w:rPr>
          <w:rFonts w:hint="eastAsia"/>
          <w:color w:val="auto"/>
          <w:szCs w:val="21"/>
          <w:highlight w:val="none"/>
        </w:rPr>
        <w:t>工程建设地点：</w:t>
      </w:r>
      <w:bookmarkStart w:id="59" w:name="OLE_LINK14"/>
      <w:r>
        <w:rPr>
          <w:rFonts w:hint="eastAsia"/>
          <w:color w:val="auto"/>
          <w:szCs w:val="21"/>
          <w:highlight w:val="none"/>
          <w:u w:val="single"/>
          <w:lang w:val="en-US" w:eastAsia="zh-CN"/>
        </w:rPr>
        <w:t>广东省</w:t>
      </w:r>
      <w:r>
        <w:rPr>
          <w:rFonts w:hint="eastAsia"/>
          <w:color w:val="auto"/>
          <w:szCs w:val="21"/>
          <w:highlight w:val="none"/>
          <w:u w:val="single"/>
        </w:rPr>
        <w:t>东莞</w:t>
      </w:r>
      <w:r>
        <w:rPr>
          <w:rFonts w:hint="eastAsia"/>
          <w:color w:val="auto"/>
          <w:szCs w:val="21"/>
          <w:highlight w:val="none"/>
          <w:u w:val="single"/>
          <w:lang w:val="en-US" w:eastAsia="zh-CN"/>
        </w:rPr>
        <w:t>市</w:t>
      </w:r>
      <w:bookmarkEnd w:id="59"/>
      <w:r>
        <w:rPr>
          <w:color w:val="auto"/>
          <w:sz w:val="22"/>
          <w:szCs w:val="24"/>
          <w:highlight w:val="none"/>
        </w:rPr>
        <w:t xml:space="preserve"> </w:t>
      </w:r>
    </w:p>
    <w:p>
      <w:pPr>
        <w:spacing w:line="400" w:lineRule="exact"/>
        <w:ind w:firstLine="420" w:firstLineChars="200"/>
        <w:rPr>
          <w:color w:val="auto"/>
          <w:szCs w:val="24"/>
          <w:highlight w:val="none"/>
        </w:rPr>
      </w:pPr>
      <w:r>
        <w:rPr>
          <w:color w:val="auto"/>
          <w:szCs w:val="24"/>
          <w:highlight w:val="none"/>
        </w:rPr>
        <w:t xml:space="preserve">2.2 </w:t>
      </w:r>
      <w:r>
        <w:rPr>
          <w:rFonts w:hint="eastAsia"/>
          <w:color w:val="auto"/>
          <w:szCs w:val="24"/>
          <w:highlight w:val="none"/>
        </w:rPr>
        <w:t>招标范围</w:t>
      </w:r>
    </w:p>
    <w:p>
      <w:pPr>
        <w:pStyle w:val="5"/>
        <w:rPr>
          <w:color w:val="auto"/>
          <w:highlight w:val="none"/>
        </w:rPr>
      </w:pPr>
    </w:p>
    <w:p>
      <w:pPr>
        <w:spacing w:line="360" w:lineRule="auto"/>
        <w:ind w:firstLine="470" w:firstLineChars="224"/>
        <w:rPr>
          <w:strike/>
          <w:color w:val="auto"/>
          <w:szCs w:val="24"/>
          <w:highlight w:val="none"/>
          <w:u w:val="single"/>
        </w:rPr>
      </w:pPr>
      <w:r>
        <w:rPr>
          <w:rFonts w:hint="eastAsia"/>
          <w:color w:val="auto"/>
          <w:szCs w:val="24"/>
          <w:highlight w:val="none"/>
        </w:rPr>
        <w:t>本项目标段划分：</w:t>
      </w:r>
      <w:r>
        <w:rPr>
          <w:rFonts w:hint="eastAsia" w:ascii="宋体" w:hAnsi="宋体" w:cs="宋体"/>
          <w:bCs/>
          <w:color w:val="auto"/>
          <w:szCs w:val="21"/>
          <w:highlight w:val="none"/>
        </w:rPr>
        <w:t>本招标项目共划分为1</w:t>
      </w:r>
      <w:r>
        <w:rPr>
          <w:rFonts w:ascii="宋体" w:hAnsi="宋体" w:cs="宋体"/>
          <w:bCs/>
          <w:color w:val="auto"/>
          <w:szCs w:val="21"/>
          <w:highlight w:val="none"/>
        </w:rPr>
        <w:t>个标段</w:t>
      </w:r>
      <w:r>
        <w:rPr>
          <w:rFonts w:hint="eastAsia"/>
          <w:color w:val="auto"/>
          <w:szCs w:val="24"/>
          <w:highlight w:val="none"/>
        </w:rPr>
        <w:t>。</w:t>
      </w:r>
    </w:p>
    <w:p>
      <w:pPr>
        <w:widowControl/>
        <w:adjustRightInd w:val="0"/>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color w:val="auto"/>
          <w:highlight w:val="none"/>
        </w:rPr>
        <w:t>招标范围：</w:t>
      </w:r>
      <w:r>
        <w:rPr>
          <w:rFonts w:hint="eastAsia"/>
          <w:color w:val="auto"/>
          <w:highlight w:val="none"/>
          <w:u w:val="single"/>
        </w:rPr>
        <w:t>（1）</w:t>
      </w:r>
      <w:r>
        <w:rPr>
          <w:rFonts w:hint="eastAsia" w:asciiTheme="minorEastAsia" w:hAnsiTheme="minorEastAsia" w:eastAsiaTheme="minorEastAsia" w:cstheme="minorEastAsia"/>
          <w:color w:val="auto"/>
          <w:szCs w:val="21"/>
          <w:highlight w:val="none"/>
          <w:u w:val="single"/>
        </w:rPr>
        <w:t>开展1号线管辖范围的隧道竖向位移监测、断面收敛监测，桥梁墩台沉降监测、梁体竖向与横向变形监测，高架车站、主所、场段建筑沉降监测，10#中间风井边坡、黄江停车场边坡竖向位移和水平位移监测。</w:t>
      </w:r>
    </w:p>
    <w:p>
      <w:pPr>
        <w:widowControl/>
        <w:adjustRightInd w:val="0"/>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color w:val="auto"/>
          <w:highlight w:val="none"/>
          <w:u w:val="single"/>
        </w:rPr>
        <w:t>（2）</w:t>
      </w:r>
      <w:r>
        <w:rPr>
          <w:rFonts w:hint="eastAsia" w:asciiTheme="minorEastAsia" w:hAnsiTheme="minorEastAsia" w:eastAsiaTheme="minorEastAsia" w:cstheme="minorEastAsia"/>
          <w:color w:val="auto"/>
          <w:szCs w:val="21"/>
          <w:highlight w:val="none"/>
          <w:u w:val="single"/>
        </w:rPr>
        <w:t>隧道竖向位移监测、断面收敛监测，梁体竖向与横向变形监测需要新布设监测点及初始值采集，其他监测使用建设期监测点并继承相关数据。</w:t>
      </w:r>
    </w:p>
    <w:p>
      <w:pPr>
        <w:widowControl/>
        <w:adjustRightInd w:val="0"/>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color w:val="auto"/>
          <w:highlight w:val="none"/>
          <w:u w:val="single"/>
        </w:rPr>
        <w:t>（3）</w:t>
      </w:r>
      <w:r>
        <w:rPr>
          <w:rFonts w:hint="eastAsia" w:asciiTheme="minorEastAsia" w:hAnsiTheme="minorEastAsia" w:eastAsiaTheme="minorEastAsia" w:cstheme="minorEastAsia"/>
          <w:color w:val="auto"/>
          <w:szCs w:val="21"/>
          <w:highlight w:val="none"/>
          <w:u w:val="single"/>
        </w:rPr>
        <w:t>每次监测前投标人须对全线监测点进行检查，如有损坏或被扰动的监测点，</w:t>
      </w:r>
      <w:bookmarkStart w:id="60" w:name="OLE_LINK4"/>
      <w:r>
        <w:rPr>
          <w:rFonts w:hint="eastAsia" w:asciiTheme="minorEastAsia" w:hAnsiTheme="minorEastAsia" w:eastAsiaTheme="minorEastAsia" w:cstheme="minorEastAsia"/>
          <w:color w:val="auto"/>
          <w:szCs w:val="21"/>
          <w:highlight w:val="none"/>
          <w:u w:val="single"/>
        </w:rPr>
        <w:t>投标人</w:t>
      </w:r>
      <w:bookmarkEnd w:id="60"/>
      <w:r>
        <w:rPr>
          <w:rFonts w:hint="eastAsia" w:asciiTheme="minorEastAsia" w:hAnsiTheme="minorEastAsia" w:eastAsiaTheme="minorEastAsia" w:cstheme="minorEastAsia"/>
          <w:color w:val="auto"/>
          <w:szCs w:val="21"/>
          <w:highlight w:val="none"/>
          <w:u w:val="single"/>
        </w:rPr>
        <w:t>须在监测前对监测点进行恢复。</w:t>
      </w:r>
    </w:p>
    <w:p>
      <w:pPr>
        <w:widowControl/>
        <w:adjustRightInd w:val="0"/>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color w:val="auto"/>
          <w:highlight w:val="none"/>
          <w:u w:val="single"/>
        </w:rPr>
        <w:t>（4）</w:t>
      </w:r>
      <w:r>
        <w:rPr>
          <w:rFonts w:hint="eastAsia" w:asciiTheme="minorEastAsia" w:hAnsiTheme="minorEastAsia" w:eastAsiaTheme="minorEastAsia" w:cstheme="minorEastAsia"/>
          <w:color w:val="auto"/>
          <w:szCs w:val="21"/>
          <w:highlight w:val="none"/>
          <w:u w:val="single"/>
        </w:rPr>
        <w:t>对单次变形值较大的监测点或经综合分析研判招标人认为数据存疑的监测点，投标人应无偿安排复测，投标人能提供证明的除外。</w:t>
      </w:r>
    </w:p>
    <w:p>
      <w:pPr>
        <w:widowControl/>
        <w:spacing w:before="50" w:after="50" w:line="360" w:lineRule="auto"/>
        <w:ind w:firstLine="420" w:firstLineChars="200"/>
        <w:rPr>
          <w:color w:val="auto"/>
          <w:szCs w:val="24"/>
          <w:highlight w:val="none"/>
          <w:u w:val="single"/>
        </w:rPr>
      </w:pPr>
      <w:r>
        <w:rPr>
          <w:rFonts w:hint="eastAsia"/>
          <w:color w:val="auto"/>
          <w:highlight w:val="none"/>
          <w:u w:val="single"/>
        </w:rPr>
        <w:t>（5）</w:t>
      </w:r>
      <w:r>
        <w:rPr>
          <w:rFonts w:hint="eastAsia" w:asciiTheme="minorEastAsia" w:hAnsiTheme="minorEastAsia" w:eastAsiaTheme="minorEastAsia" w:cstheme="minorEastAsia"/>
          <w:color w:val="auto"/>
          <w:szCs w:val="21"/>
          <w:highlight w:val="none"/>
          <w:u w:val="single"/>
        </w:rPr>
        <w:t>投标人提供的监测成果应能满足初期运营前安全评估要求，并配合招标人按专家意见整改可能需进行的复测、成果修正等。</w:t>
      </w:r>
    </w:p>
    <w:p>
      <w:pPr>
        <w:spacing w:line="360" w:lineRule="auto"/>
        <w:ind w:firstLine="420" w:firstLineChars="200"/>
        <w:jc w:val="left"/>
        <w:rPr>
          <w:color w:val="auto"/>
          <w:szCs w:val="24"/>
          <w:highlight w:val="none"/>
          <w:u w:val="single"/>
        </w:rPr>
      </w:pPr>
      <w:r>
        <w:rPr>
          <w:color w:val="auto"/>
          <w:szCs w:val="21"/>
          <w:highlight w:val="none"/>
        </w:rPr>
        <w:t>2.3</w:t>
      </w:r>
      <w:r>
        <w:rPr>
          <w:rFonts w:hint="eastAsia"/>
          <w:color w:val="auto"/>
          <w:szCs w:val="21"/>
          <w:highlight w:val="none"/>
        </w:rPr>
        <w:t>本次招标项目的</w:t>
      </w:r>
      <w:bookmarkStart w:id="61" w:name="OLE_LINK16"/>
      <w:r>
        <w:rPr>
          <w:rFonts w:hint="eastAsia"/>
          <w:color w:val="auto"/>
          <w:szCs w:val="21"/>
          <w:highlight w:val="none"/>
        </w:rPr>
        <w:t>监测服务期</w:t>
      </w:r>
      <w:bookmarkEnd w:id="61"/>
      <w:r>
        <w:rPr>
          <w:rFonts w:hint="eastAsia"/>
          <w:color w:val="auto"/>
          <w:szCs w:val="21"/>
          <w:highlight w:val="none"/>
        </w:rPr>
        <w:t>：</w:t>
      </w:r>
      <w:r>
        <w:rPr>
          <w:rFonts w:hint="eastAsia"/>
          <w:color w:val="auto"/>
          <w:szCs w:val="24"/>
          <w:highlight w:val="none"/>
        </w:rPr>
        <w:t>自合同签订生效之日起至2026年12月31日，具体开工时间以招标人通知为准。</w:t>
      </w:r>
    </w:p>
    <w:p>
      <w:pPr>
        <w:spacing w:line="360" w:lineRule="auto"/>
        <w:ind w:firstLine="420" w:firstLineChars="200"/>
        <w:jc w:val="left"/>
        <w:rPr>
          <w:color w:val="auto"/>
          <w:szCs w:val="21"/>
          <w:highlight w:val="none"/>
          <w:u w:val="single"/>
        </w:rPr>
      </w:pPr>
      <w:r>
        <w:rPr>
          <w:color w:val="auto"/>
          <w:szCs w:val="21"/>
          <w:highlight w:val="none"/>
        </w:rPr>
        <w:t>2.4</w:t>
      </w:r>
      <w:r>
        <w:rPr>
          <w:rFonts w:hint="eastAsia"/>
          <w:color w:val="auto"/>
          <w:szCs w:val="21"/>
          <w:highlight w:val="none"/>
        </w:rPr>
        <w:t>招标控制价：</w:t>
      </w:r>
      <w:bookmarkStart w:id="62" w:name="OLE_LINK15"/>
      <w:r>
        <w:rPr>
          <w:rFonts w:hint="eastAsia"/>
          <w:color w:val="auto"/>
          <w:szCs w:val="21"/>
          <w:highlight w:val="none"/>
          <w:u w:val="single"/>
          <w:lang w:val="en-US" w:eastAsia="zh-CN"/>
        </w:rPr>
        <w:t>3926240.19</w:t>
      </w:r>
      <w:bookmarkEnd w:id="62"/>
      <w:r>
        <w:rPr>
          <w:rFonts w:hint="eastAsia"/>
          <w:color w:val="auto"/>
          <w:szCs w:val="21"/>
          <w:highlight w:val="none"/>
          <w:u w:val="single"/>
        </w:rPr>
        <w:t>元。</w:t>
      </w:r>
    </w:p>
    <w:p>
      <w:pPr>
        <w:keepNext/>
        <w:keepLines/>
        <w:adjustRightInd w:val="0"/>
        <w:spacing w:before="240" w:after="120"/>
        <w:textAlignment w:val="baseline"/>
        <w:outlineLvl w:val="1"/>
        <w:rPr>
          <w:rFonts w:ascii="微软雅黑" w:hAnsi="微软雅黑" w:cs="微软雅黑"/>
          <w:b/>
          <w:color w:val="auto"/>
          <w:spacing w:val="-8"/>
          <w:kern w:val="0"/>
          <w:highlight w:val="none"/>
        </w:rPr>
      </w:pPr>
      <w:bookmarkStart w:id="63" w:name="_Toc31879"/>
      <w:bookmarkStart w:id="64" w:name="_Toc170804552"/>
      <w:bookmarkStart w:id="65" w:name="_Toc21809"/>
      <w:bookmarkStart w:id="66" w:name="_Toc1985039743"/>
      <w:bookmarkStart w:id="67" w:name="_Toc29568"/>
      <w:bookmarkStart w:id="68" w:name="_Toc18789"/>
      <w:bookmarkStart w:id="69" w:name="_Toc29319"/>
      <w:bookmarkStart w:id="70" w:name="_Toc5979"/>
      <w:bookmarkStart w:id="71" w:name="_Toc31830"/>
      <w:bookmarkStart w:id="72" w:name="_Toc4060"/>
      <w:bookmarkStart w:id="73" w:name="_Toc22574"/>
      <w:r>
        <w:rPr>
          <w:rFonts w:eastAsia="黑体"/>
          <w:color w:val="auto"/>
          <w:kern w:val="0"/>
          <w:sz w:val="24"/>
          <w:szCs w:val="20"/>
          <w:highlight w:val="none"/>
        </w:rPr>
        <w:t xml:space="preserve">3. </w:t>
      </w:r>
      <w:r>
        <w:rPr>
          <w:rFonts w:hint="eastAsia" w:eastAsia="黑体"/>
          <w:color w:val="auto"/>
          <w:kern w:val="0"/>
          <w:sz w:val="24"/>
          <w:szCs w:val="20"/>
          <w:highlight w:val="none"/>
        </w:rPr>
        <w:t>投标人资格要求</w:t>
      </w:r>
      <w:bookmarkEnd w:id="63"/>
      <w:bookmarkEnd w:id="64"/>
      <w:bookmarkEnd w:id="65"/>
      <w:bookmarkEnd w:id="66"/>
      <w:bookmarkEnd w:id="67"/>
      <w:bookmarkEnd w:id="68"/>
      <w:bookmarkEnd w:id="69"/>
      <w:bookmarkEnd w:id="70"/>
      <w:bookmarkEnd w:id="71"/>
      <w:bookmarkEnd w:id="72"/>
      <w:bookmarkEnd w:id="73"/>
      <w:r>
        <w:rPr>
          <w:rFonts w:eastAsia="黑体"/>
          <w:color w:val="auto"/>
          <w:kern w:val="0"/>
          <w:sz w:val="24"/>
          <w:szCs w:val="20"/>
          <w:highlight w:val="none"/>
        </w:rPr>
        <w:t xml:space="preserve">  </w:t>
      </w:r>
    </w:p>
    <w:p>
      <w:pPr>
        <w:spacing w:line="400" w:lineRule="exact"/>
        <w:ind w:firstLine="420" w:firstLineChars="200"/>
        <w:rPr>
          <w:color w:val="auto"/>
          <w:szCs w:val="21"/>
          <w:highlight w:val="none"/>
        </w:rPr>
      </w:pPr>
      <w:r>
        <w:rPr>
          <w:color w:val="auto"/>
          <w:szCs w:val="21"/>
          <w:highlight w:val="none"/>
        </w:rPr>
        <w:t xml:space="preserve">3.1 </w:t>
      </w:r>
      <w:r>
        <w:rPr>
          <w:rFonts w:hint="eastAsia"/>
          <w:color w:val="auto"/>
          <w:szCs w:val="21"/>
          <w:highlight w:val="none"/>
        </w:rPr>
        <w:t>本次招标要求投标人须具备相应资质，并在人员、业绩方面具有相应的检测能力。</w:t>
      </w:r>
    </w:p>
    <w:p>
      <w:pPr>
        <w:spacing w:line="400" w:lineRule="exact"/>
        <w:ind w:firstLine="420" w:firstLineChars="200"/>
        <w:rPr>
          <w:color w:val="auto"/>
          <w:szCs w:val="24"/>
          <w:highlight w:val="none"/>
        </w:rPr>
      </w:pPr>
      <w:r>
        <w:rPr>
          <w:color w:val="auto"/>
          <w:szCs w:val="24"/>
          <w:highlight w:val="none"/>
        </w:rPr>
        <w:t>3.1.1</w:t>
      </w:r>
      <w:r>
        <w:rPr>
          <w:rFonts w:hint="eastAsia"/>
          <w:color w:val="auto"/>
          <w:szCs w:val="24"/>
          <w:highlight w:val="none"/>
        </w:rPr>
        <w:t>投标人必须是在中华人民共和国注册的独立法人。投标人持有有效的工商行政管理部门核发的法人营业执照或各级政府事业单位登记管理机关颁发的事业单位法人证书，按国家法律经营。</w:t>
      </w:r>
    </w:p>
    <w:p>
      <w:pPr>
        <w:spacing w:line="400" w:lineRule="exact"/>
        <w:ind w:firstLine="420" w:firstLineChars="200"/>
        <w:rPr>
          <w:color w:val="auto"/>
          <w:szCs w:val="24"/>
          <w:highlight w:val="none"/>
        </w:rPr>
      </w:pPr>
      <w:r>
        <w:rPr>
          <w:color w:val="auto"/>
          <w:szCs w:val="24"/>
          <w:highlight w:val="none"/>
        </w:rPr>
        <w:t>3.1.2</w:t>
      </w:r>
      <w:r>
        <w:rPr>
          <w:rFonts w:hint="eastAsia"/>
          <w:color w:val="auto"/>
          <w:szCs w:val="24"/>
          <w:highlight w:val="none"/>
        </w:rPr>
        <w:t>本次招标要求投标人须具备建设行政主管部门颁发的工程勘察综合甲级资质；或具备工程勘察专业类工程测量甲级资质；或具备工程勘察专业岩土工程（分项）物探测试检测监测甲级资质。</w:t>
      </w:r>
    </w:p>
    <w:p>
      <w:pPr>
        <w:spacing w:line="400" w:lineRule="exact"/>
        <w:ind w:firstLine="420" w:firstLineChars="200"/>
        <w:rPr>
          <w:color w:val="auto"/>
          <w:szCs w:val="21"/>
          <w:highlight w:val="none"/>
        </w:rPr>
      </w:pPr>
      <w:r>
        <w:rPr>
          <w:rFonts w:hint="eastAsia"/>
          <w:color w:val="auto"/>
          <w:szCs w:val="21"/>
          <w:highlight w:val="none"/>
          <w:lang w:val="en-US" w:eastAsia="zh-CN"/>
        </w:rPr>
        <w:t>3</w:t>
      </w:r>
      <w:r>
        <w:rPr>
          <w:color w:val="auto"/>
          <w:szCs w:val="21"/>
          <w:highlight w:val="none"/>
        </w:rPr>
        <w:t>.</w:t>
      </w:r>
      <w:r>
        <w:rPr>
          <w:rFonts w:hint="eastAsia"/>
          <w:color w:val="auto"/>
          <w:szCs w:val="21"/>
          <w:highlight w:val="none"/>
          <w:lang w:val="en-US" w:eastAsia="zh-CN"/>
        </w:rPr>
        <w:t>2</w:t>
      </w:r>
      <w:r>
        <w:rPr>
          <w:color w:val="auto"/>
          <w:szCs w:val="21"/>
          <w:highlight w:val="none"/>
        </w:rPr>
        <w:t xml:space="preserve"> </w:t>
      </w:r>
      <w:r>
        <w:rPr>
          <w:rFonts w:hint="eastAsia"/>
          <w:color w:val="auto"/>
          <w:szCs w:val="21"/>
          <w:highlight w:val="none"/>
        </w:rPr>
        <w:t>本次招标</w:t>
      </w:r>
      <w:r>
        <w:rPr>
          <w:color w:val="auto"/>
          <w:szCs w:val="21"/>
          <w:highlight w:val="none"/>
          <w:u w:val="single"/>
        </w:rPr>
        <w:t xml:space="preserve">  </w:t>
      </w:r>
      <w:r>
        <w:rPr>
          <w:rFonts w:hint="eastAsia"/>
          <w:color w:val="auto"/>
          <w:szCs w:val="21"/>
          <w:highlight w:val="none"/>
          <w:u w:val="single"/>
        </w:rPr>
        <w:t>不接受</w:t>
      </w:r>
      <w:r>
        <w:rPr>
          <w:color w:val="auto"/>
          <w:szCs w:val="21"/>
          <w:highlight w:val="none"/>
          <w:u w:val="single"/>
        </w:rPr>
        <w:t xml:space="preserve">  </w:t>
      </w:r>
      <w:r>
        <w:rPr>
          <w:rFonts w:hint="eastAsia"/>
          <w:color w:val="auto"/>
          <w:szCs w:val="21"/>
          <w:highlight w:val="none"/>
        </w:rPr>
        <w:t>联合体投标。</w:t>
      </w:r>
    </w:p>
    <w:p>
      <w:pPr>
        <w:spacing w:line="400" w:lineRule="exact"/>
        <w:ind w:firstLine="420" w:firstLineChars="200"/>
        <w:rPr>
          <w:color w:val="auto"/>
          <w:szCs w:val="21"/>
          <w:highlight w:val="none"/>
        </w:rPr>
      </w:pPr>
      <w:r>
        <w:rPr>
          <w:color w:val="auto"/>
          <w:szCs w:val="21"/>
          <w:highlight w:val="none"/>
        </w:rPr>
        <w:t>3.</w:t>
      </w:r>
      <w:r>
        <w:rPr>
          <w:rFonts w:hint="eastAsia"/>
          <w:color w:val="auto"/>
          <w:szCs w:val="21"/>
          <w:highlight w:val="none"/>
          <w:lang w:val="en-US" w:eastAsia="zh-CN"/>
        </w:rPr>
        <w:t>3</w:t>
      </w:r>
      <w:r>
        <w:rPr>
          <w:rFonts w:hint="eastAsia"/>
          <w:color w:val="auto"/>
          <w:szCs w:val="21"/>
          <w:highlight w:val="none"/>
        </w:rPr>
        <w:t>其他要求：</w:t>
      </w:r>
    </w:p>
    <w:p>
      <w:pPr>
        <w:spacing w:line="400" w:lineRule="exact"/>
        <w:ind w:firstLine="420" w:firstLineChars="200"/>
        <w:rPr>
          <w:color w:val="auto"/>
          <w:szCs w:val="24"/>
          <w:highlight w:val="none"/>
        </w:rPr>
      </w:pPr>
      <w:r>
        <w:rPr>
          <w:rFonts w:hint="eastAsia"/>
          <w:color w:val="auto"/>
          <w:szCs w:val="24"/>
          <w:highlight w:val="none"/>
        </w:rPr>
        <w:t>①投标人已按规定格式签字盖章《投标申请人声明》（格式见本招标公告</w:t>
      </w:r>
      <w:r>
        <w:rPr>
          <w:rFonts w:hint="eastAsia"/>
          <w:color w:val="auto"/>
          <w:szCs w:val="24"/>
          <w:highlight w:val="none"/>
          <w:u w:val="single"/>
        </w:rPr>
        <w:t>附件一</w:t>
      </w:r>
      <w:r>
        <w:rPr>
          <w:rFonts w:hint="eastAsia"/>
          <w:color w:val="auto"/>
          <w:szCs w:val="24"/>
          <w:highlight w:val="none"/>
        </w:rPr>
        <w:t>）作为投标人资格要求之一，此《投标申请人声明》应同时作为投标函中资格审查资料的组成部分。</w:t>
      </w:r>
    </w:p>
    <w:p>
      <w:pPr>
        <w:spacing w:line="400" w:lineRule="exact"/>
        <w:ind w:firstLine="420" w:firstLineChars="200"/>
        <w:rPr>
          <w:color w:val="auto"/>
          <w:szCs w:val="24"/>
          <w:highlight w:val="none"/>
        </w:rPr>
      </w:pPr>
      <w:r>
        <w:rPr>
          <w:rFonts w:hint="eastAsia"/>
          <w:color w:val="auto"/>
          <w:szCs w:val="24"/>
          <w:highlight w:val="none"/>
        </w:rPr>
        <w:t>②投标人参加投标的意思表达清楚，法定代表人证明书及投标人代表被授权有效。</w:t>
      </w:r>
    </w:p>
    <w:p>
      <w:pPr>
        <w:spacing w:line="400" w:lineRule="exact"/>
        <w:ind w:firstLine="420" w:firstLineChars="200"/>
        <w:rPr>
          <w:color w:val="auto"/>
          <w:szCs w:val="24"/>
          <w:highlight w:val="none"/>
        </w:rPr>
      </w:pPr>
      <w:r>
        <w:rPr>
          <w:rFonts w:hint="eastAsia"/>
          <w:color w:val="auto"/>
          <w:szCs w:val="24"/>
          <w:highlight w:val="none"/>
        </w:rPr>
        <w:t>③在投标截止时间前，投标人未在“信用中国”网站（</w:t>
      </w:r>
      <w:r>
        <w:rPr>
          <w:color w:val="auto"/>
          <w:szCs w:val="24"/>
          <w:highlight w:val="none"/>
        </w:rPr>
        <w:t>www.creditchina.gov.cn</w:t>
      </w:r>
      <w:r>
        <w:rPr>
          <w:rFonts w:hint="eastAsia"/>
          <w:color w:val="auto"/>
          <w:szCs w:val="24"/>
          <w:highlight w:val="none"/>
        </w:rPr>
        <w:t>）中被列入失信被执行人名单，未在国家企业信用信息公示系统（</w:t>
      </w:r>
      <w:r>
        <w:rPr>
          <w:color w:val="auto"/>
          <w:szCs w:val="24"/>
          <w:highlight w:val="none"/>
        </w:rPr>
        <w:t>www.gsxt.gov.cn</w:t>
      </w:r>
      <w:r>
        <w:rPr>
          <w:rFonts w:hint="eastAsia"/>
          <w:color w:val="auto"/>
          <w:szCs w:val="24"/>
          <w:highlight w:val="none"/>
        </w:rPr>
        <w:t>）中被列入严重违法失信企业名单，未在“中国执行信息公开网”被认定为失信被执行人，未处于中国政府采购网</w:t>
      </w:r>
      <w:r>
        <w:rPr>
          <w:color w:val="auto"/>
          <w:szCs w:val="24"/>
          <w:highlight w:val="none"/>
        </w:rPr>
        <w:t>(www.ccgp.gov.cn)</w:t>
      </w:r>
      <w:r>
        <w:rPr>
          <w:rFonts w:hint="eastAsia"/>
          <w:color w:val="auto"/>
          <w:szCs w:val="24"/>
          <w:highlight w:val="none"/>
        </w:rPr>
        <w:t>“政府采购严重违法失信行为信息记录”中的禁止参加政府采购活动期间</w:t>
      </w:r>
      <w:r>
        <w:rPr>
          <w:color w:val="auto"/>
          <w:szCs w:val="24"/>
          <w:highlight w:val="none"/>
        </w:rPr>
        <w:t>(</w:t>
      </w:r>
      <w:r>
        <w:rPr>
          <w:rFonts w:hint="eastAsia"/>
          <w:color w:val="auto"/>
          <w:szCs w:val="24"/>
          <w:highlight w:val="none"/>
        </w:rPr>
        <w:t>处罚限届满的除外</w:t>
      </w:r>
      <w:r>
        <w:rPr>
          <w:color w:val="auto"/>
          <w:szCs w:val="24"/>
          <w:highlight w:val="none"/>
        </w:rPr>
        <w:t>)</w:t>
      </w:r>
      <w:r>
        <w:rPr>
          <w:rFonts w:hint="eastAsia"/>
          <w:color w:val="auto"/>
          <w:szCs w:val="24"/>
          <w:highlight w:val="none"/>
        </w:rPr>
        <w:t>。（以招标人</w:t>
      </w:r>
      <w:r>
        <w:rPr>
          <w:color w:val="auto"/>
          <w:szCs w:val="24"/>
          <w:highlight w:val="none"/>
        </w:rPr>
        <w:t>\</w:t>
      </w:r>
      <w:r>
        <w:rPr>
          <w:rFonts w:hint="eastAsia"/>
          <w:color w:val="auto"/>
          <w:szCs w:val="24"/>
          <w:highlight w:val="none"/>
        </w:rPr>
        <w:t>招标代理于投标截止日当天在信用中国、国家企业信用信息公示系统、中国执行信息公开网查询结果为准，如相关失信记录已失效，投标人需提供相关证明资料）。</w:t>
      </w:r>
    </w:p>
    <w:p>
      <w:pPr>
        <w:spacing w:line="400" w:lineRule="exact"/>
        <w:ind w:firstLine="420" w:firstLineChars="200"/>
        <w:rPr>
          <w:color w:val="auto"/>
          <w:szCs w:val="24"/>
          <w:highlight w:val="none"/>
        </w:rPr>
      </w:pPr>
      <w:r>
        <w:rPr>
          <w:rFonts w:hint="eastAsia"/>
          <w:color w:val="auto"/>
          <w:szCs w:val="24"/>
          <w:highlight w:val="none"/>
        </w:rPr>
        <w:t>④单位负责人为同一人或者存在控股、管理关系的不同单位，不得同时参加同一标段投标或者未划分标段的同一招标项目投标登记。</w:t>
      </w:r>
    </w:p>
    <w:p>
      <w:pPr>
        <w:spacing w:line="400" w:lineRule="exact"/>
        <w:ind w:firstLine="420" w:firstLineChars="200"/>
        <w:rPr>
          <w:color w:val="auto"/>
          <w:szCs w:val="24"/>
          <w:highlight w:val="none"/>
        </w:rPr>
      </w:pPr>
      <w:r>
        <w:rPr>
          <w:rFonts w:hint="eastAsia"/>
          <w:color w:val="auto"/>
          <w:szCs w:val="24"/>
          <w:highlight w:val="none"/>
        </w:rPr>
        <w:t>⑤投标人不得与承接东莞轨道交通1号线一期工程（望洪站～黄江中心站）监测工作范围内对应施工项目的中标人存在任何控股、管理关系。（按投标人提供的《投标申请人声明》第</w:t>
      </w:r>
      <w:r>
        <w:rPr>
          <w:rFonts w:hint="eastAsia"/>
          <w:color w:val="auto"/>
          <w:szCs w:val="24"/>
          <w:highlight w:val="none"/>
          <w:lang w:val="en-US" w:eastAsia="zh-CN"/>
        </w:rPr>
        <w:t>五</w:t>
      </w:r>
      <w:r>
        <w:rPr>
          <w:rFonts w:hint="eastAsia"/>
          <w:color w:val="auto"/>
          <w:szCs w:val="24"/>
          <w:highlight w:val="none"/>
        </w:rPr>
        <w:t>条内容进行评审）。</w:t>
      </w:r>
    </w:p>
    <w:p>
      <w:pPr>
        <w:keepNext/>
        <w:keepLines/>
        <w:adjustRightInd w:val="0"/>
        <w:spacing w:before="240" w:after="120"/>
        <w:textAlignment w:val="baseline"/>
        <w:outlineLvl w:val="1"/>
        <w:rPr>
          <w:rFonts w:eastAsia="黑体"/>
          <w:color w:val="auto"/>
          <w:kern w:val="0"/>
          <w:sz w:val="24"/>
          <w:szCs w:val="20"/>
          <w:highlight w:val="none"/>
        </w:rPr>
      </w:pPr>
      <w:bookmarkStart w:id="74" w:name="_Toc12226"/>
      <w:bookmarkStart w:id="75" w:name="_Toc24257"/>
      <w:bookmarkStart w:id="76" w:name="_Toc1008"/>
      <w:bookmarkStart w:id="77" w:name="_Toc170804553"/>
      <w:bookmarkStart w:id="78" w:name="_Toc21087"/>
      <w:bookmarkStart w:id="79" w:name="_Toc23766"/>
      <w:bookmarkStart w:id="80" w:name="_Toc443"/>
      <w:bookmarkStart w:id="81" w:name="_Toc26833"/>
      <w:bookmarkStart w:id="82" w:name="_Toc32323"/>
      <w:bookmarkStart w:id="83" w:name="_Toc22622"/>
      <w:bookmarkStart w:id="84" w:name="_Toc1404504456"/>
      <w:r>
        <w:rPr>
          <w:rFonts w:eastAsia="黑体"/>
          <w:color w:val="auto"/>
          <w:kern w:val="0"/>
          <w:sz w:val="24"/>
          <w:szCs w:val="20"/>
          <w:highlight w:val="none"/>
        </w:rPr>
        <w:t xml:space="preserve">4. </w:t>
      </w:r>
      <w:r>
        <w:rPr>
          <w:rFonts w:hint="eastAsia" w:eastAsia="黑体"/>
          <w:color w:val="auto"/>
          <w:kern w:val="0"/>
          <w:sz w:val="24"/>
          <w:szCs w:val="20"/>
          <w:highlight w:val="none"/>
        </w:rPr>
        <w:t>招标文件的获取</w:t>
      </w:r>
      <w:bookmarkEnd w:id="74"/>
      <w:bookmarkEnd w:id="75"/>
      <w:bookmarkEnd w:id="76"/>
      <w:bookmarkEnd w:id="77"/>
      <w:bookmarkEnd w:id="78"/>
      <w:bookmarkEnd w:id="79"/>
      <w:bookmarkEnd w:id="80"/>
      <w:bookmarkEnd w:id="81"/>
      <w:bookmarkEnd w:id="82"/>
      <w:bookmarkEnd w:id="83"/>
      <w:bookmarkEnd w:id="84"/>
    </w:p>
    <w:p>
      <w:pPr>
        <w:tabs>
          <w:tab w:val="left" w:pos="360"/>
        </w:tabs>
        <w:spacing w:line="400" w:lineRule="exact"/>
        <w:ind w:firstLine="420" w:firstLineChars="200"/>
        <w:rPr>
          <w:color w:val="auto"/>
          <w:szCs w:val="24"/>
          <w:highlight w:val="none"/>
        </w:rPr>
      </w:pPr>
      <w:r>
        <w:rPr>
          <w:color w:val="auto"/>
          <w:szCs w:val="24"/>
          <w:highlight w:val="none"/>
        </w:rPr>
        <w:t xml:space="preserve">4.1 </w:t>
      </w:r>
      <w:r>
        <w:rPr>
          <w:rFonts w:hint="eastAsia"/>
          <w:color w:val="auto"/>
          <w:szCs w:val="21"/>
          <w:highlight w:val="none"/>
        </w:rPr>
        <w:t>凡有意参加投标者，请于</w:t>
      </w:r>
      <w:r>
        <w:rPr>
          <w:rFonts w:hint="eastAsia" w:ascii="宋体" w:hAnsi="宋体"/>
          <w:color w:val="auto"/>
          <w:kern w:val="0"/>
          <w:szCs w:val="24"/>
          <w:highlight w:val="none"/>
          <w:u w:val="single"/>
        </w:rPr>
        <w:t>2025年  月  日  时  分</w:t>
      </w:r>
      <w:r>
        <w:rPr>
          <w:rFonts w:hint="eastAsia"/>
          <w:color w:val="auto"/>
          <w:szCs w:val="24"/>
          <w:highlight w:val="none"/>
          <w:u w:val="single"/>
        </w:rPr>
        <w:t>至</w:t>
      </w:r>
      <w:r>
        <w:rPr>
          <w:rFonts w:hint="eastAsia" w:ascii="宋体" w:hAnsi="宋体"/>
          <w:color w:val="auto"/>
          <w:kern w:val="0"/>
          <w:szCs w:val="24"/>
          <w:highlight w:val="none"/>
          <w:u w:val="single"/>
        </w:rPr>
        <w:t>2025年  月  日  时  分</w:t>
      </w:r>
      <w:r>
        <w:rPr>
          <w:rFonts w:hint="eastAsia"/>
          <w:color w:val="auto"/>
          <w:szCs w:val="24"/>
          <w:highlight w:val="none"/>
          <w:u w:val="single"/>
        </w:rPr>
        <w:t>（</w:t>
      </w:r>
      <w:r>
        <w:rPr>
          <w:rFonts w:hint="eastAsia"/>
          <w:color w:val="auto"/>
          <w:szCs w:val="24"/>
          <w:highlight w:val="none"/>
        </w:rPr>
        <w:t>北京时间，下同</w:t>
      </w:r>
      <w:r>
        <w:rPr>
          <w:color w:val="auto"/>
          <w:szCs w:val="24"/>
          <w:highlight w:val="none"/>
        </w:rPr>
        <w:t>)</w:t>
      </w:r>
      <w:r>
        <w:rPr>
          <w:rFonts w:hint="eastAsia"/>
          <w:color w:val="auto"/>
          <w:szCs w:val="21"/>
          <w:highlight w:val="none"/>
        </w:rPr>
        <w:t>，</w:t>
      </w:r>
      <w:r>
        <w:rPr>
          <w:rFonts w:hint="eastAsia"/>
          <w:color w:val="auto"/>
          <w:szCs w:val="24"/>
          <w:highlight w:val="none"/>
        </w:rPr>
        <w:t>登录</w:t>
      </w:r>
      <w:r>
        <w:rPr>
          <w:rFonts w:hint="eastAsia"/>
          <w:color w:val="auto"/>
          <w:szCs w:val="21"/>
          <w:highlight w:val="none"/>
          <w:u w:val="single"/>
        </w:rPr>
        <w:t>广州公共资源交易中心网站</w:t>
      </w:r>
      <w:r>
        <w:rPr>
          <w:color w:val="auto"/>
          <w:szCs w:val="21"/>
          <w:highlight w:val="none"/>
          <w:u w:val="single"/>
        </w:rPr>
        <w:t xml:space="preserve"> </w:t>
      </w:r>
      <w:r>
        <w:rPr>
          <w:rFonts w:hint="eastAsia"/>
          <w:color w:val="auto"/>
          <w:szCs w:val="21"/>
          <w:highlight w:val="none"/>
        </w:rPr>
        <w:t>（</w:t>
      </w:r>
      <w:r>
        <w:rPr>
          <w:rFonts w:ascii="宋体" w:hAnsi="宋体"/>
          <w:color w:val="auto"/>
          <w:szCs w:val="21"/>
          <w:highlight w:val="none"/>
          <w:u w:val="single"/>
        </w:rPr>
        <w:t>http//www.gzggzy.cn</w:t>
      </w:r>
      <w:r>
        <w:rPr>
          <w:rFonts w:hint="eastAsia"/>
          <w:color w:val="auto"/>
          <w:szCs w:val="24"/>
          <w:highlight w:val="none"/>
        </w:rPr>
        <w:t>）下载电子招标文件。</w:t>
      </w:r>
    </w:p>
    <w:p>
      <w:pPr>
        <w:spacing w:line="400" w:lineRule="exact"/>
        <w:ind w:firstLine="420" w:firstLineChars="200"/>
        <w:rPr>
          <w:i/>
          <w:color w:val="auto"/>
          <w:szCs w:val="24"/>
          <w:highlight w:val="none"/>
        </w:rPr>
      </w:pPr>
      <w:r>
        <w:rPr>
          <w:color w:val="auto"/>
          <w:szCs w:val="24"/>
          <w:highlight w:val="none"/>
        </w:rPr>
        <w:t>4.2</w:t>
      </w:r>
      <w:r>
        <w:rPr>
          <w:rFonts w:hint="eastAsia"/>
          <w:color w:val="auto"/>
          <w:szCs w:val="24"/>
          <w:highlight w:val="none"/>
        </w:rPr>
        <w:t>本项目采用</w:t>
      </w:r>
      <w:r>
        <w:rPr>
          <w:rFonts w:hint="eastAsia"/>
          <w:color w:val="auto"/>
          <w:szCs w:val="21"/>
          <w:highlight w:val="none"/>
        </w:rPr>
        <w:t>资格后审</w:t>
      </w:r>
      <w:r>
        <w:rPr>
          <w:rFonts w:hint="eastAsia"/>
          <w:color w:val="auto"/>
          <w:szCs w:val="24"/>
          <w:highlight w:val="none"/>
        </w:rPr>
        <w:t>方式。</w:t>
      </w:r>
    </w:p>
    <w:p>
      <w:pPr>
        <w:spacing w:line="400" w:lineRule="exact"/>
        <w:ind w:firstLine="420" w:firstLineChars="200"/>
        <w:rPr>
          <w:color w:val="auto"/>
          <w:szCs w:val="24"/>
          <w:highlight w:val="none"/>
          <w:u w:val="single"/>
        </w:rPr>
      </w:pPr>
      <w:r>
        <w:rPr>
          <w:color w:val="auto"/>
          <w:szCs w:val="24"/>
          <w:highlight w:val="none"/>
          <w:u w:val="single"/>
        </w:rPr>
        <w:t>4.3</w:t>
      </w:r>
      <w:r>
        <w:rPr>
          <w:rFonts w:hint="eastAsia"/>
          <w:color w:val="auto"/>
          <w:szCs w:val="24"/>
          <w:highlight w:val="none"/>
          <w:u w:val="single"/>
        </w:rPr>
        <w:t>招标失败的情况</w:t>
      </w:r>
    </w:p>
    <w:p>
      <w:pPr>
        <w:spacing w:line="400" w:lineRule="exact"/>
        <w:ind w:firstLine="420" w:firstLineChars="200"/>
        <w:rPr>
          <w:color w:val="auto"/>
          <w:szCs w:val="24"/>
          <w:highlight w:val="none"/>
          <w:u w:val="single"/>
        </w:rPr>
      </w:pPr>
      <w:r>
        <w:rPr>
          <w:color w:val="auto"/>
          <w:szCs w:val="24"/>
          <w:highlight w:val="none"/>
          <w:u w:val="single"/>
        </w:rPr>
        <w:t>4.3.1</w:t>
      </w:r>
      <w:r>
        <w:rPr>
          <w:rFonts w:hint="eastAsia"/>
          <w:color w:val="auto"/>
          <w:szCs w:val="24"/>
          <w:highlight w:val="none"/>
          <w:u w:val="single"/>
        </w:rPr>
        <w:t>到投标截止时间止，若递交投标文件的投标人不足3家的，招标人将重新组织招标。招标人分析招标失败原因，修正招标方案，报有关管理部门核准后，重新组织招标。</w:t>
      </w:r>
    </w:p>
    <w:p>
      <w:pPr>
        <w:spacing w:line="400" w:lineRule="exact"/>
        <w:ind w:firstLine="420" w:firstLineChars="200"/>
        <w:rPr>
          <w:color w:val="auto"/>
          <w:szCs w:val="24"/>
          <w:highlight w:val="none"/>
          <w:u w:val="single"/>
        </w:rPr>
      </w:pPr>
      <w:r>
        <w:rPr>
          <w:color w:val="auto"/>
          <w:szCs w:val="24"/>
          <w:highlight w:val="none"/>
          <w:u w:val="single"/>
        </w:rPr>
        <w:t>4.3.2</w:t>
      </w:r>
      <w:r>
        <w:rPr>
          <w:rFonts w:hint="eastAsia"/>
          <w:color w:val="auto"/>
          <w:szCs w:val="24"/>
          <w:highlight w:val="none"/>
          <w:u w:val="single"/>
        </w:rPr>
        <w:t>招标人因两次或多次招标失败，需申请改变招标方式或不招标的，应按国家招投标法及省市最新相关规定执行。</w:t>
      </w:r>
    </w:p>
    <w:p>
      <w:pPr>
        <w:keepNext/>
        <w:keepLines/>
        <w:adjustRightInd w:val="0"/>
        <w:spacing w:before="240" w:after="120"/>
        <w:textAlignment w:val="baseline"/>
        <w:outlineLvl w:val="1"/>
        <w:rPr>
          <w:rFonts w:eastAsia="黑体"/>
          <w:color w:val="auto"/>
          <w:kern w:val="0"/>
          <w:sz w:val="24"/>
          <w:szCs w:val="20"/>
          <w:highlight w:val="none"/>
        </w:rPr>
      </w:pPr>
      <w:bookmarkStart w:id="85" w:name="_Toc9975"/>
      <w:bookmarkStart w:id="86" w:name="_Toc21182"/>
      <w:bookmarkStart w:id="87" w:name="_Toc1624"/>
      <w:bookmarkStart w:id="88" w:name="_Toc1202"/>
      <w:bookmarkStart w:id="89" w:name="_Toc19759"/>
      <w:bookmarkStart w:id="90" w:name="_Toc24171"/>
      <w:bookmarkStart w:id="91" w:name="_Toc6844"/>
      <w:bookmarkStart w:id="92" w:name="_Toc170804554"/>
      <w:bookmarkStart w:id="93" w:name="_Toc366144168"/>
      <w:bookmarkStart w:id="94" w:name="_Toc25159"/>
      <w:bookmarkStart w:id="95" w:name="_Toc24132"/>
      <w:r>
        <w:rPr>
          <w:rFonts w:eastAsia="黑体"/>
          <w:color w:val="auto"/>
          <w:kern w:val="0"/>
          <w:sz w:val="24"/>
          <w:szCs w:val="20"/>
          <w:highlight w:val="none"/>
        </w:rPr>
        <w:t xml:space="preserve">5. </w:t>
      </w:r>
      <w:r>
        <w:rPr>
          <w:rFonts w:hint="eastAsia" w:eastAsia="黑体"/>
          <w:color w:val="auto"/>
          <w:kern w:val="0"/>
          <w:sz w:val="24"/>
          <w:szCs w:val="20"/>
          <w:highlight w:val="none"/>
        </w:rPr>
        <w:t>投标文件的递交</w:t>
      </w:r>
      <w:bookmarkEnd w:id="85"/>
      <w:bookmarkEnd w:id="86"/>
      <w:bookmarkEnd w:id="87"/>
      <w:bookmarkEnd w:id="88"/>
      <w:bookmarkEnd w:id="89"/>
      <w:bookmarkEnd w:id="90"/>
      <w:bookmarkEnd w:id="91"/>
      <w:bookmarkEnd w:id="92"/>
      <w:bookmarkEnd w:id="93"/>
      <w:bookmarkEnd w:id="94"/>
      <w:bookmarkEnd w:id="95"/>
    </w:p>
    <w:p>
      <w:pPr>
        <w:tabs>
          <w:tab w:val="left" w:pos="360"/>
        </w:tabs>
        <w:spacing w:line="400" w:lineRule="exact"/>
        <w:ind w:firstLine="420" w:firstLineChars="200"/>
        <w:rPr>
          <w:color w:val="auto"/>
          <w:szCs w:val="24"/>
          <w:highlight w:val="none"/>
        </w:rPr>
      </w:pPr>
      <w:r>
        <w:rPr>
          <w:color w:val="auto"/>
          <w:szCs w:val="24"/>
          <w:highlight w:val="none"/>
        </w:rPr>
        <w:t>5.1</w:t>
      </w:r>
      <w:r>
        <w:rPr>
          <w:rFonts w:hint="eastAsia"/>
          <w:color w:val="auto"/>
          <w:szCs w:val="24"/>
          <w:highlight w:val="none"/>
        </w:rPr>
        <w:t>投标文件递交的截止时间（投标截止时间，下同）为</w:t>
      </w:r>
      <w:r>
        <w:rPr>
          <w:rFonts w:hint="eastAsia" w:ascii="宋体" w:hAnsi="宋体"/>
          <w:color w:val="auto"/>
          <w:kern w:val="0"/>
          <w:szCs w:val="24"/>
          <w:highlight w:val="none"/>
          <w:u w:val="single"/>
        </w:rPr>
        <w:t>2025年  月  日  时  分</w:t>
      </w:r>
      <w:r>
        <w:rPr>
          <w:rFonts w:hint="eastAsia"/>
          <w:color w:val="auto"/>
          <w:szCs w:val="24"/>
          <w:highlight w:val="none"/>
        </w:rPr>
        <w:t>，投标人应在截止时间前登录</w:t>
      </w:r>
      <w:r>
        <w:rPr>
          <w:color w:val="auto"/>
          <w:szCs w:val="24"/>
          <w:highlight w:val="none"/>
          <w:u w:val="single"/>
        </w:rPr>
        <w:t xml:space="preserve"> </w:t>
      </w:r>
      <w:r>
        <w:rPr>
          <w:rFonts w:ascii="宋体" w:hAnsi="宋体"/>
          <w:color w:val="auto"/>
          <w:szCs w:val="21"/>
          <w:highlight w:val="none"/>
          <w:u w:val="single"/>
        </w:rPr>
        <w:t>http://www.gzggzy.cn</w:t>
      </w:r>
      <w:r>
        <w:rPr>
          <w:rFonts w:hint="eastAsia"/>
          <w:color w:val="auto"/>
          <w:szCs w:val="21"/>
          <w:highlight w:val="none"/>
        </w:rPr>
        <w:t>通过</w:t>
      </w:r>
      <w:r>
        <w:rPr>
          <w:rFonts w:hint="eastAsia" w:ascii="宋体" w:hAnsi="宋体"/>
          <w:color w:val="auto"/>
          <w:szCs w:val="21"/>
          <w:highlight w:val="none"/>
          <w:u w:val="single"/>
        </w:rPr>
        <w:t>广州公共资源交易中心数字交易平台</w:t>
      </w:r>
      <w:r>
        <w:rPr>
          <w:rFonts w:hint="eastAsia"/>
          <w:color w:val="auto"/>
          <w:szCs w:val="24"/>
          <w:highlight w:val="none"/>
        </w:rPr>
        <w:t>递交电子投标文件。</w:t>
      </w:r>
    </w:p>
    <w:p>
      <w:pPr>
        <w:tabs>
          <w:tab w:val="left" w:pos="360"/>
        </w:tabs>
        <w:spacing w:line="400" w:lineRule="exact"/>
        <w:ind w:firstLine="435"/>
        <w:rPr>
          <w:color w:val="auto"/>
          <w:szCs w:val="24"/>
          <w:highlight w:val="none"/>
          <w:u w:val="single"/>
        </w:rPr>
      </w:pPr>
      <w:r>
        <w:rPr>
          <w:rFonts w:hint="eastAsia"/>
          <w:color w:val="auto"/>
          <w:szCs w:val="24"/>
          <w:highlight w:val="none"/>
        </w:rPr>
        <w:t>投标文件备用光盘递交时间：</w:t>
      </w:r>
      <w:r>
        <w:rPr>
          <w:rFonts w:hint="eastAsia" w:ascii="宋体" w:hAnsi="宋体"/>
          <w:color w:val="auto"/>
          <w:kern w:val="0"/>
          <w:szCs w:val="24"/>
          <w:highlight w:val="none"/>
          <w:u w:val="single"/>
        </w:rPr>
        <w:t>2025年  月  日  时  分</w:t>
      </w:r>
      <w:r>
        <w:rPr>
          <w:rFonts w:hint="eastAsia"/>
          <w:color w:val="auto"/>
          <w:szCs w:val="24"/>
          <w:highlight w:val="none"/>
        </w:rPr>
        <w:t>至</w:t>
      </w:r>
      <w:r>
        <w:rPr>
          <w:rFonts w:hint="eastAsia" w:ascii="宋体" w:hAnsi="宋体"/>
          <w:color w:val="auto"/>
          <w:kern w:val="0"/>
          <w:szCs w:val="24"/>
          <w:highlight w:val="none"/>
          <w:u w:val="single"/>
        </w:rPr>
        <w:t>2025年  月  日  时  分</w:t>
      </w:r>
      <w:r>
        <w:rPr>
          <w:rFonts w:hint="eastAsia"/>
          <w:color w:val="auto"/>
          <w:szCs w:val="24"/>
          <w:highlight w:val="none"/>
        </w:rPr>
        <w:t>（备注：填写时间为投标截止前</w:t>
      </w:r>
      <w:r>
        <w:rPr>
          <w:color w:val="auto"/>
          <w:szCs w:val="24"/>
          <w:highlight w:val="none"/>
        </w:rPr>
        <w:t>15</w:t>
      </w:r>
      <w:r>
        <w:rPr>
          <w:rFonts w:hint="eastAsia"/>
          <w:color w:val="auto"/>
          <w:szCs w:val="24"/>
          <w:highlight w:val="none"/>
        </w:rPr>
        <w:t>分钟开始递交至投标截止时间止），投标文件备用光盘递交</w:t>
      </w:r>
      <w:r>
        <w:rPr>
          <w:rFonts w:hint="eastAsia"/>
          <w:color w:val="auto"/>
          <w:szCs w:val="24"/>
          <w:highlight w:val="none"/>
          <w:u w:val="single"/>
        </w:rPr>
        <w:t>地点：广州市公共资源交易中心。</w:t>
      </w:r>
    </w:p>
    <w:p>
      <w:pPr>
        <w:tabs>
          <w:tab w:val="left" w:pos="360"/>
        </w:tabs>
        <w:spacing w:line="400" w:lineRule="exact"/>
        <w:ind w:firstLine="435"/>
        <w:rPr>
          <w:color w:val="auto"/>
          <w:szCs w:val="24"/>
          <w:highlight w:val="none"/>
          <w:u w:val="single"/>
        </w:rPr>
      </w:pPr>
      <w:r>
        <w:rPr>
          <w:rFonts w:hint="eastAsia"/>
          <w:color w:val="auto"/>
          <w:szCs w:val="24"/>
          <w:highlight w:val="none"/>
          <w:u w:val="single"/>
        </w:rPr>
        <w:t>投标人完成电子投标上传后，电子招标投标交易平台即时向投标人发出递交回执通知。递交时间以递交回执通知载明的传输时间为准。</w:t>
      </w:r>
    </w:p>
    <w:p>
      <w:pPr>
        <w:spacing w:line="400" w:lineRule="exact"/>
        <w:ind w:firstLine="420" w:firstLineChars="200"/>
        <w:jc w:val="left"/>
        <w:rPr>
          <w:color w:val="auto"/>
          <w:szCs w:val="24"/>
          <w:highlight w:val="none"/>
        </w:rPr>
      </w:pPr>
      <w:r>
        <w:rPr>
          <w:color w:val="auto"/>
          <w:szCs w:val="24"/>
          <w:highlight w:val="none"/>
        </w:rPr>
        <w:t xml:space="preserve">5.2  </w:t>
      </w:r>
      <w:r>
        <w:rPr>
          <w:rFonts w:hint="eastAsia"/>
          <w:color w:val="auto"/>
          <w:szCs w:val="24"/>
          <w:highlight w:val="none"/>
        </w:rPr>
        <w:t>逾期送达的投标文件，电子招标投标交易平台将予以拒收。采取电子投标时，逾期未上传成功的电子投标文件，招标人拒绝接收。</w:t>
      </w:r>
    </w:p>
    <w:p>
      <w:pPr>
        <w:keepNext/>
        <w:keepLines/>
        <w:adjustRightInd w:val="0"/>
        <w:spacing w:before="240" w:after="120"/>
        <w:textAlignment w:val="baseline"/>
        <w:outlineLvl w:val="1"/>
        <w:rPr>
          <w:color w:val="auto"/>
          <w:szCs w:val="24"/>
          <w:highlight w:val="none"/>
        </w:rPr>
      </w:pPr>
      <w:bookmarkStart w:id="96" w:name="_Toc5252"/>
      <w:bookmarkStart w:id="97" w:name="_Toc1244382921"/>
      <w:bookmarkStart w:id="98" w:name="_Toc26521"/>
      <w:bookmarkStart w:id="99" w:name="_Toc14129"/>
      <w:bookmarkStart w:id="100" w:name="_Toc954"/>
      <w:bookmarkStart w:id="101" w:name="_Toc12889"/>
      <w:bookmarkStart w:id="102" w:name="_Toc15267"/>
      <w:bookmarkStart w:id="103" w:name="_Toc8162"/>
      <w:bookmarkStart w:id="104" w:name="_Toc170804555"/>
      <w:bookmarkStart w:id="105" w:name="_Toc21710"/>
      <w:bookmarkStart w:id="106" w:name="_Toc24190"/>
      <w:r>
        <w:rPr>
          <w:rFonts w:eastAsia="黑体"/>
          <w:color w:val="auto"/>
          <w:kern w:val="0"/>
          <w:sz w:val="24"/>
          <w:szCs w:val="20"/>
          <w:highlight w:val="none"/>
        </w:rPr>
        <w:t xml:space="preserve">6. </w:t>
      </w:r>
      <w:r>
        <w:rPr>
          <w:rFonts w:hint="eastAsia" w:eastAsia="黑体"/>
          <w:color w:val="auto"/>
          <w:kern w:val="0"/>
          <w:sz w:val="24"/>
          <w:szCs w:val="20"/>
          <w:highlight w:val="none"/>
        </w:rPr>
        <w:t>发布公告的媒介</w:t>
      </w:r>
      <w:bookmarkEnd w:id="96"/>
      <w:bookmarkEnd w:id="97"/>
      <w:bookmarkEnd w:id="98"/>
      <w:bookmarkEnd w:id="99"/>
      <w:bookmarkEnd w:id="100"/>
      <w:bookmarkEnd w:id="101"/>
      <w:bookmarkEnd w:id="102"/>
      <w:bookmarkEnd w:id="103"/>
      <w:bookmarkEnd w:id="104"/>
      <w:bookmarkEnd w:id="105"/>
      <w:bookmarkEnd w:id="106"/>
      <w:r>
        <w:rPr>
          <w:rFonts w:eastAsia="黑体"/>
          <w:color w:val="auto"/>
          <w:kern w:val="0"/>
          <w:sz w:val="24"/>
          <w:szCs w:val="20"/>
          <w:highlight w:val="none"/>
        </w:rPr>
        <w:t xml:space="preserve">  </w:t>
      </w:r>
    </w:p>
    <w:p>
      <w:pPr>
        <w:spacing w:line="400" w:lineRule="exact"/>
        <w:ind w:firstLine="420" w:firstLineChars="200"/>
        <w:rPr>
          <w:color w:val="auto"/>
          <w:highlight w:val="none"/>
        </w:rPr>
      </w:pPr>
      <w:r>
        <w:rPr>
          <w:rFonts w:hint="eastAsia"/>
          <w:color w:val="auto"/>
          <w:highlight w:val="none"/>
        </w:rPr>
        <w:t>本次招标公告同时在</w:t>
      </w:r>
      <w:r>
        <w:rPr>
          <w:rFonts w:hint="eastAsia"/>
          <w:color w:val="auto"/>
          <w:highlight w:val="none"/>
          <w:u w:val="single"/>
        </w:rPr>
        <w:t>广州公共资源交易网（网址：</w:t>
      </w:r>
      <w:r>
        <w:rPr>
          <w:color w:val="auto"/>
          <w:highlight w:val="none"/>
          <w:u w:val="single"/>
        </w:rPr>
        <w:t>http://www.gzggzy.cn/</w:t>
      </w:r>
      <w:r>
        <w:rPr>
          <w:rFonts w:hint="eastAsia"/>
          <w:color w:val="auto"/>
          <w:highlight w:val="none"/>
          <w:u w:val="single"/>
        </w:rPr>
        <w:t>）、中国招标投标公共服务平台（网址：</w:t>
      </w:r>
      <w:r>
        <w:rPr>
          <w:color w:val="auto"/>
          <w:highlight w:val="none"/>
          <w:u w:val="single"/>
        </w:rPr>
        <w:t>http://www.cebpubservice.com/</w:t>
      </w:r>
      <w:r>
        <w:rPr>
          <w:rFonts w:hint="eastAsia"/>
          <w:color w:val="auto"/>
          <w:highlight w:val="none"/>
          <w:u w:val="single"/>
        </w:rPr>
        <w:t>）、广东省招标投标监管网</w:t>
      </w:r>
      <w:r>
        <w:rPr>
          <w:color w:val="auto"/>
          <w:highlight w:val="none"/>
          <w:u w:val="single"/>
        </w:rPr>
        <w:t>(</w:t>
      </w:r>
      <w:r>
        <w:rPr>
          <w:rFonts w:hint="eastAsia"/>
          <w:color w:val="auto"/>
          <w:highlight w:val="none"/>
          <w:u w:val="single"/>
        </w:rPr>
        <w:t>网址：</w:t>
      </w:r>
      <w:r>
        <w:rPr>
          <w:color w:val="auto"/>
          <w:highlight w:val="none"/>
        </w:rPr>
        <w:fldChar w:fldCharType="begin"/>
      </w:r>
      <w:r>
        <w:rPr>
          <w:color w:val="auto"/>
          <w:highlight w:val="none"/>
        </w:rPr>
        <w:instrText xml:space="preserve"> HYPERLINK "http://zbtb.gd.gov.cn" </w:instrText>
      </w:r>
      <w:r>
        <w:rPr>
          <w:color w:val="auto"/>
          <w:highlight w:val="none"/>
        </w:rPr>
        <w:fldChar w:fldCharType="separate"/>
      </w:r>
      <w:r>
        <w:rPr>
          <w:rStyle w:val="48"/>
          <w:color w:val="auto"/>
          <w:highlight w:val="none"/>
        </w:rPr>
        <w:t>http://zbtb.gd.gov.cn</w:t>
      </w:r>
      <w:r>
        <w:rPr>
          <w:rStyle w:val="48"/>
          <w:color w:val="auto"/>
          <w:highlight w:val="none"/>
        </w:rPr>
        <w:fldChar w:fldCharType="end"/>
      </w:r>
      <w:r>
        <w:rPr>
          <w:color w:val="auto"/>
          <w:highlight w:val="none"/>
          <w:u w:val="single"/>
        </w:rPr>
        <w:t>)</w:t>
      </w:r>
      <w:r>
        <w:rPr>
          <w:rFonts w:hint="eastAsia"/>
          <w:color w:val="auto"/>
          <w:highlight w:val="none"/>
          <w:u w:val="single"/>
        </w:rPr>
        <w:t>、</w:t>
      </w:r>
      <w:r>
        <w:rPr>
          <w:rFonts w:hint="eastAsia"/>
          <w:color w:val="auto"/>
          <w:szCs w:val="21"/>
          <w:highlight w:val="none"/>
          <w:u w:val="single"/>
        </w:rPr>
        <w:t>广东省公共资源交易平台 （网址：https://ygp.gdzwfw.gov.cn/ggzy-portal/#/441900/index）</w:t>
      </w:r>
      <w:r>
        <w:rPr>
          <w:rFonts w:hint="eastAsia"/>
          <w:color w:val="auto"/>
          <w:highlight w:val="none"/>
          <w:u w:val="single"/>
        </w:rPr>
        <w:t>和广咨电子招投标交易平台（https://www.gzebid.cn）、东莞市轨道交通有限公司官网（网址：</w:t>
      </w:r>
      <w:r>
        <w:rPr>
          <w:color w:val="auto"/>
          <w:highlight w:val="none"/>
          <w:u w:val="single"/>
        </w:rPr>
        <w:t>http://www.dggdjt.com/</w:t>
      </w:r>
      <w:r>
        <w:rPr>
          <w:rFonts w:hint="eastAsia"/>
          <w:color w:val="auto"/>
          <w:highlight w:val="none"/>
          <w:u w:val="single"/>
        </w:rPr>
        <w:t>）</w:t>
      </w:r>
      <w:r>
        <w:rPr>
          <w:rFonts w:hint="eastAsia"/>
          <w:color w:val="auto"/>
          <w:highlight w:val="none"/>
        </w:rPr>
        <w:t>上发布。本公告的修改、补充，在广州公共资源交易网发布。</w:t>
      </w:r>
    </w:p>
    <w:p>
      <w:pPr>
        <w:pStyle w:val="26"/>
        <w:rPr>
          <w:color w:val="auto"/>
          <w:szCs w:val="24"/>
          <w:highlight w:val="none"/>
        </w:rPr>
      </w:pPr>
    </w:p>
    <w:p>
      <w:pPr>
        <w:spacing w:line="400" w:lineRule="exact"/>
        <w:ind w:firstLine="420" w:firstLineChars="200"/>
        <w:rPr>
          <w:color w:val="auto"/>
          <w:szCs w:val="21"/>
          <w:highlight w:val="none"/>
        </w:rPr>
      </w:pPr>
      <w:r>
        <w:rPr>
          <w:rFonts w:hint="eastAsia"/>
          <w:color w:val="auto"/>
          <w:szCs w:val="21"/>
          <w:highlight w:val="none"/>
        </w:rPr>
        <w:t>发布招标公告开始日期（含本日）为：</w:t>
      </w:r>
    </w:p>
    <w:p>
      <w:pPr>
        <w:spacing w:line="400" w:lineRule="exact"/>
        <w:ind w:firstLine="420" w:firstLineChars="200"/>
        <w:rPr>
          <w:color w:val="auto"/>
          <w:szCs w:val="21"/>
          <w:highlight w:val="none"/>
        </w:rPr>
      </w:pPr>
      <w:r>
        <w:rPr>
          <w:rFonts w:hint="eastAsia" w:ascii="宋体" w:hAnsi="宋体"/>
          <w:color w:val="auto"/>
          <w:kern w:val="0"/>
          <w:szCs w:val="24"/>
          <w:highlight w:val="none"/>
          <w:u w:val="single"/>
        </w:rPr>
        <w:t>2025 年  月  日  时  分</w:t>
      </w:r>
      <w:r>
        <w:rPr>
          <w:rFonts w:hint="eastAsia"/>
          <w:color w:val="auto"/>
          <w:szCs w:val="21"/>
          <w:highlight w:val="none"/>
        </w:rPr>
        <w:t>；</w:t>
      </w:r>
    </w:p>
    <w:p>
      <w:pPr>
        <w:spacing w:line="400" w:lineRule="exact"/>
        <w:ind w:firstLine="420" w:firstLineChars="200"/>
        <w:rPr>
          <w:color w:val="auto"/>
          <w:szCs w:val="21"/>
          <w:highlight w:val="none"/>
        </w:rPr>
      </w:pPr>
      <w:r>
        <w:rPr>
          <w:rFonts w:hint="eastAsia"/>
          <w:color w:val="auto"/>
          <w:szCs w:val="21"/>
          <w:highlight w:val="none"/>
        </w:rPr>
        <w:t>发布招标公告截止日期（含本日）为：</w:t>
      </w:r>
    </w:p>
    <w:p>
      <w:pPr>
        <w:spacing w:line="400" w:lineRule="exact"/>
        <w:ind w:firstLine="420" w:firstLineChars="200"/>
        <w:rPr>
          <w:color w:val="auto"/>
          <w:szCs w:val="21"/>
          <w:highlight w:val="none"/>
        </w:rPr>
      </w:pPr>
      <w:r>
        <w:rPr>
          <w:rFonts w:hint="eastAsia" w:ascii="宋体" w:hAnsi="宋体"/>
          <w:color w:val="auto"/>
          <w:kern w:val="0"/>
          <w:szCs w:val="24"/>
          <w:highlight w:val="none"/>
          <w:u w:val="single"/>
        </w:rPr>
        <w:t>2025 年  月  日  时  分</w:t>
      </w:r>
      <w:r>
        <w:rPr>
          <w:rFonts w:hint="eastAsia"/>
          <w:color w:val="auto"/>
          <w:szCs w:val="21"/>
          <w:highlight w:val="none"/>
        </w:rPr>
        <w:t>；</w:t>
      </w:r>
      <w:r>
        <w:rPr>
          <w:color w:val="auto"/>
          <w:szCs w:val="24"/>
          <w:highlight w:val="none"/>
        </w:rPr>
        <w:t xml:space="preserve"> </w:t>
      </w:r>
    </w:p>
    <w:p>
      <w:pPr>
        <w:keepNext/>
        <w:keepLines/>
        <w:adjustRightInd w:val="0"/>
        <w:spacing w:before="240" w:after="120"/>
        <w:textAlignment w:val="baseline"/>
        <w:outlineLvl w:val="1"/>
        <w:rPr>
          <w:rFonts w:eastAsia="黑体"/>
          <w:color w:val="auto"/>
          <w:kern w:val="0"/>
          <w:sz w:val="24"/>
          <w:szCs w:val="20"/>
          <w:highlight w:val="none"/>
        </w:rPr>
      </w:pPr>
      <w:bookmarkStart w:id="107" w:name="_Toc28398"/>
      <w:bookmarkStart w:id="108" w:name="_Toc14711"/>
      <w:bookmarkStart w:id="109" w:name="_Toc5750"/>
      <w:bookmarkStart w:id="110" w:name="_Toc9108"/>
      <w:bookmarkStart w:id="111" w:name="_Toc170804556"/>
      <w:bookmarkStart w:id="112" w:name="_Toc10437"/>
      <w:bookmarkStart w:id="113" w:name="_Toc6030"/>
      <w:bookmarkStart w:id="114" w:name="_Toc515114"/>
      <w:bookmarkStart w:id="115" w:name="_Toc15607"/>
      <w:bookmarkStart w:id="116" w:name="_Toc8360"/>
      <w:bookmarkStart w:id="117" w:name="_Toc22639"/>
      <w:r>
        <w:rPr>
          <w:rFonts w:eastAsia="黑体"/>
          <w:color w:val="auto"/>
          <w:kern w:val="0"/>
          <w:sz w:val="24"/>
          <w:szCs w:val="20"/>
          <w:highlight w:val="none"/>
        </w:rPr>
        <w:t xml:space="preserve">7. </w:t>
      </w:r>
      <w:r>
        <w:rPr>
          <w:rFonts w:hint="eastAsia" w:eastAsia="黑体"/>
          <w:color w:val="auto"/>
          <w:kern w:val="0"/>
          <w:sz w:val="24"/>
          <w:szCs w:val="20"/>
          <w:highlight w:val="none"/>
        </w:rPr>
        <w:t>联系方式</w:t>
      </w:r>
      <w:bookmarkEnd w:id="107"/>
      <w:bookmarkEnd w:id="108"/>
      <w:bookmarkEnd w:id="109"/>
      <w:bookmarkEnd w:id="110"/>
      <w:bookmarkEnd w:id="111"/>
      <w:bookmarkEnd w:id="112"/>
      <w:bookmarkEnd w:id="113"/>
      <w:bookmarkEnd w:id="114"/>
      <w:bookmarkEnd w:id="115"/>
      <w:bookmarkEnd w:id="116"/>
      <w:bookmarkEnd w:id="117"/>
      <w:r>
        <w:rPr>
          <w:rFonts w:eastAsia="黑体"/>
          <w:color w:val="auto"/>
          <w:kern w:val="0"/>
          <w:sz w:val="24"/>
          <w:szCs w:val="20"/>
          <w:highlight w:val="none"/>
        </w:rPr>
        <w:t xml:space="preserve">    </w:t>
      </w:r>
    </w:p>
    <w:p>
      <w:pPr>
        <w:topLinePunct/>
        <w:spacing w:line="400" w:lineRule="exact"/>
        <w:ind w:firstLine="420" w:firstLineChars="200"/>
        <w:rPr>
          <w:color w:val="auto"/>
          <w:szCs w:val="24"/>
          <w:highlight w:val="none"/>
        </w:rPr>
      </w:pPr>
      <w:r>
        <w:rPr>
          <w:color w:val="auto"/>
          <w:szCs w:val="24"/>
          <w:highlight w:val="none"/>
        </w:rPr>
        <w:t>7.1</w:t>
      </w:r>
      <w:r>
        <w:rPr>
          <w:rFonts w:hint="eastAsia"/>
          <w:color w:val="auto"/>
          <w:szCs w:val="24"/>
          <w:highlight w:val="none"/>
        </w:rPr>
        <w:t>招</w:t>
      </w:r>
      <w:r>
        <w:rPr>
          <w:color w:val="auto"/>
          <w:szCs w:val="24"/>
          <w:highlight w:val="none"/>
        </w:rPr>
        <w:t xml:space="preserve"> </w:t>
      </w:r>
      <w:r>
        <w:rPr>
          <w:rFonts w:hint="eastAsia"/>
          <w:color w:val="auto"/>
          <w:szCs w:val="24"/>
          <w:highlight w:val="none"/>
        </w:rPr>
        <w:t>标</w:t>
      </w:r>
      <w:r>
        <w:rPr>
          <w:color w:val="auto"/>
          <w:szCs w:val="24"/>
          <w:highlight w:val="none"/>
        </w:rPr>
        <w:t xml:space="preserve"> </w:t>
      </w:r>
      <w:r>
        <w:rPr>
          <w:rFonts w:hint="eastAsia"/>
          <w:color w:val="auto"/>
          <w:szCs w:val="24"/>
          <w:highlight w:val="none"/>
        </w:rPr>
        <w:t>人：</w:t>
      </w:r>
      <w:r>
        <w:rPr>
          <w:rFonts w:hint="eastAsia"/>
          <w:color w:val="auto"/>
          <w:szCs w:val="24"/>
          <w:highlight w:val="none"/>
          <w:u w:val="single"/>
        </w:rPr>
        <w:t>东莞市轨道一号线建设发展有限公司</w:t>
      </w:r>
      <w:r>
        <w:rPr>
          <w:color w:val="auto"/>
          <w:szCs w:val="24"/>
          <w:highlight w:val="none"/>
        </w:rPr>
        <w:t xml:space="preserve">   </w:t>
      </w:r>
    </w:p>
    <w:p>
      <w:pPr>
        <w:topLinePunct/>
        <w:spacing w:line="400" w:lineRule="exact"/>
        <w:ind w:firstLine="420" w:firstLineChars="200"/>
        <w:rPr>
          <w:rFonts w:eastAsia="黑体"/>
          <w:color w:val="auto"/>
          <w:sz w:val="28"/>
          <w:szCs w:val="24"/>
          <w:highlight w:val="none"/>
        </w:rPr>
      </w:pPr>
      <w:r>
        <w:rPr>
          <w:rFonts w:hint="eastAsia"/>
          <w:color w:val="auto"/>
          <w:szCs w:val="24"/>
          <w:highlight w:val="none"/>
        </w:rPr>
        <w:t>地</w:t>
      </w:r>
      <w:r>
        <w:rPr>
          <w:color w:val="auto"/>
          <w:szCs w:val="24"/>
          <w:highlight w:val="none"/>
        </w:rPr>
        <w:t xml:space="preserve">    </w:t>
      </w:r>
      <w:r>
        <w:rPr>
          <w:rFonts w:hint="eastAsia"/>
          <w:color w:val="auto"/>
          <w:szCs w:val="24"/>
          <w:highlight w:val="none"/>
        </w:rPr>
        <w:t>址：</w:t>
      </w:r>
      <w:bookmarkStart w:id="118" w:name="OLE_LINK12"/>
      <w:r>
        <w:rPr>
          <w:rFonts w:hint="eastAsia"/>
          <w:color w:val="auto"/>
          <w:szCs w:val="24"/>
          <w:highlight w:val="none"/>
        </w:rPr>
        <w:t>东</w:t>
      </w:r>
      <w:r>
        <w:rPr>
          <w:color w:val="auto"/>
          <w:szCs w:val="24"/>
          <w:highlight w:val="none"/>
        </w:rPr>
        <w:t>莞市南城街道东莞大道南城段116号轨道交通大厦2号楼4406室</w:t>
      </w:r>
      <w:bookmarkEnd w:id="118"/>
      <w:r>
        <w:rPr>
          <w:rFonts w:ascii="宋体" w:hAnsi="宋体"/>
          <w:color w:val="auto"/>
          <w:highlight w:val="none"/>
        </w:rPr>
        <w:t xml:space="preserve"> </w:t>
      </w:r>
    </w:p>
    <w:p>
      <w:pPr>
        <w:topLinePunct/>
        <w:spacing w:line="400" w:lineRule="exact"/>
        <w:ind w:firstLine="420" w:firstLineChars="200"/>
        <w:rPr>
          <w:rFonts w:ascii="等线" w:hAnsi="等线"/>
          <w:color w:val="auto"/>
          <w:szCs w:val="24"/>
          <w:highlight w:val="none"/>
        </w:rPr>
      </w:pPr>
      <w:r>
        <w:rPr>
          <w:rFonts w:hint="eastAsia"/>
          <w:color w:val="auto"/>
          <w:szCs w:val="24"/>
          <w:highlight w:val="none"/>
        </w:rPr>
        <w:t>邮</w:t>
      </w:r>
      <w:r>
        <w:rPr>
          <w:color w:val="auto"/>
          <w:szCs w:val="24"/>
          <w:highlight w:val="none"/>
        </w:rPr>
        <w:t xml:space="preserve">    </w:t>
      </w:r>
      <w:r>
        <w:rPr>
          <w:rFonts w:hint="eastAsia"/>
          <w:color w:val="auto"/>
          <w:szCs w:val="24"/>
          <w:highlight w:val="none"/>
        </w:rPr>
        <w:t>编：</w:t>
      </w:r>
      <w:r>
        <w:rPr>
          <w:rFonts w:hint="eastAsia" w:ascii="宋体" w:hAnsi="宋体" w:cs="宋体"/>
          <w:color w:val="auto"/>
          <w:highlight w:val="none"/>
        </w:rPr>
        <w:t>523000</w:t>
      </w:r>
      <w:r>
        <w:rPr>
          <w:color w:val="auto"/>
          <w:szCs w:val="21"/>
          <w:highlight w:val="none"/>
        </w:rPr>
        <w:t xml:space="preserve"> </w:t>
      </w:r>
      <w:r>
        <w:rPr>
          <w:rFonts w:ascii="宋体" w:hAnsi="宋体" w:cs="Calibri"/>
          <w:color w:val="auto"/>
          <w:kern w:val="0"/>
          <w:sz w:val="24"/>
          <w:szCs w:val="24"/>
          <w:highlight w:val="none"/>
        </w:rPr>
        <w:t xml:space="preserve">    </w:t>
      </w:r>
    </w:p>
    <w:p>
      <w:pPr>
        <w:topLinePunct/>
        <w:spacing w:line="400" w:lineRule="exact"/>
        <w:ind w:firstLine="420" w:firstLineChars="200"/>
        <w:rPr>
          <w:rFonts w:ascii="宋体" w:hAnsi="宋体"/>
          <w:color w:val="auto"/>
          <w:highlight w:val="none"/>
        </w:rPr>
      </w:pPr>
      <w:r>
        <w:rPr>
          <w:rFonts w:hint="eastAsia" w:ascii="等线" w:hAnsi="等线"/>
          <w:color w:val="auto"/>
          <w:szCs w:val="24"/>
          <w:highlight w:val="none"/>
        </w:rPr>
        <w:t>联</w:t>
      </w:r>
      <w:r>
        <w:rPr>
          <w:rFonts w:ascii="等线" w:hAnsi="等线"/>
          <w:color w:val="auto"/>
          <w:szCs w:val="24"/>
          <w:highlight w:val="none"/>
        </w:rPr>
        <w:t xml:space="preserve"> </w:t>
      </w:r>
      <w:r>
        <w:rPr>
          <w:rFonts w:hint="eastAsia" w:ascii="等线" w:hAnsi="等线"/>
          <w:color w:val="auto"/>
          <w:szCs w:val="24"/>
          <w:highlight w:val="none"/>
        </w:rPr>
        <w:t>系</w:t>
      </w:r>
      <w:r>
        <w:rPr>
          <w:rFonts w:ascii="等线" w:hAnsi="等线"/>
          <w:color w:val="auto"/>
          <w:szCs w:val="24"/>
          <w:highlight w:val="none"/>
        </w:rPr>
        <w:t xml:space="preserve"> </w:t>
      </w:r>
      <w:r>
        <w:rPr>
          <w:rFonts w:hint="eastAsia" w:ascii="等线" w:hAnsi="等线"/>
          <w:color w:val="auto"/>
          <w:szCs w:val="24"/>
          <w:highlight w:val="none"/>
        </w:rPr>
        <w:t>人：蔡</w:t>
      </w:r>
      <w:r>
        <w:rPr>
          <w:rFonts w:ascii="宋体" w:hAnsi="宋体"/>
          <w:color w:val="auto"/>
          <w:highlight w:val="none"/>
        </w:rPr>
        <w:t>工</w:t>
      </w:r>
      <w:r>
        <w:rPr>
          <w:rFonts w:hint="eastAsia" w:ascii="宋体" w:hAnsi="宋体"/>
          <w:color w:val="auto"/>
          <w:highlight w:val="none"/>
          <w:lang w:eastAsia="zh-CN"/>
        </w:rPr>
        <w:t>、</w:t>
      </w:r>
      <w:r>
        <w:rPr>
          <w:rFonts w:hint="eastAsia" w:ascii="宋体" w:hAnsi="宋体"/>
          <w:color w:val="auto"/>
          <w:highlight w:val="none"/>
          <w:lang w:val="en-US" w:eastAsia="zh-CN"/>
        </w:rPr>
        <w:t>万工</w:t>
      </w:r>
      <w:r>
        <w:rPr>
          <w:rFonts w:ascii="宋体" w:hAnsi="宋体"/>
          <w:color w:val="auto"/>
          <w:highlight w:val="none"/>
        </w:rPr>
        <w:t xml:space="preserve"> </w:t>
      </w:r>
    </w:p>
    <w:p>
      <w:pPr>
        <w:topLinePunct/>
        <w:spacing w:line="400" w:lineRule="exact"/>
        <w:ind w:firstLine="420" w:firstLineChars="200"/>
        <w:rPr>
          <w:rFonts w:eastAsia="黑体"/>
          <w:color w:val="auto"/>
          <w:sz w:val="28"/>
          <w:szCs w:val="24"/>
          <w:highlight w:val="none"/>
        </w:rPr>
      </w:pPr>
      <w:r>
        <w:rPr>
          <w:rFonts w:hint="eastAsia" w:ascii="宋体" w:hAnsi="宋体"/>
          <w:color w:val="auto"/>
          <w:highlight w:val="none"/>
        </w:rPr>
        <w:t>电</w:t>
      </w:r>
      <w:r>
        <w:rPr>
          <w:rFonts w:ascii="宋体" w:hAnsi="宋体"/>
          <w:color w:val="auto"/>
          <w:highlight w:val="none"/>
        </w:rPr>
        <w:t xml:space="preserve">    </w:t>
      </w:r>
      <w:r>
        <w:rPr>
          <w:rFonts w:hint="eastAsia" w:ascii="宋体" w:hAnsi="宋体"/>
          <w:color w:val="auto"/>
          <w:highlight w:val="none"/>
        </w:rPr>
        <w:t>话：</w:t>
      </w:r>
      <w:bookmarkStart w:id="119" w:name="OLE_LINK13"/>
      <w:r>
        <w:rPr>
          <w:rFonts w:hint="eastAsia" w:ascii="宋体" w:hAnsi="宋体"/>
          <w:color w:val="auto"/>
          <w:highlight w:val="none"/>
        </w:rPr>
        <w:t>13712998922</w:t>
      </w:r>
      <w:bookmarkEnd w:id="119"/>
      <w:r>
        <w:rPr>
          <w:rFonts w:hint="eastAsia" w:ascii="宋体" w:hAnsi="宋体"/>
          <w:color w:val="auto"/>
          <w:highlight w:val="none"/>
          <w:lang w:eastAsia="zh-CN"/>
        </w:rPr>
        <w:t>、0769-88307128</w:t>
      </w:r>
    </w:p>
    <w:p>
      <w:pPr>
        <w:spacing w:line="360" w:lineRule="auto"/>
        <w:ind w:firstLine="420" w:firstLineChars="200"/>
        <w:rPr>
          <w:rFonts w:ascii="宋体" w:hAnsi="宋体"/>
          <w:color w:val="auto"/>
          <w:highlight w:val="none"/>
          <w:u w:val="single"/>
        </w:rPr>
      </w:pPr>
      <w:r>
        <w:rPr>
          <w:color w:val="auto"/>
          <w:szCs w:val="24"/>
          <w:highlight w:val="none"/>
        </w:rPr>
        <w:t>7.2</w:t>
      </w:r>
      <w:r>
        <w:rPr>
          <w:rFonts w:hint="eastAsia" w:ascii="宋体" w:hAnsi="宋体"/>
          <w:color w:val="auto"/>
          <w:highlight w:val="none"/>
        </w:rPr>
        <w:t>招标代理机构：</w:t>
      </w:r>
      <w:r>
        <w:rPr>
          <w:rFonts w:hint="eastAsia" w:ascii="宋体" w:hAnsi="宋体" w:cs="宋体"/>
          <w:color w:val="auto"/>
          <w:highlight w:val="none"/>
          <w:u w:val="single"/>
        </w:rPr>
        <w:t>广东省机电设备招标有限公司</w:t>
      </w:r>
      <w:r>
        <w:rPr>
          <w:rFonts w:ascii="宋体" w:hAnsi="宋体"/>
          <w:color w:val="auto"/>
          <w:highlight w:val="none"/>
          <w:u w:val="single"/>
        </w:rPr>
        <w:t xml:space="preserve"> </w:t>
      </w:r>
    </w:p>
    <w:p>
      <w:pPr>
        <w:spacing w:line="360" w:lineRule="auto"/>
        <w:ind w:firstLine="420" w:firstLineChars="200"/>
        <w:rPr>
          <w:rFonts w:ascii="宋体" w:hAnsi="宋体"/>
          <w:color w:val="auto"/>
          <w:highlight w:val="none"/>
        </w:rPr>
      </w:pPr>
      <w:r>
        <w:rPr>
          <w:rFonts w:hint="eastAsia"/>
          <w:color w:val="auto"/>
          <w:szCs w:val="24"/>
          <w:highlight w:val="none"/>
        </w:rPr>
        <w:t>地</w:t>
      </w:r>
      <w:r>
        <w:rPr>
          <w:color w:val="auto"/>
          <w:szCs w:val="24"/>
          <w:highlight w:val="none"/>
        </w:rPr>
        <w:t xml:space="preserve">    </w:t>
      </w:r>
      <w:r>
        <w:rPr>
          <w:rFonts w:hint="eastAsia"/>
          <w:color w:val="auto"/>
          <w:szCs w:val="24"/>
          <w:highlight w:val="none"/>
        </w:rPr>
        <w:t>址：</w:t>
      </w:r>
      <w:r>
        <w:rPr>
          <w:rFonts w:hint="eastAsia" w:ascii="宋体" w:hAnsi="宋体" w:cs="宋体"/>
          <w:color w:val="auto"/>
          <w:highlight w:val="none"/>
        </w:rPr>
        <w:t>东莞市南城街道石竹路3号广发金融大厦1栋10楼01单元</w:t>
      </w:r>
    </w:p>
    <w:p>
      <w:pPr>
        <w:spacing w:line="360" w:lineRule="auto"/>
        <w:ind w:firstLine="420" w:firstLineChars="200"/>
        <w:rPr>
          <w:rFonts w:ascii="宋体" w:hAnsi="宋体"/>
          <w:color w:val="auto"/>
          <w:highlight w:val="none"/>
        </w:rPr>
      </w:pPr>
      <w:r>
        <w:rPr>
          <w:rFonts w:hint="eastAsia"/>
          <w:color w:val="auto"/>
          <w:szCs w:val="24"/>
          <w:highlight w:val="none"/>
        </w:rPr>
        <w:t>邮</w:t>
      </w:r>
      <w:r>
        <w:rPr>
          <w:color w:val="auto"/>
          <w:szCs w:val="24"/>
          <w:highlight w:val="none"/>
        </w:rPr>
        <w:t xml:space="preserve">    </w:t>
      </w:r>
      <w:r>
        <w:rPr>
          <w:rFonts w:hint="eastAsia"/>
          <w:color w:val="auto"/>
          <w:szCs w:val="24"/>
          <w:highlight w:val="none"/>
        </w:rPr>
        <w:t>编：</w:t>
      </w:r>
      <w:r>
        <w:rPr>
          <w:rFonts w:hint="eastAsia" w:ascii="宋体" w:hAnsi="宋体" w:cs="宋体"/>
          <w:color w:val="auto"/>
          <w:highlight w:val="none"/>
        </w:rPr>
        <w:t>523000</w:t>
      </w:r>
      <w:r>
        <w:rPr>
          <w:color w:val="auto"/>
          <w:szCs w:val="21"/>
          <w:highlight w:val="none"/>
        </w:rPr>
        <w:t xml:space="preserve">        </w:t>
      </w:r>
    </w:p>
    <w:p>
      <w:pPr>
        <w:spacing w:line="360" w:lineRule="auto"/>
        <w:ind w:firstLine="420" w:firstLineChars="200"/>
        <w:rPr>
          <w:rFonts w:ascii="宋体" w:hAnsi="宋体"/>
          <w:color w:val="auto"/>
          <w:highlight w:val="none"/>
        </w:rPr>
      </w:pPr>
      <w:r>
        <w:rPr>
          <w:rFonts w:hint="eastAsia"/>
          <w:color w:val="auto"/>
          <w:szCs w:val="24"/>
          <w:highlight w:val="none"/>
        </w:rPr>
        <w:t>联 系 人：</w:t>
      </w:r>
      <w:r>
        <w:rPr>
          <w:rFonts w:hint="eastAsia" w:ascii="宋体" w:hAnsi="宋体" w:cs="宋体"/>
          <w:color w:val="auto"/>
          <w:highlight w:val="none"/>
        </w:rPr>
        <w:t>范工</w:t>
      </w:r>
      <w:r>
        <w:rPr>
          <w:rFonts w:ascii="宋体" w:hAnsi="宋体" w:cs="宋体"/>
          <w:color w:val="auto"/>
          <w:szCs w:val="21"/>
          <w:highlight w:val="none"/>
        </w:rPr>
        <w:t xml:space="preserve">         </w:t>
      </w:r>
      <w:r>
        <w:rPr>
          <w:rFonts w:ascii="宋体" w:hAnsi="宋体"/>
          <w:color w:val="auto"/>
          <w:highlight w:val="none"/>
        </w:rPr>
        <w:t xml:space="preserve">  </w:t>
      </w:r>
    </w:p>
    <w:p>
      <w:pPr>
        <w:spacing w:line="360" w:lineRule="auto"/>
        <w:ind w:firstLine="420" w:firstLineChars="200"/>
        <w:rPr>
          <w:rFonts w:ascii="宋体" w:hAnsi="宋体"/>
          <w:color w:val="auto"/>
          <w:highlight w:val="none"/>
        </w:rPr>
      </w:pPr>
      <w:r>
        <w:rPr>
          <w:rFonts w:hint="eastAsia"/>
          <w:color w:val="auto"/>
          <w:szCs w:val="24"/>
          <w:highlight w:val="none"/>
        </w:rPr>
        <w:t>电</w:t>
      </w:r>
      <w:r>
        <w:rPr>
          <w:color w:val="auto"/>
          <w:szCs w:val="24"/>
          <w:highlight w:val="none"/>
        </w:rPr>
        <w:t xml:space="preserve">    </w:t>
      </w:r>
      <w:r>
        <w:rPr>
          <w:rFonts w:hint="eastAsia"/>
          <w:color w:val="auto"/>
          <w:szCs w:val="24"/>
          <w:highlight w:val="none"/>
        </w:rPr>
        <w:t>话：</w:t>
      </w:r>
      <w:r>
        <w:rPr>
          <w:rFonts w:hint="eastAsia" w:ascii="宋体" w:hAnsi="宋体" w:cs="宋体"/>
          <w:color w:val="auto"/>
          <w:highlight w:val="none"/>
        </w:rPr>
        <w:t>0769-22786689-626</w:t>
      </w:r>
      <w:r>
        <w:rPr>
          <w:rFonts w:ascii="宋体" w:hAnsi="宋体"/>
          <w:color w:val="auto"/>
          <w:highlight w:val="none"/>
        </w:rPr>
        <w:t xml:space="preserve">  </w:t>
      </w:r>
    </w:p>
    <w:p>
      <w:pPr>
        <w:spacing w:line="360" w:lineRule="auto"/>
        <w:ind w:firstLine="424" w:firstLineChars="202"/>
        <w:rPr>
          <w:rFonts w:ascii="宋体" w:hAnsi="宋体"/>
          <w:color w:val="auto"/>
          <w:szCs w:val="21"/>
          <w:highlight w:val="none"/>
        </w:rPr>
      </w:pPr>
      <w:r>
        <w:rPr>
          <w:color w:val="auto"/>
          <w:szCs w:val="24"/>
          <w:highlight w:val="none"/>
        </w:rPr>
        <w:t>7.3</w:t>
      </w:r>
      <w:r>
        <w:rPr>
          <w:rFonts w:ascii="宋体" w:hAnsi="宋体"/>
          <w:color w:val="auto"/>
          <w:szCs w:val="21"/>
          <w:highlight w:val="none"/>
        </w:rPr>
        <w:t>潜在投标人或利害关系人对本招标公告及招标文件内容异议的，</w:t>
      </w:r>
      <w:r>
        <w:rPr>
          <w:rFonts w:hint="eastAsia" w:ascii="宋体" w:hAnsi="宋体"/>
          <w:color w:val="auto"/>
          <w:highlight w:val="none"/>
        </w:rPr>
        <w:t>应当在投标截止时间10日前</w:t>
      </w:r>
      <w:r>
        <w:rPr>
          <w:rFonts w:ascii="宋体" w:hAnsi="宋体"/>
          <w:color w:val="auto"/>
          <w:szCs w:val="21"/>
          <w:highlight w:val="none"/>
        </w:rPr>
        <w:t xml:space="preserve">向招标人书面提出。                                     </w:t>
      </w:r>
    </w:p>
    <w:p>
      <w:pPr>
        <w:spacing w:line="360" w:lineRule="auto"/>
        <w:ind w:firstLine="424" w:firstLineChars="202"/>
        <w:rPr>
          <w:color w:val="auto"/>
          <w:szCs w:val="24"/>
          <w:highlight w:val="none"/>
          <w:u w:val="single"/>
        </w:rPr>
      </w:pPr>
      <w:r>
        <w:rPr>
          <w:rFonts w:hint="eastAsia" w:ascii="宋体" w:hAnsi="宋体"/>
          <w:color w:val="auto"/>
          <w:szCs w:val="21"/>
          <w:highlight w:val="none"/>
        </w:rPr>
        <w:t>异议受理部门：</w:t>
      </w:r>
      <w:r>
        <w:rPr>
          <w:rFonts w:hint="eastAsia" w:ascii="宋体" w:hAnsi="宋体"/>
          <w:color w:val="auto"/>
          <w:szCs w:val="21"/>
          <w:highlight w:val="none"/>
          <w:u w:val="single"/>
        </w:rPr>
        <w:t>东莞市轨道一号线建设发展有限公司</w:t>
      </w:r>
      <w:r>
        <w:rPr>
          <w:rFonts w:hint="eastAsia"/>
          <w:color w:val="auto"/>
          <w:szCs w:val="24"/>
          <w:highlight w:val="none"/>
          <w:u w:val="single"/>
        </w:rPr>
        <w:t>党群监察部</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地址：</w:t>
      </w:r>
      <w:r>
        <w:rPr>
          <w:rFonts w:hint="eastAsia"/>
          <w:color w:val="auto"/>
          <w:szCs w:val="24"/>
          <w:highlight w:val="none"/>
        </w:rPr>
        <w:t>东莞市南城街道东莞轨道交通大厦</w:t>
      </w:r>
      <w:r>
        <w:rPr>
          <w:color w:val="auto"/>
          <w:szCs w:val="24"/>
          <w:highlight w:val="none"/>
        </w:rPr>
        <w:t>44</w:t>
      </w:r>
      <w:r>
        <w:rPr>
          <w:rFonts w:hint="eastAsia"/>
          <w:color w:val="auto"/>
          <w:szCs w:val="24"/>
          <w:highlight w:val="none"/>
        </w:rPr>
        <w:t>楼</w:t>
      </w:r>
      <w:r>
        <w:rPr>
          <w:rFonts w:ascii="宋体" w:hAnsi="宋体"/>
          <w:color w:val="auto"/>
          <w:szCs w:val="21"/>
          <w:highlight w:val="none"/>
        </w:rPr>
        <w:t xml:space="preserve">                         </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rPr>
        <w:t>0769-</w:t>
      </w:r>
      <w:r>
        <w:rPr>
          <w:rFonts w:hint="eastAsia" w:ascii="宋体" w:hAnsi="宋体"/>
          <w:color w:val="auto"/>
          <w:szCs w:val="21"/>
          <w:highlight w:val="none"/>
        </w:rPr>
        <w:t>8830710</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w:t>
      </w:r>
      <w:r>
        <w:rPr>
          <w:rFonts w:ascii="宋体" w:hAnsi="宋体"/>
          <w:color w:val="auto"/>
          <w:szCs w:val="21"/>
          <w:highlight w:val="none"/>
        </w:rPr>
        <w:t xml:space="preserve">                        </w:t>
      </w:r>
    </w:p>
    <w:p>
      <w:pPr>
        <w:spacing w:line="360" w:lineRule="auto"/>
        <w:ind w:firstLine="424" w:firstLineChars="202"/>
        <w:rPr>
          <w:color w:val="auto"/>
          <w:szCs w:val="24"/>
          <w:highlight w:val="none"/>
        </w:rPr>
      </w:pPr>
      <w:r>
        <w:rPr>
          <w:rFonts w:hint="eastAsia"/>
          <w:color w:val="auto"/>
          <w:szCs w:val="24"/>
          <w:highlight w:val="none"/>
        </w:rPr>
        <w:t>7.4招标监督机构：</w:t>
      </w:r>
      <w:r>
        <w:rPr>
          <w:rFonts w:hint="eastAsia"/>
          <w:color w:val="auto"/>
          <w:szCs w:val="24"/>
          <w:highlight w:val="none"/>
          <w:u w:val="single"/>
        </w:rPr>
        <w:t>东莞市轨道交通有限公司</w:t>
      </w:r>
    </w:p>
    <w:p>
      <w:pPr>
        <w:spacing w:line="360" w:lineRule="auto"/>
        <w:ind w:firstLine="424" w:firstLineChars="202"/>
        <w:rPr>
          <w:color w:val="auto"/>
          <w:szCs w:val="24"/>
          <w:highlight w:val="none"/>
        </w:rPr>
      </w:pPr>
      <w:r>
        <w:rPr>
          <w:rFonts w:hint="eastAsia"/>
          <w:color w:val="auto"/>
          <w:szCs w:val="24"/>
          <w:highlight w:val="none"/>
        </w:rPr>
        <w:t>地址：东莞市南城街道东莞轨道交通大厦</w:t>
      </w:r>
      <w:r>
        <w:rPr>
          <w:color w:val="auto"/>
          <w:szCs w:val="24"/>
          <w:highlight w:val="none"/>
        </w:rPr>
        <w:t>4</w:t>
      </w:r>
      <w:r>
        <w:rPr>
          <w:rFonts w:hint="eastAsia"/>
          <w:color w:val="auto"/>
          <w:szCs w:val="24"/>
          <w:highlight w:val="none"/>
        </w:rPr>
        <w:t>2楼</w:t>
      </w:r>
    </w:p>
    <w:p>
      <w:pPr>
        <w:spacing w:line="360" w:lineRule="auto"/>
        <w:ind w:firstLine="424" w:firstLineChars="202"/>
        <w:rPr>
          <w:rFonts w:ascii="宋体" w:hAnsi="宋体"/>
          <w:strike/>
          <w:color w:val="auto"/>
          <w:szCs w:val="21"/>
          <w:highlight w:val="none"/>
        </w:rPr>
      </w:pPr>
      <w:r>
        <w:rPr>
          <w:rFonts w:hint="eastAsia"/>
          <w:color w:val="auto"/>
          <w:szCs w:val="24"/>
          <w:highlight w:val="none"/>
        </w:rPr>
        <w:t>电话：0769-22210018</w:t>
      </w:r>
    </w:p>
    <w:p>
      <w:pPr>
        <w:spacing w:line="400" w:lineRule="exact"/>
        <w:rPr>
          <w:color w:val="auto"/>
          <w:szCs w:val="24"/>
          <w:highlight w:val="none"/>
        </w:rPr>
      </w:pPr>
      <w:r>
        <w:rPr>
          <w:rFonts w:hint="eastAsia"/>
          <w:color w:val="auto"/>
          <w:szCs w:val="24"/>
          <w:highlight w:val="none"/>
        </w:rPr>
        <w:t>附件：</w:t>
      </w:r>
    </w:p>
    <w:p>
      <w:pPr>
        <w:numPr>
          <w:ilvl w:val="-1"/>
          <w:numId w:val="0"/>
        </w:numPr>
        <w:spacing w:line="360" w:lineRule="auto"/>
        <w:ind w:right="-57" w:rightChars="-27" w:firstLine="420" w:firstLineChars="200"/>
        <w:rPr>
          <w:rFonts w:ascii="宋体" w:hAnsi="宋体"/>
          <w:color w:val="auto"/>
          <w:szCs w:val="21"/>
          <w:highlight w:val="none"/>
        </w:rPr>
      </w:pPr>
      <w:r>
        <w:rPr>
          <w:rFonts w:hint="eastAsia" w:ascii="宋体" w:hAnsi="宋体"/>
          <w:color w:val="auto"/>
          <w:szCs w:val="21"/>
          <w:highlight w:val="none"/>
          <w:lang w:val="en-US" w:eastAsia="zh-CN"/>
        </w:rPr>
        <w:t>一、</w:t>
      </w:r>
      <w:r>
        <w:rPr>
          <w:rFonts w:hint="eastAsia" w:ascii="宋体" w:hAnsi="宋体"/>
          <w:color w:val="auto"/>
          <w:szCs w:val="21"/>
          <w:highlight w:val="none"/>
        </w:rPr>
        <w:t>投标申请人声明</w:t>
      </w:r>
    </w:p>
    <w:p>
      <w:pPr>
        <w:pStyle w:val="26"/>
        <w:ind w:firstLine="420" w:firstLineChars="200"/>
        <w:rPr>
          <w:rFonts w:ascii="宋体" w:hAnsi="宋体"/>
          <w:color w:val="auto"/>
          <w:sz w:val="21"/>
          <w:szCs w:val="21"/>
          <w:highlight w:val="none"/>
        </w:rPr>
      </w:pPr>
      <w:r>
        <w:rPr>
          <w:rFonts w:hint="eastAsia" w:ascii="宋体" w:hAnsi="宋体"/>
          <w:color w:val="auto"/>
          <w:sz w:val="21"/>
          <w:szCs w:val="21"/>
          <w:highlight w:val="none"/>
        </w:rPr>
        <w:t>二、以往工程中因违约被业主书面拒绝投标的名单</w:t>
      </w:r>
    </w:p>
    <w:p>
      <w:pPr>
        <w:pStyle w:val="26"/>
        <w:widowControl/>
        <w:rPr>
          <w:color w:val="auto"/>
          <w:highlight w:val="none"/>
        </w:rPr>
      </w:pPr>
      <w:r>
        <w:rPr>
          <w:color w:val="auto"/>
          <w:highlight w:val="none"/>
        </w:rPr>
        <w:br w:type="page"/>
      </w:r>
    </w:p>
    <w:p>
      <w:pPr>
        <w:keepNext/>
        <w:keepLines/>
        <w:adjustRightInd w:val="0"/>
        <w:spacing w:before="240" w:after="120"/>
        <w:textAlignment w:val="baseline"/>
        <w:outlineLvl w:val="1"/>
        <w:rPr>
          <w:rFonts w:ascii="宋体" w:hAnsi="宋体"/>
          <w:b/>
          <w:color w:val="auto"/>
          <w:szCs w:val="21"/>
          <w:highlight w:val="none"/>
        </w:rPr>
      </w:pPr>
      <w:bookmarkStart w:id="120" w:name="_Toc67586410"/>
      <w:bookmarkStart w:id="121" w:name="_Toc32035"/>
      <w:bookmarkStart w:id="122" w:name="_Toc12233"/>
      <w:bookmarkStart w:id="123" w:name="_Toc4166"/>
      <w:bookmarkStart w:id="124" w:name="_Toc170804557"/>
      <w:bookmarkStart w:id="125" w:name="_Toc13505"/>
      <w:bookmarkStart w:id="126" w:name="_Toc18288"/>
      <w:bookmarkStart w:id="127" w:name="_Toc30902"/>
      <w:bookmarkStart w:id="128" w:name="_Toc24771"/>
      <w:bookmarkStart w:id="129" w:name="_Toc28155"/>
      <w:bookmarkStart w:id="130" w:name="_Toc20885"/>
      <w:r>
        <w:rPr>
          <w:rFonts w:hint="eastAsia" w:eastAsia="黑体"/>
          <w:color w:val="auto"/>
          <w:kern w:val="0"/>
          <w:sz w:val="24"/>
          <w:szCs w:val="20"/>
          <w:highlight w:val="none"/>
        </w:rPr>
        <w:t>附件一：投标申请人声明</w:t>
      </w:r>
      <w:bookmarkEnd w:id="120"/>
      <w:bookmarkEnd w:id="121"/>
      <w:bookmarkEnd w:id="122"/>
      <w:bookmarkEnd w:id="123"/>
      <w:bookmarkEnd w:id="124"/>
      <w:bookmarkEnd w:id="125"/>
      <w:bookmarkEnd w:id="126"/>
      <w:bookmarkEnd w:id="127"/>
      <w:bookmarkEnd w:id="128"/>
      <w:bookmarkEnd w:id="129"/>
      <w:bookmarkEnd w:id="130"/>
    </w:p>
    <w:p>
      <w:pPr>
        <w:ind w:right="-57" w:rightChars="-27"/>
        <w:jc w:val="center"/>
        <w:rPr>
          <w:rFonts w:ascii="宋体" w:hAnsi="宋体"/>
          <w:b/>
          <w:color w:val="auto"/>
          <w:szCs w:val="21"/>
          <w:highlight w:val="none"/>
        </w:rPr>
      </w:pPr>
      <w:r>
        <w:rPr>
          <w:rFonts w:hint="eastAsia" w:ascii="宋体" w:hAnsi="宋体"/>
          <w:b/>
          <w:color w:val="auto"/>
          <w:szCs w:val="21"/>
          <w:highlight w:val="none"/>
        </w:rPr>
        <w:t>投标申请人声明</w:t>
      </w:r>
    </w:p>
    <w:p>
      <w:pPr>
        <w:snapToGrid w:val="0"/>
        <w:spacing w:line="312"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本招标项目招标人及招标监管机构：</w:t>
      </w:r>
    </w:p>
    <w:p>
      <w:pPr>
        <w:spacing w:line="500" w:lineRule="exact"/>
        <w:ind w:firstLine="629"/>
        <w:rPr>
          <w:rFonts w:ascii="宋体" w:hAnsi="宋体"/>
          <w:color w:val="auto"/>
          <w:kern w:val="0"/>
          <w:szCs w:val="21"/>
          <w:highlight w:val="none"/>
        </w:rPr>
      </w:pPr>
      <w:r>
        <w:rPr>
          <w:rFonts w:hint="eastAsia" w:ascii="宋体" w:hAnsi="宋体"/>
          <w:color w:val="auto"/>
          <w:kern w:val="0"/>
          <w:szCs w:val="21"/>
          <w:highlight w:val="none"/>
        </w:rPr>
        <w:t>本公司就参加</w:t>
      </w:r>
      <w:r>
        <w:rPr>
          <w:rFonts w:hint="eastAsia"/>
          <w:color w:val="auto"/>
          <w:szCs w:val="21"/>
          <w:highlight w:val="none"/>
          <w:u w:val="single"/>
        </w:rPr>
        <w:t xml:space="preserve">                                   </w:t>
      </w:r>
      <w:r>
        <w:rPr>
          <w:rFonts w:hint="eastAsia"/>
          <w:color w:val="auto"/>
          <w:szCs w:val="21"/>
          <w:highlight w:val="none"/>
        </w:rPr>
        <w:t>项目</w:t>
      </w:r>
      <w:r>
        <w:rPr>
          <w:rFonts w:hint="eastAsia" w:ascii="宋体" w:hAnsi="宋体"/>
          <w:color w:val="auto"/>
          <w:kern w:val="0"/>
          <w:szCs w:val="21"/>
          <w:highlight w:val="none"/>
        </w:rPr>
        <w:t>投标工作，作出郑重声明：</w:t>
      </w:r>
    </w:p>
    <w:p>
      <w:pPr>
        <w:spacing w:line="500" w:lineRule="exact"/>
        <w:ind w:firstLine="629"/>
        <w:rPr>
          <w:rFonts w:ascii="宋体" w:hAnsi="宋体"/>
          <w:color w:val="auto"/>
          <w:kern w:val="0"/>
          <w:szCs w:val="21"/>
          <w:highlight w:val="none"/>
        </w:rPr>
      </w:pPr>
      <w:r>
        <w:rPr>
          <w:rFonts w:hint="eastAsia" w:ascii="宋体" w:hAnsi="宋体"/>
          <w:color w:val="auto"/>
          <w:kern w:val="0"/>
          <w:szCs w:val="21"/>
          <w:highlight w:val="none"/>
        </w:rPr>
        <w:t>一、本公司保证投标提供的一切材料都是真实的。如我司成为本项目中标候选人，我司同意并授权招标人将我司投标文件商务部分的人员、业绩、奖项等资料进行公开。</w:t>
      </w:r>
    </w:p>
    <w:p>
      <w:pPr>
        <w:spacing w:line="500" w:lineRule="exact"/>
        <w:ind w:firstLine="629"/>
        <w:rPr>
          <w:rFonts w:ascii="宋体" w:hAnsi="宋体"/>
          <w:color w:val="auto"/>
          <w:kern w:val="0"/>
          <w:szCs w:val="21"/>
          <w:highlight w:val="none"/>
        </w:rPr>
      </w:pPr>
      <w:r>
        <w:rPr>
          <w:rFonts w:hint="eastAsia" w:ascii="宋体" w:hAnsi="宋体"/>
          <w:color w:val="auto"/>
          <w:kern w:val="0"/>
          <w:szCs w:val="21"/>
          <w:highlight w:val="none"/>
        </w:rPr>
        <w:t>二、本公司保证在本项目投标中不与其他单位围标、串标，不出让投标资格，不向招标人或评标委员会成员行贿，同时不出现其他失信行为。</w:t>
      </w:r>
    </w:p>
    <w:p>
      <w:pPr>
        <w:spacing w:line="500" w:lineRule="exact"/>
        <w:ind w:firstLine="629"/>
        <w:rPr>
          <w:rFonts w:ascii="宋体" w:hAnsi="宋体"/>
          <w:color w:val="auto"/>
          <w:kern w:val="0"/>
          <w:szCs w:val="21"/>
          <w:highlight w:val="none"/>
        </w:rPr>
      </w:pPr>
      <w:r>
        <w:rPr>
          <w:rFonts w:hint="eastAsia" w:ascii="宋体" w:hAnsi="宋体"/>
          <w:color w:val="auto"/>
          <w:kern w:val="0"/>
          <w:szCs w:val="21"/>
          <w:highlight w:val="none"/>
        </w:rPr>
        <w:t>三、本公司若中标，招标人有权对投标文件中所提供的证书、证件、业绩佐证材料等进行核实。</w:t>
      </w:r>
      <w:r>
        <w:rPr>
          <w:rFonts w:ascii="宋体" w:hAnsi="宋体"/>
          <w:color w:val="auto"/>
          <w:kern w:val="0"/>
          <w:szCs w:val="21"/>
          <w:highlight w:val="none"/>
        </w:rPr>
        <w:t>在招标人通知提供上述证明资料原件进行核查的要求后，本公司未能在通知后5个自然日内提供原件进行核查的，视为无法提供真实的资料，招标人有权取消本公司中标资格。</w:t>
      </w:r>
    </w:p>
    <w:p>
      <w:pPr>
        <w:spacing w:line="500" w:lineRule="exact"/>
        <w:ind w:firstLine="629"/>
        <w:rPr>
          <w:rFonts w:ascii="宋体" w:hAnsi="宋体"/>
          <w:color w:val="auto"/>
          <w:kern w:val="0"/>
          <w:szCs w:val="21"/>
          <w:highlight w:val="none"/>
        </w:rPr>
      </w:pPr>
      <w:r>
        <w:rPr>
          <w:rFonts w:hint="eastAsia" w:ascii="宋体" w:hAnsi="宋体"/>
          <w:color w:val="auto"/>
          <w:kern w:val="0"/>
          <w:szCs w:val="21"/>
          <w:highlight w:val="none"/>
        </w:rPr>
        <w:t>四、本公司不存在下列情形之一：</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（1）为招标人不具有独立法人资格的附属机构（单位）；</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（2）为本标段前期准备提供设计或咨询服务或者与本项目设计人或提供咨询服务的</w:t>
      </w:r>
    </w:p>
    <w:p>
      <w:pPr>
        <w:spacing w:line="500" w:lineRule="exact"/>
        <w:rPr>
          <w:rFonts w:ascii="宋体" w:hAnsi="宋体"/>
          <w:color w:val="auto"/>
          <w:kern w:val="0"/>
          <w:szCs w:val="21"/>
          <w:highlight w:val="none"/>
        </w:rPr>
      </w:pPr>
      <w:r>
        <w:rPr>
          <w:rFonts w:hint="eastAsia" w:ascii="宋体" w:hAnsi="宋体"/>
          <w:color w:val="auto"/>
          <w:kern w:val="0"/>
          <w:szCs w:val="21"/>
          <w:highlight w:val="none"/>
        </w:rPr>
        <w:t>机构存在附属关系的；</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（3）为本项目监理人或者与本项目监理人存在隶属关系或者其他利害关系；</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（4）为本标段的代建人；</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（5）为本标段提供招标代理服务的；</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（6）与本标段的监理人或代建人或招标代理机构同为一个法定代表人的；</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（7）与本标段的监理人或代建人或招标代理机构互相控股或参股的；</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（8）与本标段的监理人或代建人或招标代理机构相互任职或工作的；</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（9）本公司及其有隶属关系机构的相关人员，没有参加本项目评标委员会。</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（10）与招标人存在利害关系且可能影响招标公正性；</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（11）与本标段的其他投标人为同一个单位负责人；</w:t>
      </w:r>
    </w:p>
    <w:p>
      <w:pPr>
        <w:spacing w:line="500" w:lineRule="exact"/>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（12）与本标段的其他投标人存在控股、管理关系；</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13）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（14）被责令停产停业、暂扣或者吊销许可证、暂扣或者吊销执照的（本项事实应当以根据《中华人民共和国行政处罚法》依法作出并已经生效的行政处罚决定为认定依据）；</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（15）进入清算程序，或被宣布破产，或其他丧失履约能力的情形；</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（16）</w:t>
      </w:r>
      <w:r>
        <w:rPr>
          <w:rFonts w:hint="eastAsia" w:ascii="宋体" w:hAnsi="宋体"/>
          <w:color w:val="auto"/>
          <w:szCs w:val="21"/>
          <w:highlight w:val="none"/>
          <w:shd w:val="clear" w:color="auto" w:fill="FFFFFF"/>
        </w:rPr>
        <w:t>存在大额诉讼或多宗诉讼或其他违法、违约等影响本次招标项目正常履行的情形；</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17）曾与东莞市轨道一号线建设发展有限公司或东莞市轨道交通有限公司及其下属企业签订合同，且在履约过程中存在因本公司严重违约而导致合同中止、变更、解除或严重侵犯东莞市轨道一号线建设发展有限公司或东莞市轨道交通有限公司及其下属企业权益的行为；</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（18）正在与东莞市轨道一号线建设发展有限公司或东莞市轨道交通有限公司及其下属企业发生诉讼；</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19）在最近三年内有骗取中标或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（20）被工商行政管理机关在全国企业信用信息公示系统中列入严重违法失信企业名单；</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（21）被最高人民法院在“信用中国”网站（www.creditchina.gov.cn）、“中国执行信息公开网”（zxgk.court.gov.cn）或各级信用信息共享平台中列入失信被执行人名单；</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（22）在近三年内投标人或其法定代表人、拟委派的项目负责人有行贿犯罪行为的；</w:t>
      </w:r>
    </w:p>
    <w:p>
      <w:pPr>
        <w:spacing w:line="500" w:lineRule="exact"/>
        <w:ind w:firstLine="525" w:firstLineChars="250"/>
        <w:rPr>
          <w:rFonts w:ascii="宋体" w:hAnsi="宋体"/>
          <w:color w:val="auto"/>
          <w:kern w:val="0"/>
          <w:szCs w:val="21"/>
          <w:highlight w:val="none"/>
        </w:rPr>
      </w:pPr>
      <w:r>
        <w:rPr>
          <w:rFonts w:hint="eastAsia" w:ascii="宋体" w:hAnsi="宋体"/>
          <w:color w:val="auto"/>
          <w:kern w:val="0"/>
          <w:szCs w:val="21"/>
          <w:highlight w:val="none"/>
        </w:rPr>
        <w:t>（23）在“信用中国”网站（www.creditchina.gov.cn）、“国家企业信用信息公示系统”（www.gsxt.gov.cn）等网站查询到存在失信主体信息，包括但不限于：企业经营异常名录、重大税收违法失信主体、列入严重违法失信名单等。</w:t>
      </w:r>
    </w:p>
    <w:p>
      <w:pPr>
        <w:spacing w:line="500" w:lineRule="exact"/>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（24）招标文件第二章“投标人须知”第“1.4.3”项规定的任何一种情形。</w:t>
      </w:r>
    </w:p>
    <w:p>
      <w:pPr>
        <w:spacing w:line="500" w:lineRule="exact"/>
        <w:ind w:firstLine="630" w:firstLineChars="300"/>
        <w:rPr>
          <w:highlight w:val="none"/>
        </w:rPr>
      </w:pPr>
      <w:r>
        <w:rPr>
          <w:rFonts w:hint="eastAsia" w:ascii="宋体" w:hAnsi="宋体"/>
          <w:color w:val="auto"/>
          <w:kern w:val="0"/>
          <w:szCs w:val="21"/>
          <w:highlight w:val="none"/>
          <w:lang w:val="en-US" w:eastAsia="zh-CN"/>
        </w:rPr>
        <w:t>五、</w:t>
      </w:r>
      <w:r>
        <w:rPr>
          <w:rFonts w:hint="eastAsia" w:ascii="宋体" w:hAnsi="宋体" w:eastAsia="宋体" w:cs="Times New Roman"/>
          <w:color w:val="auto"/>
          <w:kern w:val="0"/>
          <w:sz w:val="21"/>
          <w:szCs w:val="21"/>
          <w:highlight w:val="none"/>
          <w:lang w:val="en-US" w:eastAsia="zh-CN" w:bidi="ar"/>
        </w:rPr>
        <w:t>本公司</w:t>
      </w:r>
      <w:r>
        <w:rPr>
          <w:rFonts w:hint="eastAsia" w:ascii="宋体" w:hAnsi="宋体"/>
          <w:color w:val="auto"/>
          <w:kern w:val="0"/>
          <w:szCs w:val="21"/>
          <w:highlight w:val="none"/>
        </w:rPr>
        <w:t>与承接东莞轨道交通1号线一期工程（望洪站～黄江中心站）监测工作范围内对</w:t>
      </w:r>
      <w:r>
        <w:rPr>
          <w:rFonts w:hint="eastAsia"/>
          <w:highlight w:val="none"/>
        </w:rPr>
        <w:t>应施工项目的中标人</w:t>
      </w:r>
      <w:r>
        <w:rPr>
          <w:rFonts w:hint="eastAsia"/>
          <w:highlight w:val="none"/>
          <w:lang w:val="en-US" w:eastAsia="zh-CN"/>
        </w:rPr>
        <w:t>不</w:t>
      </w:r>
      <w:r>
        <w:rPr>
          <w:rFonts w:hint="eastAsia"/>
          <w:highlight w:val="none"/>
        </w:rPr>
        <w:t>存在任何控股、管理关系。</w:t>
      </w:r>
    </w:p>
    <w:p>
      <w:pPr>
        <w:spacing w:line="500" w:lineRule="exact"/>
        <w:ind w:firstLine="629"/>
        <w:rPr>
          <w:rFonts w:hint="eastAsia" w:ascii="宋体" w:hAnsi="宋体"/>
          <w:color w:val="auto"/>
          <w:kern w:val="0"/>
          <w:szCs w:val="21"/>
          <w:highlight w:val="none"/>
        </w:rPr>
      </w:pPr>
      <w:r>
        <w:rPr>
          <w:rFonts w:hint="eastAsia" w:ascii="宋体" w:hAnsi="宋体"/>
          <w:color w:val="auto"/>
          <w:kern w:val="0"/>
          <w:szCs w:val="21"/>
          <w:highlight w:val="none"/>
          <w:lang w:val="en-US" w:eastAsia="zh-CN"/>
        </w:rPr>
        <w:t>六</w:t>
      </w:r>
      <w:r>
        <w:rPr>
          <w:rFonts w:hint="eastAsia" w:ascii="宋体" w:hAnsi="宋体"/>
          <w:color w:val="auto"/>
          <w:kern w:val="0"/>
          <w:szCs w:val="21"/>
          <w:highlight w:val="none"/>
        </w:rPr>
        <w:t>、与本公司单位负责人为同一人或者与本公司存在控股、管理关系的其他单位包括：</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。（注：本条由投标申请人如实填写，如有，应列出全部满足招标公告资质要求的相关单位的名称；如无，则填写“无”。）</w:t>
      </w:r>
    </w:p>
    <w:p>
      <w:pPr>
        <w:spacing w:line="500" w:lineRule="exact"/>
        <w:ind w:firstLine="629"/>
        <w:rPr>
          <w:rFonts w:ascii="宋体" w:hAnsi="宋体"/>
          <w:color w:val="auto"/>
          <w:szCs w:val="21"/>
          <w:highlight w:val="none"/>
        </w:rPr>
      </w:pPr>
      <w:r>
        <w:rPr>
          <w:rFonts w:hint="eastAsia" w:ascii="宋体" w:hAnsi="宋体"/>
          <w:color w:val="auto"/>
          <w:szCs w:val="21"/>
          <w:highlight w:val="none"/>
        </w:rPr>
        <w:t xml:space="preserve">本公司违反上述保证，或本声明陈述与事实不符，经查实，本公司愿意接受公开通报，取消本公司中标资格，承担由此带来的法律后果，并自愿停止参加东莞市行政辖区内的招标投标活动一年，两年内停止参加本项目招标人所有项目的招标活动。             </w:t>
      </w:r>
    </w:p>
    <w:p>
      <w:pPr>
        <w:spacing w:line="500" w:lineRule="exact"/>
        <w:ind w:firstLine="629"/>
        <w:rPr>
          <w:rFonts w:ascii="宋体" w:hAnsi="宋体"/>
          <w:color w:val="auto"/>
          <w:szCs w:val="21"/>
          <w:highlight w:val="none"/>
        </w:rPr>
      </w:pPr>
      <w:r>
        <w:rPr>
          <w:rFonts w:hint="eastAsia" w:ascii="宋体" w:hAnsi="宋体"/>
          <w:color w:val="auto"/>
          <w:szCs w:val="21"/>
          <w:highlight w:val="none"/>
        </w:rPr>
        <w:t xml:space="preserve">           </w:t>
      </w:r>
    </w:p>
    <w:p>
      <w:pPr>
        <w:spacing w:line="500" w:lineRule="exact"/>
        <w:ind w:firstLine="629"/>
        <w:rPr>
          <w:rFonts w:ascii="宋体" w:hAnsi="宋体"/>
          <w:color w:val="auto"/>
          <w:szCs w:val="21"/>
          <w:highlight w:val="none"/>
        </w:rPr>
      </w:pPr>
      <w:r>
        <w:rPr>
          <w:rFonts w:hint="eastAsia" w:ascii="宋体" w:hAnsi="宋体"/>
          <w:color w:val="auto"/>
          <w:szCs w:val="21"/>
          <w:highlight w:val="none"/>
        </w:rPr>
        <w:t>特此声明。</w:t>
      </w:r>
    </w:p>
    <w:p>
      <w:pPr>
        <w:spacing w:line="360" w:lineRule="auto"/>
        <w:ind w:firstLine="420" w:firstLineChars="200"/>
        <w:jc w:val="left"/>
        <w:rPr>
          <w:rFonts w:ascii="宋体" w:hAnsi="宋体" w:cs="宋体"/>
          <w:color w:val="auto"/>
          <w:kern w:val="0"/>
          <w:szCs w:val="21"/>
          <w:highlight w:val="none"/>
        </w:rPr>
      </w:pPr>
    </w:p>
    <w:p>
      <w:pPr>
        <w:spacing w:line="360" w:lineRule="auto"/>
        <w:ind w:firstLine="5565" w:firstLineChars="2650"/>
        <w:jc w:val="left"/>
        <w:rPr>
          <w:rFonts w:ascii="宋体" w:hAnsi="宋体" w:cs="宋体"/>
          <w:color w:val="auto"/>
          <w:kern w:val="0"/>
          <w:szCs w:val="21"/>
          <w:highlight w:val="none"/>
        </w:rPr>
      </w:pPr>
      <w:r>
        <w:rPr>
          <w:rFonts w:hint="eastAsia" w:ascii="宋体" w:hAnsi="宋体" w:cs="宋体"/>
          <w:color w:val="auto"/>
          <w:kern w:val="0"/>
          <w:szCs w:val="21"/>
          <w:highlight w:val="none"/>
        </w:rPr>
        <w:t>声明企业(盖章)：</w:t>
      </w:r>
    </w:p>
    <w:p>
      <w:pPr>
        <w:spacing w:line="360" w:lineRule="auto"/>
        <w:ind w:firstLine="4200" w:firstLineChars="2000"/>
        <w:jc w:val="left"/>
        <w:rPr>
          <w:rFonts w:ascii="宋体" w:hAnsi="宋体" w:cs="宋体"/>
          <w:color w:val="auto"/>
          <w:kern w:val="0"/>
          <w:szCs w:val="21"/>
          <w:highlight w:val="none"/>
        </w:rPr>
      </w:pPr>
    </w:p>
    <w:p>
      <w:pPr>
        <w:ind w:firstLine="2835" w:firstLineChars="1350"/>
        <w:rPr>
          <w:rFonts w:ascii="宋体" w:hAnsi="宋体" w:cs="宋体"/>
          <w:color w:val="auto"/>
          <w:kern w:val="0"/>
          <w:szCs w:val="21"/>
          <w:highlight w:val="none"/>
        </w:rPr>
      </w:pPr>
      <w:r>
        <w:rPr>
          <w:rFonts w:hint="eastAsia" w:ascii="宋体" w:hAnsi="宋体" w:cs="宋体"/>
          <w:color w:val="auto"/>
          <w:kern w:val="0"/>
          <w:szCs w:val="21"/>
          <w:highlight w:val="none"/>
        </w:rPr>
        <w:t>法定代表人或投标人授权代表签字（或签章）：</w:t>
      </w:r>
    </w:p>
    <w:p>
      <w:pPr>
        <w:ind w:firstLine="2835" w:firstLineChars="1350"/>
        <w:rPr>
          <w:rFonts w:ascii="宋体" w:hAnsi="宋体" w:cs="宋体"/>
          <w:color w:val="auto"/>
          <w:kern w:val="0"/>
          <w:szCs w:val="21"/>
          <w:highlight w:val="none"/>
        </w:rPr>
      </w:pPr>
    </w:p>
    <w:p>
      <w:pPr>
        <w:ind w:firstLine="5145" w:firstLineChars="2450"/>
        <w:rPr>
          <w:rFonts w:ascii="宋体" w:hAnsi="宋体" w:cs="宋体"/>
          <w:color w:val="auto"/>
          <w:kern w:val="0"/>
          <w:szCs w:val="21"/>
          <w:highlight w:val="none"/>
        </w:rPr>
      </w:pPr>
      <w:r>
        <w:rPr>
          <w:rFonts w:hint="eastAsia" w:ascii="宋体" w:hAnsi="宋体" w:cs="宋体"/>
          <w:color w:val="auto"/>
          <w:kern w:val="0"/>
          <w:szCs w:val="21"/>
          <w:highlight w:val="none"/>
        </w:rPr>
        <w:t>年      月     日</w:t>
      </w:r>
    </w:p>
    <w:p>
      <w:pPr>
        <w:rPr>
          <w:color w:val="auto"/>
          <w:highlight w:val="none"/>
        </w:rPr>
      </w:pPr>
      <w:r>
        <w:rPr>
          <w:color w:val="auto"/>
          <w:highlight w:val="none"/>
        </w:rPr>
        <w:br w:type="page"/>
      </w:r>
    </w:p>
    <w:p>
      <w:pPr>
        <w:keepNext/>
        <w:keepLines/>
        <w:adjustRightInd w:val="0"/>
        <w:spacing w:before="240" w:after="120"/>
        <w:textAlignment w:val="baseline"/>
        <w:outlineLvl w:val="1"/>
        <w:rPr>
          <w:rFonts w:eastAsia="黑体"/>
          <w:color w:val="auto"/>
          <w:kern w:val="0"/>
          <w:sz w:val="24"/>
          <w:szCs w:val="20"/>
          <w:highlight w:val="none"/>
        </w:rPr>
      </w:pPr>
      <w:bookmarkStart w:id="131" w:name="_Toc25207"/>
      <w:bookmarkStart w:id="132" w:name="_Toc31876"/>
      <w:bookmarkStart w:id="133" w:name="_Toc1561"/>
      <w:bookmarkStart w:id="134" w:name="_Toc21689"/>
      <w:bookmarkStart w:id="135" w:name="_Toc170804558"/>
      <w:bookmarkStart w:id="136" w:name="_Toc7762"/>
      <w:bookmarkStart w:id="137" w:name="_Toc11351"/>
      <w:bookmarkStart w:id="138" w:name="_Toc11934"/>
      <w:bookmarkStart w:id="139" w:name="_Toc12214"/>
      <w:bookmarkStart w:id="140" w:name="_Toc2053427254"/>
      <w:bookmarkStart w:id="141" w:name="_Toc17667"/>
      <w:r>
        <w:rPr>
          <w:rFonts w:hint="eastAsia" w:eastAsia="黑体"/>
          <w:color w:val="auto"/>
          <w:kern w:val="0"/>
          <w:sz w:val="24"/>
          <w:szCs w:val="20"/>
          <w:highlight w:val="none"/>
        </w:rPr>
        <w:t>附件二：以往工程中因违约被业主书面拒绝投标的名单</w:t>
      </w:r>
      <w:bookmarkEnd w:id="131"/>
      <w:bookmarkEnd w:id="132"/>
      <w:bookmarkEnd w:id="133"/>
      <w:bookmarkEnd w:id="134"/>
      <w:bookmarkEnd w:id="135"/>
      <w:bookmarkEnd w:id="136"/>
      <w:bookmarkEnd w:id="137"/>
      <w:bookmarkEnd w:id="138"/>
      <w:bookmarkEnd w:id="139"/>
      <w:bookmarkEnd w:id="140"/>
      <w:bookmarkEnd w:id="141"/>
    </w:p>
    <w:p>
      <w:pPr>
        <w:spacing w:line="360" w:lineRule="auto"/>
        <w:ind w:right="-57" w:rightChars="-27"/>
        <w:rPr>
          <w:rFonts w:ascii="宋体" w:hAnsi="宋体"/>
          <w:b/>
          <w:color w:val="auto"/>
          <w:szCs w:val="21"/>
          <w:highlight w:val="none"/>
        </w:rPr>
      </w:pPr>
    </w:p>
    <w:tbl>
      <w:tblPr>
        <w:tblStyle w:val="41"/>
        <w:tblW w:w="0" w:type="auto"/>
        <w:jc w:val="center"/>
        <w:tblLayout w:type="fixed"/>
        <w:tblCellMar>
          <w:top w:w="0" w:type="dxa"/>
          <w:left w:w="108" w:type="dxa"/>
          <w:bottom w:w="0" w:type="dxa"/>
          <w:right w:w="108" w:type="dxa"/>
        </w:tblCellMar>
      </w:tblPr>
      <w:tblGrid>
        <w:gridCol w:w="780"/>
        <w:gridCol w:w="8380"/>
      </w:tblGrid>
      <w:tr>
        <w:tblPrEx>
          <w:tblCellMar>
            <w:top w:w="0" w:type="dxa"/>
            <w:left w:w="108" w:type="dxa"/>
            <w:bottom w:w="0" w:type="dxa"/>
            <w:right w:w="108" w:type="dxa"/>
          </w:tblCellMar>
        </w:tblPrEx>
        <w:trPr>
          <w:trHeight w:val="945" w:hRule="atLeast"/>
          <w:jc w:val="center"/>
        </w:trPr>
        <w:tc>
          <w:tcPr>
            <w:tcW w:w="9160" w:type="dxa"/>
            <w:gridSpan w:val="2"/>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以往工程中因违约被业主书面拒绝投标的名单</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83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单位名称及个人姓名</w:t>
            </w:r>
          </w:p>
        </w:tc>
      </w:tr>
      <w:tr>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83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无</w:t>
            </w:r>
          </w:p>
        </w:tc>
      </w:tr>
    </w:tbl>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rPr>
          <w:rFonts w:hint="eastAsia" w:ascii="Times New Roman" w:hAnsi="Times New Roman" w:eastAsia="黑体" w:cs="Times New Roman"/>
          <w:color w:val="auto"/>
          <w:kern w:val="0"/>
          <w:sz w:val="24"/>
          <w:szCs w:val="20"/>
          <w:highlight w:val="none"/>
          <w:lang w:val="en-US" w:eastAsia="zh-CN" w:bidi="ar-SA"/>
        </w:rPr>
      </w:pPr>
      <w:r>
        <w:rPr>
          <w:rFonts w:hint="eastAsia" w:ascii="Times New Roman" w:hAnsi="Times New Roman" w:eastAsia="黑体" w:cs="Times New Roman"/>
          <w:color w:val="auto"/>
          <w:kern w:val="0"/>
          <w:sz w:val="24"/>
          <w:szCs w:val="20"/>
          <w:highlight w:val="none"/>
          <w:lang w:val="en-US" w:eastAsia="zh-CN" w:bidi="ar-SA"/>
        </w:rPr>
        <w:br w:type="page"/>
      </w:r>
    </w:p>
    <w:bookmarkEnd w:id="33"/>
    <w:p>
      <w:pPr>
        <w:keepNext/>
        <w:keepLines/>
        <w:adjustRightInd w:val="0"/>
        <w:spacing w:before="240" w:after="60"/>
        <w:jc w:val="center"/>
        <w:textAlignment w:val="baseline"/>
        <w:outlineLvl w:val="0"/>
        <w:rPr>
          <w:rFonts w:eastAsia="黑体"/>
          <w:color w:val="auto"/>
          <w:kern w:val="24"/>
          <w:sz w:val="28"/>
          <w:szCs w:val="20"/>
          <w:highlight w:val="none"/>
        </w:rPr>
      </w:pPr>
      <w:bookmarkStart w:id="142" w:name="_Toc1889650688"/>
      <w:bookmarkStart w:id="143" w:name="_Toc170804559"/>
      <w:bookmarkStart w:id="144" w:name="_Toc28973"/>
      <w:bookmarkStart w:id="145" w:name="_Toc3198"/>
      <w:bookmarkStart w:id="146" w:name="_Toc13059"/>
      <w:bookmarkStart w:id="147" w:name="_Toc2158"/>
      <w:bookmarkStart w:id="148" w:name="_Toc21279"/>
      <w:bookmarkStart w:id="149" w:name="_Toc19289"/>
      <w:bookmarkStart w:id="150" w:name="_Toc2748"/>
      <w:bookmarkStart w:id="151" w:name="_Toc28919"/>
      <w:bookmarkStart w:id="152" w:name="_Toc4015"/>
      <w:bookmarkStart w:id="153" w:name="OLE_LINK1"/>
      <w:r>
        <w:rPr>
          <w:rFonts w:hint="eastAsia" w:eastAsia="黑体"/>
          <w:color w:val="auto"/>
          <w:kern w:val="24"/>
          <w:sz w:val="28"/>
          <w:szCs w:val="20"/>
          <w:highlight w:val="none"/>
        </w:rPr>
        <w:t>第二章投标人须知</w:t>
      </w:r>
      <w:bookmarkEnd w:id="142"/>
      <w:bookmarkEnd w:id="143"/>
      <w:bookmarkEnd w:id="144"/>
      <w:bookmarkEnd w:id="145"/>
      <w:bookmarkEnd w:id="146"/>
      <w:bookmarkEnd w:id="147"/>
      <w:bookmarkEnd w:id="148"/>
      <w:bookmarkEnd w:id="149"/>
      <w:bookmarkEnd w:id="150"/>
      <w:bookmarkEnd w:id="151"/>
      <w:bookmarkEnd w:id="152"/>
    </w:p>
    <w:bookmarkEnd w:id="153"/>
    <w:p>
      <w:pPr>
        <w:adjustRightInd w:val="0"/>
        <w:snapToGrid w:val="0"/>
        <w:spacing w:line="360" w:lineRule="auto"/>
        <w:jc w:val="left"/>
        <w:rPr>
          <w:rFonts w:ascii="黑体" w:hAnsi="黑体" w:eastAsia="黑体" w:cs="黑体"/>
          <w:color w:val="auto"/>
          <w:sz w:val="28"/>
          <w:szCs w:val="28"/>
          <w:highlight w:val="none"/>
        </w:rPr>
      </w:pPr>
      <w:bookmarkStart w:id="154" w:name="_Toc170804560"/>
      <w:r>
        <w:rPr>
          <w:rFonts w:hint="eastAsia" w:ascii="黑体" w:hAnsi="黑体" w:eastAsia="黑体" w:cs="黑体"/>
          <w:color w:val="auto"/>
          <w:sz w:val="28"/>
          <w:szCs w:val="28"/>
          <w:highlight w:val="none"/>
        </w:rPr>
        <w:t>投标人须知前附表</w:t>
      </w:r>
      <w:bookmarkEnd w:id="154"/>
    </w:p>
    <w:tbl>
      <w:tblPr>
        <w:tblStyle w:val="41"/>
        <w:tblW w:w="9148" w:type="dxa"/>
        <w:tblInd w:w="0" w:type="dxa"/>
        <w:tblLayout w:type="fixed"/>
        <w:tblCellMar>
          <w:top w:w="0" w:type="dxa"/>
          <w:left w:w="108" w:type="dxa"/>
          <w:bottom w:w="0" w:type="dxa"/>
          <w:right w:w="108" w:type="dxa"/>
        </w:tblCellMar>
      </w:tblPr>
      <w:tblGrid>
        <w:gridCol w:w="1164"/>
        <w:gridCol w:w="2063"/>
        <w:gridCol w:w="5921"/>
      </w:tblGrid>
      <w:tr>
        <w:tblPrEx>
          <w:tblCellMar>
            <w:top w:w="0" w:type="dxa"/>
            <w:left w:w="108" w:type="dxa"/>
            <w:bottom w:w="0" w:type="dxa"/>
            <w:right w:w="108" w:type="dxa"/>
          </w:tblCellMar>
        </w:tblPrEx>
        <w:trPr>
          <w:tblHeader/>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b/>
                <w:color w:val="auto"/>
                <w:szCs w:val="24"/>
                <w:highlight w:val="none"/>
              </w:rPr>
            </w:pPr>
            <w:r>
              <w:rPr>
                <w:rFonts w:hint="default"/>
                <w:b/>
                <w:color w:val="auto"/>
                <w:szCs w:val="24"/>
                <w:highlight w:val="none"/>
              </w:rPr>
              <w:t>条款号</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b/>
                <w:color w:val="auto"/>
                <w:szCs w:val="24"/>
                <w:highlight w:val="none"/>
              </w:rPr>
            </w:pPr>
            <w:r>
              <w:rPr>
                <w:rFonts w:hint="default"/>
                <w:b/>
                <w:color w:val="auto"/>
                <w:szCs w:val="24"/>
                <w:highlight w:val="none"/>
              </w:rPr>
              <w:t>条款名称</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b/>
                <w:color w:val="auto"/>
                <w:szCs w:val="24"/>
                <w:highlight w:val="none"/>
              </w:rPr>
            </w:pPr>
            <w:r>
              <w:rPr>
                <w:rFonts w:hint="default"/>
                <w:b/>
                <w:color w:val="auto"/>
                <w:szCs w:val="24"/>
                <w:highlight w:val="none"/>
              </w:rPr>
              <w:t>编列内容</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1.1.2</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招标人</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1"/>
                <w:highlight w:val="none"/>
              </w:rPr>
            </w:pPr>
            <w:r>
              <w:rPr>
                <w:rFonts w:hint="default"/>
                <w:color w:val="auto"/>
                <w:szCs w:val="21"/>
                <w:highlight w:val="none"/>
              </w:rPr>
              <w:t>名称：</w:t>
            </w:r>
            <w:r>
              <w:rPr>
                <w:rFonts w:hint="default"/>
                <w:color w:val="auto"/>
                <w:szCs w:val="21"/>
                <w:highlight w:val="none"/>
                <w:u w:val="single"/>
              </w:rPr>
              <w:t>东莞市轨道一号线建设发展有限公司</w:t>
            </w:r>
          </w:p>
          <w:p>
            <w:pPr>
              <w:keepNext w:val="0"/>
              <w:keepLines w:val="0"/>
              <w:suppressLineNumbers w:val="0"/>
              <w:spacing w:before="0" w:beforeAutospacing="0" w:after="0" w:afterAutospacing="0" w:line="440" w:lineRule="exact"/>
              <w:ind w:left="0" w:right="0"/>
              <w:rPr>
                <w:rFonts w:hint="default"/>
                <w:color w:val="auto"/>
                <w:szCs w:val="21"/>
                <w:highlight w:val="none"/>
              </w:rPr>
            </w:pPr>
            <w:r>
              <w:rPr>
                <w:rFonts w:hint="default"/>
                <w:color w:val="auto"/>
                <w:szCs w:val="21"/>
                <w:highlight w:val="none"/>
              </w:rPr>
              <w:t>地址：</w:t>
            </w:r>
            <w:r>
              <w:rPr>
                <w:rFonts w:hint="eastAsia"/>
                <w:color w:val="auto"/>
                <w:szCs w:val="21"/>
                <w:highlight w:val="none"/>
                <w:u w:val="single"/>
              </w:rPr>
              <w:t>东</w:t>
            </w:r>
            <w:r>
              <w:rPr>
                <w:rFonts w:hint="default"/>
                <w:color w:val="auto"/>
                <w:highlight w:val="none"/>
                <w:u w:val="single"/>
              </w:rPr>
              <w:t>莞市南城街道东莞大道南城段116号轨道交通大厦2号楼4406室</w:t>
            </w:r>
          </w:p>
          <w:p>
            <w:pPr>
              <w:keepNext w:val="0"/>
              <w:keepLines w:val="0"/>
              <w:suppressLineNumbers w:val="0"/>
              <w:topLinePunct/>
              <w:spacing w:before="0" w:beforeAutospacing="0" w:after="0" w:afterAutospacing="0" w:line="400" w:lineRule="exact"/>
              <w:ind w:left="0" w:right="0"/>
              <w:rPr>
                <w:rFonts w:hint="default" w:ascii="宋体" w:hAnsi="宋体"/>
                <w:color w:val="auto"/>
                <w:highlight w:val="none"/>
              </w:rPr>
            </w:pPr>
            <w:r>
              <w:rPr>
                <w:rFonts w:hint="eastAsia" w:ascii="等线" w:hAnsi="等线"/>
                <w:color w:val="auto"/>
                <w:szCs w:val="24"/>
                <w:highlight w:val="none"/>
              </w:rPr>
              <w:t>联</w:t>
            </w:r>
            <w:r>
              <w:rPr>
                <w:rFonts w:hint="default" w:ascii="等线" w:hAnsi="等线"/>
                <w:color w:val="auto"/>
                <w:szCs w:val="24"/>
                <w:highlight w:val="none"/>
              </w:rPr>
              <w:t xml:space="preserve"> </w:t>
            </w:r>
            <w:r>
              <w:rPr>
                <w:rFonts w:hint="eastAsia" w:ascii="等线" w:hAnsi="等线"/>
                <w:color w:val="auto"/>
                <w:szCs w:val="24"/>
                <w:highlight w:val="none"/>
              </w:rPr>
              <w:t>系</w:t>
            </w:r>
            <w:r>
              <w:rPr>
                <w:rFonts w:hint="default" w:ascii="等线" w:hAnsi="等线"/>
                <w:color w:val="auto"/>
                <w:szCs w:val="24"/>
                <w:highlight w:val="none"/>
              </w:rPr>
              <w:t xml:space="preserve"> </w:t>
            </w:r>
            <w:r>
              <w:rPr>
                <w:rFonts w:hint="eastAsia" w:ascii="等线" w:hAnsi="等线"/>
                <w:color w:val="auto"/>
                <w:szCs w:val="24"/>
                <w:highlight w:val="none"/>
              </w:rPr>
              <w:t>人：</w:t>
            </w:r>
            <w:r>
              <w:rPr>
                <w:rFonts w:hint="eastAsia" w:ascii="等线" w:hAnsi="等线"/>
                <w:color w:val="auto"/>
                <w:szCs w:val="24"/>
                <w:highlight w:val="none"/>
                <w:u w:val="single"/>
              </w:rPr>
              <w:t>蔡</w:t>
            </w:r>
            <w:r>
              <w:rPr>
                <w:rFonts w:hint="default" w:ascii="宋体" w:hAnsi="宋体"/>
                <w:color w:val="auto"/>
                <w:highlight w:val="none"/>
                <w:u w:val="single"/>
              </w:rPr>
              <w:t>工</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万工</w:t>
            </w:r>
            <w:r>
              <w:rPr>
                <w:rFonts w:hint="default" w:ascii="宋体" w:hAnsi="宋体"/>
                <w:color w:val="auto"/>
                <w:highlight w:val="none"/>
              </w:rPr>
              <w:t xml:space="preserve"> </w:t>
            </w:r>
          </w:p>
          <w:p>
            <w:pPr>
              <w:keepNext w:val="0"/>
              <w:keepLines w:val="0"/>
              <w:suppressLineNumbers w:val="0"/>
              <w:topLinePunct/>
              <w:spacing w:before="0" w:beforeAutospacing="0" w:after="0" w:afterAutospacing="0" w:line="400" w:lineRule="exact"/>
              <w:ind w:left="0" w:right="0"/>
              <w:rPr>
                <w:rFonts w:hint="default" w:eastAsia="宋体"/>
                <w:color w:val="auto"/>
                <w:szCs w:val="24"/>
                <w:highlight w:val="none"/>
                <w:lang w:val="en-US" w:eastAsia="zh-CN"/>
              </w:rPr>
            </w:pPr>
            <w:r>
              <w:rPr>
                <w:rFonts w:hint="eastAsia" w:ascii="宋体" w:hAnsi="宋体"/>
                <w:color w:val="auto"/>
                <w:highlight w:val="none"/>
              </w:rPr>
              <w:t>电</w:t>
            </w:r>
            <w:r>
              <w:rPr>
                <w:rFonts w:hint="default" w:ascii="宋体" w:hAnsi="宋体"/>
                <w:color w:val="auto"/>
                <w:highlight w:val="none"/>
              </w:rPr>
              <w:t xml:space="preserve">    </w:t>
            </w:r>
            <w:r>
              <w:rPr>
                <w:rFonts w:hint="eastAsia" w:ascii="宋体" w:hAnsi="宋体"/>
                <w:color w:val="auto"/>
                <w:highlight w:val="none"/>
              </w:rPr>
              <w:t>话：</w:t>
            </w:r>
            <w:r>
              <w:rPr>
                <w:rFonts w:hint="eastAsia" w:ascii="宋体" w:hAnsi="宋体"/>
                <w:color w:val="auto"/>
                <w:highlight w:val="none"/>
                <w:u w:val="single"/>
              </w:rPr>
              <w:t>13712998922</w:t>
            </w:r>
            <w:r>
              <w:rPr>
                <w:rFonts w:hint="eastAsia" w:ascii="宋体" w:hAnsi="宋体"/>
                <w:color w:val="auto"/>
                <w:highlight w:val="none"/>
                <w:u w:val="single"/>
                <w:lang w:eastAsia="zh-CN"/>
              </w:rPr>
              <w:t>、0769-88307128</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1.1.3</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招标代理机构</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1"/>
                <w:highlight w:val="none"/>
              </w:rPr>
            </w:pPr>
            <w:r>
              <w:rPr>
                <w:rFonts w:hint="default"/>
                <w:color w:val="auto"/>
                <w:szCs w:val="21"/>
                <w:highlight w:val="none"/>
              </w:rPr>
              <w:t>名称：</w:t>
            </w:r>
            <w:r>
              <w:rPr>
                <w:rFonts w:hint="eastAsia"/>
                <w:color w:val="auto"/>
                <w:szCs w:val="21"/>
                <w:highlight w:val="none"/>
                <w:u w:val="single"/>
              </w:rPr>
              <w:t>广东省机电设备招标有限公司</w:t>
            </w:r>
          </w:p>
          <w:p>
            <w:pPr>
              <w:keepNext w:val="0"/>
              <w:keepLines w:val="0"/>
              <w:suppressLineNumbers w:val="0"/>
              <w:spacing w:before="0" w:beforeAutospacing="0" w:after="0" w:afterAutospacing="0" w:line="440" w:lineRule="exact"/>
              <w:ind w:left="0" w:right="0"/>
              <w:rPr>
                <w:rFonts w:hint="default"/>
                <w:color w:val="auto"/>
                <w:szCs w:val="21"/>
                <w:highlight w:val="none"/>
              </w:rPr>
            </w:pPr>
            <w:r>
              <w:rPr>
                <w:rFonts w:hint="default"/>
                <w:color w:val="auto"/>
                <w:szCs w:val="21"/>
                <w:highlight w:val="none"/>
              </w:rPr>
              <w:t>地址：</w:t>
            </w:r>
            <w:r>
              <w:rPr>
                <w:rFonts w:hint="eastAsia"/>
                <w:color w:val="auto"/>
                <w:szCs w:val="21"/>
                <w:highlight w:val="none"/>
                <w:u w:val="single"/>
              </w:rPr>
              <w:t>东莞市南城街道石竹路3号广发金融大厦1栋10楼01单元</w:t>
            </w:r>
          </w:p>
          <w:p>
            <w:pPr>
              <w:keepNext w:val="0"/>
              <w:keepLines w:val="0"/>
              <w:suppressLineNumbers w:val="0"/>
              <w:snapToGrid w:val="0"/>
              <w:spacing w:before="0" w:beforeAutospacing="0" w:after="0" w:afterAutospacing="0" w:line="360" w:lineRule="auto"/>
              <w:ind w:left="0" w:right="0"/>
              <w:rPr>
                <w:rFonts w:hint="default"/>
                <w:color w:val="auto"/>
                <w:szCs w:val="21"/>
                <w:highlight w:val="none"/>
                <w:u w:val="single"/>
              </w:rPr>
            </w:pPr>
            <w:r>
              <w:rPr>
                <w:rFonts w:hint="default"/>
                <w:color w:val="auto"/>
                <w:szCs w:val="21"/>
                <w:highlight w:val="none"/>
              </w:rPr>
              <w:t>联系人：</w:t>
            </w:r>
            <w:r>
              <w:rPr>
                <w:rFonts w:hint="eastAsia"/>
                <w:color w:val="auto"/>
                <w:szCs w:val="21"/>
                <w:highlight w:val="none"/>
                <w:u w:val="single"/>
              </w:rPr>
              <w:t>范工</w:t>
            </w:r>
          </w:p>
          <w:p>
            <w:pPr>
              <w:keepNext w:val="0"/>
              <w:keepLines w:val="0"/>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电话：</w:t>
            </w:r>
            <w:r>
              <w:rPr>
                <w:rFonts w:hint="eastAsia" w:ascii="宋体" w:hAnsi="宋体"/>
                <w:color w:val="auto"/>
                <w:szCs w:val="22"/>
                <w:highlight w:val="none"/>
                <w:u w:val="single"/>
              </w:rPr>
              <w:t>0769-22786689-626</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1.1.4</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招标项目名称</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1"/>
                <w:highlight w:val="none"/>
                <w:u w:val="single"/>
              </w:rPr>
            </w:pPr>
            <w:r>
              <w:rPr>
                <w:rFonts w:hint="default"/>
                <w:color w:val="auto"/>
                <w:szCs w:val="21"/>
                <w:highlight w:val="none"/>
                <w:u w:val="single"/>
              </w:rPr>
              <w:t>详见招标公告第2.1条</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1.1.5</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项目建设地点</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1"/>
                <w:highlight w:val="none"/>
                <w:u w:val="single"/>
              </w:rPr>
            </w:pPr>
            <w:r>
              <w:rPr>
                <w:rFonts w:hint="default"/>
                <w:color w:val="auto"/>
                <w:szCs w:val="21"/>
                <w:highlight w:val="none"/>
                <w:u w:val="single"/>
              </w:rPr>
              <w:t>详见招标公告第2.1条</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1.1.6</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项目建设规模</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default"/>
                <w:color w:val="auto"/>
                <w:szCs w:val="24"/>
                <w:highlight w:val="none"/>
              </w:rPr>
            </w:pPr>
            <w:r>
              <w:rPr>
                <w:rFonts w:hint="default"/>
                <w:color w:val="auto"/>
                <w:szCs w:val="24"/>
                <w:highlight w:val="none"/>
              </w:rPr>
              <w:t>详见招标公告第</w:t>
            </w:r>
            <w:r>
              <w:rPr>
                <w:rFonts w:hint="default"/>
                <w:color w:val="auto"/>
                <w:szCs w:val="24"/>
                <w:highlight w:val="none"/>
                <w:u w:val="single"/>
              </w:rPr>
              <w:t>2.1</w:t>
            </w:r>
            <w:r>
              <w:rPr>
                <w:rFonts w:hint="default"/>
                <w:color w:val="auto"/>
                <w:szCs w:val="24"/>
                <w:highlight w:val="none"/>
              </w:rPr>
              <w:t>条</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1.1.7</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项目投资估算</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default"/>
                <w:color w:val="auto"/>
                <w:szCs w:val="24"/>
                <w:highlight w:val="none"/>
              </w:rPr>
            </w:pPr>
            <w:r>
              <w:rPr>
                <w:rFonts w:hint="default"/>
                <w:color w:val="auto"/>
                <w:szCs w:val="21"/>
                <w:highlight w:val="none"/>
              </w:rPr>
              <w:t>该项目的建设规模及指标最终以政府相关部门的批复为准，招标人有权根据批复意见进行调整。</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1.2.1</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资金来源及比例</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default"/>
                <w:color w:val="auto"/>
                <w:szCs w:val="24"/>
                <w:highlight w:val="none"/>
              </w:rPr>
            </w:pPr>
            <w:r>
              <w:rPr>
                <w:rFonts w:hint="default"/>
                <w:color w:val="auto"/>
                <w:szCs w:val="24"/>
                <w:highlight w:val="none"/>
              </w:rPr>
              <w:t>详见招标公告第</w:t>
            </w:r>
            <w:r>
              <w:rPr>
                <w:rFonts w:hint="default"/>
                <w:color w:val="auto"/>
                <w:szCs w:val="24"/>
                <w:highlight w:val="none"/>
                <w:u w:val="single"/>
              </w:rPr>
              <w:t>1</w:t>
            </w:r>
            <w:r>
              <w:rPr>
                <w:rFonts w:hint="default"/>
                <w:color w:val="auto"/>
                <w:szCs w:val="24"/>
                <w:highlight w:val="none"/>
              </w:rPr>
              <w:t>条</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1.2.2</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资金落实情况</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default"/>
                <w:color w:val="auto"/>
                <w:szCs w:val="24"/>
                <w:highlight w:val="none"/>
                <w:u w:val="single"/>
              </w:rPr>
            </w:pPr>
            <w:r>
              <w:rPr>
                <w:rFonts w:hint="default"/>
                <w:color w:val="auto"/>
                <w:szCs w:val="24"/>
                <w:highlight w:val="none"/>
                <w:u w:val="single"/>
              </w:rPr>
              <w:t xml:space="preserve">  已落实    </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1.3.1</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招标范围</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default"/>
                <w:color w:val="auto"/>
                <w:szCs w:val="24"/>
                <w:highlight w:val="none"/>
              </w:rPr>
            </w:pPr>
            <w:r>
              <w:rPr>
                <w:rFonts w:hint="default"/>
                <w:color w:val="auto"/>
                <w:szCs w:val="24"/>
                <w:highlight w:val="none"/>
              </w:rPr>
              <w:t>详见招标公告第</w:t>
            </w:r>
            <w:r>
              <w:rPr>
                <w:rFonts w:hint="default"/>
                <w:color w:val="auto"/>
                <w:szCs w:val="24"/>
                <w:highlight w:val="none"/>
                <w:u w:val="single"/>
              </w:rPr>
              <w:t>2.2</w:t>
            </w:r>
            <w:r>
              <w:rPr>
                <w:rFonts w:hint="default"/>
                <w:color w:val="auto"/>
                <w:szCs w:val="24"/>
                <w:highlight w:val="none"/>
              </w:rPr>
              <w:t>条</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1.3.2</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监</w:t>
            </w:r>
            <w:r>
              <w:rPr>
                <w:rFonts w:hint="default"/>
                <w:color w:val="auto"/>
                <w:szCs w:val="24"/>
                <w:highlight w:val="none"/>
              </w:rPr>
              <w:t>测服务期限</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1"/>
                <w:highlight w:val="none"/>
                <w:u w:val="single"/>
              </w:rPr>
            </w:pPr>
            <w:r>
              <w:rPr>
                <w:rFonts w:hint="default"/>
                <w:color w:val="auto"/>
                <w:szCs w:val="21"/>
                <w:highlight w:val="none"/>
                <w:u w:val="single"/>
              </w:rPr>
              <w:t>详见招标公告第2.3条</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1.3.3</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质量标准</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1"/>
                <w:highlight w:val="none"/>
                <w:u w:val="single"/>
              </w:rPr>
            </w:pPr>
            <w:r>
              <w:rPr>
                <w:rFonts w:hint="default"/>
                <w:color w:val="auto"/>
                <w:szCs w:val="21"/>
                <w:highlight w:val="none"/>
                <w:u w:val="single"/>
              </w:rPr>
              <w:t>符合国家及广东省、东莞市主管部门的有关要求</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1.4.1</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highlight w:val="none"/>
              </w:rPr>
            </w:pPr>
            <w:r>
              <w:rPr>
                <w:rFonts w:hint="default"/>
                <w:color w:val="auto"/>
                <w:szCs w:val="24"/>
                <w:highlight w:val="none"/>
              </w:rPr>
              <w:t>投标人资质条件、能力、信誉</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u w:val="single"/>
              </w:rPr>
            </w:pPr>
            <w:r>
              <w:rPr>
                <w:rFonts w:hint="default"/>
                <w:color w:val="auto"/>
                <w:szCs w:val="24"/>
                <w:highlight w:val="none"/>
              </w:rPr>
              <w:t>（1</w:t>
            </w:r>
            <w:r>
              <w:rPr>
                <w:rFonts w:hint="eastAsia"/>
                <w:color w:val="auto"/>
                <w:szCs w:val="24"/>
                <w:highlight w:val="none"/>
              </w:rPr>
              <w:t>）资质要求：详见招标公告第</w:t>
            </w:r>
            <w:r>
              <w:rPr>
                <w:rFonts w:hint="default"/>
                <w:color w:val="auto"/>
                <w:szCs w:val="24"/>
                <w:highlight w:val="none"/>
                <w:u w:val="single"/>
              </w:rPr>
              <w:t>3.1</w:t>
            </w:r>
            <w:r>
              <w:rPr>
                <w:rFonts w:hint="eastAsia"/>
                <w:color w:val="auto"/>
                <w:szCs w:val="24"/>
                <w:highlight w:val="none"/>
              </w:rPr>
              <w:t>条</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eastAsia"/>
                <w:color w:val="auto"/>
                <w:szCs w:val="24"/>
                <w:highlight w:val="none"/>
              </w:rPr>
              <w:t>（</w:t>
            </w:r>
            <w:r>
              <w:rPr>
                <w:rFonts w:hint="default"/>
                <w:color w:val="auto"/>
                <w:szCs w:val="24"/>
                <w:highlight w:val="none"/>
              </w:rPr>
              <w:t>2</w:t>
            </w:r>
            <w:r>
              <w:rPr>
                <w:rFonts w:hint="eastAsia"/>
                <w:color w:val="auto"/>
                <w:szCs w:val="24"/>
                <w:highlight w:val="none"/>
              </w:rPr>
              <w:t>）财务要求：</w:t>
            </w:r>
            <w:r>
              <w:rPr>
                <w:rFonts w:hint="default"/>
                <w:color w:val="auto"/>
                <w:szCs w:val="24"/>
                <w:highlight w:val="none"/>
              </w:rPr>
              <w:t>/</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eastAsia"/>
                <w:color w:val="auto"/>
                <w:szCs w:val="24"/>
                <w:highlight w:val="none"/>
              </w:rPr>
              <w:t>（</w:t>
            </w:r>
            <w:r>
              <w:rPr>
                <w:rFonts w:hint="default"/>
                <w:color w:val="auto"/>
                <w:szCs w:val="24"/>
                <w:highlight w:val="none"/>
              </w:rPr>
              <w:t>3</w:t>
            </w:r>
            <w:r>
              <w:rPr>
                <w:rFonts w:hint="eastAsia"/>
                <w:color w:val="auto"/>
                <w:szCs w:val="24"/>
                <w:highlight w:val="none"/>
              </w:rPr>
              <w:t>）业绩要求：</w:t>
            </w:r>
            <w:r>
              <w:rPr>
                <w:rFonts w:hint="default"/>
                <w:color w:val="auto"/>
                <w:szCs w:val="24"/>
                <w:highlight w:val="none"/>
              </w:rPr>
              <w:t>/</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eastAsia"/>
                <w:color w:val="auto"/>
                <w:szCs w:val="24"/>
                <w:highlight w:val="none"/>
              </w:rPr>
              <w:t>（</w:t>
            </w:r>
            <w:r>
              <w:rPr>
                <w:rFonts w:hint="default"/>
                <w:color w:val="auto"/>
                <w:szCs w:val="24"/>
                <w:highlight w:val="none"/>
              </w:rPr>
              <w:t>4</w:t>
            </w:r>
            <w:r>
              <w:rPr>
                <w:rFonts w:hint="eastAsia"/>
                <w:color w:val="auto"/>
                <w:szCs w:val="24"/>
                <w:highlight w:val="none"/>
              </w:rPr>
              <w:t>）信誉要求</w:t>
            </w:r>
            <w:bookmarkStart w:id="1802" w:name="_GoBack"/>
            <w:bookmarkEnd w:id="1802"/>
            <w:r>
              <w:rPr>
                <w:rFonts w:hint="eastAsia"/>
                <w:color w:val="auto"/>
                <w:szCs w:val="24"/>
                <w:highlight w:val="none"/>
              </w:rPr>
              <w:t>：</w:t>
            </w:r>
            <w:r>
              <w:rPr>
                <w:rFonts w:hint="default"/>
                <w:color w:val="auto"/>
                <w:szCs w:val="24"/>
                <w:highlight w:val="none"/>
              </w:rPr>
              <w:t>/</w:t>
            </w:r>
          </w:p>
          <w:p>
            <w:pPr>
              <w:keepNext w:val="0"/>
              <w:keepLines w:val="0"/>
              <w:suppressLineNumbers w:val="0"/>
              <w:spacing w:before="0" w:beforeAutospacing="0" w:after="0" w:afterAutospacing="0" w:line="440" w:lineRule="exact"/>
              <w:ind w:left="0" w:right="0"/>
              <w:rPr>
                <w:rFonts w:hint="default"/>
                <w:color w:val="auto"/>
                <w:szCs w:val="24"/>
                <w:highlight w:val="none"/>
                <w:lang w:val="en-US"/>
              </w:rPr>
            </w:pPr>
            <w:r>
              <w:rPr>
                <w:rFonts w:hint="eastAsia"/>
                <w:color w:val="auto"/>
                <w:szCs w:val="24"/>
                <w:highlight w:val="none"/>
              </w:rPr>
              <w:t>（</w:t>
            </w:r>
            <w:r>
              <w:rPr>
                <w:rFonts w:hint="default"/>
                <w:color w:val="auto"/>
                <w:szCs w:val="24"/>
                <w:highlight w:val="none"/>
              </w:rPr>
              <w:t>5</w:t>
            </w:r>
            <w:r>
              <w:rPr>
                <w:rFonts w:hint="eastAsia"/>
                <w:color w:val="auto"/>
                <w:szCs w:val="24"/>
                <w:highlight w:val="none"/>
              </w:rPr>
              <w:t>）项目负责人的资格要求：</w:t>
            </w:r>
            <w:r>
              <w:rPr>
                <w:rFonts w:hint="default"/>
                <w:color w:val="auto"/>
                <w:szCs w:val="24"/>
                <w:highlight w:val="none"/>
              </w:rPr>
              <w:t>/</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eastAsia"/>
                <w:color w:val="auto"/>
                <w:szCs w:val="24"/>
                <w:highlight w:val="none"/>
              </w:rPr>
              <w:t>（</w:t>
            </w:r>
            <w:r>
              <w:rPr>
                <w:rFonts w:hint="default"/>
                <w:color w:val="auto"/>
                <w:szCs w:val="24"/>
                <w:highlight w:val="none"/>
              </w:rPr>
              <w:t>6</w:t>
            </w:r>
            <w:r>
              <w:rPr>
                <w:rFonts w:hint="eastAsia"/>
                <w:color w:val="auto"/>
                <w:szCs w:val="24"/>
                <w:highlight w:val="none"/>
              </w:rPr>
              <w:t>）其他主要人员要求：</w:t>
            </w:r>
            <w:r>
              <w:rPr>
                <w:rFonts w:hint="default"/>
                <w:color w:val="auto"/>
                <w:szCs w:val="24"/>
                <w:highlight w:val="none"/>
              </w:rPr>
              <w:t>/</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eastAsia"/>
                <w:color w:val="auto"/>
                <w:szCs w:val="24"/>
                <w:highlight w:val="none"/>
              </w:rPr>
              <w:t>（</w:t>
            </w:r>
            <w:r>
              <w:rPr>
                <w:rFonts w:hint="default"/>
                <w:color w:val="auto"/>
                <w:szCs w:val="24"/>
                <w:highlight w:val="none"/>
              </w:rPr>
              <w:t>7</w:t>
            </w:r>
            <w:r>
              <w:rPr>
                <w:rFonts w:hint="eastAsia"/>
                <w:color w:val="auto"/>
                <w:szCs w:val="24"/>
                <w:highlight w:val="none"/>
              </w:rPr>
              <w:t>）仪器设备要求：</w:t>
            </w:r>
            <w:r>
              <w:rPr>
                <w:rFonts w:hint="default"/>
                <w:color w:val="auto"/>
                <w:szCs w:val="24"/>
                <w:highlight w:val="none"/>
              </w:rPr>
              <w:t>/</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1"/>
                <w:highlight w:val="none"/>
                <w:u w:val="single"/>
              </w:rPr>
              <w:t>（8） 其他要求：详见招标公告第</w:t>
            </w:r>
            <w:r>
              <w:rPr>
                <w:rFonts w:hint="default"/>
                <w:color w:val="auto"/>
                <w:szCs w:val="24"/>
                <w:highlight w:val="none"/>
                <w:u w:val="single"/>
              </w:rPr>
              <w:t>3.1.1、</w:t>
            </w:r>
            <w:r>
              <w:rPr>
                <w:rFonts w:hint="eastAsia"/>
                <w:color w:val="auto"/>
                <w:szCs w:val="24"/>
                <w:highlight w:val="none"/>
                <w:u w:val="single"/>
              </w:rPr>
              <w:t>3.1.2、</w:t>
            </w:r>
            <w:r>
              <w:rPr>
                <w:rFonts w:hint="default"/>
                <w:color w:val="auto"/>
                <w:szCs w:val="21"/>
                <w:highlight w:val="none"/>
                <w:u w:val="single"/>
              </w:rPr>
              <w:t>3.2、3.3条</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1.4.2</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是否接受联合体投标</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color w:val="auto"/>
                <w:sz w:val="32"/>
                <w:szCs w:val="24"/>
                <w:highlight w:val="none"/>
                <w:u w:val="single"/>
              </w:rPr>
            </w:pPr>
            <w:r>
              <w:rPr>
                <w:rFonts w:hint="default"/>
                <w:color w:val="auto"/>
                <w:spacing w:val="-2"/>
                <w:position w:val="1"/>
                <w:sz w:val="24"/>
                <w:szCs w:val="20"/>
                <w:highlight w:val="none"/>
                <w:bdr w:val="single" w:color="auto" w:sz="4" w:space="0"/>
              </w:rPr>
              <w:t>√</w:t>
            </w:r>
            <w:r>
              <w:rPr>
                <w:rFonts w:hint="default"/>
                <w:color w:val="auto"/>
                <w:szCs w:val="24"/>
                <w:highlight w:val="none"/>
              </w:rPr>
              <w:t>不接受</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1.4.3</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auto"/>
                <w:szCs w:val="24"/>
                <w:highlight w:val="none"/>
              </w:rPr>
            </w:pPr>
            <w:r>
              <w:rPr>
                <w:rFonts w:hint="default"/>
                <w:color w:val="auto"/>
                <w:szCs w:val="24"/>
                <w:highlight w:val="none"/>
              </w:rPr>
              <w:t>投标人不得存在的其他情形</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color w:val="auto"/>
                <w:szCs w:val="24"/>
                <w:highlight w:val="none"/>
              </w:rPr>
            </w:pPr>
            <w:bookmarkStart w:id="155" w:name="_Toc55571682"/>
            <w:bookmarkStart w:id="156" w:name="_Toc55572304"/>
            <w:bookmarkStart w:id="157" w:name="_Toc74157433"/>
            <w:bookmarkStart w:id="158" w:name="_Toc72740205"/>
            <w:bookmarkStart w:id="159" w:name="_Toc72500704"/>
            <w:bookmarkStart w:id="160" w:name="_Toc55573026"/>
            <w:bookmarkStart w:id="161" w:name="_Toc72758222"/>
            <w:r>
              <w:rPr>
                <w:rFonts w:hint="default"/>
                <w:color w:val="auto"/>
                <w:szCs w:val="24"/>
                <w:highlight w:val="none"/>
              </w:rPr>
              <w:t>（</w:t>
            </w:r>
            <w:r>
              <w:rPr>
                <w:rFonts w:hint="eastAsia"/>
                <w:color w:val="auto"/>
                <w:szCs w:val="24"/>
                <w:highlight w:val="none"/>
              </w:rPr>
              <w:t>1</w:t>
            </w:r>
            <w:r>
              <w:rPr>
                <w:rFonts w:hint="default"/>
                <w:color w:val="auto"/>
                <w:szCs w:val="24"/>
                <w:highlight w:val="none"/>
              </w:rPr>
              <w:t>）</w:t>
            </w:r>
            <w:r>
              <w:rPr>
                <w:rFonts w:hint="eastAsia"/>
                <w:color w:val="auto"/>
                <w:szCs w:val="21"/>
                <w:highlight w:val="none"/>
              </w:rPr>
              <w:t>投标人在“信用中国”网站（</w:t>
            </w:r>
            <w:r>
              <w:rPr>
                <w:rFonts w:hint="default"/>
                <w:color w:val="auto"/>
                <w:szCs w:val="21"/>
                <w:highlight w:val="none"/>
              </w:rPr>
              <w:t>www.creditchina.gov.cn</w:t>
            </w:r>
            <w:r>
              <w:rPr>
                <w:rFonts w:hint="eastAsia"/>
                <w:color w:val="auto"/>
                <w:szCs w:val="21"/>
                <w:highlight w:val="none"/>
              </w:rPr>
              <w:t>）中被列入失信被执行人名单，在国家企业信用信息公示系统（</w:t>
            </w:r>
            <w:r>
              <w:rPr>
                <w:rFonts w:hint="default"/>
                <w:color w:val="auto"/>
                <w:szCs w:val="21"/>
                <w:highlight w:val="none"/>
              </w:rPr>
              <w:t>www.gsxt.gov.cn</w:t>
            </w:r>
            <w:r>
              <w:rPr>
                <w:rFonts w:hint="eastAsia"/>
                <w:color w:val="auto"/>
                <w:szCs w:val="21"/>
                <w:highlight w:val="none"/>
              </w:rPr>
              <w:t>）中被列入严重违法失信企业名单，在“中国执行信息公开网”被认定为失信被执行人，处于中国政府采购网</w:t>
            </w:r>
            <w:r>
              <w:rPr>
                <w:rFonts w:hint="default"/>
                <w:color w:val="auto"/>
                <w:szCs w:val="21"/>
                <w:highlight w:val="none"/>
              </w:rPr>
              <w:t>(www.ccgp.gov.cn)</w:t>
            </w:r>
            <w:r>
              <w:rPr>
                <w:rFonts w:hint="eastAsia"/>
                <w:color w:val="auto"/>
                <w:szCs w:val="21"/>
                <w:highlight w:val="none"/>
              </w:rPr>
              <w:t>“政府采购严重违法失信行为信息记录”中的禁止参加政府采购活动期间</w:t>
            </w:r>
            <w:r>
              <w:rPr>
                <w:rFonts w:hint="default"/>
                <w:color w:val="auto"/>
                <w:szCs w:val="21"/>
                <w:highlight w:val="none"/>
              </w:rPr>
              <w:t>(</w:t>
            </w:r>
            <w:r>
              <w:rPr>
                <w:rFonts w:hint="eastAsia"/>
                <w:color w:val="auto"/>
                <w:szCs w:val="21"/>
                <w:highlight w:val="none"/>
              </w:rPr>
              <w:t>处罚限届满的除外</w:t>
            </w:r>
            <w:r>
              <w:rPr>
                <w:rFonts w:hint="default"/>
                <w:color w:val="auto"/>
                <w:szCs w:val="21"/>
                <w:highlight w:val="none"/>
              </w:rPr>
              <w:t>)</w:t>
            </w:r>
            <w:r>
              <w:rPr>
                <w:rFonts w:hint="eastAsia"/>
                <w:color w:val="auto"/>
                <w:szCs w:val="21"/>
                <w:highlight w:val="none"/>
              </w:rPr>
              <w:t>。（以招标人</w:t>
            </w:r>
            <w:r>
              <w:rPr>
                <w:rFonts w:hint="default"/>
                <w:color w:val="auto"/>
                <w:szCs w:val="21"/>
                <w:highlight w:val="none"/>
              </w:rPr>
              <w:t>\</w:t>
            </w:r>
            <w:r>
              <w:rPr>
                <w:rFonts w:hint="eastAsia"/>
                <w:color w:val="auto"/>
                <w:szCs w:val="21"/>
                <w:highlight w:val="none"/>
              </w:rPr>
              <w:t>招标代理于投标截止日当天在信用中国、国家企业信用信息公示系统、中国执行信息公开网查询结果为准，如相关失信记录已失效，投标人需提供相关证明资料）。</w:t>
            </w:r>
          </w:p>
          <w:p>
            <w:pPr>
              <w:keepNext w:val="0"/>
              <w:keepLines w:val="0"/>
              <w:suppressLineNumbers w:val="0"/>
              <w:topLinePunct/>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w:t>
            </w:r>
            <w:r>
              <w:rPr>
                <w:rFonts w:hint="eastAsia"/>
                <w:color w:val="auto"/>
                <w:szCs w:val="24"/>
                <w:highlight w:val="none"/>
              </w:rPr>
              <w:t>2</w:t>
            </w:r>
            <w:r>
              <w:rPr>
                <w:rFonts w:hint="default"/>
                <w:color w:val="auto"/>
                <w:szCs w:val="24"/>
                <w:highlight w:val="none"/>
              </w:rPr>
              <w:t>）存在大额诉讼或多宗诉讼或其它违法、违约等影响本次招标项目正常履行的情形；投标人或其关联公司曾与东莞市轨道一号线建设发展有限公司或东莞市轨道交通有限公司及其下属企业签订合同,且在履约过程中因投标人或其关联公司严重违约而导致合同变更、中止、解除的；投标人或其关联公司曾与东莞市轨道一号线建设发展有限公司或东莞市轨道交通有限公司及其下属企业发生诉讼的；法院判决或仲裁裁决曾认定投标人或其关联公司在与东莞市轨道一号线建设发展有限公司或东莞市轨道交通有限公司及其下属企业履约过程中存在违约责任或过失责任的</w:t>
            </w:r>
            <w:r>
              <w:rPr>
                <w:rFonts w:hint="eastAsia"/>
                <w:color w:val="auto"/>
                <w:szCs w:val="24"/>
                <w:highlight w:val="none"/>
              </w:rPr>
              <w:t>。</w:t>
            </w:r>
            <w:bookmarkEnd w:id="155"/>
            <w:bookmarkEnd w:id="156"/>
            <w:bookmarkEnd w:id="157"/>
            <w:bookmarkEnd w:id="158"/>
            <w:bookmarkEnd w:id="159"/>
            <w:bookmarkEnd w:id="160"/>
            <w:bookmarkEnd w:id="161"/>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1.9.1</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highlight w:val="none"/>
              </w:rPr>
            </w:pPr>
            <w:r>
              <w:rPr>
                <w:rFonts w:hint="default"/>
                <w:color w:val="auto"/>
                <w:szCs w:val="24"/>
                <w:highlight w:val="none"/>
              </w:rPr>
              <w:t>踏勘现场</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00" w:lineRule="exact"/>
              <w:ind w:left="0" w:right="0"/>
              <w:rPr>
                <w:rFonts w:hint="default"/>
                <w:color w:val="auto"/>
                <w:szCs w:val="21"/>
                <w:highlight w:val="none"/>
              </w:rPr>
            </w:pPr>
            <w:r>
              <w:rPr>
                <w:rFonts w:hint="default"/>
                <w:color w:val="auto"/>
                <w:spacing w:val="-2"/>
                <w:position w:val="1"/>
                <w:sz w:val="24"/>
                <w:szCs w:val="20"/>
                <w:highlight w:val="none"/>
                <w:bdr w:val="single" w:color="auto" w:sz="4" w:space="0"/>
              </w:rPr>
              <w:t>√</w:t>
            </w:r>
            <w:r>
              <w:rPr>
                <w:rFonts w:hint="default"/>
                <w:color w:val="auto"/>
                <w:szCs w:val="21"/>
                <w:highlight w:val="none"/>
              </w:rPr>
              <w:t>不组织</w:t>
            </w:r>
          </w:p>
          <w:p>
            <w:pPr>
              <w:keepNext w:val="0"/>
              <w:keepLines w:val="0"/>
              <w:suppressLineNumbers w:val="0"/>
              <w:topLinePunct/>
              <w:spacing w:before="0" w:beforeAutospacing="0" w:after="0" w:afterAutospacing="0" w:line="400" w:lineRule="exact"/>
              <w:ind w:left="0" w:right="0"/>
              <w:rPr>
                <w:rFonts w:hint="default"/>
                <w:color w:val="auto"/>
                <w:szCs w:val="21"/>
                <w:highlight w:val="none"/>
              </w:rPr>
            </w:pPr>
            <w:r>
              <w:rPr>
                <w:rFonts w:hint="default"/>
                <w:color w:val="auto"/>
                <w:szCs w:val="21"/>
                <w:highlight w:val="none"/>
              </w:rPr>
              <w:t>补充说明如下：</w:t>
            </w:r>
          </w:p>
          <w:p>
            <w:pPr>
              <w:keepNext w:val="0"/>
              <w:keepLines w:val="0"/>
              <w:suppressLineNumbers w:val="0"/>
              <w:topLinePunct/>
              <w:spacing w:before="0" w:beforeAutospacing="0" w:after="0" w:afterAutospacing="0" w:line="400" w:lineRule="exact"/>
              <w:ind w:left="0" w:right="0"/>
              <w:rPr>
                <w:rFonts w:hint="default"/>
                <w:color w:val="auto"/>
                <w:szCs w:val="21"/>
                <w:highlight w:val="none"/>
              </w:rPr>
            </w:pPr>
            <w:r>
              <w:rPr>
                <w:rFonts w:hint="default"/>
                <w:color w:val="auto"/>
                <w:szCs w:val="21"/>
                <w:highlight w:val="none"/>
              </w:rPr>
              <w:t>（1）投标人自行对工程现场和周围环境进行现场考察，以获取那些须投标人自己负责的有关编制投标和签署合同所需的所有资料。一旦中标，这种考察即被认为其结果已在中标文件中得到充分反映。考察现场的费用由投标人自己承担。</w:t>
            </w:r>
          </w:p>
          <w:p>
            <w:pPr>
              <w:keepNext w:val="0"/>
              <w:keepLines w:val="0"/>
              <w:suppressLineNumbers w:val="0"/>
              <w:topLinePunct/>
              <w:spacing w:before="0" w:beforeAutospacing="0" w:after="0" w:afterAutospacing="0" w:line="400" w:lineRule="exact"/>
              <w:ind w:left="0" w:right="0"/>
              <w:rPr>
                <w:rFonts w:hint="default"/>
                <w:color w:val="auto"/>
                <w:szCs w:val="21"/>
                <w:highlight w:val="none"/>
              </w:rPr>
            </w:pPr>
            <w:r>
              <w:rPr>
                <w:rFonts w:hint="default"/>
                <w:color w:val="auto"/>
                <w:szCs w:val="21"/>
                <w:highlight w:val="none"/>
              </w:rPr>
              <w:t>（2）投标人及其代表必须承担那些进入现场后，由于他们的行为所造成的人身伤害（不管是否致命）、财产损失或损坏，以及其它任何原因造成的损失、损坏或费用。招标人在投标人及其代表考察过程中不负任何责任。</w:t>
            </w:r>
          </w:p>
          <w:p>
            <w:pPr>
              <w:keepNext w:val="0"/>
              <w:keepLines w:val="0"/>
              <w:suppressLineNumbers w:val="0"/>
              <w:topLinePunct/>
              <w:spacing w:before="0" w:beforeAutospacing="0" w:after="0" w:afterAutospacing="0" w:line="400" w:lineRule="exact"/>
              <w:ind w:left="0" w:right="0"/>
              <w:rPr>
                <w:rFonts w:hint="default"/>
                <w:color w:val="auto"/>
                <w:szCs w:val="21"/>
                <w:highlight w:val="none"/>
              </w:rPr>
            </w:pPr>
            <w:r>
              <w:rPr>
                <w:rFonts w:hint="default"/>
                <w:color w:val="auto"/>
                <w:szCs w:val="21"/>
                <w:highlight w:val="none"/>
              </w:rPr>
              <w:t>（3）在现场考察中由招标人提供的资料和数据，只是为了使投标人能够利用招标人现有的资料。以上资料仅供投标人参考，招标人对投标人由此而做出的推论、解释和结论概不负责。</w:t>
            </w:r>
          </w:p>
          <w:p>
            <w:pPr>
              <w:keepNext w:val="0"/>
              <w:keepLines w:val="0"/>
              <w:suppressLineNumbers w:val="0"/>
              <w:topLinePunct/>
              <w:spacing w:before="0" w:beforeAutospacing="0" w:after="0" w:afterAutospacing="0" w:line="400" w:lineRule="exact"/>
              <w:ind w:left="0" w:right="0"/>
              <w:rPr>
                <w:rFonts w:hint="default"/>
                <w:color w:val="auto"/>
                <w:szCs w:val="21"/>
                <w:highlight w:val="none"/>
              </w:rPr>
            </w:pPr>
            <w:r>
              <w:rPr>
                <w:rFonts w:hint="default"/>
                <w:color w:val="auto"/>
                <w:sz w:val="32"/>
                <w:szCs w:val="20"/>
                <w:highlight w:val="none"/>
              </w:rPr>
              <w:t>□</w:t>
            </w:r>
            <w:r>
              <w:rPr>
                <w:rFonts w:hint="default"/>
                <w:color w:val="auto"/>
                <w:szCs w:val="21"/>
                <w:highlight w:val="none"/>
              </w:rPr>
              <w:t>组织，踏勘时间：</w:t>
            </w:r>
          </w:p>
          <w:p>
            <w:pPr>
              <w:keepNext w:val="0"/>
              <w:keepLines w:val="0"/>
              <w:suppressLineNumbers w:val="0"/>
              <w:topLinePunct/>
              <w:spacing w:before="0" w:beforeAutospacing="0" w:after="0" w:afterAutospacing="0" w:line="400" w:lineRule="exact"/>
              <w:ind w:left="0" w:right="0" w:firstLine="840" w:firstLineChars="400"/>
              <w:rPr>
                <w:rFonts w:hint="default"/>
                <w:color w:val="auto"/>
                <w:szCs w:val="21"/>
                <w:highlight w:val="none"/>
              </w:rPr>
            </w:pPr>
            <w:r>
              <w:rPr>
                <w:rFonts w:hint="default"/>
                <w:color w:val="auto"/>
                <w:szCs w:val="21"/>
                <w:highlight w:val="none"/>
              </w:rPr>
              <w:t>踏勘集中地点：</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1.10.1</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投标预备会</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00" w:lineRule="exact"/>
              <w:ind w:left="0" w:right="0"/>
              <w:rPr>
                <w:rFonts w:hint="default"/>
                <w:color w:val="auto"/>
                <w:highlight w:val="none"/>
              </w:rPr>
            </w:pPr>
            <w:r>
              <w:rPr>
                <w:rFonts w:hint="default"/>
                <w:color w:val="auto"/>
                <w:spacing w:val="-2"/>
                <w:position w:val="1"/>
                <w:sz w:val="24"/>
                <w:szCs w:val="20"/>
                <w:highlight w:val="none"/>
                <w:bdr w:val="single" w:color="auto" w:sz="4" w:space="0"/>
              </w:rPr>
              <w:t>√</w:t>
            </w:r>
            <w:r>
              <w:rPr>
                <w:rFonts w:hint="default"/>
                <w:color w:val="auto"/>
                <w:highlight w:val="none"/>
              </w:rPr>
              <w:t>不召开</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 w:val="32"/>
                <w:szCs w:val="24"/>
                <w:highlight w:val="none"/>
              </w:rPr>
              <w:t>□</w:t>
            </w:r>
            <w:r>
              <w:rPr>
                <w:rFonts w:hint="default"/>
                <w:color w:val="auto"/>
                <w:szCs w:val="24"/>
                <w:highlight w:val="none"/>
              </w:rPr>
              <w:t>召开，召开时间：</w:t>
            </w:r>
          </w:p>
          <w:p>
            <w:pPr>
              <w:keepNext w:val="0"/>
              <w:keepLines w:val="0"/>
              <w:suppressLineNumbers w:val="0"/>
              <w:spacing w:before="0" w:beforeAutospacing="0" w:after="0" w:afterAutospacing="0" w:line="440" w:lineRule="exact"/>
              <w:ind w:left="0" w:right="0" w:firstLine="840" w:firstLineChars="400"/>
              <w:rPr>
                <w:rFonts w:hint="default"/>
                <w:color w:val="auto"/>
                <w:szCs w:val="24"/>
                <w:highlight w:val="none"/>
              </w:rPr>
            </w:pPr>
            <w:r>
              <w:rPr>
                <w:rFonts w:hint="default"/>
                <w:color w:val="auto"/>
                <w:szCs w:val="24"/>
                <w:highlight w:val="none"/>
              </w:rPr>
              <w:t>召开地点：</w:t>
            </w:r>
          </w:p>
        </w:tc>
      </w:tr>
      <w:tr>
        <w:tblPrEx>
          <w:tblCellMar>
            <w:top w:w="0" w:type="dxa"/>
            <w:left w:w="108" w:type="dxa"/>
            <w:bottom w:w="0" w:type="dxa"/>
            <w:right w:w="108" w:type="dxa"/>
          </w:tblCellMar>
        </w:tblPrEx>
        <w:tc>
          <w:tcPr>
            <w:tcW w:w="116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1.10.2</w:t>
            </w:r>
          </w:p>
        </w:tc>
        <w:tc>
          <w:tcPr>
            <w:tcW w:w="2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highlight w:val="none"/>
              </w:rPr>
            </w:pPr>
            <w:r>
              <w:rPr>
                <w:rFonts w:hint="default"/>
                <w:color w:val="auto"/>
                <w:szCs w:val="24"/>
                <w:highlight w:val="none"/>
              </w:rPr>
              <w:t>投标人在投标预备会前提出问题</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时间：/</w:t>
            </w:r>
          </w:p>
        </w:tc>
      </w:tr>
      <w:tr>
        <w:tblPrEx>
          <w:tblCellMar>
            <w:top w:w="0" w:type="dxa"/>
            <w:left w:w="108" w:type="dxa"/>
            <w:bottom w:w="0" w:type="dxa"/>
            <w:right w:w="108" w:type="dxa"/>
          </w:tblCellMar>
        </w:tblPrEx>
        <w:tc>
          <w:tcPr>
            <w:tcW w:w="11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2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形式：/</w:t>
            </w:r>
          </w:p>
        </w:tc>
      </w:tr>
      <w:tr>
        <w:tblPrEx>
          <w:tblCellMar>
            <w:top w:w="0" w:type="dxa"/>
            <w:left w:w="108" w:type="dxa"/>
            <w:bottom w:w="0" w:type="dxa"/>
            <w:right w:w="108" w:type="dxa"/>
          </w:tblCellMar>
        </w:tblPrEx>
        <w:tc>
          <w:tcPr>
            <w:tcW w:w="1164"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1.10.3</w:t>
            </w:r>
          </w:p>
        </w:tc>
        <w:tc>
          <w:tcPr>
            <w:tcW w:w="2063"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招标文件澄清发出的形式</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w:t>
            </w:r>
          </w:p>
        </w:tc>
      </w:tr>
      <w:tr>
        <w:tblPrEx>
          <w:tblCellMar>
            <w:top w:w="0" w:type="dxa"/>
            <w:left w:w="108" w:type="dxa"/>
            <w:bottom w:w="0" w:type="dxa"/>
            <w:right w:w="108" w:type="dxa"/>
          </w:tblCellMar>
        </w:tblPrEx>
        <w:tc>
          <w:tcPr>
            <w:tcW w:w="1164"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1.11.1</w:t>
            </w:r>
          </w:p>
        </w:tc>
        <w:tc>
          <w:tcPr>
            <w:tcW w:w="2063"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1"/>
                <w:highlight w:val="none"/>
              </w:rPr>
              <w:t>分包</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1"/>
                <w:highlight w:val="none"/>
              </w:rPr>
            </w:pPr>
            <w:r>
              <w:rPr>
                <w:rFonts w:hint="default"/>
                <w:color w:val="auto"/>
                <w:spacing w:val="-2"/>
                <w:position w:val="1"/>
                <w:szCs w:val="24"/>
                <w:highlight w:val="none"/>
                <w:bdr w:val="single" w:color="auto" w:sz="4" w:space="0"/>
              </w:rPr>
              <w:t>√</w:t>
            </w:r>
            <w:r>
              <w:rPr>
                <w:rFonts w:hint="default"/>
                <w:color w:val="auto"/>
                <w:szCs w:val="21"/>
                <w:highlight w:val="none"/>
              </w:rPr>
              <w:t>不允许</w:t>
            </w:r>
          </w:p>
          <w:p>
            <w:pPr>
              <w:keepNext w:val="0"/>
              <w:keepLines w:val="0"/>
              <w:suppressLineNumbers w:val="0"/>
              <w:spacing w:before="0" w:beforeAutospacing="0" w:after="0" w:afterAutospacing="0" w:line="440" w:lineRule="exact"/>
              <w:ind w:left="0" w:right="0"/>
              <w:rPr>
                <w:rFonts w:hint="default"/>
                <w:color w:val="auto"/>
                <w:szCs w:val="21"/>
                <w:highlight w:val="none"/>
              </w:rPr>
            </w:pPr>
            <w:r>
              <w:rPr>
                <w:rFonts w:hint="default"/>
                <w:color w:val="auto"/>
                <w:sz w:val="32"/>
                <w:szCs w:val="24"/>
                <w:highlight w:val="none"/>
              </w:rPr>
              <w:t>□</w:t>
            </w:r>
            <w:r>
              <w:rPr>
                <w:rFonts w:hint="default"/>
                <w:color w:val="auto"/>
                <w:szCs w:val="21"/>
                <w:highlight w:val="none"/>
              </w:rPr>
              <w:t>允许，分包内容要求：</w:t>
            </w:r>
          </w:p>
          <w:p>
            <w:pPr>
              <w:keepNext w:val="0"/>
              <w:keepLines w:val="0"/>
              <w:suppressLineNumbers w:val="0"/>
              <w:spacing w:before="0" w:beforeAutospacing="0" w:after="0" w:afterAutospacing="0" w:line="440" w:lineRule="exact"/>
              <w:ind w:left="0" w:right="0"/>
              <w:jc w:val="left"/>
              <w:rPr>
                <w:rFonts w:hint="default"/>
                <w:color w:val="auto"/>
                <w:szCs w:val="21"/>
                <w:highlight w:val="none"/>
              </w:rPr>
            </w:pP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1.12.1</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实质性要求和条件</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00" w:lineRule="exact"/>
              <w:ind w:left="0" w:right="0"/>
              <w:rPr>
                <w:rFonts w:hint="default"/>
                <w:color w:val="auto"/>
                <w:highlight w:val="none"/>
              </w:rPr>
            </w:pPr>
            <w:r>
              <w:rPr>
                <w:rFonts w:hint="default"/>
                <w:color w:val="auto"/>
                <w:sz w:val="24"/>
                <w:szCs w:val="20"/>
                <w:highlight w:val="none"/>
              </w:rPr>
              <w:t>/</w:t>
            </w:r>
          </w:p>
        </w:tc>
      </w:tr>
      <w:tr>
        <w:tblPrEx>
          <w:tblCellMar>
            <w:top w:w="0" w:type="dxa"/>
            <w:left w:w="108" w:type="dxa"/>
            <w:bottom w:w="0" w:type="dxa"/>
            <w:right w:w="108" w:type="dxa"/>
          </w:tblCellMar>
        </w:tblPrEx>
        <w:trPr>
          <w:trHeight w:val="1495"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1.12.3</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偏差</w:t>
            </w:r>
          </w:p>
        </w:tc>
        <w:tc>
          <w:tcPr>
            <w:tcW w:w="592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default"/>
                <w:color w:val="auto"/>
                <w:szCs w:val="21"/>
                <w:highlight w:val="none"/>
              </w:rPr>
            </w:pPr>
            <w:r>
              <w:rPr>
                <w:rFonts w:hint="default"/>
                <w:color w:val="auto"/>
                <w:spacing w:val="-2"/>
                <w:position w:val="1"/>
                <w:szCs w:val="24"/>
                <w:highlight w:val="none"/>
                <w:bdr w:val="single" w:color="auto" w:sz="4" w:space="0"/>
              </w:rPr>
              <w:t>√</w:t>
            </w:r>
            <w:r>
              <w:rPr>
                <w:rFonts w:hint="default"/>
                <w:color w:val="auto"/>
                <w:szCs w:val="21"/>
                <w:highlight w:val="none"/>
              </w:rPr>
              <w:t>不允许</w:t>
            </w:r>
          </w:p>
          <w:p>
            <w:pPr>
              <w:keepNext w:val="0"/>
              <w:keepLines w:val="0"/>
              <w:suppressLineNumbers w:val="0"/>
              <w:topLinePunct/>
              <w:spacing w:before="0" w:beforeAutospacing="0" w:after="0" w:afterAutospacing="0" w:line="400" w:lineRule="exact"/>
              <w:ind w:left="0" w:right="0"/>
              <w:rPr>
                <w:rFonts w:hint="default"/>
                <w:color w:val="auto"/>
                <w:highlight w:val="none"/>
                <w:u w:val="single"/>
              </w:rPr>
            </w:pPr>
            <w:r>
              <w:rPr>
                <w:rFonts w:hint="default"/>
                <w:color w:val="auto"/>
                <w:sz w:val="32"/>
                <w:szCs w:val="20"/>
                <w:highlight w:val="none"/>
              </w:rPr>
              <w:t>□</w:t>
            </w:r>
            <w:r>
              <w:rPr>
                <w:rFonts w:hint="default"/>
                <w:color w:val="auto"/>
                <w:sz w:val="24"/>
                <w:szCs w:val="21"/>
                <w:highlight w:val="none"/>
              </w:rPr>
              <w:t>允许，</w:t>
            </w:r>
            <w:r>
              <w:rPr>
                <w:rFonts w:hint="default"/>
                <w:color w:val="auto"/>
                <w:highlight w:val="none"/>
              </w:rPr>
              <w:t>偏差范围：</w:t>
            </w:r>
            <w:r>
              <w:rPr>
                <w:rFonts w:hint="default"/>
                <w:color w:val="auto"/>
                <w:highlight w:val="none"/>
                <w:u w:val="single"/>
              </w:rPr>
              <w:t xml:space="preserve">     </w:t>
            </w:r>
          </w:p>
          <w:p>
            <w:pPr>
              <w:keepNext w:val="0"/>
              <w:keepLines w:val="0"/>
              <w:suppressLineNumbers w:val="0"/>
              <w:topLinePunct/>
              <w:spacing w:before="0" w:beforeAutospacing="0" w:after="0" w:afterAutospacing="0" w:line="400" w:lineRule="exact"/>
              <w:ind w:left="0" w:right="0" w:firstLine="945" w:firstLineChars="450"/>
              <w:rPr>
                <w:rFonts w:hint="default"/>
                <w:color w:val="auto"/>
                <w:highlight w:val="none"/>
              </w:rPr>
            </w:pPr>
            <w:r>
              <w:rPr>
                <w:rFonts w:hint="default"/>
                <w:color w:val="auto"/>
                <w:highlight w:val="none"/>
              </w:rPr>
              <w:t>偏差幅度：</w:t>
            </w:r>
            <w:r>
              <w:rPr>
                <w:rFonts w:hint="default"/>
                <w:color w:val="auto"/>
                <w:highlight w:val="none"/>
                <w:u w:val="single"/>
              </w:rPr>
              <w:t xml:space="preserve">     </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2.1</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构成招标文件的其他资料</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1"/>
                <w:highlight w:val="none"/>
                <w:u w:val="single"/>
              </w:rPr>
              <w:t xml:space="preserve">  前期基础资料（电子版）、澄清（答疑）、修改、补充通知。     </w:t>
            </w:r>
          </w:p>
        </w:tc>
      </w:tr>
      <w:tr>
        <w:tblPrEx>
          <w:tblCellMar>
            <w:top w:w="0" w:type="dxa"/>
            <w:left w:w="108" w:type="dxa"/>
            <w:bottom w:w="0" w:type="dxa"/>
            <w:right w:w="108" w:type="dxa"/>
          </w:tblCellMar>
        </w:tblPrEx>
        <w:tc>
          <w:tcPr>
            <w:tcW w:w="116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2.2.1</w:t>
            </w:r>
          </w:p>
        </w:tc>
        <w:tc>
          <w:tcPr>
            <w:tcW w:w="2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highlight w:val="none"/>
              </w:rPr>
            </w:pPr>
            <w:r>
              <w:rPr>
                <w:rFonts w:hint="default"/>
                <w:color w:val="auto"/>
                <w:szCs w:val="24"/>
                <w:highlight w:val="none"/>
              </w:rPr>
              <w:t>投标人要求澄清招标文件</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时间：</w:t>
            </w:r>
            <w:r>
              <w:rPr>
                <w:rFonts w:hint="default"/>
                <w:color w:val="auto"/>
                <w:kern w:val="0"/>
                <w:szCs w:val="24"/>
                <w:highlight w:val="none"/>
                <w:u w:val="single"/>
              </w:rPr>
              <w:t>202</w:t>
            </w:r>
            <w:r>
              <w:rPr>
                <w:rFonts w:hint="eastAsia"/>
                <w:color w:val="auto"/>
                <w:kern w:val="0"/>
                <w:szCs w:val="24"/>
                <w:highlight w:val="none"/>
                <w:u w:val="single"/>
              </w:rPr>
              <w:t>5</w:t>
            </w:r>
            <w:r>
              <w:rPr>
                <w:rFonts w:hint="default"/>
                <w:color w:val="auto"/>
                <w:kern w:val="0"/>
                <w:szCs w:val="24"/>
                <w:highlight w:val="none"/>
                <w:u w:val="single"/>
              </w:rPr>
              <w:t xml:space="preserve"> 年  月  日  时  分</w:t>
            </w:r>
            <w:r>
              <w:rPr>
                <w:rFonts w:hint="default"/>
                <w:color w:val="auto"/>
                <w:szCs w:val="24"/>
                <w:highlight w:val="none"/>
              </w:rPr>
              <w:t>（在提交投标文件截止时间18天前提出）</w:t>
            </w:r>
          </w:p>
        </w:tc>
      </w:tr>
      <w:tr>
        <w:tblPrEx>
          <w:tblCellMar>
            <w:top w:w="0" w:type="dxa"/>
            <w:left w:w="108" w:type="dxa"/>
            <w:bottom w:w="0" w:type="dxa"/>
            <w:right w:w="108" w:type="dxa"/>
          </w:tblCellMar>
        </w:tblPrEx>
        <w:tc>
          <w:tcPr>
            <w:tcW w:w="11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2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形式：在广州公共资源交易中心网站通过项目答疑专区网上公开发布</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1）招标答疑采用网上答疑方式进行。投标人若对招标文件（包括招标图纸、清单、招标控制价）有疑问的，可在规定的时间内通过广州公共资源交易中心网站进入“招标答疑提问”页面将问题提交给招标人或招标代理人，提交问题时一律不得署名。</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网上答疑的操作指南为：登录广州公共资源交易中心数字交易平台→进入“我的投标”页面→进入“招标答疑提问”页面→通过项目编号或名称找到所需的项目→在上述的答疑时间内点击“答疑提问”→无记名或匿名提出问题。</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（2）投标人应在投标截止时间 1</w:t>
            </w:r>
            <w:r>
              <w:rPr>
                <w:rFonts w:hint="eastAsia"/>
                <w:color w:val="auto"/>
                <w:szCs w:val="24"/>
                <w:highlight w:val="none"/>
              </w:rPr>
              <w:t>0</w:t>
            </w:r>
            <w:r>
              <w:rPr>
                <w:rFonts w:hint="default"/>
                <w:color w:val="auto"/>
                <w:szCs w:val="24"/>
                <w:highlight w:val="none"/>
              </w:rPr>
              <w:t>日前停止质疑。</w:t>
            </w:r>
          </w:p>
        </w:tc>
      </w:tr>
      <w:tr>
        <w:tblPrEx>
          <w:tblCellMar>
            <w:top w:w="0" w:type="dxa"/>
            <w:left w:w="108" w:type="dxa"/>
            <w:bottom w:w="0" w:type="dxa"/>
            <w:right w:w="108" w:type="dxa"/>
          </w:tblCellMar>
        </w:tblPrEx>
        <w:tc>
          <w:tcPr>
            <w:tcW w:w="1164"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2.2.2</w:t>
            </w:r>
          </w:p>
        </w:tc>
        <w:tc>
          <w:tcPr>
            <w:tcW w:w="2063"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招标文件澄清发出的形式</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本项目的招标文件澄清及答疑文件将在广州公共资源交易中心网上发布，投标人自行下载。从招标文件澄清及答疑文件发布之日起即视为投标人已确认收到。</w:t>
            </w:r>
          </w:p>
        </w:tc>
      </w:tr>
      <w:tr>
        <w:tblPrEx>
          <w:tblCellMar>
            <w:top w:w="0" w:type="dxa"/>
            <w:left w:w="108" w:type="dxa"/>
            <w:bottom w:w="0" w:type="dxa"/>
            <w:right w:w="108" w:type="dxa"/>
          </w:tblCellMar>
        </w:tblPrEx>
        <w:tc>
          <w:tcPr>
            <w:tcW w:w="116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2.2.3</w:t>
            </w:r>
          </w:p>
        </w:tc>
        <w:tc>
          <w:tcPr>
            <w:tcW w:w="2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highlight w:val="none"/>
              </w:rPr>
            </w:pPr>
            <w:r>
              <w:rPr>
                <w:rFonts w:hint="default"/>
                <w:color w:val="auto"/>
                <w:szCs w:val="24"/>
                <w:highlight w:val="none"/>
              </w:rPr>
              <w:t>投标人确认收到招标文件澄清</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时间：</w:t>
            </w:r>
            <w:r>
              <w:rPr>
                <w:rFonts w:hint="default"/>
                <w:color w:val="auto"/>
                <w:szCs w:val="21"/>
                <w:highlight w:val="none"/>
                <w:u w:val="single"/>
              </w:rPr>
              <w:t>从招标文件澄清及答疑文件发布之日起即视为投标人已确认收到。</w:t>
            </w:r>
          </w:p>
        </w:tc>
      </w:tr>
      <w:tr>
        <w:tblPrEx>
          <w:tblCellMar>
            <w:top w:w="0" w:type="dxa"/>
            <w:left w:w="108" w:type="dxa"/>
            <w:bottom w:w="0" w:type="dxa"/>
            <w:right w:w="108" w:type="dxa"/>
          </w:tblCellMar>
        </w:tblPrEx>
        <w:tc>
          <w:tcPr>
            <w:tcW w:w="11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2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形式：</w:t>
            </w:r>
            <w:r>
              <w:rPr>
                <w:rFonts w:hint="default"/>
                <w:color w:val="auto"/>
                <w:szCs w:val="21"/>
                <w:highlight w:val="none"/>
                <w:u w:val="single"/>
              </w:rPr>
              <w:t>本项目的招标文件澄清及答疑文件将在广州公共资源交易中心网发布，投标人自行下载。</w:t>
            </w:r>
          </w:p>
        </w:tc>
      </w:tr>
      <w:tr>
        <w:tblPrEx>
          <w:tblCellMar>
            <w:top w:w="0" w:type="dxa"/>
            <w:left w:w="108" w:type="dxa"/>
            <w:bottom w:w="0" w:type="dxa"/>
            <w:right w:w="108" w:type="dxa"/>
          </w:tblCellMar>
        </w:tblPrEx>
        <w:tc>
          <w:tcPr>
            <w:tcW w:w="1164"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2.3.1</w:t>
            </w:r>
          </w:p>
        </w:tc>
        <w:tc>
          <w:tcPr>
            <w:tcW w:w="2063"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招标文件修改发出的形式</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在广州公共资源交易中心网站项目答疑专区或以补充公告形式发布。</w:t>
            </w:r>
          </w:p>
        </w:tc>
      </w:tr>
      <w:tr>
        <w:tblPrEx>
          <w:tblCellMar>
            <w:top w:w="0" w:type="dxa"/>
            <w:left w:w="108" w:type="dxa"/>
            <w:bottom w:w="0" w:type="dxa"/>
            <w:right w:w="108" w:type="dxa"/>
          </w:tblCellMar>
        </w:tblPrEx>
        <w:tc>
          <w:tcPr>
            <w:tcW w:w="116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2.3.2</w:t>
            </w:r>
          </w:p>
        </w:tc>
        <w:tc>
          <w:tcPr>
            <w:tcW w:w="2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highlight w:val="none"/>
              </w:rPr>
            </w:pPr>
            <w:r>
              <w:rPr>
                <w:rFonts w:hint="default"/>
                <w:color w:val="auto"/>
                <w:szCs w:val="24"/>
                <w:highlight w:val="none"/>
              </w:rPr>
              <w:t>投标人确认收到招标文件修改</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时间：</w:t>
            </w:r>
            <w:r>
              <w:rPr>
                <w:rFonts w:hint="default"/>
                <w:color w:val="auto"/>
                <w:szCs w:val="21"/>
                <w:highlight w:val="none"/>
                <w:u w:val="single"/>
              </w:rPr>
              <w:t>从招标文件修改文件发布之日起即视为投标人已确认收到。</w:t>
            </w:r>
          </w:p>
        </w:tc>
      </w:tr>
      <w:tr>
        <w:tblPrEx>
          <w:tblCellMar>
            <w:top w:w="0" w:type="dxa"/>
            <w:left w:w="108" w:type="dxa"/>
            <w:bottom w:w="0" w:type="dxa"/>
            <w:right w:w="108" w:type="dxa"/>
          </w:tblCellMar>
        </w:tblPrEx>
        <w:tc>
          <w:tcPr>
            <w:tcW w:w="11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2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形式：</w:t>
            </w:r>
            <w:r>
              <w:rPr>
                <w:rFonts w:hint="default"/>
                <w:color w:val="auto"/>
                <w:szCs w:val="21"/>
                <w:highlight w:val="none"/>
                <w:u w:val="single"/>
              </w:rPr>
              <w:t>本项目的招标文件修改文件将在广州公共资源交易中心网发布，投标人自行下载</w:t>
            </w:r>
            <w:r>
              <w:rPr>
                <w:rFonts w:hint="default"/>
                <w:color w:val="auto"/>
                <w:szCs w:val="21"/>
                <w:highlight w:val="none"/>
              </w:rPr>
              <w:t>。</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3.1.1</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构成投标文件的其他资料</w:t>
            </w:r>
          </w:p>
          <w:p>
            <w:pPr>
              <w:pStyle w:val="26"/>
              <w:keepNext w:val="0"/>
              <w:keepLines w:val="0"/>
              <w:suppressLineNumbers w:val="0"/>
              <w:spacing w:before="0" w:beforeAutospacing="0" w:after="0" w:afterAutospacing="0"/>
              <w:ind w:left="0" w:right="0"/>
              <w:rPr>
                <w:rFonts w:hint="default"/>
                <w:color w:val="auto"/>
                <w:highlight w:val="none"/>
              </w:rPr>
            </w:pP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（1）合同条款响应性承诺书；</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（2）服务承诺；</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（3）按本招标文件规定，需提交的其它所有资料；</w:t>
            </w:r>
          </w:p>
          <w:p>
            <w:pPr>
              <w:keepNext w:val="0"/>
              <w:keepLines w:val="0"/>
              <w:suppressLineNumbers w:val="0"/>
              <w:spacing w:before="0" w:beforeAutospacing="0" w:after="0" w:afterAutospacing="0" w:line="440" w:lineRule="exact"/>
              <w:ind w:left="0" w:right="0"/>
              <w:rPr>
                <w:rFonts w:hint="default"/>
                <w:color w:val="auto"/>
                <w:highlight w:val="none"/>
              </w:rPr>
            </w:pPr>
            <w:r>
              <w:rPr>
                <w:rFonts w:hint="default"/>
                <w:color w:val="auto"/>
                <w:szCs w:val="24"/>
                <w:highlight w:val="none"/>
              </w:rPr>
              <w:t>（4）投标人认为需要提交的其他资料。</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具体内容要求按投标文件格式填写，均须用单位数字证书加盖电子印章。</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投标人必须按照招标文件提供的投标书格式的要求如实填写（表格可以按同样格式扩展、缩小，内容项目不能变化）。</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如投标人参与多个标段投标，每个标段须分别编制投标文</w:t>
            </w:r>
            <w:r>
              <w:rPr>
                <w:rFonts w:hint="default"/>
                <w:color w:val="auto"/>
                <w:szCs w:val="21"/>
                <w:highlight w:val="none"/>
              </w:rPr>
              <w:t>件。</w:t>
            </w:r>
          </w:p>
        </w:tc>
      </w:tr>
      <w:tr>
        <w:tblPrEx>
          <w:tblCellMar>
            <w:top w:w="0" w:type="dxa"/>
            <w:left w:w="108" w:type="dxa"/>
            <w:bottom w:w="0" w:type="dxa"/>
            <w:right w:w="108" w:type="dxa"/>
          </w:tblCellMar>
        </w:tblPrEx>
        <w:trPr>
          <w:trHeight w:val="1230"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3.2.1</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增值税税金的计算方法</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1"/>
                <w:highlight w:val="none"/>
              </w:rPr>
              <w:t>不含税总价*增值税税率（税率暂按</w:t>
            </w:r>
            <w:r>
              <w:rPr>
                <w:rFonts w:hint="default"/>
                <w:color w:val="auto"/>
                <w:szCs w:val="21"/>
                <w:highlight w:val="none"/>
                <w:u w:val="single"/>
              </w:rPr>
              <w:t>6%</w:t>
            </w:r>
            <w:r>
              <w:rPr>
                <w:rFonts w:hint="default"/>
                <w:color w:val="auto"/>
                <w:szCs w:val="21"/>
                <w:highlight w:val="none"/>
              </w:rPr>
              <w:t>计，在合同履行期间，因国家税收政策调整，则合同价的增值税金额和合同总价相应调整）</w:t>
            </w:r>
          </w:p>
        </w:tc>
      </w:tr>
      <w:tr>
        <w:tblPrEx>
          <w:tblCellMar>
            <w:top w:w="0" w:type="dxa"/>
            <w:left w:w="108" w:type="dxa"/>
            <w:bottom w:w="0" w:type="dxa"/>
            <w:right w:w="108" w:type="dxa"/>
          </w:tblCellMar>
        </w:tblPrEx>
        <w:trPr>
          <w:trHeight w:val="530"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3.2.3</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报价方式</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工程量清单报价</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3.2.4</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招标控制价</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 w:val="32"/>
                <w:szCs w:val="24"/>
                <w:highlight w:val="none"/>
              </w:rPr>
              <w:t>□</w:t>
            </w:r>
            <w:r>
              <w:rPr>
                <w:rFonts w:hint="default"/>
                <w:color w:val="auto"/>
                <w:szCs w:val="24"/>
                <w:highlight w:val="none"/>
              </w:rPr>
              <w:t>无</w:t>
            </w:r>
          </w:p>
          <w:p>
            <w:pPr>
              <w:keepNext w:val="0"/>
              <w:keepLines w:val="0"/>
              <w:suppressLineNumbers w:val="0"/>
              <w:spacing w:before="0" w:beforeAutospacing="0" w:after="0" w:afterAutospacing="0" w:line="400" w:lineRule="exact"/>
              <w:ind w:left="0" w:right="0"/>
              <w:rPr>
                <w:rFonts w:hint="default"/>
                <w:color w:val="auto"/>
                <w:szCs w:val="21"/>
                <w:highlight w:val="none"/>
              </w:rPr>
            </w:pPr>
            <w:r>
              <w:rPr>
                <w:rFonts w:hint="default"/>
                <w:color w:val="auto"/>
                <w:spacing w:val="-2"/>
                <w:position w:val="1"/>
                <w:szCs w:val="24"/>
                <w:highlight w:val="none"/>
                <w:bdr w:val="single" w:color="auto" w:sz="4" w:space="0"/>
              </w:rPr>
              <w:t>√</w:t>
            </w:r>
            <w:r>
              <w:rPr>
                <w:rFonts w:hint="default"/>
                <w:color w:val="auto"/>
                <w:szCs w:val="24"/>
                <w:highlight w:val="none"/>
              </w:rPr>
              <w:t>有，</w:t>
            </w:r>
            <w:r>
              <w:rPr>
                <w:rFonts w:hint="eastAsia"/>
                <w:color w:val="auto"/>
                <w:szCs w:val="24"/>
                <w:highlight w:val="none"/>
              </w:rPr>
              <w:t>招标控制价</w:t>
            </w:r>
            <w:r>
              <w:rPr>
                <w:rFonts w:hint="default"/>
                <w:color w:val="auto"/>
                <w:szCs w:val="24"/>
                <w:highlight w:val="none"/>
              </w:rPr>
              <w:t>：</w:t>
            </w:r>
          </w:p>
          <w:p>
            <w:pPr>
              <w:keepNext w:val="0"/>
              <w:keepLines w:val="0"/>
              <w:suppressLineNumbers w:val="0"/>
              <w:spacing w:before="0" w:beforeAutospacing="0" w:after="0" w:afterAutospacing="0" w:line="400" w:lineRule="exact"/>
              <w:ind w:left="0" w:right="0"/>
              <w:rPr>
                <w:rFonts w:hint="default"/>
                <w:color w:val="auto"/>
                <w:szCs w:val="24"/>
                <w:highlight w:val="none"/>
                <w:u w:val="single"/>
              </w:rPr>
            </w:pPr>
            <w:r>
              <w:rPr>
                <w:rFonts w:hint="eastAsia" w:asciiTheme="minorEastAsia" w:hAnsiTheme="minorEastAsia" w:eastAsiaTheme="minorEastAsia" w:cstheme="minorEastAsia"/>
                <w:color w:val="auto"/>
                <w:szCs w:val="21"/>
                <w:highlight w:val="none"/>
                <w:u w:val="none"/>
              </w:rPr>
              <w:t>东莞</w:t>
            </w:r>
            <w:r>
              <w:rPr>
                <w:rFonts w:hint="eastAsia" w:asciiTheme="minorEastAsia" w:hAnsiTheme="minorEastAsia" w:eastAsiaTheme="minorEastAsia" w:cstheme="minorEastAsia"/>
                <w:color w:val="auto"/>
                <w:szCs w:val="21"/>
                <w:highlight w:val="none"/>
                <w:u w:val="none"/>
                <w:lang w:eastAsia="zh-CN"/>
              </w:rPr>
              <w:t>市</w:t>
            </w:r>
            <w:r>
              <w:rPr>
                <w:rFonts w:hint="eastAsia" w:asciiTheme="minorEastAsia" w:hAnsiTheme="minorEastAsia" w:eastAsiaTheme="minorEastAsia" w:cstheme="minorEastAsia"/>
                <w:color w:val="auto"/>
                <w:szCs w:val="21"/>
                <w:highlight w:val="none"/>
                <w:u w:val="none"/>
              </w:rPr>
              <w:t>轨道交通1号线</w:t>
            </w:r>
            <w:r>
              <w:rPr>
                <w:rFonts w:hint="eastAsia" w:asciiTheme="minorEastAsia" w:hAnsiTheme="minorEastAsia" w:eastAsiaTheme="minorEastAsia" w:cstheme="minorEastAsia"/>
                <w:color w:val="auto"/>
                <w:szCs w:val="21"/>
                <w:highlight w:val="none"/>
                <w:u w:val="none"/>
                <w:lang w:eastAsia="zh-CN"/>
              </w:rPr>
              <w:t>一期工程</w:t>
            </w:r>
            <w:r>
              <w:rPr>
                <w:rFonts w:hint="eastAsia" w:asciiTheme="minorEastAsia" w:hAnsiTheme="minorEastAsia" w:eastAsiaTheme="minorEastAsia" w:cstheme="minorEastAsia"/>
                <w:color w:val="auto"/>
                <w:szCs w:val="21"/>
                <w:highlight w:val="none"/>
                <w:u w:val="none"/>
              </w:rPr>
              <w:t>2025-2026年结构变形监测项目</w:t>
            </w:r>
            <w:r>
              <w:rPr>
                <w:rFonts w:hint="eastAsia"/>
                <w:color w:val="auto"/>
                <w:szCs w:val="21"/>
                <w:highlight w:val="none"/>
              </w:rPr>
              <w:t>：</w:t>
            </w:r>
            <w:bookmarkStart w:id="162" w:name="OLE_LINK22"/>
            <w:r>
              <w:rPr>
                <w:rFonts w:hint="eastAsia"/>
                <w:color w:val="auto"/>
                <w:szCs w:val="21"/>
                <w:highlight w:val="none"/>
                <w:u w:val="single"/>
                <w:lang w:val="en-US" w:eastAsia="zh-CN"/>
              </w:rPr>
              <w:t>3926240.19</w:t>
            </w:r>
            <w:bookmarkEnd w:id="162"/>
            <w:r>
              <w:rPr>
                <w:rFonts w:hint="eastAsia"/>
                <w:color w:val="auto"/>
                <w:szCs w:val="21"/>
                <w:highlight w:val="none"/>
              </w:rPr>
              <w:t>元。</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3.2.5</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投标报价的其他要求</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对同一招标项目未出现两个或以上投标报价，</w:t>
            </w:r>
            <w:r>
              <w:rPr>
                <w:rFonts w:hint="default"/>
                <w:color w:val="auto"/>
                <w:kern w:val="0"/>
                <w:szCs w:val="21"/>
                <w:highlight w:val="none"/>
              </w:rPr>
              <w:t>本项目投标价格采用的币种为人民币。</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3.3.1</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投标有效期</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180日历天（从投标截止之日算起）</w:t>
            </w:r>
          </w:p>
        </w:tc>
      </w:tr>
      <w:tr>
        <w:tblPrEx>
          <w:tblCellMar>
            <w:top w:w="0" w:type="dxa"/>
            <w:left w:w="108" w:type="dxa"/>
            <w:bottom w:w="0" w:type="dxa"/>
            <w:right w:w="108" w:type="dxa"/>
          </w:tblCellMar>
        </w:tblPrEx>
        <w:trPr>
          <w:trHeight w:val="906"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3.4.1</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投标保证金</w:t>
            </w:r>
          </w:p>
          <w:p>
            <w:pPr>
              <w:pStyle w:val="26"/>
              <w:keepNext w:val="0"/>
              <w:keepLines w:val="0"/>
              <w:suppressLineNumbers w:val="0"/>
              <w:spacing w:before="0" w:beforeAutospacing="0" w:after="0" w:afterAutospacing="0"/>
              <w:ind w:left="0" w:right="0"/>
              <w:rPr>
                <w:rFonts w:hint="default"/>
                <w:color w:val="auto"/>
                <w:szCs w:val="24"/>
                <w:highlight w:val="none"/>
              </w:rPr>
            </w:pPr>
          </w:p>
          <w:p>
            <w:pPr>
              <w:pStyle w:val="26"/>
              <w:keepNext w:val="0"/>
              <w:keepLines w:val="0"/>
              <w:suppressLineNumbers w:val="0"/>
              <w:spacing w:before="0" w:beforeAutospacing="0" w:after="0" w:afterAutospacing="0"/>
              <w:ind w:left="0" w:right="0"/>
              <w:rPr>
                <w:rFonts w:hint="default"/>
                <w:color w:val="auto"/>
                <w:szCs w:val="24"/>
                <w:highlight w:val="none"/>
              </w:rPr>
            </w:pPr>
          </w:p>
          <w:p>
            <w:pPr>
              <w:pStyle w:val="26"/>
              <w:keepNext w:val="0"/>
              <w:keepLines w:val="0"/>
              <w:suppressLineNumbers w:val="0"/>
              <w:spacing w:before="0" w:beforeAutospacing="0" w:after="0" w:afterAutospacing="0"/>
              <w:ind w:left="0" w:right="0"/>
              <w:rPr>
                <w:rFonts w:hint="default"/>
                <w:color w:val="auto"/>
                <w:szCs w:val="24"/>
                <w:highlight w:val="none"/>
              </w:rPr>
            </w:pPr>
          </w:p>
          <w:p>
            <w:pPr>
              <w:pStyle w:val="26"/>
              <w:keepNext w:val="0"/>
              <w:keepLines w:val="0"/>
              <w:suppressLineNumbers w:val="0"/>
              <w:spacing w:before="0" w:beforeAutospacing="0" w:after="0" w:afterAutospacing="0"/>
              <w:ind w:left="0" w:right="0"/>
              <w:rPr>
                <w:rFonts w:hint="default"/>
                <w:color w:val="auto"/>
                <w:szCs w:val="24"/>
                <w:highlight w:val="none"/>
              </w:rPr>
            </w:pPr>
          </w:p>
          <w:p>
            <w:pPr>
              <w:pStyle w:val="26"/>
              <w:keepNext w:val="0"/>
              <w:keepLines w:val="0"/>
              <w:suppressLineNumbers w:val="0"/>
              <w:spacing w:before="0" w:beforeAutospacing="0" w:after="0" w:afterAutospacing="0"/>
              <w:ind w:left="0" w:right="0"/>
              <w:rPr>
                <w:rFonts w:hint="default"/>
                <w:color w:val="auto"/>
                <w:szCs w:val="24"/>
                <w:highlight w:val="none"/>
              </w:rPr>
            </w:pPr>
          </w:p>
          <w:p>
            <w:pPr>
              <w:pStyle w:val="26"/>
              <w:keepNext w:val="0"/>
              <w:keepLines w:val="0"/>
              <w:suppressLineNumbers w:val="0"/>
              <w:spacing w:before="0" w:beforeAutospacing="0" w:after="0" w:afterAutospacing="0"/>
              <w:ind w:left="0" w:right="0"/>
              <w:rPr>
                <w:rFonts w:hint="default"/>
                <w:color w:val="auto"/>
                <w:szCs w:val="24"/>
                <w:highlight w:val="none"/>
              </w:rPr>
            </w:pPr>
          </w:p>
          <w:p>
            <w:pPr>
              <w:pStyle w:val="26"/>
              <w:keepNext w:val="0"/>
              <w:keepLines w:val="0"/>
              <w:suppressLineNumbers w:val="0"/>
              <w:spacing w:before="0" w:beforeAutospacing="0" w:after="0" w:afterAutospacing="0"/>
              <w:ind w:left="0" w:right="0"/>
              <w:rPr>
                <w:rFonts w:hint="default"/>
                <w:color w:val="auto"/>
                <w:szCs w:val="24"/>
                <w:highlight w:val="none"/>
              </w:rPr>
            </w:pPr>
          </w:p>
          <w:p>
            <w:pPr>
              <w:pStyle w:val="26"/>
              <w:keepNext w:val="0"/>
              <w:keepLines w:val="0"/>
              <w:suppressLineNumbers w:val="0"/>
              <w:spacing w:before="0" w:beforeAutospacing="0" w:after="0" w:afterAutospacing="0"/>
              <w:ind w:left="0" w:right="0"/>
              <w:rPr>
                <w:rFonts w:hint="default"/>
                <w:color w:val="auto"/>
                <w:szCs w:val="24"/>
                <w:highlight w:val="none"/>
              </w:rPr>
            </w:pPr>
          </w:p>
          <w:p>
            <w:pPr>
              <w:pStyle w:val="26"/>
              <w:keepNext w:val="0"/>
              <w:keepLines w:val="0"/>
              <w:suppressLineNumbers w:val="0"/>
              <w:spacing w:before="0" w:beforeAutospacing="0" w:after="0" w:afterAutospacing="0"/>
              <w:ind w:left="0" w:right="0"/>
              <w:rPr>
                <w:rFonts w:hint="default"/>
                <w:color w:val="auto"/>
                <w:szCs w:val="24"/>
                <w:highlight w:val="none"/>
              </w:rPr>
            </w:pPr>
          </w:p>
          <w:p>
            <w:pPr>
              <w:pStyle w:val="26"/>
              <w:keepNext w:val="0"/>
              <w:keepLines w:val="0"/>
              <w:suppressLineNumbers w:val="0"/>
              <w:spacing w:before="0" w:beforeAutospacing="0" w:after="0" w:afterAutospacing="0"/>
              <w:ind w:left="0" w:right="0"/>
              <w:rPr>
                <w:rFonts w:hint="default"/>
                <w:color w:val="auto"/>
                <w:szCs w:val="24"/>
                <w:highlight w:val="none"/>
              </w:rPr>
            </w:pPr>
          </w:p>
          <w:p>
            <w:pPr>
              <w:pStyle w:val="26"/>
              <w:keepNext w:val="0"/>
              <w:keepLines w:val="0"/>
              <w:suppressLineNumbers w:val="0"/>
              <w:spacing w:before="0" w:beforeAutospacing="0" w:after="0" w:afterAutospacing="0"/>
              <w:ind w:left="0" w:right="0"/>
              <w:rPr>
                <w:rFonts w:hint="default"/>
                <w:color w:val="auto"/>
                <w:szCs w:val="24"/>
                <w:highlight w:val="none"/>
              </w:rPr>
            </w:pPr>
          </w:p>
          <w:p>
            <w:pPr>
              <w:pStyle w:val="26"/>
              <w:keepNext w:val="0"/>
              <w:keepLines w:val="0"/>
              <w:suppressLineNumbers w:val="0"/>
              <w:spacing w:before="0" w:beforeAutospacing="0" w:after="0" w:afterAutospacing="0"/>
              <w:ind w:left="0" w:right="0"/>
              <w:rPr>
                <w:rFonts w:hint="default"/>
                <w:color w:val="auto"/>
                <w:szCs w:val="24"/>
                <w:highlight w:val="none"/>
              </w:rPr>
            </w:pPr>
          </w:p>
          <w:p>
            <w:pPr>
              <w:pStyle w:val="26"/>
              <w:keepNext w:val="0"/>
              <w:keepLines w:val="0"/>
              <w:suppressLineNumbers w:val="0"/>
              <w:spacing w:before="0" w:beforeAutospacing="0" w:after="0" w:afterAutospacing="0"/>
              <w:ind w:left="0" w:right="0"/>
              <w:rPr>
                <w:rFonts w:hint="default"/>
                <w:color w:val="auto"/>
                <w:szCs w:val="24"/>
                <w:highlight w:val="none"/>
              </w:rPr>
            </w:pPr>
          </w:p>
          <w:p>
            <w:pPr>
              <w:pStyle w:val="26"/>
              <w:keepNext w:val="0"/>
              <w:keepLines w:val="0"/>
              <w:suppressLineNumbers w:val="0"/>
              <w:spacing w:before="0" w:beforeAutospacing="0" w:after="0" w:afterAutospacing="0"/>
              <w:ind w:left="0" w:right="0"/>
              <w:rPr>
                <w:rFonts w:hint="default"/>
                <w:color w:val="auto"/>
                <w:szCs w:val="24"/>
                <w:highlight w:val="none"/>
              </w:rPr>
            </w:pPr>
          </w:p>
          <w:p>
            <w:pPr>
              <w:pStyle w:val="26"/>
              <w:keepNext w:val="0"/>
              <w:keepLines w:val="0"/>
              <w:suppressLineNumbers w:val="0"/>
              <w:spacing w:before="0" w:beforeAutospacing="0" w:after="0" w:afterAutospacing="0"/>
              <w:ind w:left="0" w:right="0"/>
              <w:rPr>
                <w:rFonts w:hint="default"/>
                <w:color w:val="auto"/>
                <w:szCs w:val="24"/>
                <w:highlight w:val="none"/>
              </w:rPr>
            </w:pPr>
          </w:p>
          <w:p>
            <w:pPr>
              <w:pStyle w:val="26"/>
              <w:keepNext w:val="0"/>
              <w:keepLines w:val="0"/>
              <w:suppressLineNumbers w:val="0"/>
              <w:spacing w:before="0" w:beforeAutospacing="0" w:after="0" w:afterAutospacing="0"/>
              <w:ind w:left="0" w:right="0"/>
              <w:rPr>
                <w:rFonts w:hint="default"/>
                <w:color w:val="auto"/>
                <w:szCs w:val="24"/>
                <w:highlight w:val="none"/>
              </w:rPr>
            </w:pP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00" w:lineRule="exact"/>
              <w:ind w:left="0" w:right="0"/>
              <w:rPr>
                <w:rFonts w:hint="default"/>
                <w:color w:val="auto"/>
                <w:szCs w:val="21"/>
                <w:highlight w:val="none"/>
              </w:rPr>
            </w:pPr>
            <w:r>
              <w:rPr>
                <w:rFonts w:hint="default"/>
                <w:color w:val="auto"/>
                <w:szCs w:val="21"/>
                <w:highlight w:val="none"/>
              </w:rPr>
              <w:t>是否要求投标人递交投标保证金：</w:t>
            </w:r>
          </w:p>
          <w:p>
            <w:pPr>
              <w:pStyle w:val="16"/>
              <w:keepNext w:val="0"/>
              <w:keepLines w:val="0"/>
              <w:widowControl/>
              <w:numPr>
                <w:ilvl w:val="0"/>
                <w:numId w:val="1"/>
              </w:numPr>
              <w:suppressLineNumbers w:val="0"/>
              <w:topLinePunct/>
              <w:spacing w:before="0" w:beforeAutospacing="0" w:after="0" w:afterAutospacing="0" w:line="360" w:lineRule="auto"/>
              <w:ind w:left="-3" w:leftChars="-47" w:right="0" w:hanging="96" w:hangingChars="41"/>
              <w:jc w:val="left"/>
              <w:rPr>
                <w:rFonts w:hint="default" w:ascii="Times New Roman"/>
                <w:color w:val="auto"/>
                <w:sz w:val="21"/>
                <w:szCs w:val="24"/>
                <w:highlight w:val="none"/>
              </w:rPr>
            </w:pPr>
            <w:r>
              <w:rPr>
                <w:rFonts w:hint="default" w:ascii="Times New Roman"/>
                <w:color w:val="auto"/>
                <w:spacing w:val="-2"/>
                <w:position w:val="1"/>
                <w:szCs w:val="24"/>
                <w:highlight w:val="none"/>
                <w:bdr w:val="single" w:color="auto" w:sz="4" w:space="0"/>
              </w:rPr>
              <w:t>√</w:t>
            </w:r>
            <w:r>
              <w:rPr>
                <w:rFonts w:hint="default" w:ascii="Times New Roman"/>
                <w:color w:val="auto"/>
                <w:sz w:val="21"/>
                <w:szCs w:val="24"/>
                <w:highlight w:val="none"/>
              </w:rPr>
              <w:t>要求，投标保证金的形式：投标保证金可以采用转账、银行保函</w:t>
            </w:r>
            <w:r>
              <w:rPr>
                <w:rFonts w:hint="eastAsia" w:ascii="Times New Roman"/>
                <w:color w:val="auto"/>
                <w:sz w:val="21"/>
                <w:szCs w:val="24"/>
                <w:highlight w:val="none"/>
                <w:lang w:eastAsia="zh-CN"/>
              </w:rPr>
              <w:t>、</w:t>
            </w:r>
            <w:r>
              <w:rPr>
                <w:rFonts w:hint="default" w:ascii="Times New Roman"/>
                <w:color w:val="auto"/>
                <w:sz w:val="21"/>
                <w:szCs w:val="24"/>
                <w:highlight w:val="none"/>
              </w:rPr>
              <w:t>保证保险实现保证目的的方式递交。</w:t>
            </w:r>
          </w:p>
          <w:p>
            <w:pPr>
              <w:pStyle w:val="16"/>
              <w:keepNext w:val="0"/>
              <w:keepLines w:val="0"/>
              <w:widowControl/>
              <w:suppressLineNumbers w:val="0"/>
              <w:topLinePunct/>
              <w:spacing w:before="0" w:beforeAutospacing="0" w:after="0" w:afterAutospacing="0" w:line="360" w:lineRule="auto"/>
              <w:ind w:left="-13" w:leftChars="-47" w:right="0" w:hanging="86" w:hangingChars="41"/>
              <w:jc w:val="left"/>
              <w:rPr>
                <w:rFonts w:hint="default" w:ascii="Times New Roman"/>
                <w:color w:val="auto"/>
                <w:szCs w:val="21"/>
                <w:highlight w:val="none"/>
              </w:rPr>
            </w:pPr>
            <w:r>
              <w:rPr>
                <w:rFonts w:hint="default" w:ascii="Times New Roman"/>
                <w:color w:val="auto"/>
                <w:sz w:val="21"/>
                <w:szCs w:val="21"/>
                <w:highlight w:val="none"/>
              </w:rPr>
              <w:t>投标保证金的金额</w:t>
            </w:r>
            <w:r>
              <w:rPr>
                <w:rFonts w:hint="default" w:ascii="Times New Roman"/>
                <w:color w:val="auto"/>
                <w:sz w:val="21"/>
                <w:szCs w:val="24"/>
                <w:highlight w:val="none"/>
              </w:rPr>
              <w:t>：</w:t>
            </w:r>
            <w:r>
              <w:rPr>
                <w:rFonts w:hint="eastAsia" w:ascii="Times New Roman"/>
                <w:color w:val="auto"/>
                <w:sz w:val="21"/>
                <w:szCs w:val="24"/>
                <w:highlight w:val="none"/>
                <w:u w:val="single"/>
              </w:rPr>
              <w:t>7</w:t>
            </w:r>
            <w:r>
              <w:rPr>
                <w:rFonts w:hint="default" w:ascii="Times New Roman"/>
                <w:color w:val="auto"/>
                <w:sz w:val="21"/>
                <w:szCs w:val="24"/>
                <w:highlight w:val="none"/>
                <w:u w:val="single"/>
              </w:rPr>
              <w:t>万元</w:t>
            </w:r>
            <w:r>
              <w:rPr>
                <w:rFonts w:hint="default" w:ascii="Times New Roman"/>
                <w:color w:val="auto"/>
                <w:sz w:val="21"/>
                <w:szCs w:val="21"/>
                <w:highlight w:val="none"/>
              </w:rPr>
              <w:t>；</w:t>
            </w:r>
          </w:p>
          <w:p>
            <w:pPr>
              <w:pStyle w:val="16"/>
              <w:keepNext w:val="0"/>
              <w:keepLines w:val="0"/>
              <w:widowControl/>
              <w:suppressLineNumbers w:val="0"/>
              <w:topLinePunct/>
              <w:spacing w:before="0" w:beforeAutospacing="0" w:after="0" w:afterAutospacing="0" w:line="360" w:lineRule="auto"/>
              <w:ind w:left="-13" w:leftChars="-47" w:right="0" w:hanging="86" w:hangingChars="41"/>
              <w:jc w:val="left"/>
              <w:rPr>
                <w:rFonts w:hint="default" w:ascii="Times New Roman"/>
                <w:color w:val="auto"/>
                <w:sz w:val="21"/>
                <w:szCs w:val="21"/>
                <w:highlight w:val="none"/>
              </w:rPr>
            </w:pPr>
            <w:r>
              <w:rPr>
                <w:rFonts w:hint="default" w:ascii="Times New Roman"/>
                <w:color w:val="auto"/>
                <w:sz w:val="21"/>
                <w:szCs w:val="21"/>
                <w:highlight w:val="none"/>
              </w:rPr>
              <w:t>须在递交投标文件截止时间前完成提供，否则视为放弃本次投标机会。各种形式投标保证金要求：</w:t>
            </w:r>
          </w:p>
          <w:p>
            <w:pPr>
              <w:pStyle w:val="60"/>
              <w:keepNext w:val="0"/>
              <w:keepLines w:val="0"/>
              <w:numPr>
                <w:ilvl w:val="255"/>
                <w:numId w:val="0"/>
              </w:numPr>
              <w:suppressLineNumbers w:val="0"/>
              <w:spacing w:before="0" w:beforeAutospacing="0" w:after="0" w:afterAutospacing="0" w:line="360" w:lineRule="auto"/>
              <w:ind w:left="0" w:right="0"/>
              <w:jc w:val="left"/>
              <w:rPr>
                <w:rFonts w:hint="default"/>
                <w:color w:val="auto"/>
                <w:szCs w:val="21"/>
                <w:highlight w:val="none"/>
              </w:rPr>
            </w:pPr>
            <w:r>
              <w:rPr>
                <w:rFonts w:hint="eastAsia"/>
                <w:color w:val="auto"/>
                <w:szCs w:val="21"/>
                <w:highlight w:val="none"/>
              </w:rPr>
              <w:t>（1）</w:t>
            </w:r>
            <w:r>
              <w:rPr>
                <w:rFonts w:hint="default"/>
                <w:color w:val="auto"/>
                <w:szCs w:val="21"/>
                <w:highlight w:val="none"/>
              </w:rPr>
              <w:t>采用转账形式的，投标保证金须从投标人基本账户递交，由</w:t>
            </w:r>
            <w:r>
              <w:rPr>
                <w:rFonts w:hint="default"/>
                <w:color w:val="auto"/>
                <w:szCs w:val="21"/>
                <w:highlight w:val="none"/>
                <w:u w:val="single"/>
              </w:rPr>
              <w:t>广州公共资源交易中心</w:t>
            </w:r>
            <w:r>
              <w:rPr>
                <w:rFonts w:hint="default"/>
                <w:color w:val="auto"/>
                <w:szCs w:val="21"/>
                <w:highlight w:val="none"/>
              </w:rPr>
              <w:t>收取，具体操作要求详见其有关指引，相关事宜请自行向其咨询；缴纳时间：在投标截止时间前；转账到账情况以开标时收取方数据库查询的信息为准。</w:t>
            </w:r>
          </w:p>
          <w:p>
            <w:pPr>
              <w:pStyle w:val="60"/>
              <w:keepNext w:val="0"/>
              <w:keepLines w:val="0"/>
              <w:numPr>
                <w:ilvl w:val="255"/>
                <w:numId w:val="0"/>
              </w:numPr>
              <w:suppressLineNumbers w:val="0"/>
              <w:spacing w:before="0" w:beforeAutospacing="0" w:after="0" w:afterAutospacing="0" w:line="360" w:lineRule="auto"/>
              <w:ind w:left="0" w:right="0"/>
              <w:jc w:val="left"/>
              <w:rPr>
                <w:rFonts w:hint="default"/>
                <w:color w:val="auto"/>
                <w:szCs w:val="21"/>
                <w:highlight w:val="none"/>
              </w:rPr>
            </w:pPr>
            <w:r>
              <w:rPr>
                <w:rFonts w:hint="eastAsia"/>
                <w:color w:val="auto"/>
                <w:szCs w:val="21"/>
                <w:highlight w:val="none"/>
              </w:rPr>
              <w:t>（2）</w:t>
            </w:r>
            <w:r>
              <w:rPr>
                <w:rFonts w:hint="default"/>
                <w:color w:val="auto"/>
                <w:szCs w:val="21"/>
                <w:highlight w:val="none"/>
              </w:rPr>
              <w:t>如采用非电子形式的银行保函、保证保险形式递交投标保证金的，由招标人收取，其原件在投标截止前单独密封递交至开标室（时间及地点同递交投标电子文件的时间及地点）。投标人应在投标文件中递交银行保函或保证保险的复印（扫描）件并加盖投标人印章（电子印章）。</w:t>
            </w:r>
          </w:p>
          <w:p>
            <w:pPr>
              <w:pStyle w:val="16"/>
              <w:keepNext w:val="0"/>
              <w:keepLines w:val="0"/>
              <w:widowControl/>
              <w:suppressLineNumbers w:val="0"/>
              <w:topLinePunct/>
              <w:spacing w:before="0" w:beforeAutospacing="0" w:after="0" w:afterAutospacing="0" w:line="360" w:lineRule="auto"/>
              <w:ind w:left="-13" w:leftChars="-47" w:right="0" w:hanging="86" w:hangingChars="41"/>
              <w:jc w:val="left"/>
              <w:rPr>
                <w:rFonts w:hint="default" w:ascii="Times New Roman"/>
                <w:color w:val="auto"/>
                <w:sz w:val="21"/>
                <w:szCs w:val="21"/>
                <w:highlight w:val="none"/>
              </w:rPr>
            </w:pPr>
            <w:r>
              <w:rPr>
                <w:rFonts w:hint="default" w:ascii="Times New Roman"/>
                <w:color w:val="auto"/>
                <w:sz w:val="21"/>
                <w:szCs w:val="21"/>
                <w:highlight w:val="none"/>
              </w:rPr>
              <w:t>（3）采用电子形式的</w:t>
            </w:r>
            <w:r>
              <w:rPr>
                <w:rFonts w:hint="eastAsia" w:ascii="Times New Roman"/>
                <w:color w:val="auto"/>
                <w:sz w:val="21"/>
                <w:szCs w:val="21"/>
                <w:highlight w:val="none"/>
                <w:lang w:val="en-US" w:eastAsia="zh-CN"/>
              </w:rPr>
              <w:t>银行</w:t>
            </w:r>
            <w:r>
              <w:rPr>
                <w:rFonts w:hint="default" w:ascii="Times New Roman"/>
                <w:color w:val="auto"/>
                <w:sz w:val="21"/>
                <w:szCs w:val="21"/>
                <w:highlight w:val="none"/>
              </w:rPr>
              <w:t>保函、保证保险递交投标保证金的，由</w:t>
            </w:r>
            <w:r>
              <w:rPr>
                <w:rFonts w:hint="default" w:ascii="Times New Roman"/>
                <w:color w:val="auto"/>
                <w:sz w:val="21"/>
                <w:szCs w:val="21"/>
                <w:highlight w:val="none"/>
                <w:u w:val="single"/>
              </w:rPr>
              <w:t>广州公共资源交易中心</w:t>
            </w:r>
            <w:r>
              <w:rPr>
                <w:rFonts w:hint="default" w:ascii="Times New Roman"/>
                <w:color w:val="auto"/>
                <w:sz w:val="21"/>
                <w:szCs w:val="21"/>
                <w:highlight w:val="none"/>
              </w:rPr>
              <w:t>收取，具体操作要求详见其有关指引，递交事宜请自行向其咨询；缴纳时间：在投标截止时间前；转账到账情况以开标时收取方数据库查询的信息为准。</w:t>
            </w:r>
          </w:p>
          <w:p>
            <w:pPr>
              <w:pStyle w:val="16"/>
              <w:keepNext w:val="0"/>
              <w:keepLines w:val="0"/>
              <w:widowControl/>
              <w:suppressLineNumbers w:val="0"/>
              <w:topLinePunct/>
              <w:spacing w:before="0" w:beforeAutospacing="0" w:after="0" w:afterAutospacing="0" w:line="360" w:lineRule="auto"/>
              <w:ind w:left="-13" w:leftChars="-47" w:right="0" w:hanging="86" w:hangingChars="41"/>
              <w:jc w:val="left"/>
              <w:rPr>
                <w:rFonts w:hint="default" w:ascii="Times New Roman"/>
                <w:color w:val="auto"/>
                <w:sz w:val="21"/>
                <w:szCs w:val="21"/>
                <w:highlight w:val="none"/>
              </w:rPr>
            </w:pPr>
            <w:r>
              <w:rPr>
                <w:rFonts w:hint="default" w:ascii="Times New Roman"/>
                <w:color w:val="auto"/>
                <w:sz w:val="21"/>
                <w:szCs w:val="21"/>
                <w:highlight w:val="none"/>
              </w:rPr>
              <w:t>（4）开标时投标人没有按要求提供投标保证金的，其投标文件将被否决。</w:t>
            </w:r>
          </w:p>
          <w:p>
            <w:pPr>
              <w:pStyle w:val="16"/>
              <w:keepNext w:val="0"/>
              <w:keepLines w:val="0"/>
              <w:widowControl/>
              <w:suppressLineNumbers w:val="0"/>
              <w:topLinePunct/>
              <w:spacing w:before="0" w:beforeAutospacing="0" w:after="0" w:afterAutospacing="0" w:line="360" w:lineRule="auto"/>
              <w:ind w:left="-13" w:leftChars="-47" w:right="0" w:hanging="86" w:hangingChars="41"/>
              <w:jc w:val="left"/>
              <w:rPr>
                <w:rFonts w:hint="default" w:ascii="Times New Roman"/>
                <w:color w:val="auto"/>
                <w:sz w:val="21"/>
                <w:szCs w:val="21"/>
                <w:highlight w:val="none"/>
              </w:rPr>
            </w:pPr>
            <w:r>
              <w:rPr>
                <w:rFonts w:hint="default" w:ascii="Times New Roman"/>
                <w:color w:val="auto"/>
                <w:sz w:val="21"/>
                <w:szCs w:val="21"/>
                <w:highlight w:val="none"/>
              </w:rPr>
              <w:t>（5）投标人须确保银行保函、保证保险真实、有效，如发现虚假、无效，将根据本招标文件约定及法律法规处理。</w:t>
            </w:r>
          </w:p>
          <w:p>
            <w:pPr>
              <w:pStyle w:val="16"/>
              <w:keepNext w:val="0"/>
              <w:keepLines w:val="0"/>
              <w:widowControl/>
              <w:suppressLineNumbers w:val="0"/>
              <w:topLinePunct/>
              <w:spacing w:before="0" w:beforeAutospacing="0" w:after="0" w:afterAutospacing="0" w:line="360" w:lineRule="auto"/>
              <w:ind w:left="-13" w:leftChars="-47" w:right="0" w:hanging="86" w:hangingChars="41"/>
              <w:jc w:val="left"/>
              <w:rPr>
                <w:rFonts w:hint="default" w:ascii="Times New Roman"/>
                <w:color w:val="auto"/>
                <w:sz w:val="21"/>
                <w:szCs w:val="21"/>
                <w:highlight w:val="none"/>
              </w:rPr>
            </w:pPr>
            <w:r>
              <w:rPr>
                <w:rFonts w:hint="default" w:ascii="Times New Roman"/>
                <w:color w:val="auto"/>
                <w:sz w:val="21"/>
                <w:szCs w:val="21"/>
                <w:highlight w:val="none"/>
              </w:rPr>
              <w:t>（6）银行保函、保证保险有效期应长于或等于投标有效期，若投标有效期延长的，前述投标保证金有效期应相应延长且满足相应投标有效期前。投标人提供的银行保函、保证保险应为无条件、见索即付、不可撤销的投标保证，投标人不得更改招标人提供的投标保证金格式，金额不得低于前述投标保证金金额，否则投标人的投标文件将被否决。</w:t>
            </w:r>
          </w:p>
          <w:p>
            <w:pPr>
              <w:keepNext w:val="0"/>
              <w:keepLines w:val="0"/>
              <w:suppressLineNumbers w:val="0"/>
              <w:topLinePunct/>
              <w:spacing w:before="0" w:beforeAutospacing="0" w:after="0" w:afterAutospacing="0" w:line="400" w:lineRule="exact"/>
              <w:ind w:left="0" w:right="0"/>
              <w:rPr>
                <w:rFonts w:hint="default"/>
                <w:color w:val="auto"/>
                <w:sz w:val="24"/>
                <w:highlight w:val="none"/>
              </w:rPr>
            </w:pPr>
            <w:r>
              <w:rPr>
                <w:rFonts w:hint="eastAsia" w:ascii="宋体" w:hAnsi="宋体" w:cs="宋体"/>
                <w:color w:val="auto"/>
                <w:szCs w:val="21"/>
                <w:highlight w:val="none"/>
              </w:rPr>
              <w:t>□</w:t>
            </w:r>
            <w:r>
              <w:rPr>
                <w:rFonts w:hint="default"/>
                <w:color w:val="auto"/>
                <w:szCs w:val="21"/>
                <w:highlight w:val="none"/>
              </w:rPr>
              <w:t>不要求</w:t>
            </w:r>
          </w:p>
        </w:tc>
      </w:tr>
      <w:tr>
        <w:tblPrEx>
          <w:tblCellMar>
            <w:top w:w="0" w:type="dxa"/>
            <w:left w:w="108" w:type="dxa"/>
            <w:bottom w:w="0" w:type="dxa"/>
            <w:right w:w="108" w:type="dxa"/>
          </w:tblCellMar>
        </w:tblPrEx>
        <w:trPr>
          <w:trHeight w:val="819"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1"/>
                <w:highlight w:val="none"/>
              </w:rPr>
              <w:t>3.4.3</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投标保证金</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00" w:lineRule="exact"/>
              <w:ind w:left="0" w:right="0"/>
              <w:rPr>
                <w:rFonts w:hint="default"/>
                <w:color w:val="auto"/>
                <w:szCs w:val="21"/>
                <w:highlight w:val="none"/>
              </w:rPr>
            </w:pPr>
            <w:r>
              <w:rPr>
                <w:rFonts w:hint="default"/>
                <w:color w:val="auto"/>
                <w:szCs w:val="21"/>
                <w:highlight w:val="none"/>
              </w:rPr>
              <w:t>招标人应当在中标通知书发出之日起五日内将投标保证金及银行同期存款利息（如有）退回中标候选人以外的投标人，在书面合同订立之日起五日内将投标保证金退回中标人和其他中标候选人。</w:t>
            </w:r>
          </w:p>
        </w:tc>
      </w:tr>
      <w:tr>
        <w:tblPrEx>
          <w:tblCellMar>
            <w:top w:w="0" w:type="dxa"/>
            <w:left w:w="108" w:type="dxa"/>
            <w:bottom w:w="0" w:type="dxa"/>
            <w:right w:w="108" w:type="dxa"/>
          </w:tblCellMar>
        </w:tblPrEx>
        <w:trPr>
          <w:trHeight w:val="5523"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3.4.4</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1"/>
                <w:highlight w:val="none"/>
              </w:rPr>
              <w:t>其他可以不予退还投标保证金的情形</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2"/>
              </w:numPr>
              <w:suppressLineNumbers w:val="0"/>
              <w:topLinePunct/>
              <w:spacing w:before="0" w:beforeAutospacing="0" w:after="0" w:afterAutospacing="0" w:line="400" w:lineRule="exact"/>
              <w:ind w:left="0" w:right="0"/>
              <w:rPr>
                <w:rFonts w:hint="default"/>
                <w:color w:val="auto"/>
                <w:szCs w:val="21"/>
                <w:highlight w:val="none"/>
              </w:rPr>
            </w:pPr>
            <w:r>
              <w:rPr>
                <w:rFonts w:hint="default"/>
                <w:color w:val="auto"/>
                <w:szCs w:val="21"/>
                <w:highlight w:val="none"/>
              </w:rPr>
              <w:t>投标人（在投标有效期内撤销其投标）除投标保证金不予退还外，招标人将在</w:t>
            </w:r>
          </w:p>
          <w:p>
            <w:pPr>
              <w:keepNext w:val="0"/>
              <w:keepLines w:val="0"/>
              <w:numPr>
                <w:ilvl w:val="0"/>
                <w:numId w:val="2"/>
              </w:numPr>
              <w:suppressLineNumbers w:val="0"/>
              <w:topLinePunct/>
              <w:spacing w:before="0" w:beforeAutospacing="0" w:after="0" w:afterAutospacing="0" w:line="400" w:lineRule="exact"/>
              <w:ind w:left="0" w:right="0"/>
              <w:rPr>
                <w:rFonts w:hint="default"/>
                <w:color w:val="auto"/>
                <w:szCs w:val="21"/>
                <w:highlight w:val="none"/>
              </w:rPr>
            </w:pPr>
            <w:r>
              <w:rPr>
                <w:rFonts w:hint="default"/>
                <w:color w:val="auto"/>
                <w:szCs w:val="21"/>
                <w:highlight w:val="none"/>
              </w:rPr>
              <w:t>6个月至2年内将其列入参与本司管辖工程项目投标企业的拒绝名单，并上报政府建设管理相关部门；</w:t>
            </w:r>
          </w:p>
          <w:p>
            <w:pPr>
              <w:keepNext w:val="0"/>
              <w:keepLines w:val="0"/>
              <w:suppressLineNumbers w:val="0"/>
              <w:topLinePunct/>
              <w:spacing w:before="0" w:beforeAutospacing="0" w:after="0" w:afterAutospacing="0" w:line="400" w:lineRule="exact"/>
              <w:ind w:left="0" w:right="0"/>
              <w:rPr>
                <w:rFonts w:hint="default"/>
                <w:color w:val="auto"/>
                <w:szCs w:val="21"/>
                <w:highlight w:val="none"/>
              </w:rPr>
            </w:pPr>
            <w:r>
              <w:rPr>
                <w:rFonts w:hint="default"/>
                <w:color w:val="auto"/>
                <w:szCs w:val="21"/>
                <w:highlight w:val="none"/>
              </w:rPr>
              <w:t>（</w:t>
            </w:r>
            <w:r>
              <w:rPr>
                <w:rFonts w:hint="eastAsia"/>
                <w:color w:val="auto"/>
                <w:szCs w:val="21"/>
                <w:highlight w:val="none"/>
              </w:rPr>
              <w:t>2</w:t>
            </w:r>
            <w:r>
              <w:rPr>
                <w:rFonts w:hint="default"/>
                <w:color w:val="auto"/>
                <w:szCs w:val="21"/>
                <w:highlight w:val="none"/>
              </w:rPr>
              <w:t>）经查实投标人有串通投标、弄虚作假等违法行为；</w:t>
            </w:r>
          </w:p>
          <w:p>
            <w:pPr>
              <w:keepNext w:val="0"/>
              <w:keepLines w:val="0"/>
              <w:suppressLineNumbers w:val="0"/>
              <w:topLinePunct/>
              <w:spacing w:before="0" w:beforeAutospacing="0" w:after="0" w:afterAutospacing="0" w:line="400" w:lineRule="exact"/>
              <w:ind w:left="0" w:right="0"/>
              <w:rPr>
                <w:rFonts w:hint="default"/>
                <w:color w:val="auto"/>
                <w:szCs w:val="21"/>
                <w:highlight w:val="none"/>
              </w:rPr>
            </w:pPr>
            <w:r>
              <w:rPr>
                <w:rFonts w:hint="default"/>
                <w:color w:val="auto"/>
                <w:szCs w:val="21"/>
                <w:highlight w:val="none"/>
              </w:rPr>
              <w:t>（</w:t>
            </w:r>
            <w:r>
              <w:rPr>
                <w:rFonts w:hint="eastAsia"/>
                <w:color w:val="auto"/>
                <w:szCs w:val="21"/>
                <w:highlight w:val="none"/>
              </w:rPr>
              <w:t>3</w:t>
            </w:r>
            <w:r>
              <w:rPr>
                <w:rFonts w:hint="default"/>
                <w:color w:val="auto"/>
                <w:szCs w:val="21"/>
                <w:highlight w:val="none"/>
              </w:rPr>
              <w:t>）投标人原因投标文件未解密；</w:t>
            </w:r>
          </w:p>
          <w:p>
            <w:pPr>
              <w:keepNext w:val="0"/>
              <w:keepLines w:val="0"/>
              <w:suppressLineNumbers w:val="0"/>
              <w:topLinePunct/>
              <w:spacing w:before="0" w:beforeAutospacing="0" w:after="0" w:afterAutospacing="0" w:line="400" w:lineRule="exact"/>
              <w:ind w:left="0" w:right="0"/>
              <w:rPr>
                <w:rFonts w:hint="default"/>
                <w:color w:val="auto"/>
                <w:szCs w:val="21"/>
                <w:highlight w:val="none"/>
              </w:rPr>
            </w:pPr>
            <w:r>
              <w:rPr>
                <w:rFonts w:hint="default"/>
                <w:color w:val="auto"/>
                <w:szCs w:val="21"/>
                <w:highlight w:val="none"/>
              </w:rPr>
              <w:t>（</w:t>
            </w:r>
            <w:r>
              <w:rPr>
                <w:rFonts w:hint="eastAsia"/>
                <w:color w:val="auto"/>
                <w:szCs w:val="21"/>
                <w:highlight w:val="none"/>
              </w:rPr>
              <w:t>4</w:t>
            </w:r>
            <w:r>
              <w:rPr>
                <w:rFonts w:hint="default"/>
                <w:color w:val="auto"/>
                <w:szCs w:val="21"/>
                <w:highlight w:val="none"/>
              </w:rPr>
              <w:t>）中标人在收到中标通知书后，无正当理由不与招标人订立合同，在签订合同时向招标人提出附加条件，或者不按照招标文件要求递交履约保证金；</w:t>
            </w:r>
          </w:p>
          <w:p>
            <w:pPr>
              <w:keepNext w:val="0"/>
              <w:keepLines w:val="0"/>
              <w:suppressLineNumbers w:val="0"/>
              <w:topLinePunct/>
              <w:spacing w:before="0" w:beforeAutospacing="0" w:after="0" w:afterAutospacing="0" w:line="400" w:lineRule="exact"/>
              <w:ind w:left="0" w:right="0"/>
              <w:rPr>
                <w:rFonts w:hint="default"/>
                <w:color w:val="auto"/>
                <w:szCs w:val="21"/>
                <w:highlight w:val="none"/>
              </w:rPr>
            </w:pPr>
            <w:r>
              <w:rPr>
                <w:rFonts w:hint="default"/>
                <w:color w:val="auto"/>
                <w:szCs w:val="21"/>
                <w:highlight w:val="none"/>
              </w:rPr>
              <w:t>（</w:t>
            </w:r>
            <w:r>
              <w:rPr>
                <w:rFonts w:hint="eastAsia"/>
                <w:color w:val="auto"/>
                <w:szCs w:val="21"/>
                <w:highlight w:val="none"/>
              </w:rPr>
              <w:t>5</w:t>
            </w:r>
            <w:r>
              <w:rPr>
                <w:rFonts w:hint="default"/>
                <w:color w:val="auto"/>
                <w:szCs w:val="21"/>
                <w:highlight w:val="none"/>
              </w:rPr>
              <w:t>）放弃中标（含</w:t>
            </w:r>
            <w:r>
              <w:rPr>
                <w:rFonts w:hint="eastAsia"/>
                <w:color w:val="auto"/>
                <w:szCs w:val="21"/>
                <w:highlight w:val="none"/>
              </w:rPr>
              <w:t>中标后</w:t>
            </w:r>
            <w:r>
              <w:rPr>
                <w:rFonts w:hint="default"/>
                <w:color w:val="auto"/>
                <w:szCs w:val="21"/>
                <w:highlight w:val="none"/>
              </w:rPr>
              <w:t>对投标文件提出实质性修改）；</w:t>
            </w:r>
          </w:p>
          <w:p>
            <w:pPr>
              <w:keepNext w:val="0"/>
              <w:keepLines w:val="0"/>
              <w:suppressLineNumbers w:val="0"/>
              <w:topLinePunct/>
              <w:spacing w:before="0" w:beforeAutospacing="0" w:after="0" w:afterAutospacing="0" w:line="400" w:lineRule="exact"/>
              <w:ind w:left="0" w:right="0"/>
              <w:rPr>
                <w:rFonts w:hint="default"/>
                <w:color w:val="auto"/>
                <w:szCs w:val="21"/>
                <w:highlight w:val="none"/>
              </w:rPr>
            </w:pPr>
            <w:r>
              <w:rPr>
                <w:rFonts w:hint="default"/>
                <w:color w:val="auto"/>
                <w:szCs w:val="21"/>
                <w:highlight w:val="none"/>
              </w:rPr>
              <w:t>（</w:t>
            </w:r>
            <w:r>
              <w:rPr>
                <w:rFonts w:hint="eastAsia"/>
                <w:color w:val="auto"/>
                <w:szCs w:val="21"/>
                <w:highlight w:val="none"/>
              </w:rPr>
              <w:t>6</w:t>
            </w:r>
            <w:r>
              <w:rPr>
                <w:rFonts w:hint="default"/>
                <w:color w:val="auto"/>
                <w:szCs w:val="21"/>
                <w:highlight w:val="none"/>
              </w:rPr>
              <w:t>）投标人中标后未按招标文件要求办理相关手续，影响合同签订工作的。</w:t>
            </w:r>
          </w:p>
          <w:p>
            <w:pPr>
              <w:keepNext w:val="0"/>
              <w:keepLines w:val="0"/>
              <w:suppressLineNumbers w:val="0"/>
              <w:topLinePunct/>
              <w:spacing w:before="0" w:beforeAutospacing="0" w:after="0" w:afterAutospacing="0" w:line="400" w:lineRule="exact"/>
              <w:ind w:left="0" w:right="0"/>
              <w:rPr>
                <w:rFonts w:hint="default"/>
                <w:color w:val="auto"/>
                <w:szCs w:val="24"/>
                <w:highlight w:val="none"/>
              </w:rPr>
            </w:pPr>
            <w:r>
              <w:rPr>
                <w:rFonts w:hint="default"/>
                <w:color w:val="auto"/>
                <w:szCs w:val="21"/>
                <w:highlight w:val="none"/>
              </w:rPr>
              <w:t>（</w:t>
            </w:r>
            <w:r>
              <w:rPr>
                <w:rFonts w:hint="eastAsia"/>
                <w:color w:val="auto"/>
                <w:szCs w:val="21"/>
                <w:highlight w:val="none"/>
              </w:rPr>
              <w:t>7</w:t>
            </w:r>
            <w:r>
              <w:rPr>
                <w:rFonts w:hint="default"/>
                <w:color w:val="auto"/>
                <w:szCs w:val="21"/>
                <w:highlight w:val="none"/>
              </w:rPr>
              <w:t>）投标人中标后未能按照招标文件规定向招标代理机构支付“招标代理服务费”（适用于有招标代理的项目）。</w:t>
            </w:r>
          </w:p>
        </w:tc>
      </w:tr>
      <w:tr>
        <w:tblPrEx>
          <w:tblCellMar>
            <w:top w:w="0" w:type="dxa"/>
            <w:left w:w="108" w:type="dxa"/>
            <w:bottom w:w="0" w:type="dxa"/>
            <w:right w:w="108" w:type="dxa"/>
          </w:tblCellMar>
        </w:tblPrEx>
        <w:trPr>
          <w:trHeight w:val="3022"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3.5</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4"/>
                <w:highlight w:val="none"/>
              </w:rPr>
              <w:t>资格审查资料</w:t>
            </w:r>
            <w:r>
              <w:rPr>
                <w:rFonts w:hint="default"/>
                <w:color w:val="auto"/>
                <w:szCs w:val="21"/>
                <w:highlight w:val="none"/>
              </w:rPr>
              <w:t>的特殊要求</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00" w:lineRule="exact"/>
              <w:ind w:left="0" w:right="0"/>
              <w:rPr>
                <w:rFonts w:hint="default"/>
                <w:color w:val="auto"/>
                <w:szCs w:val="21"/>
                <w:highlight w:val="none"/>
              </w:rPr>
            </w:pPr>
            <w:r>
              <w:rPr>
                <w:rFonts w:hint="eastAsia"/>
                <w:color w:val="auto"/>
                <w:sz w:val="32"/>
                <w:szCs w:val="20"/>
                <w:highlight w:val="none"/>
              </w:rPr>
              <w:t>□</w:t>
            </w:r>
            <w:r>
              <w:rPr>
                <w:rFonts w:hint="default"/>
                <w:color w:val="auto"/>
                <w:highlight w:val="none"/>
              </w:rPr>
              <w:t>无</w:t>
            </w:r>
          </w:p>
          <w:p>
            <w:pPr>
              <w:keepNext w:val="0"/>
              <w:keepLines w:val="0"/>
              <w:suppressLineNumbers w:val="0"/>
              <w:topLinePunct/>
              <w:spacing w:before="0" w:beforeAutospacing="0" w:after="0" w:afterAutospacing="0" w:line="400" w:lineRule="exact"/>
              <w:ind w:left="0" w:right="0"/>
              <w:rPr>
                <w:rFonts w:hint="default"/>
                <w:color w:val="auto"/>
                <w:sz w:val="24"/>
                <w:highlight w:val="none"/>
              </w:rPr>
            </w:pPr>
            <w:r>
              <w:rPr>
                <w:rFonts w:hint="default" w:ascii="Segoe UI Symbol" w:hAnsi="Segoe UI Symbol" w:cs="Segoe UI Symbol"/>
                <w:color w:val="auto"/>
                <w:sz w:val="32"/>
                <w:szCs w:val="20"/>
                <w:highlight w:val="none"/>
              </w:rPr>
              <w:t>☑</w:t>
            </w:r>
            <w:r>
              <w:rPr>
                <w:rFonts w:hint="default"/>
                <w:color w:val="auto"/>
                <w:highlight w:val="none"/>
              </w:rPr>
              <w:t>有，具体要求：</w:t>
            </w:r>
          </w:p>
          <w:p>
            <w:pPr>
              <w:keepNext w:val="0"/>
              <w:keepLines w:val="0"/>
              <w:suppressLineNumbers w:val="0"/>
              <w:topLinePunct/>
              <w:spacing w:before="0" w:beforeAutospacing="0" w:after="0" w:afterAutospacing="0" w:line="400" w:lineRule="exact"/>
              <w:ind w:left="0" w:right="0"/>
              <w:rPr>
                <w:rFonts w:hint="default"/>
                <w:color w:val="auto"/>
                <w:szCs w:val="21"/>
                <w:highlight w:val="none"/>
              </w:rPr>
            </w:pPr>
            <w:r>
              <w:rPr>
                <w:rFonts w:hint="default"/>
                <w:color w:val="auto"/>
                <w:szCs w:val="21"/>
                <w:highlight w:val="none"/>
              </w:rPr>
              <w:t>（1）本招标项目不要求提供“近年财务状况表”、 “正在</w:t>
            </w:r>
            <w:r>
              <w:rPr>
                <w:rFonts w:hint="eastAsia"/>
                <w:color w:val="auto"/>
                <w:szCs w:val="21"/>
                <w:highlight w:val="none"/>
              </w:rPr>
              <w:t>监</w:t>
            </w:r>
            <w:r>
              <w:rPr>
                <w:rFonts w:hint="default"/>
                <w:color w:val="auto"/>
                <w:szCs w:val="21"/>
                <w:highlight w:val="none"/>
              </w:rPr>
              <w:t>测和新承接的项目情况表”、“近年发生的诉讼及仲裁情况”作为资格审查内容；</w:t>
            </w:r>
          </w:p>
          <w:p>
            <w:pPr>
              <w:keepNext w:val="0"/>
              <w:keepLines w:val="0"/>
              <w:suppressLineNumbers w:val="0"/>
              <w:topLinePunct/>
              <w:spacing w:before="0" w:beforeAutospacing="0" w:after="0" w:afterAutospacing="0" w:line="400" w:lineRule="exact"/>
              <w:ind w:left="0" w:right="0"/>
              <w:rPr>
                <w:rFonts w:hint="default"/>
                <w:color w:val="auto"/>
                <w:szCs w:val="21"/>
                <w:highlight w:val="none"/>
              </w:rPr>
            </w:pPr>
            <w:r>
              <w:rPr>
                <w:rFonts w:hint="default"/>
                <w:color w:val="auto"/>
                <w:szCs w:val="21"/>
                <w:highlight w:val="none"/>
              </w:rPr>
              <w:t>（2）具体资格评审内容及标准详见评标办法。</w:t>
            </w:r>
          </w:p>
        </w:tc>
      </w:tr>
      <w:tr>
        <w:tblPrEx>
          <w:tblCellMar>
            <w:top w:w="0" w:type="dxa"/>
            <w:left w:w="108" w:type="dxa"/>
            <w:bottom w:w="0" w:type="dxa"/>
            <w:right w:w="108" w:type="dxa"/>
          </w:tblCellMar>
        </w:tblPrEx>
        <w:trPr>
          <w:trHeight w:val="800"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3.5.2</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4"/>
                <w:highlight w:val="none"/>
              </w:rPr>
              <w:t>近年财务状况的年份要求</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u w:val="single"/>
              </w:rPr>
            </w:pPr>
            <w:r>
              <w:rPr>
                <w:rFonts w:hint="default"/>
                <w:color w:val="auto"/>
                <w:szCs w:val="24"/>
                <w:highlight w:val="none"/>
              </w:rPr>
              <w:t>/</w:t>
            </w:r>
          </w:p>
        </w:tc>
      </w:tr>
      <w:tr>
        <w:tblPrEx>
          <w:tblCellMar>
            <w:top w:w="0" w:type="dxa"/>
            <w:left w:w="108" w:type="dxa"/>
            <w:bottom w:w="0" w:type="dxa"/>
            <w:right w:w="108" w:type="dxa"/>
          </w:tblCellMar>
        </w:tblPrEx>
        <w:trPr>
          <w:trHeight w:val="884"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3.5.3</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4"/>
                <w:highlight w:val="none"/>
              </w:rPr>
              <w:t>近年完成的类似项目情况的时间要求</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w:t>
            </w:r>
          </w:p>
        </w:tc>
      </w:tr>
      <w:tr>
        <w:tblPrEx>
          <w:tblCellMar>
            <w:top w:w="0" w:type="dxa"/>
            <w:left w:w="108" w:type="dxa"/>
            <w:bottom w:w="0" w:type="dxa"/>
            <w:right w:w="108" w:type="dxa"/>
          </w:tblCellMar>
        </w:tblPrEx>
        <w:trPr>
          <w:trHeight w:val="394"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3.5.5</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1"/>
                <w:highlight w:val="none"/>
              </w:rPr>
            </w:pPr>
            <w:r>
              <w:rPr>
                <w:rFonts w:hint="default"/>
                <w:color w:val="auto"/>
                <w:szCs w:val="24"/>
                <w:highlight w:val="none"/>
              </w:rPr>
              <w:t>近年发生的诉讼及仲裁情况的时间要求</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w:t>
            </w:r>
          </w:p>
        </w:tc>
      </w:tr>
      <w:tr>
        <w:tblPrEx>
          <w:tblCellMar>
            <w:top w:w="0" w:type="dxa"/>
            <w:left w:w="108" w:type="dxa"/>
            <w:bottom w:w="0" w:type="dxa"/>
            <w:right w:w="108" w:type="dxa"/>
          </w:tblCellMar>
        </w:tblPrEx>
        <w:trPr>
          <w:trHeight w:val="906"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3.6.1</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是否允许递交备选投标方案</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00" w:lineRule="exact"/>
              <w:ind w:left="0" w:right="0"/>
              <w:rPr>
                <w:rFonts w:hint="default"/>
                <w:color w:val="auto"/>
                <w:highlight w:val="none"/>
              </w:rPr>
            </w:pPr>
            <w:r>
              <w:rPr>
                <w:rFonts w:hint="default"/>
                <w:color w:val="auto"/>
                <w:spacing w:val="-2"/>
                <w:position w:val="1"/>
                <w:sz w:val="24"/>
                <w:szCs w:val="20"/>
                <w:highlight w:val="none"/>
                <w:bdr w:val="single" w:color="auto" w:sz="4" w:space="0"/>
              </w:rPr>
              <w:t>√</w:t>
            </w:r>
            <w:r>
              <w:rPr>
                <w:rFonts w:hint="default"/>
                <w:color w:val="auto"/>
                <w:highlight w:val="none"/>
              </w:rPr>
              <w:t>不允许</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 w:val="32"/>
                <w:szCs w:val="24"/>
                <w:highlight w:val="none"/>
              </w:rPr>
              <w:t>□</w:t>
            </w:r>
            <w:r>
              <w:rPr>
                <w:rFonts w:hint="default"/>
                <w:color w:val="auto"/>
                <w:szCs w:val="24"/>
                <w:highlight w:val="none"/>
              </w:rPr>
              <w:t>允许</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3.7.3（B）</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auto"/>
                <w:szCs w:val="24"/>
                <w:highlight w:val="none"/>
              </w:rPr>
            </w:pPr>
            <w:r>
              <w:rPr>
                <w:rFonts w:hint="default"/>
                <w:color w:val="auto"/>
                <w:szCs w:val="24"/>
                <w:highlight w:val="none"/>
              </w:rPr>
              <w:t>投标文件所附证书证件要求</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default"/>
                <w:color w:val="auto"/>
                <w:sz w:val="32"/>
                <w:szCs w:val="24"/>
                <w:highlight w:val="none"/>
              </w:rPr>
            </w:pPr>
            <w:r>
              <w:rPr>
                <w:rFonts w:hint="default"/>
                <w:color w:val="auto"/>
                <w:szCs w:val="21"/>
                <w:highlight w:val="none"/>
              </w:rPr>
              <w:t>投标文件所附证书证件要求：证书证件需为原件清晰扫描件，并采用单位数字证书，按照招标文件要求在相应位置用单位数字证书加盖电子印章。</w:t>
            </w:r>
          </w:p>
        </w:tc>
      </w:tr>
      <w:t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3.7.3（B）</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auto"/>
                <w:szCs w:val="24"/>
                <w:highlight w:val="none"/>
              </w:rPr>
            </w:pPr>
            <w:r>
              <w:rPr>
                <w:rFonts w:hint="default"/>
                <w:color w:val="auto"/>
                <w:szCs w:val="24"/>
                <w:highlight w:val="none"/>
              </w:rPr>
              <w:t>投标文件签字或盖章要求</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default"/>
                <w:color w:val="auto"/>
                <w:sz w:val="32"/>
                <w:szCs w:val="24"/>
                <w:highlight w:val="none"/>
              </w:rPr>
            </w:pPr>
            <w:r>
              <w:rPr>
                <w:rFonts w:hint="default"/>
                <w:color w:val="auto"/>
                <w:szCs w:val="21"/>
                <w:highlight w:val="none"/>
              </w:rPr>
              <w:t>取消采用个人数字证书和加盖个人电子印章要求，投标文件中需法定代表人、代理人签字或加盖电子印章的，应手签后扫描上传，对加盖个人电子印章不做要求。投标文件按招标文件要求用单位数字证书加盖电子印章。相关操作详见《房屋建筑和市政基础设施工程全流程电子化项目操作专章》。</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4.1.1（B）</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auto"/>
                <w:szCs w:val="24"/>
                <w:highlight w:val="none"/>
              </w:rPr>
            </w:pPr>
            <w:r>
              <w:rPr>
                <w:rFonts w:hint="default"/>
                <w:color w:val="auto"/>
                <w:szCs w:val="24"/>
                <w:highlight w:val="none"/>
              </w:rPr>
              <w:t>投标文件加密要求</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default"/>
                <w:color w:val="auto"/>
                <w:sz w:val="32"/>
                <w:szCs w:val="24"/>
                <w:highlight w:val="none"/>
              </w:rPr>
            </w:pPr>
            <w:r>
              <w:rPr>
                <w:rFonts w:hint="default"/>
                <w:color w:val="auto"/>
                <w:szCs w:val="21"/>
                <w:highlight w:val="none"/>
              </w:rPr>
              <w:t>网上递交的电子投标文件须进行加密，具体操作详见《房屋建筑和市政基础设施工程全流程电子化项目操作专章》</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4.1.2</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封套上应载明的信息</w:t>
            </w:r>
          </w:p>
          <w:p>
            <w:pPr>
              <w:keepNext w:val="0"/>
              <w:keepLines w:val="0"/>
              <w:suppressLineNumbers w:val="0"/>
              <w:spacing w:before="0" w:beforeAutospacing="0" w:after="0" w:afterAutospacing="0" w:line="440" w:lineRule="exact"/>
              <w:ind w:left="0" w:right="0"/>
              <w:jc w:val="center"/>
              <w:rPr>
                <w:rFonts w:hint="default"/>
                <w:color w:val="auto"/>
                <w:szCs w:val="24"/>
                <w:highlight w:val="none"/>
                <w:shd w:val="clear" w:color="auto" w:fill="D9D9D9"/>
              </w:rPr>
            </w:pPr>
            <w:r>
              <w:rPr>
                <w:rFonts w:hint="default"/>
                <w:color w:val="auto"/>
                <w:szCs w:val="24"/>
                <w:highlight w:val="none"/>
              </w:rPr>
              <w:t>（适用于提交备用光盘的情况）</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1"/>
                <w:highlight w:val="none"/>
                <w:u w:val="single"/>
              </w:rPr>
            </w:pPr>
            <w:r>
              <w:rPr>
                <w:rFonts w:hint="default"/>
                <w:color w:val="auto"/>
                <w:szCs w:val="21"/>
                <w:highlight w:val="none"/>
              </w:rPr>
              <w:t>招标人名称：</w:t>
            </w:r>
            <w:r>
              <w:rPr>
                <w:rFonts w:hint="default"/>
                <w:color w:val="auto"/>
                <w:szCs w:val="24"/>
                <w:highlight w:val="none"/>
                <w:u w:val="single"/>
              </w:rPr>
              <w:t>东莞市轨道一号线建设发展有限公司</w:t>
            </w:r>
          </w:p>
          <w:p>
            <w:pPr>
              <w:keepNext w:val="0"/>
              <w:keepLines w:val="0"/>
              <w:suppressLineNumbers w:val="0"/>
              <w:spacing w:before="0" w:beforeAutospacing="0" w:after="0" w:afterAutospacing="0" w:line="360" w:lineRule="auto"/>
              <w:ind w:left="0" w:right="0"/>
              <w:rPr>
                <w:rFonts w:hint="default"/>
                <w:color w:val="auto"/>
                <w:szCs w:val="21"/>
                <w:highlight w:val="none"/>
                <w:u w:val="single"/>
              </w:rPr>
            </w:pPr>
            <w:r>
              <w:rPr>
                <w:rFonts w:hint="default"/>
                <w:color w:val="auto"/>
                <w:szCs w:val="21"/>
                <w:highlight w:val="none"/>
              </w:rPr>
              <w:t>招标人地址：</w:t>
            </w:r>
            <w:r>
              <w:rPr>
                <w:rFonts w:hint="eastAsia"/>
                <w:color w:val="auto"/>
                <w:szCs w:val="21"/>
                <w:highlight w:val="none"/>
                <w:u w:val="single"/>
              </w:rPr>
              <w:t>东莞市南城街道东莞轨道交通大厦44楼</w:t>
            </w:r>
            <w:r>
              <w:rPr>
                <w:rFonts w:hint="default"/>
                <w:color w:val="auto"/>
                <w:szCs w:val="21"/>
                <w:highlight w:val="none"/>
                <w:u w:val="single"/>
              </w:rPr>
              <w:t xml:space="preserve"> </w:t>
            </w:r>
          </w:p>
          <w:p>
            <w:pPr>
              <w:keepNext w:val="0"/>
              <w:keepLines w:val="0"/>
              <w:suppressLineNumbers w:val="0"/>
              <w:topLinePunct/>
              <w:spacing w:before="0" w:beforeAutospacing="0" w:after="0" w:afterAutospacing="0" w:line="400" w:lineRule="exact"/>
              <w:ind w:left="0" w:right="0"/>
              <w:rPr>
                <w:rFonts w:hint="default"/>
                <w:color w:val="auto"/>
                <w:szCs w:val="21"/>
                <w:highlight w:val="none"/>
              </w:rPr>
            </w:pPr>
            <w:r>
              <w:rPr>
                <w:rFonts w:hint="default"/>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东莞</w:t>
            </w:r>
            <w:r>
              <w:rPr>
                <w:rFonts w:hint="eastAsia" w:asciiTheme="minorEastAsia" w:hAnsiTheme="minorEastAsia" w:eastAsiaTheme="minorEastAsia" w:cstheme="minorEastAsia"/>
                <w:color w:val="auto"/>
                <w:szCs w:val="21"/>
                <w:highlight w:val="none"/>
                <w:u w:val="single"/>
                <w:lang w:eastAsia="zh-CN"/>
              </w:rPr>
              <w:t>市</w:t>
            </w:r>
            <w:r>
              <w:rPr>
                <w:rFonts w:hint="eastAsia" w:asciiTheme="minorEastAsia" w:hAnsiTheme="minorEastAsia" w:eastAsiaTheme="minorEastAsia" w:cstheme="minorEastAsia"/>
                <w:color w:val="auto"/>
                <w:szCs w:val="21"/>
                <w:highlight w:val="none"/>
                <w:u w:val="single"/>
              </w:rPr>
              <w:t>轨道交通1号线</w:t>
            </w:r>
            <w:r>
              <w:rPr>
                <w:rFonts w:hint="eastAsia" w:asciiTheme="minorEastAsia" w:hAnsiTheme="minorEastAsia" w:eastAsiaTheme="minorEastAsia" w:cstheme="minorEastAsia"/>
                <w:color w:val="auto"/>
                <w:szCs w:val="21"/>
                <w:highlight w:val="none"/>
                <w:u w:val="single"/>
                <w:lang w:eastAsia="zh-CN"/>
              </w:rPr>
              <w:t>一期工程</w:t>
            </w:r>
            <w:r>
              <w:rPr>
                <w:rFonts w:hint="eastAsia" w:asciiTheme="minorEastAsia" w:hAnsiTheme="minorEastAsia" w:eastAsiaTheme="minorEastAsia" w:cstheme="minorEastAsia"/>
                <w:color w:val="auto"/>
                <w:szCs w:val="21"/>
                <w:highlight w:val="none"/>
                <w:u w:val="single"/>
              </w:rPr>
              <w:t>2025-2026年结构变形监测项目</w:t>
            </w:r>
            <w:r>
              <w:rPr>
                <w:rFonts w:hint="default"/>
                <w:color w:val="auto"/>
                <w:szCs w:val="21"/>
                <w:highlight w:val="none"/>
                <w:u w:val="single"/>
              </w:rPr>
              <w:t xml:space="preserve"> </w:t>
            </w:r>
            <w:r>
              <w:rPr>
                <w:rFonts w:hint="default"/>
                <w:color w:val="auto"/>
                <w:szCs w:val="21"/>
                <w:highlight w:val="none"/>
              </w:rPr>
              <w:t>投标文件</w:t>
            </w:r>
          </w:p>
          <w:p>
            <w:pPr>
              <w:keepNext w:val="0"/>
              <w:keepLines w:val="0"/>
              <w:suppressLineNumbers w:val="0"/>
              <w:spacing w:before="0" w:beforeAutospacing="0" w:after="0" w:afterAutospacing="0" w:line="360" w:lineRule="auto"/>
              <w:ind w:left="0" w:right="0"/>
              <w:rPr>
                <w:rFonts w:hint="default"/>
                <w:color w:val="auto"/>
                <w:szCs w:val="21"/>
                <w:highlight w:val="none"/>
              </w:rPr>
            </w:pPr>
          </w:p>
          <w:p>
            <w:pPr>
              <w:keepNext w:val="0"/>
              <w:keepLines w:val="0"/>
              <w:suppressLineNumbers w:val="0"/>
              <w:spacing w:before="0" w:beforeAutospacing="0" w:after="0" w:afterAutospacing="0" w:line="360" w:lineRule="auto"/>
              <w:ind w:left="0" w:right="0"/>
              <w:rPr>
                <w:rFonts w:hint="default"/>
                <w:color w:val="auto"/>
                <w:szCs w:val="21"/>
                <w:highlight w:val="none"/>
                <w:u w:val="single"/>
              </w:rPr>
            </w:pPr>
            <w:r>
              <w:rPr>
                <w:rFonts w:hint="default"/>
                <w:color w:val="auto"/>
                <w:szCs w:val="21"/>
                <w:highlight w:val="none"/>
              </w:rPr>
              <w:t>招标项目编号：</w:t>
            </w:r>
            <w:r>
              <w:rPr>
                <w:rFonts w:hint="default"/>
                <w:color w:val="auto"/>
                <w:szCs w:val="21"/>
                <w:highlight w:val="none"/>
                <w:u w:val="single"/>
              </w:rPr>
              <w:t xml:space="preserve">             </w:t>
            </w:r>
          </w:p>
          <w:p>
            <w:pPr>
              <w:keepNext w:val="0"/>
              <w:keepLines w:val="0"/>
              <w:suppressLineNumbers w:val="0"/>
              <w:spacing w:before="0" w:beforeAutospacing="0" w:after="0" w:afterAutospacing="0" w:line="360" w:lineRule="auto"/>
              <w:ind w:left="0" w:right="0"/>
              <w:rPr>
                <w:rFonts w:hint="default"/>
                <w:color w:val="auto"/>
                <w:szCs w:val="21"/>
                <w:highlight w:val="none"/>
              </w:rPr>
            </w:pPr>
            <w:r>
              <w:rPr>
                <w:rFonts w:hint="default"/>
                <w:color w:val="auto"/>
                <w:szCs w:val="21"/>
                <w:highlight w:val="none"/>
              </w:rPr>
              <w:t>在</w:t>
            </w:r>
            <w:r>
              <w:rPr>
                <w:rFonts w:hint="default"/>
                <w:color w:val="auto"/>
                <w:szCs w:val="21"/>
                <w:highlight w:val="none"/>
                <w:u w:val="single"/>
              </w:rPr>
              <w:t xml:space="preserve">    </w:t>
            </w:r>
            <w:r>
              <w:rPr>
                <w:rFonts w:hint="default"/>
                <w:color w:val="auto"/>
                <w:szCs w:val="21"/>
                <w:highlight w:val="none"/>
              </w:rPr>
              <w:t>年</w:t>
            </w:r>
            <w:r>
              <w:rPr>
                <w:rFonts w:hint="default"/>
                <w:color w:val="auto"/>
                <w:szCs w:val="21"/>
                <w:highlight w:val="none"/>
                <w:u w:val="single"/>
              </w:rPr>
              <w:t xml:space="preserve">    </w:t>
            </w:r>
            <w:r>
              <w:rPr>
                <w:rFonts w:hint="default"/>
                <w:color w:val="auto"/>
                <w:szCs w:val="21"/>
                <w:highlight w:val="none"/>
              </w:rPr>
              <w:t>月</w:t>
            </w:r>
            <w:r>
              <w:rPr>
                <w:rFonts w:hint="default"/>
                <w:color w:val="auto"/>
                <w:szCs w:val="21"/>
                <w:highlight w:val="none"/>
                <w:u w:val="single"/>
              </w:rPr>
              <w:t xml:space="preserve">    </w:t>
            </w:r>
            <w:r>
              <w:rPr>
                <w:rFonts w:hint="default"/>
                <w:color w:val="auto"/>
                <w:szCs w:val="21"/>
                <w:highlight w:val="none"/>
              </w:rPr>
              <w:t>日</w:t>
            </w:r>
            <w:r>
              <w:rPr>
                <w:rFonts w:hint="default"/>
                <w:color w:val="auto"/>
                <w:szCs w:val="21"/>
                <w:highlight w:val="none"/>
                <w:u w:val="single"/>
              </w:rPr>
              <w:t xml:space="preserve">    </w:t>
            </w:r>
            <w:r>
              <w:rPr>
                <w:rFonts w:hint="default"/>
                <w:color w:val="auto"/>
                <w:szCs w:val="21"/>
                <w:highlight w:val="none"/>
              </w:rPr>
              <w:t>时前不得开启（填入前附表第4.2.1条的时间）。</w:t>
            </w:r>
          </w:p>
          <w:p>
            <w:pPr>
              <w:keepNext w:val="0"/>
              <w:keepLines w:val="0"/>
              <w:suppressLineNumbers w:val="0"/>
              <w:spacing w:before="0" w:beforeAutospacing="0" w:after="0" w:afterAutospacing="0" w:line="354" w:lineRule="exact"/>
              <w:ind w:left="0" w:right="0"/>
              <w:rPr>
                <w:rFonts w:hint="default"/>
                <w:color w:val="auto"/>
                <w:szCs w:val="21"/>
                <w:highlight w:val="none"/>
              </w:rPr>
            </w:pPr>
            <w:r>
              <w:rPr>
                <w:rFonts w:hint="default"/>
                <w:color w:val="auto"/>
                <w:szCs w:val="21"/>
                <w:highlight w:val="none"/>
              </w:rPr>
              <w:t>（注：备用光盘所载资料与系统上传资料须一致。）</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4.2.1</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投标截止时间</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firstLine="420" w:firstLineChars="200"/>
              <w:rPr>
                <w:rFonts w:hint="default"/>
                <w:color w:val="auto"/>
                <w:szCs w:val="21"/>
                <w:highlight w:val="none"/>
              </w:rPr>
            </w:pPr>
            <w:r>
              <w:rPr>
                <w:rFonts w:hint="default"/>
                <w:color w:val="auto"/>
                <w:kern w:val="0"/>
                <w:szCs w:val="24"/>
                <w:highlight w:val="none"/>
                <w:u w:val="single"/>
              </w:rPr>
              <w:t>202</w:t>
            </w:r>
            <w:r>
              <w:rPr>
                <w:rFonts w:hint="eastAsia"/>
                <w:color w:val="auto"/>
                <w:kern w:val="0"/>
                <w:szCs w:val="24"/>
                <w:highlight w:val="none"/>
                <w:u w:val="single"/>
              </w:rPr>
              <w:t>5</w:t>
            </w:r>
            <w:r>
              <w:rPr>
                <w:rFonts w:hint="default"/>
                <w:color w:val="auto"/>
                <w:kern w:val="0"/>
                <w:szCs w:val="24"/>
                <w:highlight w:val="none"/>
                <w:u w:val="single"/>
              </w:rPr>
              <w:t>年  月  日  时  分</w:t>
            </w:r>
          </w:p>
        </w:tc>
      </w:tr>
      <w:tr>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4.2.3</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投标文件是否退还</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00" w:lineRule="exact"/>
              <w:ind w:left="0" w:right="0"/>
              <w:rPr>
                <w:rFonts w:hint="default"/>
                <w:color w:val="auto"/>
                <w:sz w:val="24"/>
                <w:highlight w:val="none"/>
              </w:rPr>
            </w:pPr>
            <w:r>
              <w:rPr>
                <w:rFonts w:hint="default"/>
                <w:color w:val="auto"/>
                <w:spacing w:val="-2"/>
                <w:position w:val="1"/>
                <w:sz w:val="24"/>
                <w:szCs w:val="20"/>
                <w:highlight w:val="none"/>
                <w:bdr w:val="single" w:color="auto" w:sz="4" w:space="0"/>
              </w:rPr>
              <w:t>√</w:t>
            </w:r>
            <w:r>
              <w:rPr>
                <w:rFonts w:hint="default"/>
                <w:color w:val="auto"/>
                <w:sz w:val="24"/>
                <w:highlight w:val="none"/>
              </w:rPr>
              <w:t>否</w:t>
            </w:r>
          </w:p>
          <w:p>
            <w:pPr>
              <w:keepNext w:val="0"/>
              <w:keepLines w:val="0"/>
              <w:suppressLineNumbers w:val="0"/>
              <w:topLinePunct/>
              <w:spacing w:before="0" w:beforeAutospacing="0" w:after="0" w:afterAutospacing="0" w:line="400" w:lineRule="exact"/>
              <w:ind w:left="0" w:right="0"/>
              <w:rPr>
                <w:rFonts w:hint="default"/>
                <w:color w:val="auto"/>
                <w:highlight w:val="none"/>
              </w:rPr>
            </w:pPr>
            <w:r>
              <w:rPr>
                <w:rFonts w:hint="default"/>
                <w:color w:val="auto"/>
                <w:sz w:val="32"/>
                <w:szCs w:val="20"/>
                <w:highlight w:val="none"/>
              </w:rPr>
              <w:t>□</w:t>
            </w:r>
            <w:r>
              <w:rPr>
                <w:rFonts w:hint="default"/>
                <w:color w:val="auto"/>
                <w:highlight w:val="none"/>
              </w:rPr>
              <w:t>是，退还时间：</w:t>
            </w:r>
          </w:p>
        </w:tc>
      </w:tr>
      <w:tr>
        <w:tblPrEx>
          <w:tblCellMar>
            <w:top w:w="0" w:type="dxa"/>
            <w:left w:w="108" w:type="dxa"/>
            <w:bottom w:w="0" w:type="dxa"/>
            <w:right w:w="108" w:type="dxa"/>
          </w:tblCellMar>
        </w:tblPrEx>
        <w:trPr>
          <w:trHeight w:val="545"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5.1（B）</w:t>
            </w:r>
          </w:p>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（新增）</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开标时间和地点</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default"/>
                <w:color w:val="auto"/>
                <w:szCs w:val="21"/>
                <w:highlight w:val="none"/>
              </w:rPr>
            </w:pPr>
            <w:r>
              <w:rPr>
                <w:rFonts w:hint="default"/>
                <w:color w:val="auto"/>
                <w:szCs w:val="21"/>
                <w:highlight w:val="none"/>
              </w:rPr>
              <w:t>本电子招投标项目在本章4.2.1项规定的投标截止时间（开标时间），在广州公共资源交易中心公开开标，并邀请所有投标人的法定代表人或其委托代理人准时参加。</w:t>
            </w:r>
          </w:p>
          <w:p>
            <w:pPr>
              <w:keepNext w:val="0"/>
              <w:keepLines w:val="0"/>
              <w:suppressLineNumbers w:val="0"/>
              <w:spacing w:before="0" w:beforeAutospacing="0" w:after="0" w:afterAutospacing="0" w:line="440" w:lineRule="exact"/>
              <w:ind w:left="0" w:right="0"/>
              <w:jc w:val="left"/>
              <w:rPr>
                <w:rFonts w:hint="default"/>
                <w:color w:val="auto"/>
                <w:highlight w:val="none"/>
              </w:rPr>
            </w:pPr>
            <w:r>
              <w:rPr>
                <w:rFonts w:hint="default"/>
                <w:color w:val="auto"/>
                <w:szCs w:val="21"/>
                <w:highlight w:val="none"/>
              </w:rPr>
              <w:t>开标时，投标人代表有权出席开标会，也可以自主决定不参加开标会，若投标人代表对开标过程提出异议，该投标人代表须同时出示本人身份证原件。</w:t>
            </w:r>
          </w:p>
        </w:tc>
      </w:tr>
      <w:tr>
        <w:tblPrEx>
          <w:tblCellMar>
            <w:top w:w="0" w:type="dxa"/>
            <w:left w:w="108" w:type="dxa"/>
            <w:bottom w:w="0" w:type="dxa"/>
            <w:right w:w="108" w:type="dxa"/>
          </w:tblCellMar>
        </w:tblPrEx>
        <w:trPr>
          <w:trHeight w:val="381"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5.2</w:t>
            </w:r>
          </w:p>
          <w:p>
            <w:pPr>
              <w:keepNext w:val="0"/>
              <w:keepLines w:val="0"/>
              <w:suppressLineNumbers w:val="0"/>
              <w:spacing w:before="0" w:beforeAutospacing="0" w:after="0" w:afterAutospacing="0" w:line="440" w:lineRule="exact"/>
              <w:ind w:left="0" w:right="0"/>
              <w:jc w:val="center"/>
              <w:rPr>
                <w:rFonts w:hint="default"/>
                <w:color w:val="auto"/>
                <w:szCs w:val="24"/>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电子招投标开标程序</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default"/>
                <w:color w:val="auto"/>
                <w:szCs w:val="24"/>
                <w:highlight w:val="none"/>
              </w:rPr>
              <w:t>电子招投标项目开标按下列程序进行：</w:t>
            </w:r>
          </w:p>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default"/>
                <w:color w:val="auto"/>
                <w:szCs w:val="24"/>
                <w:highlight w:val="none"/>
              </w:rPr>
              <w:t>5.2.1主持人按下列程序进行开标：</w:t>
            </w:r>
          </w:p>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default"/>
                <w:color w:val="auto"/>
                <w:szCs w:val="24"/>
                <w:highlight w:val="none"/>
              </w:rPr>
              <w:t>（1）宣布开标纪律；</w:t>
            </w:r>
          </w:p>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default"/>
                <w:color w:val="auto"/>
                <w:szCs w:val="24"/>
                <w:highlight w:val="none"/>
              </w:rPr>
              <w:t>（2）公布在投标截止时间前递交投标文件的投标人名称；</w:t>
            </w:r>
          </w:p>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default"/>
                <w:color w:val="auto"/>
                <w:szCs w:val="24"/>
                <w:highlight w:val="none"/>
              </w:rPr>
              <w:t>（3）宣布开标人、唱标人、记录人、监标人等有关人员姓名；</w:t>
            </w:r>
          </w:p>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default"/>
                <w:color w:val="auto"/>
                <w:szCs w:val="24"/>
                <w:highlight w:val="none"/>
              </w:rPr>
              <w:t>（4）</w:t>
            </w:r>
            <w:r>
              <w:rPr>
                <w:rFonts w:hint="eastAsia"/>
                <w:color w:val="auto"/>
                <w:szCs w:val="21"/>
                <w:highlight w:val="none"/>
              </w:rPr>
              <w:t>开标前，首先由招标人从</w:t>
            </w:r>
            <w:r>
              <w:rPr>
                <w:rFonts w:hint="default"/>
                <w:color w:val="auto"/>
                <w:szCs w:val="21"/>
                <w:highlight w:val="none"/>
              </w:rPr>
              <w:t>1</w:t>
            </w:r>
            <w:r>
              <w:rPr>
                <w:rFonts w:hint="eastAsia"/>
                <w:color w:val="auto"/>
                <w:szCs w:val="21"/>
                <w:highlight w:val="none"/>
              </w:rPr>
              <w:t>％、</w:t>
            </w:r>
            <w:r>
              <w:rPr>
                <w:rFonts w:hint="default"/>
                <w:color w:val="auto"/>
                <w:szCs w:val="21"/>
                <w:highlight w:val="none"/>
              </w:rPr>
              <w:t>3</w:t>
            </w:r>
            <w:r>
              <w:rPr>
                <w:rFonts w:hint="eastAsia"/>
                <w:color w:val="auto"/>
                <w:szCs w:val="21"/>
                <w:highlight w:val="none"/>
              </w:rPr>
              <w:t>％、</w:t>
            </w:r>
            <w:r>
              <w:rPr>
                <w:rFonts w:hint="default"/>
                <w:color w:val="auto"/>
                <w:szCs w:val="21"/>
                <w:highlight w:val="none"/>
              </w:rPr>
              <w:t>5</w:t>
            </w:r>
            <w:r>
              <w:rPr>
                <w:rFonts w:hint="eastAsia"/>
                <w:color w:val="auto"/>
                <w:szCs w:val="21"/>
                <w:highlight w:val="none"/>
              </w:rPr>
              <w:t>％的评标参考价候选下浮点数中，现场随机抽取确定本项目计算评标参考价的下浮点数</w:t>
            </w:r>
            <w:r>
              <w:rPr>
                <w:rFonts w:hint="default"/>
                <w:color w:val="auto"/>
                <w:szCs w:val="21"/>
                <w:highlight w:val="none"/>
              </w:rPr>
              <w:t>X</w:t>
            </w:r>
            <w:r>
              <w:rPr>
                <w:rFonts w:hint="eastAsia"/>
                <w:color w:val="auto"/>
                <w:szCs w:val="21"/>
                <w:highlight w:val="none"/>
              </w:rPr>
              <w:t>。</w:t>
            </w:r>
            <w:r>
              <w:rPr>
                <w:rFonts w:hint="default"/>
                <w:color w:val="auto"/>
                <w:szCs w:val="24"/>
                <w:highlight w:val="none"/>
              </w:rPr>
              <w:t>投标人通过电子招标投标交易平台对已递交的电子投标文件进行解密，公布招标项目名称、投标人名称、投标保证金的递交情况、投标报价及其他内容，并记录在案；</w:t>
            </w:r>
          </w:p>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default"/>
                <w:color w:val="auto"/>
                <w:szCs w:val="24"/>
                <w:highlight w:val="none"/>
              </w:rPr>
              <w:t>（5）投标人代表、招标人代表、监标人、记录人等有关人员在开标记录上签字确认；若有关人员不签字的，不影响开标程序；</w:t>
            </w:r>
          </w:p>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default"/>
                <w:color w:val="auto"/>
                <w:szCs w:val="24"/>
                <w:highlight w:val="none"/>
              </w:rPr>
              <w:t>（6）开标结束。</w:t>
            </w:r>
          </w:p>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default"/>
                <w:color w:val="auto"/>
                <w:szCs w:val="24"/>
                <w:highlight w:val="none"/>
              </w:rPr>
              <w:t>5.2.2投标截止时间前未完成投标文件传输的或因投标人之外的原因（如：网络瘫痪、服务器损坏、交易系统故障短期无法恢复等因素）造成投标文件未解密的，视为投标人其撤回投标文件。因投标人原因造成投标文件未解密的或未在投标截止时间后</w:t>
            </w:r>
            <w:r>
              <w:rPr>
                <w:rFonts w:hint="default"/>
                <w:color w:val="auto"/>
                <w:szCs w:val="24"/>
                <w:highlight w:val="none"/>
                <w:u w:val="single"/>
              </w:rPr>
              <w:t>半小时内</w:t>
            </w:r>
            <w:r>
              <w:rPr>
                <w:rFonts w:hint="default"/>
                <w:color w:val="auto"/>
                <w:szCs w:val="24"/>
                <w:highlight w:val="none"/>
              </w:rPr>
              <w:t>解密的且未提交备用光盘的，视为撤销其投标文件。</w:t>
            </w:r>
          </w:p>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default"/>
                <w:color w:val="auto"/>
                <w:szCs w:val="24"/>
                <w:highlight w:val="none"/>
              </w:rPr>
              <w:t>5.2.3开标时，两个（含两个）以上的投标人加密打包投标文件电脑机器特征码一致的，不参与下一程序，并由评标委员会否决其投标。</w:t>
            </w:r>
          </w:p>
        </w:tc>
      </w:tr>
      <w:tr>
        <w:tblPrEx>
          <w:tblCellMar>
            <w:top w:w="0" w:type="dxa"/>
            <w:left w:w="108" w:type="dxa"/>
            <w:bottom w:w="0" w:type="dxa"/>
            <w:right w:w="108" w:type="dxa"/>
          </w:tblCellMar>
        </w:tblPrEx>
        <w:trPr>
          <w:trHeight w:val="880"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6.1.1</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评标委员会的组建</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pacing w:val="-7"/>
                <w:szCs w:val="24"/>
                <w:highlight w:val="none"/>
                <w:u w:val="single"/>
              </w:rPr>
            </w:pPr>
            <w:r>
              <w:rPr>
                <w:rFonts w:hint="default"/>
                <w:color w:val="auto"/>
                <w:highlight w:val="none"/>
              </w:rPr>
              <w:t>评标专家确定方式：评标委员会依法组建。</w:t>
            </w:r>
          </w:p>
        </w:tc>
      </w:tr>
      <w:tr>
        <w:tblPrEx>
          <w:tblCellMar>
            <w:top w:w="0" w:type="dxa"/>
            <w:left w:w="108" w:type="dxa"/>
            <w:bottom w:w="0" w:type="dxa"/>
            <w:right w:w="108" w:type="dxa"/>
          </w:tblCellMar>
        </w:tblPrEx>
        <w:trPr>
          <w:trHeight w:val="880"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6.3.2</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1"/>
                <w:highlight w:val="none"/>
                <w:u w:val="single"/>
              </w:rPr>
            </w:pPr>
            <w:r>
              <w:rPr>
                <w:rFonts w:hint="default"/>
                <w:color w:val="auto"/>
                <w:szCs w:val="21"/>
                <w:highlight w:val="none"/>
                <w:u w:val="single"/>
              </w:rPr>
              <w:t>评标委员会推荐中标候选人的人数</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1"/>
                <w:highlight w:val="none"/>
                <w:u w:val="single"/>
              </w:rPr>
            </w:pPr>
            <w:r>
              <w:rPr>
                <w:rFonts w:hint="default"/>
                <w:color w:val="auto"/>
                <w:szCs w:val="21"/>
                <w:highlight w:val="none"/>
                <w:u w:val="single"/>
              </w:rPr>
              <w:t>3人。若可推荐的单位不足3人时，按能推荐的最大数推荐。</w:t>
            </w:r>
          </w:p>
        </w:tc>
      </w:tr>
      <w:tr>
        <w:tblPrEx>
          <w:tblCellMar>
            <w:top w:w="0" w:type="dxa"/>
            <w:left w:w="108" w:type="dxa"/>
            <w:bottom w:w="0" w:type="dxa"/>
            <w:right w:w="108" w:type="dxa"/>
          </w:tblCellMar>
        </w:tblPrEx>
        <w:trPr>
          <w:trHeight w:val="880"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7.1</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auto"/>
                <w:szCs w:val="24"/>
                <w:highlight w:val="none"/>
              </w:rPr>
            </w:pPr>
            <w:r>
              <w:rPr>
                <w:rFonts w:hint="default"/>
                <w:color w:val="auto"/>
                <w:szCs w:val="24"/>
                <w:highlight w:val="none"/>
              </w:rPr>
              <w:t>中标候选人公示媒介及期限</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1"/>
                <w:highlight w:val="none"/>
                <w:u w:val="single"/>
              </w:rPr>
            </w:pPr>
            <w:r>
              <w:rPr>
                <w:rFonts w:hint="default"/>
                <w:color w:val="auto"/>
                <w:szCs w:val="21"/>
                <w:highlight w:val="none"/>
              </w:rPr>
              <w:t>公示媒介：</w:t>
            </w:r>
            <w:r>
              <w:rPr>
                <w:rFonts w:hint="default"/>
                <w:color w:val="auto"/>
                <w:szCs w:val="21"/>
                <w:highlight w:val="none"/>
                <w:u w:val="single"/>
              </w:rPr>
              <w:t>广州公共资源交易网、中国招标投标公共服务平台、广东省招标投标监管网</w:t>
            </w:r>
            <w:r>
              <w:rPr>
                <w:rFonts w:hint="eastAsia"/>
                <w:color w:val="auto"/>
                <w:szCs w:val="21"/>
                <w:highlight w:val="none"/>
                <w:u w:val="single"/>
              </w:rPr>
              <w:t>、广东省公共资源交易平台</w:t>
            </w:r>
            <w:r>
              <w:rPr>
                <w:rFonts w:hint="default"/>
                <w:color w:val="auto"/>
                <w:szCs w:val="21"/>
                <w:highlight w:val="none"/>
                <w:u w:val="single"/>
              </w:rPr>
              <w:t>和</w:t>
            </w:r>
            <w:r>
              <w:rPr>
                <w:rFonts w:hint="eastAsia"/>
                <w:color w:val="auto"/>
                <w:szCs w:val="21"/>
                <w:highlight w:val="none"/>
                <w:u w:val="single"/>
              </w:rPr>
              <w:t>广咨电子招投标交易平台、</w:t>
            </w:r>
            <w:r>
              <w:rPr>
                <w:rFonts w:hint="default"/>
                <w:color w:val="auto"/>
                <w:szCs w:val="21"/>
                <w:highlight w:val="none"/>
                <w:u w:val="single"/>
              </w:rPr>
              <w:t>东莞市轨道交通有限公司官网。</w:t>
            </w:r>
          </w:p>
          <w:p>
            <w:pPr>
              <w:keepNext w:val="0"/>
              <w:keepLines w:val="0"/>
              <w:suppressLineNumbers w:val="0"/>
              <w:spacing w:before="0" w:beforeAutospacing="0" w:after="0" w:afterAutospacing="0" w:line="440" w:lineRule="exact"/>
              <w:ind w:left="0" w:right="0"/>
              <w:rPr>
                <w:rFonts w:hint="default"/>
                <w:color w:val="auto"/>
                <w:szCs w:val="21"/>
                <w:highlight w:val="none"/>
                <w:u w:val="single"/>
              </w:rPr>
            </w:pPr>
            <w:r>
              <w:rPr>
                <w:rFonts w:hint="default"/>
                <w:color w:val="auto"/>
                <w:szCs w:val="21"/>
                <w:highlight w:val="none"/>
              </w:rPr>
              <w:t>公示期限：</w:t>
            </w:r>
            <w:r>
              <w:rPr>
                <w:rFonts w:hint="default"/>
                <w:color w:val="auto"/>
                <w:szCs w:val="21"/>
                <w:highlight w:val="none"/>
                <w:u w:val="single"/>
              </w:rPr>
              <w:t xml:space="preserve">  3  日</w:t>
            </w:r>
            <w:r>
              <w:rPr>
                <w:rFonts w:hint="default"/>
                <w:color w:val="auto"/>
                <w:szCs w:val="21"/>
                <w:highlight w:val="none"/>
              </w:rPr>
              <w:t>，公示结束日为工作日。</w:t>
            </w:r>
          </w:p>
          <w:p>
            <w:pPr>
              <w:pStyle w:val="26"/>
              <w:keepNext w:val="0"/>
              <w:keepLines w:val="0"/>
              <w:suppressLineNumbers w:val="0"/>
              <w:spacing w:before="0" w:beforeAutospacing="0" w:after="0" w:afterAutospacing="0"/>
              <w:ind w:left="0" w:right="0"/>
              <w:rPr>
                <w:rFonts w:hint="default"/>
                <w:color w:val="auto"/>
                <w:szCs w:val="24"/>
                <w:highlight w:val="none"/>
              </w:rPr>
            </w:pPr>
          </w:p>
        </w:tc>
      </w:tr>
      <w:tr>
        <w:tblPrEx>
          <w:tblCellMar>
            <w:top w:w="0" w:type="dxa"/>
            <w:left w:w="108" w:type="dxa"/>
            <w:bottom w:w="0" w:type="dxa"/>
            <w:right w:w="108" w:type="dxa"/>
          </w:tblCellMar>
        </w:tblPrEx>
        <w:trPr>
          <w:trHeight w:val="880"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7.4</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是否授权评标委员会确定中标人</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 w:val="32"/>
                <w:szCs w:val="24"/>
                <w:highlight w:val="none"/>
              </w:rPr>
              <w:t>□</w:t>
            </w:r>
            <w:r>
              <w:rPr>
                <w:rFonts w:hint="default"/>
                <w:color w:val="auto"/>
                <w:szCs w:val="24"/>
                <w:highlight w:val="none"/>
              </w:rPr>
              <w:t>是</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pacing w:val="-2"/>
                <w:position w:val="1"/>
                <w:szCs w:val="24"/>
                <w:highlight w:val="none"/>
                <w:bdr w:val="single" w:color="auto" w:sz="4" w:space="0"/>
              </w:rPr>
              <w:t>√</w:t>
            </w:r>
            <w:r>
              <w:rPr>
                <w:rFonts w:hint="default"/>
                <w:color w:val="auto"/>
                <w:szCs w:val="24"/>
                <w:highlight w:val="none"/>
              </w:rPr>
              <w:t>否</w:t>
            </w:r>
          </w:p>
          <w:p>
            <w:pPr>
              <w:keepNext w:val="0"/>
              <w:keepLines w:val="0"/>
              <w:suppressLineNumbers w:val="0"/>
              <w:snapToGrid w:val="0"/>
              <w:spacing w:before="0" w:beforeAutospacing="0" w:after="0" w:afterAutospacing="0" w:line="360" w:lineRule="auto"/>
              <w:ind w:left="0" w:right="0"/>
              <w:rPr>
                <w:rFonts w:hint="default"/>
                <w:color w:val="auto"/>
                <w:szCs w:val="24"/>
                <w:highlight w:val="none"/>
              </w:rPr>
            </w:pPr>
            <w:r>
              <w:rPr>
                <w:rFonts w:hint="default"/>
                <w:color w:val="auto"/>
                <w:szCs w:val="24"/>
                <w:highlight w:val="none"/>
              </w:rPr>
              <w:t>补充说明：</w:t>
            </w:r>
          </w:p>
          <w:p>
            <w:pPr>
              <w:keepNext w:val="0"/>
              <w:keepLines w:val="0"/>
              <w:suppressLineNumbers w:val="0"/>
              <w:snapToGrid w:val="0"/>
              <w:spacing w:before="0" w:beforeAutospacing="0" w:after="0" w:afterAutospacing="0" w:line="360" w:lineRule="auto"/>
              <w:ind w:left="0" w:right="0"/>
              <w:rPr>
                <w:rFonts w:hint="default"/>
                <w:color w:val="auto"/>
                <w:szCs w:val="24"/>
                <w:highlight w:val="none"/>
              </w:rPr>
            </w:pPr>
            <w:r>
              <w:rPr>
                <w:rFonts w:hint="default"/>
                <w:color w:val="auto"/>
                <w:szCs w:val="24"/>
                <w:highlight w:val="none"/>
              </w:rPr>
              <w:t>（1）招标人根据评标报告，最终审定中标人。</w:t>
            </w:r>
          </w:p>
          <w:p>
            <w:pPr>
              <w:keepNext w:val="0"/>
              <w:keepLines w:val="0"/>
              <w:suppressLineNumbers w:val="0"/>
              <w:snapToGrid w:val="0"/>
              <w:spacing w:before="0" w:beforeAutospacing="0" w:after="0" w:afterAutospacing="0" w:line="360" w:lineRule="auto"/>
              <w:ind w:left="0" w:right="0"/>
              <w:rPr>
                <w:rFonts w:hint="default"/>
                <w:color w:val="auto"/>
                <w:szCs w:val="21"/>
                <w:highlight w:val="none"/>
              </w:rPr>
            </w:pPr>
            <w:r>
              <w:rPr>
                <w:rFonts w:hint="default"/>
                <w:color w:val="auto"/>
                <w:szCs w:val="21"/>
                <w:highlight w:val="none"/>
              </w:rPr>
              <w:t>（2）依法必须进行公开招标的项目，招标人应当确定排名第一的中标候选人为中标人。</w:t>
            </w:r>
          </w:p>
          <w:p>
            <w:pPr>
              <w:keepNext w:val="0"/>
              <w:keepLines w:val="0"/>
              <w:suppressLineNumbers w:val="0"/>
              <w:snapToGrid w:val="0"/>
              <w:spacing w:before="0" w:beforeAutospacing="0" w:after="0" w:afterAutospacing="0" w:line="360" w:lineRule="auto"/>
              <w:ind w:left="0" w:right="0"/>
              <w:rPr>
                <w:rFonts w:hint="default"/>
                <w:color w:val="auto"/>
                <w:szCs w:val="21"/>
                <w:highlight w:val="none"/>
              </w:rPr>
            </w:pPr>
            <w:r>
              <w:rPr>
                <w:rFonts w:hint="default"/>
                <w:color w:val="auto"/>
                <w:szCs w:val="21"/>
                <w:highlight w:val="none"/>
              </w:rPr>
              <w:t>（3）排名第一的中标候选人放弃中标、因不可抗力不能履行合同、不按照招标文件要求提交履约保证金，或者被查实存在影响中标结果的违法行为等情形，不符合中标条件的，</w:t>
            </w:r>
            <w:bookmarkStart w:id="163" w:name="OLE_LINK3"/>
            <w:r>
              <w:rPr>
                <w:rFonts w:hint="eastAsia"/>
                <w:color w:val="auto"/>
                <w:szCs w:val="21"/>
                <w:highlight w:val="none"/>
              </w:rPr>
              <w:t>招标人可以按照评标委员会提出的中标候选人名单排序依次确定其他中标候选人为中标人。</w:t>
            </w:r>
            <w:bookmarkEnd w:id="163"/>
          </w:p>
        </w:tc>
      </w:tr>
      <w:tr>
        <w:tblPrEx>
          <w:tblCellMar>
            <w:top w:w="0" w:type="dxa"/>
            <w:left w:w="108" w:type="dxa"/>
            <w:bottom w:w="0" w:type="dxa"/>
            <w:right w:w="108" w:type="dxa"/>
          </w:tblCellMar>
        </w:tblPrEx>
        <w:trPr>
          <w:trHeight w:val="880"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7.6.1</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履约保证金</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00" w:lineRule="exact"/>
              <w:ind w:left="0" w:right="0"/>
              <w:rPr>
                <w:rFonts w:hint="default"/>
                <w:color w:val="auto"/>
                <w:szCs w:val="21"/>
                <w:highlight w:val="none"/>
              </w:rPr>
            </w:pPr>
            <w:r>
              <w:rPr>
                <w:rFonts w:hint="default"/>
                <w:color w:val="auto"/>
                <w:szCs w:val="21"/>
                <w:highlight w:val="none"/>
              </w:rPr>
              <w:t>是否要求中标人提交履约保证金：</w:t>
            </w:r>
          </w:p>
          <w:p>
            <w:pPr>
              <w:keepNext w:val="0"/>
              <w:keepLines w:val="0"/>
              <w:suppressLineNumbers w:val="0"/>
              <w:topLinePunct/>
              <w:spacing w:before="0" w:beforeAutospacing="0" w:after="120" w:afterAutospacing="0" w:line="400" w:lineRule="exact"/>
              <w:ind w:left="0" w:right="0"/>
              <w:rPr>
                <w:rFonts w:hint="default"/>
                <w:color w:val="auto"/>
                <w:szCs w:val="21"/>
                <w:highlight w:val="none"/>
                <w:u w:val="single"/>
              </w:rPr>
            </w:pPr>
            <w:r>
              <w:rPr>
                <w:rFonts w:hint="default"/>
                <w:color w:val="auto"/>
                <w:spacing w:val="-2"/>
                <w:position w:val="1"/>
                <w:szCs w:val="24"/>
                <w:highlight w:val="none"/>
                <w:bdr w:val="single" w:color="auto" w:sz="4" w:space="0"/>
              </w:rPr>
              <w:t>√</w:t>
            </w:r>
            <w:r>
              <w:rPr>
                <w:rFonts w:hint="default"/>
                <w:color w:val="auto"/>
                <w:szCs w:val="21"/>
                <w:highlight w:val="none"/>
              </w:rPr>
              <w:t>要求，</w:t>
            </w:r>
            <w:r>
              <w:rPr>
                <w:rFonts w:hint="eastAsia"/>
                <w:color w:val="auto"/>
                <w:szCs w:val="21"/>
                <w:highlight w:val="none"/>
              </w:rPr>
              <w:t>履约保证金的形式：在合同签订前，中标人可采用银行保函向招标人提交履约担保或支付履约保证金到招标人账户；如果中标人的履约担保是以银行保函的形式提供，则该银行保函应由支行或其他以上级别银行出具的无条件不可撤销、见索即付、独立的履约保函。非东莞市行政区域内的担保机构出具的履约保函需经担保机构所在地公证机关公证并出具公证书，执行本款所发生的费用由</w:t>
            </w:r>
            <w:r>
              <w:rPr>
                <w:rFonts w:hint="eastAsia"/>
                <w:color w:val="auto"/>
                <w:szCs w:val="21"/>
                <w:highlight w:val="none"/>
                <w:lang w:val="en-US" w:eastAsia="zh-CN"/>
              </w:rPr>
              <w:t>中标</w:t>
            </w:r>
            <w:r>
              <w:rPr>
                <w:rFonts w:hint="eastAsia"/>
                <w:color w:val="auto"/>
                <w:szCs w:val="21"/>
                <w:highlight w:val="none"/>
              </w:rPr>
              <w:t>人承担。</w:t>
            </w:r>
          </w:p>
          <w:p>
            <w:pPr>
              <w:keepNext w:val="0"/>
              <w:keepLines w:val="0"/>
              <w:suppressLineNumbers w:val="0"/>
              <w:spacing w:before="0" w:beforeAutospacing="0" w:after="0" w:afterAutospacing="0" w:line="440" w:lineRule="exact"/>
              <w:ind w:left="0" w:right="0"/>
              <w:rPr>
                <w:rFonts w:hint="default"/>
                <w:color w:val="auto"/>
                <w:szCs w:val="21"/>
                <w:highlight w:val="none"/>
                <w:u w:val="single"/>
              </w:rPr>
            </w:pPr>
            <w:r>
              <w:rPr>
                <w:rFonts w:hint="default"/>
                <w:color w:val="auto"/>
                <w:szCs w:val="21"/>
                <w:highlight w:val="none"/>
              </w:rPr>
              <w:t>履约保证金的金额：</w:t>
            </w:r>
            <w:r>
              <w:rPr>
                <w:rFonts w:hint="default"/>
                <w:color w:val="auto"/>
                <w:szCs w:val="21"/>
                <w:highlight w:val="none"/>
                <w:u w:val="single"/>
              </w:rPr>
              <w:t>中标价的10％。</w:t>
            </w:r>
          </w:p>
          <w:p>
            <w:pPr>
              <w:keepNext w:val="0"/>
              <w:keepLines w:val="0"/>
              <w:suppressLineNumbers w:val="0"/>
              <w:tabs>
                <w:tab w:val="center" w:pos="4153"/>
                <w:tab w:val="right" w:pos="8306"/>
              </w:tabs>
              <w:spacing w:before="0" w:beforeAutospacing="0" w:after="0" w:afterAutospacing="0" w:line="440" w:lineRule="exact"/>
              <w:ind w:left="0" w:right="0"/>
              <w:rPr>
                <w:rFonts w:hint="default"/>
                <w:color w:val="auto"/>
                <w:szCs w:val="21"/>
                <w:highlight w:val="none"/>
              </w:rPr>
            </w:pPr>
            <w:r>
              <w:rPr>
                <w:rFonts w:hint="default"/>
                <w:color w:val="auto"/>
                <w:szCs w:val="21"/>
                <w:highlight w:val="none"/>
              </w:rPr>
              <w:t>履约保证金汇入以下专用账户：</w:t>
            </w:r>
          </w:p>
          <w:p>
            <w:pPr>
              <w:keepNext w:val="0"/>
              <w:keepLines w:val="0"/>
              <w:suppressLineNumbers w:val="0"/>
              <w:tabs>
                <w:tab w:val="center" w:pos="4153"/>
                <w:tab w:val="right" w:pos="8306"/>
              </w:tabs>
              <w:spacing w:before="0" w:beforeAutospacing="0" w:after="0" w:afterAutospacing="0" w:line="440" w:lineRule="exact"/>
              <w:ind w:left="0" w:right="0"/>
              <w:rPr>
                <w:rFonts w:hint="eastAsia"/>
                <w:color w:val="0000FF"/>
                <w:szCs w:val="21"/>
                <w:highlight w:val="none"/>
              </w:rPr>
            </w:pPr>
            <w:r>
              <w:rPr>
                <w:rFonts w:hint="eastAsia"/>
                <w:color w:val="0000FF"/>
                <w:szCs w:val="21"/>
                <w:highlight w:val="none"/>
              </w:rPr>
              <w:t>开户名称：东莞市轨道一号线建设发展有限公司</w:t>
            </w:r>
          </w:p>
          <w:p>
            <w:pPr>
              <w:keepNext w:val="0"/>
              <w:keepLines w:val="0"/>
              <w:suppressLineNumbers w:val="0"/>
              <w:tabs>
                <w:tab w:val="center" w:pos="4153"/>
                <w:tab w:val="right" w:pos="8306"/>
              </w:tabs>
              <w:spacing w:before="0" w:beforeAutospacing="0" w:after="0" w:afterAutospacing="0" w:line="440" w:lineRule="exact"/>
              <w:ind w:left="0" w:right="0"/>
              <w:rPr>
                <w:rFonts w:hint="eastAsia"/>
                <w:color w:val="0000FF"/>
                <w:szCs w:val="21"/>
                <w:highlight w:val="none"/>
              </w:rPr>
            </w:pPr>
            <w:r>
              <w:rPr>
                <w:rFonts w:hint="eastAsia"/>
                <w:color w:val="0000FF"/>
                <w:szCs w:val="21"/>
                <w:highlight w:val="none"/>
                <w:lang w:val="en-US" w:eastAsia="zh-CN"/>
              </w:rPr>
              <w:t>开户行</w:t>
            </w:r>
            <w:r>
              <w:rPr>
                <w:rFonts w:hint="eastAsia"/>
                <w:color w:val="0000FF"/>
                <w:szCs w:val="21"/>
                <w:highlight w:val="none"/>
              </w:rPr>
              <w:t>：东莞银行股份有限公司中心区支行</w:t>
            </w:r>
          </w:p>
          <w:p>
            <w:pPr>
              <w:keepNext w:val="0"/>
              <w:keepLines w:val="0"/>
              <w:suppressLineNumbers w:val="0"/>
              <w:spacing w:before="0" w:beforeAutospacing="0" w:after="0" w:afterAutospacing="0" w:line="440" w:lineRule="exact"/>
              <w:ind w:left="0" w:right="0"/>
              <w:rPr>
                <w:rFonts w:hint="eastAsia"/>
                <w:color w:val="0000FF"/>
                <w:szCs w:val="21"/>
                <w:highlight w:val="none"/>
              </w:rPr>
            </w:pPr>
            <w:r>
              <w:rPr>
                <w:rFonts w:hint="eastAsia"/>
                <w:color w:val="0000FF"/>
                <w:szCs w:val="21"/>
                <w:highlight w:val="none"/>
              </w:rPr>
              <w:t>账号：570000101822222</w:t>
            </w:r>
          </w:p>
          <w:p>
            <w:pPr>
              <w:pStyle w:val="26"/>
              <w:keepNext w:val="0"/>
              <w:keepLines w:val="0"/>
              <w:suppressLineNumbers w:val="0"/>
              <w:spacing w:before="0" w:beforeAutospacing="0" w:after="0" w:afterAutospacing="0"/>
              <w:ind w:left="0" w:right="0"/>
              <w:rPr>
                <w:rFonts w:hint="default"/>
                <w:color w:val="auto"/>
                <w:highlight w:val="none"/>
              </w:rPr>
            </w:pPr>
          </w:p>
          <w:p>
            <w:pPr>
              <w:keepNext w:val="0"/>
              <w:keepLines w:val="0"/>
              <w:suppressLineNumbers w:val="0"/>
              <w:topLinePunct/>
              <w:spacing w:before="0" w:beforeAutospacing="0" w:after="0" w:afterAutospacing="0" w:line="400" w:lineRule="exact"/>
              <w:ind w:left="0" w:right="0"/>
              <w:rPr>
                <w:rFonts w:hint="default"/>
                <w:color w:val="auto"/>
                <w:highlight w:val="none"/>
              </w:rPr>
            </w:pPr>
            <w:r>
              <w:rPr>
                <w:rFonts w:hint="default"/>
                <w:color w:val="auto"/>
                <w:sz w:val="32"/>
                <w:szCs w:val="20"/>
                <w:highlight w:val="none"/>
              </w:rPr>
              <w:t>□</w:t>
            </w:r>
            <w:r>
              <w:rPr>
                <w:rFonts w:hint="default"/>
                <w:color w:val="auto"/>
                <w:highlight w:val="none"/>
              </w:rPr>
              <w:t>不要求</w:t>
            </w:r>
          </w:p>
        </w:tc>
      </w:tr>
      <w:tr>
        <w:tblPrEx>
          <w:tblCellMar>
            <w:top w:w="0" w:type="dxa"/>
            <w:left w:w="108" w:type="dxa"/>
            <w:bottom w:w="0" w:type="dxa"/>
            <w:right w:w="108" w:type="dxa"/>
          </w:tblCellMar>
        </w:tblPrEx>
        <w:trPr>
          <w:trHeight w:val="880"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9</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是否采用电子招标投标</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szCs w:val="24"/>
                <w:highlight w:val="none"/>
              </w:rPr>
            </w:pPr>
            <w:r>
              <w:rPr>
                <w:rFonts w:hint="default"/>
                <w:color w:val="auto"/>
                <w:sz w:val="32"/>
                <w:szCs w:val="24"/>
                <w:highlight w:val="none"/>
              </w:rPr>
              <w:t>□</w:t>
            </w:r>
            <w:r>
              <w:rPr>
                <w:rFonts w:hint="default"/>
                <w:color w:val="auto"/>
                <w:szCs w:val="24"/>
                <w:highlight w:val="none"/>
              </w:rPr>
              <w:t>否</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pacing w:val="-2"/>
                <w:position w:val="1"/>
                <w:szCs w:val="24"/>
                <w:highlight w:val="none"/>
                <w:bdr w:val="single" w:color="auto" w:sz="4" w:space="0"/>
              </w:rPr>
              <w:t>√</w:t>
            </w:r>
            <w:r>
              <w:rPr>
                <w:rFonts w:hint="default"/>
                <w:color w:val="auto"/>
                <w:szCs w:val="24"/>
                <w:highlight w:val="none"/>
              </w:rPr>
              <w:t>是，具体要求：</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（1）具体操作详见附件《房屋建筑和市政基础设施工程全流程电子化项目操作专章》。</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（2）提交投标文件光盘备用</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投标人可制作非加密的电子投标文件（PDF格式及其相应word格式或excel格式文档）刻入光盘（1份），按招标公告规定的时间、地点提交备用。(刻录好的投标文件光盘密封在密封袋中，并在封口处加盖投标人单位公章。密封袋上应写明的内容见投标人须知前附表要求4.1.2。</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递交的投标文件（光盘）不得加密。光盘（投标文件）无法读取或导入的，则视为未提交备用投标文件光盘。如果投标人没有按规定通过交易平台网上递交电子投标文件的，不再读取提交的光盘。</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投标人也可不提交投标文件光盘(备用)。</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（3）补救方案</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投标文件解密失败的补救方案：</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评标时突发情况的补救方案</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若遇不可抗力发生（如：网络瘫痪、服务器损坏、交易系统故障短期无法恢复等因素），由评标委员会开启现场递交的全部投标文件光盘，并按光盘内容进行评审。</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除发生上述情况外，开标评标均以投标人通过交易平台网上递交的电子投标文件为准。</w:t>
            </w:r>
          </w:p>
        </w:tc>
      </w:tr>
      <w:tr>
        <w:tblPrEx>
          <w:tblCellMar>
            <w:top w:w="0" w:type="dxa"/>
            <w:left w:w="108" w:type="dxa"/>
            <w:bottom w:w="0" w:type="dxa"/>
            <w:right w:w="108" w:type="dxa"/>
          </w:tblCellMar>
        </w:tblPrEx>
        <w:trPr>
          <w:trHeight w:val="90"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10</w:t>
            </w:r>
          </w:p>
        </w:tc>
        <w:tc>
          <w:tcPr>
            <w:tcW w:w="7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kern w:val="0"/>
                <w:szCs w:val="21"/>
                <w:highlight w:val="none"/>
              </w:rPr>
            </w:pPr>
            <w:r>
              <w:rPr>
                <w:rFonts w:hint="default"/>
                <w:color w:val="auto"/>
                <w:szCs w:val="24"/>
                <w:highlight w:val="none"/>
              </w:rPr>
              <w:t>需要补充的其他内容</w:t>
            </w:r>
          </w:p>
        </w:tc>
      </w:tr>
      <w:tr>
        <w:tblPrEx>
          <w:tblCellMar>
            <w:top w:w="0" w:type="dxa"/>
            <w:left w:w="108" w:type="dxa"/>
            <w:bottom w:w="0" w:type="dxa"/>
            <w:right w:w="108" w:type="dxa"/>
          </w:tblCellMar>
        </w:tblPrEx>
        <w:trPr>
          <w:trHeight w:val="1103"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10.1</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特别提示</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highlight w:val="none"/>
              </w:rPr>
            </w:pPr>
            <w:r>
              <w:rPr>
                <w:rFonts w:hint="default"/>
                <w:color w:val="auto"/>
                <w:highlight w:val="none"/>
              </w:rPr>
              <w:t>投标人在本项目招标人的工程项目中存在下列行为的，将被拒绝一定时期内参与我单位后续工程投标。（注：拒绝投标时限由招标人视严重程度确定，最低三个月起，自招标人发出通知之日起计）：</w:t>
            </w:r>
          </w:p>
          <w:p>
            <w:pPr>
              <w:keepNext w:val="0"/>
              <w:keepLines w:val="0"/>
              <w:suppressLineNumbers w:val="0"/>
              <w:spacing w:before="0" w:beforeAutospacing="0" w:after="0" w:afterAutospacing="0" w:line="440" w:lineRule="exact"/>
              <w:ind w:left="0" w:right="0"/>
              <w:rPr>
                <w:rFonts w:hint="default"/>
                <w:color w:val="auto"/>
                <w:highlight w:val="none"/>
              </w:rPr>
            </w:pPr>
            <w:r>
              <w:rPr>
                <w:rFonts w:hint="default"/>
                <w:color w:val="auto"/>
                <w:highlight w:val="none"/>
              </w:rPr>
              <w:t>1）将中标工程转包或者违法分包的；</w:t>
            </w:r>
          </w:p>
          <w:p>
            <w:pPr>
              <w:keepNext w:val="0"/>
              <w:keepLines w:val="0"/>
              <w:suppressLineNumbers w:val="0"/>
              <w:spacing w:before="0" w:beforeAutospacing="0" w:after="0" w:afterAutospacing="0" w:line="440" w:lineRule="exact"/>
              <w:ind w:left="0" w:right="0"/>
              <w:rPr>
                <w:rFonts w:hint="default"/>
                <w:color w:val="auto"/>
                <w:highlight w:val="none"/>
              </w:rPr>
            </w:pPr>
            <w:r>
              <w:rPr>
                <w:rFonts w:hint="default"/>
                <w:color w:val="auto"/>
                <w:highlight w:val="none"/>
              </w:rPr>
              <w:t>2）在中标工程中不执行质量、安全生产相关规定的，造成质量或安全事故的；</w:t>
            </w:r>
          </w:p>
          <w:p>
            <w:pPr>
              <w:keepNext w:val="0"/>
              <w:keepLines w:val="0"/>
              <w:suppressLineNumbers w:val="0"/>
              <w:spacing w:before="0" w:beforeAutospacing="0" w:after="0" w:afterAutospacing="0" w:line="440" w:lineRule="exact"/>
              <w:ind w:left="0" w:right="0"/>
              <w:rPr>
                <w:rFonts w:hint="default"/>
                <w:color w:val="auto"/>
                <w:highlight w:val="none"/>
              </w:rPr>
            </w:pPr>
            <w:r>
              <w:rPr>
                <w:rFonts w:hint="default"/>
                <w:color w:val="auto"/>
                <w:highlight w:val="none"/>
              </w:rPr>
              <w:t>3）存在围标或串标情形的；</w:t>
            </w:r>
          </w:p>
          <w:p>
            <w:pPr>
              <w:keepNext w:val="0"/>
              <w:keepLines w:val="0"/>
              <w:suppressLineNumbers w:val="0"/>
              <w:spacing w:before="0" w:beforeAutospacing="0" w:after="0" w:afterAutospacing="0" w:line="440" w:lineRule="exact"/>
              <w:ind w:left="0" w:right="0"/>
              <w:rPr>
                <w:rFonts w:hint="default"/>
                <w:color w:val="auto"/>
                <w:highlight w:val="none"/>
              </w:rPr>
            </w:pPr>
            <w:r>
              <w:rPr>
                <w:rFonts w:hint="default"/>
                <w:color w:val="auto"/>
                <w:highlight w:val="none"/>
              </w:rPr>
              <w:t>4）存在弄虚作假骗取中标情形的；</w:t>
            </w:r>
          </w:p>
          <w:p>
            <w:pPr>
              <w:keepNext w:val="0"/>
              <w:keepLines w:val="0"/>
              <w:suppressLineNumbers w:val="0"/>
              <w:spacing w:before="0" w:beforeAutospacing="0" w:after="0" w:afterAutospacing="0" w:line="440" w:lineRule="exact"/>
              <w:ind w:left="0" w:right="0"/>
              <w:rPr>
                <w:rFonts w:hint="default"/>
                <w:color w:val="auto"/>
                <w:highlight w:val="none"/>
              </w:rPr>
            </w:pPr>
            <w:r>
              <w:rPr>
                <w:rFonts w:hint="default"/>
                <w:color w:val="auto"/>
                <w:highlight w:val="none"/>
              </w:rPr>
              <w:t>5）投标人存在投标须知前附表3.4.4条款所述情形的，招标人有权将其列入拒绝投标名单，并上报政府建设管理相关部门。</w:t>
            </w:r>
          </w:p>
          <w:p>
            <w:pPr>
              <w:keepNext w:val="0"/>
              <w:keepLines w:val="0"/>
              <w:suppressLineNumbers w:val="0"/>
              <w:spacing w:before="0" w:beforeAutospacing="0" w:after="0" w:afterAutospacing="0" w:line="440" w:lineRule="exact"/>
              <w:ind w:left="0" w:right="0"/>
              <w:rPr>
                <w:rFonts w:hint="default"/>
                <w:color w:val="auto"/>
                <w:kern w:val="0"/>
                <w:szCs w:val="21"/>
                <w:highlight w:val="none"/>
              </w:rPr>
            </w:pPr>
            <w:r>
              <w:rPr>
                <w:rFonts w:hint="default"/>
                <w:color w:val="auto"/>
                <w:highlight w:val="none"/>
              </w:rPr>
              <w:t>6）投标人存在投标须知前附表3.4.4 条款所列情形且投标人递交的银行保函、保证保险无法兑付的，招标人有权将其列入拒绝投标名单并保留追究法律责任的权利。</w:t>
            </w:r>
          </w:p>
        </w:tc>
      </w:tr>
      <w:tr>
        <w:tblPrEx>
          <w:tblCellMar>
            <w:top w:w="0" w:type="dxa"/>
            <w:left w:w="108" w:type="dxa"/>
            <w:bottom w:w="0" w:type="dxa"/>
            <w:right w:w="108" w:type="dxa"/>
          </w:tblCellMar>
        </w:tblPrEx>
        <w:trPr>
          <w:trHeight w:val="90"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10.3</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资格审查方式</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kern w:val="0"/>
                <w:szCs w:val="21"/>
                <w:highlight w:val="none"/>
              </w:rPr>
            </w:pPr>
            <w:r>
              <w:rPr>
                <w:rFonts w:hint="default"/>
                <w:color w:val="auto"/>
                <w:kern w:val="0"/>
                <w:szCs w:val="21"/>
                <w:highlight w:val="none"/>
              </w:rPr>
              <w:t>资格后审</w:t>
            </w:r>
          </w:p>
        </w:tc>
      </w:tr>
      <w:tr>
        <w:tblPrEx>
          <w:tblCellMar>
            <w:top w:w="0" w:type="dxa"/>
            <w:left w:w="108" w:type="dxa"/>
            <w:bottom w:w="0" w:type="dxa"/>
            <w:right w:w="108" w:type="dxa"/>
          </w:tblCellMar>
        </w:tblPrEx>
        <w:trPr>
          <w:trHeight w:val="1103"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10.4</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招标失败的处理</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color w:val="auto"/>
                <w:szCs w:val="21"/>
                <w:highlight w:val="none"/>
              </w:rPr>
            </w:pPr>
            <w:r>
              <w:rPr>
                <w:rFonts w:hint="eastAsia"/>
                <w:color w:val="auto"/>
                <w:szCs w:val="21"/>
                <w:highlight w:val="none"/>
              </w:rPr>
              <w:t>招标人因两次或多次招标失败，需申请改变招标方式或不招标的，应按国家招投标法及省市最新相关规定执行。</w:t>
            </w:r>
          </w:p>
        </w:tc>
      </w:tr>
      <w:tr>
        <w:tblPrEx>
          <w:tblCellMar>
            <w:top w:w="0" w:type="dxa"/>
            <w:left w:w="108" w:type="dxa"/>
            <w:bottom w:w="0" w:type="dxa"/>
            <w:right w:w="108" w:type="dxa"/>
          </w:tblCellMar>
        </w:tblPrEx>
        <w:trPr>
          <w:trHeight w:val="1886"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10.5</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价格核定原则</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kern w:val="0"/>
                <w:szCs w:val="21"/>
                <w:highlight w:val="none"/>
              </w:rPr>
            </w:pPr>
            <w:r>
              <w:rPr>
                <w:rFonts w:hint="default"/>
                <w:color w:val="auto"/>
                <w:kern w:val="0"/>
                <w:szCs w:val="21"/>
                <w:highlight w:val="none"/>
              </w:rPr>
              <w:t>签订合同前，招标人有权对中标人的投标报价进行核定，按以下原则予以修正：</w:t>
            </w:r>
          </w:p>
          <w:p>
            <w:pPr>
              <w:keepNext w:val="0"/>
              <w:keepLines w:val="0"/>
              <w:suppressLineNumbers w:val="0"/>
              <w:spacing w:before="0" w:beforeAutospacing="0" w:after="0" w:afterAutospacing="0" w:line="440" w:lineRule="exact"/>
              <w:ind w:left="0" w:right="0"/>
              <w:rPr>
                <w:rFonts w:hint="default"/>
                <w:color w:val="auto"/>
                <w:kern w:val="0"/>
                <w:szCs w:val="21"/>
                <w:highlight w:val="none"/>
              </w:rPr>
            </w:pPr>
            <w:r>
              <w:rPr>
                <w:rFonts w:hint="default"/>
                <w:color w:val="auto"/>
                <w:kern w:val="0"/>
                <w:szCs w:val="21"/>
                <w:highlight w:val="none"/>
              </w:rPr>
              <w:t>（1）若数量级有误，以核准的数量级为准；</w:t>
            </w:r>
          </w:p>
          <w:p>
            <w:pPr>
              <w:keepNext w:val="0"/>
              <w:keepLines w:val="0"/>
              <w:suppressLineNumbers w:val="0"/>
              <w:spacing w:before="0" w:beforeAutospacing="0" w:after="0" w:afterAutospacing="0" w:line="440" w:lineRule="exact"/>
              <w:ind w:left="0" w:right="0"/>
              <w:rPr>
                <w:rFonts w:hint="default"/>
                <w:color w:val="auto"/>
                <w:kern w:val="0"/>
                <w:szCs w:val="21"/>
                <w:highlight w:val="none"/>
              </w:rPr>
            </w:pPr>
            <w:r>
              <w:rPr>
                <w:rFonts w:hint="default"/>
                <w:color w:val="auto"/>
                <w:kern w:val="0"/>
                <w:szCs w:val="21"/>
                <w:highlight w:val="none"/>
              </w:rPr>
              <w:t>（2）若用小写表示的金额和用大写的金额不一致，以大写金额为准；</w:t>
            </w:r>
          </w:p>
          <w:p>
            <w:pPr>
              <w:keepNext w:val="0"/>
              <w:keepLines w:val="0"/>
              <w:suppressLineNumbers w:val="0"/>
              <w:spacing w:before="0" w:beforeAutospacing="0" w:after="0" w:afterAutospacing="0" w:line="440" w:lineRule="exact"/>
              <w:ind w:left="0" w:right="0"/>
              <w:rPr>
                <w:rFonts w:hint="default"/>
                <w:color w:val="auto"/>
                <w:kern w:val="0"/>
                <w:szCs w:val="21"/>
                <w:highlight w:val="none"/>
              </w:rPr>
            </w:pPr>
            <w:r>
              <w:rPr>
                <w:rFonts w:hint="default"/>
                <w:color w:val="auto"/>
                <w:kern w:val="0"/>
                <w:szCs w:val="21"/>
                <w:highlight w:val="none"/>
              </w:rPr>
              <w:t>（3）单价包干部分算术性错误调整原则：</w:t>
            </w:r>
          </w:p>
          <w:p>
            <w:pPr>
              <w:keepNext w:val="0"/>
              <w:keepLines w:val="0"/>
              <w:suppressLineNumbers w:val="0"/>
              <w:spacing w:before="0" w:beforeAutospacing="0" w:after="0" w:afterAutospacing="0" w:line="440" w:lineRule="exact"/>
              <w:ind w:left="0" w:right="0"/>
              <w:rPr>
                <w:rFonts w:hint="default"/>
                <w:color w:val="auto"/>
                <w:kern w:val="0"/>
                <w:szCs w:val="21"/>
                <w:highlight w:val="none"/>
              </w:rPr>
            </w:pPr>
            <w:r>
              <w:rPr>
                <w:rFonts w:hint="default"/>
                <w:color w:val="auto"/>
                <w:kern w:val="0"/>
                <w:szCs w:val="21"/>
                <w:highlight w:val="none"/>
              </w:rPr>
              <w:t>a、当单价与数量的乘积与合价不一致时，以所报单价为准，修改合价。</w:t>
            </w:r>
          </w:p>
          <w:p>
            <w:pPr>
              <w:keepNext w:val="0"/>
              <w:keepLines w:val="0"/>
              <w:suppressLineNumbers w:val="0"/>
              <w:spacing w:before="0" w:beforeAutospacing="0" w:after="0" w:afterAutospacing="0" w:line="440" w:lineRule="exact"/>
              <w:ind w:left="0" w:right="0"/>
              <w:rPr>
                <w:rFonts w:hint="default"/>
                <w:color w:val="auto"/>
                <w:kern w:val="0"/>
                <w:szCs w:val="21"/>
                <w:highlight w:val="none"/>
              </w:rPr>
            </w:pPr>
            <w:r>
              <w:rPr>
                <w:rFonts w:hint="default"/>
                <w:color w:val="auto"/>
                <w:kern w:val="0"/>
                <w:szCs w:val="21"/>
                <w:highlight w:val="none"/>
              </w:rPr>
              <w:t>b、当工程量清单单价与单价分析表不一致时，以单价低的为准，若工程量清单单价低于单价分析表单价，则修正单价分析表。</w:t>
            </w:r>
          </w:p>
          <w:p>
            <w:pPr>
              <w:keepNext w:val="0"/>
              <w:keepLines w:val="0"/>
              <w:suppressLineNumbers w:val="0"/>
              <w:spacing w:before="0" w:beforeAutospacing="0" w:after="0" w:afterAutospacing="0" w:line="440" w:lineRule="exact"/>
              <w:ind w:left="0" w:right="0"/>
              <w:rPr>
                <w:rFonts w:hint="default"/>
                <w:color w:val="auto"/>
                <w:kern w:val="0"/>
                <w:szCs w:val="21"/>
                <w:highlight w:val="none"/>
              </w:rPr>
            </w:pPr>
            <w:r>
              <w:rPr>
                <w:rFonts w:hint="default"/>
                <w:color w:val="auto"/>
                <w:kern w:val="0"/>
                <w:szCs w:val="21"/>
                <w:highlight w:val="none"/>
              </w:rPr>
              <w:t xml:space="preserve">c、单价包干项目工程量与招标文件工程量清单不一致时，按招标文件的工程量进行修正。当投标工程量大于招标工程量时，该项单价不变修正合价；当投标工程量小于招标工程量时，该项合价不变修正单价。 </w:t>
            </w:r>
          </w:p>
          <w:p>
            <w:pPr>
              <w:keepNext w:val="0"/>
              <w:keepLines w:val="0"/>
              <w:suppressLineNumbers w:val="0"/>
              <w:spacing w:before="0" w:beforeAutospacing="0" w:after="0" w:afterAutospacing="0" w:line="440" w:lineRule="exact"/>
              <w:ind w:left="0" w:right="0"/>
              <w:rPr>
                <w:rFonts w:hint="default"/>
                <w:color w:val="auto"/>
                <w:kern w:val="0"/>
                <w:szCs w:val="21"/>
                <w:highlight w:val="none"/>
              </w:rPr>
            </w:pPr>
            <w:r>
              <w:rPr>
                <w:rFonts w:hint="default"/>
                <w:color w:val="auto"/>
                <w:kern w:val="0"/>
                <w:szCs w:val="21"/>
                <w:highlight w:val="none"/>
              </w:rPr>
              <w:t>d、工程量清单中单价包干项目的单位与招标文件工程量清单不一致时，按招标文件工程量清单修正该项的单位。</w:t>
            </w:r>
          </w:p>
          <w:p>
            <w:pPr>
              <w:keepNext w:val="0"/>
              <w:keepLines w:val="0"/>
              <w:suppressLineNumbers w:val="0"/>
              <w:spacing w:before="0" w:beforeAutospacing="0" w:after="0" w:afterAutospacing="0" w:line="440" w:lineRule="exact"/>
              <w:ind w:left="0" w:right="0"/>
              <w:rPr>
                <w:rFonts w:hint="default"/>
                <w:color w:val="auto"/>
                <w:kern w:val="0"/>
                <w:szCs w:val="21"/>
                <w:highlight w:val="none"/>
              </w:rPr>
            </w:pPr>
            <w:r>
              <w:rPr>
                <w:rFonts w:hint="default"/>
                <w:color w:val="auto"/>
                <w:kern w:val="0"/>
                <w:szCs w:val="21"/>
                <w:highlight w:val="none"/>
              </w:rPr>
              <w:t>e．单价包干项目的累计金额计算错误时，以上述修正原则修改后的各子项为准，修正汇总项。</w:t>
            </w:r>
          </w:p>
          <w:p>
            <w:pPr>
              <w:keepNext w:val="0"/>
              <w:keepLines w:val="0"/>
              <w:suppressLineNumbers w:val="0"/>
              <w:spacing w:before="0" w:beforeAutospacing="0" w:after="0" w:afterAutospacing="0" w:line="440" w:lineRule="exact"/>
              <w:ind w:left="0" w:right="0"/>
              <w:rPr>
                <w:rFonts w:hint="default"/>
                <w:color w:val="auto"/>
                <w:kern w:val="0"/>
                <w:szCs w:val="21"/>
                <w:highlight w:val="none"/>
              </w:rPr>
            </w:pPr>
            <w:r>
              <w:rPr>
                <w:rFonts w:hint="default"/>
                <w:color w:val="auto"/>
                <w:kern w:val="0"/>
                <w:szCs w:val="21"/>
                <w:highlight w:val="none"/>
              </w:rPr>
              <w:t>（4）总价包干部分算术性错误调整原则：当工程量清单汇总表的汇总金额与总价包干项目清单表的金额不一致时，以工程量清单汇总表中的总价包干部分的金额为准；当总价包干项目清单表的汇总金额与各清单子项的累计金额不一致时，以总价包干项目清单表的汇总金额为准；各清单子项的合价与各清单子项的单价╳数量的合计金额不一致时，以各子项的合价金额为准。</w:t>
            </w:r>
          </w:p>
          <w:p>
            <w:pPr>
              <w:keepNext w:val="0"/>
              <w:keepLines w:val="0"/>
              <w:suppressLineNumbers w:val="0"/>
              <w:spacing w:before="0" w:beforeAutospacing="0" w:after="0" w:afterAutospacing="0" w:line="440" w:lineRule="exact"/>
              <w:ind w:left="0" w:right="0"/>
              <w:rPr>
                <w:rFonts w:hint="default"/>
                <w:color w:val="auto"/>
                <w:kern w:val="0"/>
                <w:szCs w:val="21"/>
                <w:highlight w:val="none"/>
              </w:rPr>
            </w:pPr>
            <w:r>
              <w:rPr>
                <w:rFonts w:hint="default"/>
                <w:color w:val="auto"/>
                <w:kern w:val="0"/>
                <w:szCs w:val="21"/>
                <w:highlight w:val="none"/>
              </w:rPr>
              <w:t>（5）对于非竞争性报价，如投标报价不一致，以招标人公布的为准，修正投标总报价，如果修正后的总报价低于投标报价的，以修正后的总报价为准，如果超过投标报价的，以投标报价为准。</w:t>
            </w:r>
          </w:p>
          <w:p>
            <w:pPr>
              <w:keepNext w:val="0"/>
              <w:keepLines w:val="0"/>
              <w:suppressLineNumbers w:val="0"/>
              <w:spacing w:before="0" w:beforeAutospacing="0" w:after="0" w:afterAutospacing="0" w:line="440" w:lineRule="exact"/>
              <w:ind w:left="0" w:right="0"/>
              <w:rPr>
                <w:rFonts w:hint="default"/>
                <w:color w:val="auto"/>
                <w:kern w:val="0"/>
                <w:szCs w:val="21"/>
                <w:highlight w:val="none"/>
              </w:rPr>
            </w:pPr>
            <w:r>
              <w:rPr>
                <w:rFonts w:hint="default"/>
                <w:color w:val="auto"/>
                <w:kern w:val="0"/>
                <w:szCs w:val="21"/>
                <w:highlight w:val="none"/>
              </w:rPr>
              <w:t>（6）修正工程量清单中各汇总项的累加错误，总价包干项目以汇总项为准，同比例修正各子项。</w:t>
            </w:r>
          </w:p>
          <w:p>
            <w:pPr>
              <w:keepNext w:val="0"/>
              <w:keepLines w:val="0"/>
              <w:suppressLineNumbers w:val="0"/>
              <w:spacing w:before="0" w:beforeAutospacing="0" w:after="0" w:afterAutospacing="0" w:line="440" w:lineRule="exact"/>
              <w:ind w:left="0" w:right="0"/>
              <w:rPr>
                <w:rFonts w:hint="default"/>
                <w:color w:val="auto"/>
                <w:kern w:val="0"/>
                <w:szCs w:val="21"/>
                <w:highlight w:val="none"/>
              </w:rPr>
            </w:pPr>
            <w:r>
              <w:rPr>
                <w:rFonts w:hint="default"/>
                <w:color w:val="auto"/>
                <w:kern w:val="0"/>
                <w:szCs w:val="21"/>
                <w:highlight w:val="none"/>
              </w:rPr>
              <w:t>（7）按上述原则修正后，如修正的总报价高于投标报价的，维持投标报价，如修正总报价低于投标报价的，按修正总报价签订补充协议调整合同价。</w:t>
            </w:r>
          </w:p>
        </w:tc>
      </w:tr>
      <w:tr>
        <w:tblPrEx>
          <w:tblCellMar>
            <w:top w:w="0" w:type="dxa"/>
            <w:left w:w="108" w:type="dxa"/>
            <w:bottom w:w="0" w:type="dxa"/>
            <w:right w:w="108" w:type="dxa"/>
          </w:tblCellMar>
        </w:tblPrEx>
        <w:trPr>
          <w:trHeight w:val="1103"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10.6</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合同签订原则</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firstLine="420" w:firstLineChars="200"/>
              <w:rPr>
                <w:rFonts w:hint="default"/>
                <w:color w:val="auto"/>
                <w:highlight w:val="none"/>
              </w:rPr>
            </w:pPr>
            <w:r>
              <w:rPr>
                <w:rFonts w:hint="default"/>
                <w:color w:val="auto"/>
                <w:highlight w:val="none"/>
              </w:rPr>
              <w:t>项目业主、招标人与中标人将在投标有效期内并自中标通知书发出之日起30日内，按照招标文件和中标人的投标文件商定合同和签订合同，项目业主、招标人和中标人不得再行订立背离合同实质性内容的其他协议。</w:t>
            </w:r>
          </w:p>
          <w:p>
            <w:pPr>
              <w:keepNext w:val="0"/>
              <w:keepLines w:val="0"/>
              <w:suppressLineNumbers w:val="0"/>
              <w:spacing w:before="0" w:beforeAutospacing="0" w:after="0" w:afterAutospacing="0" w:line="440" w:lineRule="exact"/>
              <w:ind w:left="0" w:right="0" w:firstLine="420" w:firstLineChars="200"/>
              <w:rPr>
                <w:rFonts w:hint="default"/>
                <w:color w:val="auto"/>
                <w:highlight w:val="none"/>
              </w:rPr>
            </w:pPr>
            <w:r>
              <w:rPr>
                <w:rFonts w:hint="default"/>
                <w:color w:val="auto"/>
                <w:highlight w:val="none"/>
              </w:rPr>
              <w:t>项目业主、中标人如不按上述规定与招标人订立合同，则招标人将取消其中标资格，因此给招标人造成损失的，招标人有权要求其承担赔偿责任。</w:t>
            </w:r>
          </w:p>
          <w:p>
            <w:pPr>
              <w:keepNext w:val="0"/>
              <w:keepLines w:val="0"/>
              <w:suppressLineNumbers w:val="0"/>
              <w:spacing w:before="0" w:beforeAutospacing="0" w:after="0" w:afterAutospacing="0" w:line="440" w:lineRule="exact"/>
              <w:ind w:left="0" w:right="0" w:firstLine="420" w:firstLineChars="200"/>
              <w:rPr>
                <w:rFonts w:hint="default"/>
                <w:color w:val="auto"/>
                <w:szCs w:val="21"/>
                <w:highlight w:val="none"/>
              </w:rPr>
            </w:pPr>
            <w:r>
              <w:rPr>
                <w:rFonts w:hint="default"/>
                <w:color w:val="auto"/>
                <w:highlight w:val="none"/>
              </w:rPr>
              <w:t>项目业主、招标人与最终确定的中标候选人签订。</w:t>
            </w:r>
          </w:p>
        </w:tc>
      </w:tr>
      <w:tr>
        <w:tblPrEx>
          <w:tblCellMar>
            <w:top w:w="0" w:type="dxa"/>
            <w:left w:w="108" w:type="dxa"/>
            <w:bottom w:w="0" w:type="dxa"/>
            <w:right w:w="108" w:type="dxa"/>
          </w:tblCellMar>
        </w:tblPrEx>
        <w:trPr>
          <w:trHeight w:val="1103" w:hRule="atLeast"/>
        </w:trPr>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10.7</w:t>
            </w:r>
          </w:p>
        </w:tc>
        <w:tc>
          <w:tcPr>
            <w:tcW w:w="20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其他</w:t>
            </w:r>
          </w:p>
        </w:tc>
        <w:tc>
          <w:tcPr>
            <w:tcW w:w="5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highlight w:val="none"/>
              </w:rPr>
            </w:pPr>
            <w:r>
              <w:rPr>
                <w:rFonts w:hint="default"/>
                <w:color w:val="auto"/>
                <w:highlight w:val="none"/>
              </w:rPr>
              <w:t>（1）</w:t>
            </w:r>
            <w:r>
              <w:rPr>
                <w:rFonts w:hint="eastAsia" w:ascii="宋体" w:hAnsi="宋体"/>
                <w:bCs/>
                <w:color w:val="auto"/>
                <w:szCs w:val="21"/>
                <w:highlight w:val="none"/>
              </w:rPr>
              <w:t>在授予合同前，招标人有权组织对投标人的真实性审查。包括对投标人的资格证明文件、业绩证明文件、对招标文件实质性条款响应文件、履约能力证明文件的真实性进行核查，若发现其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取消其投标或中标候选人资格</w:t>
            </w:r>
            <w:r>
              <w:rPr>
                <w:rFonts w:hint="default"/>
                <w:color w:val="auto"/>
                <w:highlight w:val="none"/>
              </w:rPr>
              <w:t>。</w:t>
            </w:r>
          </w:p>
          <w:p>
            <w:pPr>
              <w:keepNext w:val="0"/>
              <w:keepLines w:val="0"/>
              <w:suppressLineNumbers w:val="0"/>
              <w:spacing w:before="0" w:beforeAutospacing="0" w:after="0" w:afterAutospacing="0" w:line="440" w:lineRule="exact"/>
              <w:ind w:left="0" w:right="0"/>
              <w:rPr>
                <w:rFonts w:hint="default" w:ascii="宋体" w:hAnsi="宋体"/>
                <w:bCs/>
                <w:color w:val="auto"/>
                <w:szCs w:val="21"/>
                <w:highlight w:val="none"/>
              </w:rPr>
            </w:pPr>
            <w:r>
              <w:rPr>
                <w:rFonts w:hint="default"/>
                <w:color w:val="auto"/>
                <w:highlight w:val="none"/>
              </w:rPr>
              <w:t>（2）</w:t>
            </w:r>
            <w:r>
              <w:rPr>
                <w:rFonts w:hint="eastAsia" w:ascii="宋体" w:hAnsi="宋体"/>
                <w:bCs/>
                <w:color w:val="auto"/>
                <w:szCs w:val="21"/>
                <w:highlight w:val="none"/>
              </w:rPr>
              <w:t>投标人在招标人通知其提供上述证明资料原件进行核查的要求后，未能在</w:t>
            </w:r>
            <w:r>
              <w:rPr>
                <w:rFonts w:hint="default" w:ascii="宋体" w:hAnsi="宋体"/>
                <w:bCs/>
                <w:color w:val="auto"/>
                <w:szCs w:val="21"/>
                <w:highlight w:val="none"/>
              </w:rPr>
              <w:t>通知后5个自然日</w:t>
            </w:r>
            <w:r>
              <w:rPr>
                <w:rFonts w:hint="eastAsia" w:ascii="宋体" w:hAnsi="宋体"/>
                <w:bCs/>
                <w:color w:val="auto"/>
                <w:szCs w:val="21"/>
                <w:highlight w:val="none"/>
              </w:rPr>
              <w:t>内提供原件进行核查的，视为投标人无法提供真实的资料，招标人有权按照评标委员会提出的中标候选人名单排序依次确定其他中标候选人为中标人。</w:t>
            </w:r>
          </w:p>
          <w:p>
            <w:pPr>
              <w:keepNext w:val="0"/>
              <w:keepLines w:val="0"/>
              <w:suppressLineNumbers w:val="0"/>
              <w:spacing w:before="0" w:beforeAutospacing="0" w:after="0" w:afterAutospacing="0" w:line="440" w:lineRule="exact"/>
              <w:ind w:left="0" w:right="0"/>
              <w:rPr>
                <w:rFonts w:hint="default"/>
                <w:color w:val="auto"/>
                <w:highlight w:val="none"/>
              </w:rPr>
            </w:pPr>
            <w:r>
              <w:rPr>
                <w:rFonts w:hint="default"/>
                <w:color w:val="auto"/>
                <w:highlight w:val="none"/>
              </w:rPr>
              <w:t>（3）投标人必须按照招标文件规定的清单格式进行报价，除了标书清单报价，招标人不再接受其他任何形式的报价说明（比如降价函、报价补充说明、优惠报价说明等等）。</w:t>
            </w:r>
          </w:p>
          <w:p>
            <w:pPr>
              <w:keepNext w:val="0"/>
              <w:keepLines w:val="0"/>
              <w:suppressLineNumbers w:val="0"/>
              <w:spacing w:before="0" w:beforeAutospacing="0" w:after="0" w:afterAutospacing="0" w:line="440" w:lineRule="exact"/>
              <w:ind w:left="0" w:right="0"/>
              <w:rPr>
                <w:rFonts w:hint="default"/>
                <w:color w:val="auto"/>
                <w:highlight w:val="none"/>
              </w:rPr>
            </w:pPr>
            <w:r>
              <w:rPr>
                <w:rFonts w:hint="default"/>
                <w:color w:val="auto"/>
                <w:highlight w:val="none"/>
              </w:rPr>
              <w:t>（</w:t>
            </w:r>
            <w:r>
              <w:rPr>
                <w:rFonts w:hint="eastAsia"/>
                <w:color w:val="auto"/>
                <w:highlight w:val="none"/>
              </w:rPr>
              <w:t>4</w:t>
            </w:r>
            <w:r>
              <w:rPr>
                <w:rFonts w:hint="default"/>
                <w:color w:val="auto"/>
                <w:highlight w:val="none"/>
              </w:rPr>
              <w:t>）招标人和评标专家保留接受或拒绝任何变化、偏离或选择性报价的权力。凡超出招标文件规定的，或使招标人得到未曾要求的效益的变化、偏离、选择性报价或其它因素在评标时将不予考虑。</w:t>
            </w:r>
          </w:p>
          <w:p>
            <w:pPr>
              <w:keepNext w:val="0"/>
              <w:keepLines w:val="0"/>
              <w:suppressLineNumbers w:val="0"/>
              <w:spacing w:before="0" w:beforeAutospacing="0" w:after="0" w:afterAutospacing="0" w:line="440" w:lineRule="exact"/>
              <w:ind w:left="0" w:right="0"/>
              <w:rPr>
                <w:rFonts w:hint="default"/>
                <w:color w:val="auto"/>
                <w:highlight w:val="none"/>
              </w:rPr>
            </w:pPr>
            <w:r>
              <w:rPr>
                <w:rFonts w:hint="default"/>
                <w:color w:val="auto"/>
                <w:highlight w:val="none"/>
              </w:rPr>
              <w:t>（</w:t>
            </w:r>
            <w:r>
              <w:rPr>
                <w:rFonts w:hint="eastAsia"/>
                <w:color w:val="auto"/>
                <w:highlight w:val="none"/>
              </w:rPr>
              <w:t>5</w:t>
            </w:r>
            <w:r>
              <w:rPr>
                <w:rFonts w:hint="default"/>
                <w:color w:val="auto"/>
                <w:highlight w:val="none"/>
              </w:rPr>
              <w:t>）中标人应按招标人通知要求在规定时间内到公共资源交易中心配合办理中标通知书的相关手续。</w:t>
            </w:r>
          </w:p>
          <w:p>
            <w:pPr>
              <w:keepNext w:val="0"/>
              <w:keepLines w:val="0"/>
              <w:suppressLineNumbers w:val="0"/>
              <w:spacing w:before="0" w:beforeAutospacing="0" w:after="0" w:afterAutospacing="0" w:line="440" w:lineRule="exact"/>
              <w:ind w:left="0" w:right="0"/>
              <w:rPr>
                <w:rFonts w:hint="default"/>
                <w:color w:val="auto"/>
                <w:highlight w:val="none"/>
              </w:rPr>
            </w:pPr>
            <w:r>
              <w:rPr>
                <w:rFonts w:hint="default"/>
                <w:color w:val="auto"/>
                <w:highlight w:val="none"/>
              </w:rPr>
              <w:t>（</w:t>
            </w:r>
            <w:r>
              <w:rPr>
                <w:rFonts w:hint="eastAsia"/>
                <w:color w:val="auto"/>
                <w:highlight w:val="none"/>
              </w:rPr>
              <w:t>6</w:t>
            </w:r>
            <w:r>
              <w:rPr>
                <w:rFonts w:hint="default"/>
                <w:color w:val="auto"/>
                <w:highlight w:val="none"/>
              </w:rPr>
              <w:t>）中标人应根据有关规定，向广州公共资源交易中心交纳交易服务费，最终以交易中心实际收取额为准。</w:t>
            </w:r>
          </w:p>
          <w:p>
            <w:pPr>
              <w:keepNext w:val="0"/>
              <w:keepLines w:val="0"/>
              <w:suppressLineNumbers w:val="0"/>
              <w:snapToGrid/>
              <w:spacing w:before="0" w:beforeAutospacing="0" w:after="0" w:afterAutospacing="0" w:line="360" w:lineRule="auto"/>
              <w:ind w:left="0" w:right="0" w:firstLine="0" w:firstLineChars="0"/>
              <w:rPr>
                <w:rFonts w:hint="eastAsia" w:ascii="宋体" w:hAnsi="宋体" w:cs="宋体"/>
                <w:color w:val="auto"/>
                <w:kern w:val="0"/>
                <w:sz w:val="21"/>
                <w:szCs w:val="21"/>
                <w:highlight w:val="none"/>
              </w:rPr>
            </w:pPr>
            <w:r>
              <w:rPr>
                <w:rFonts w:hint="default"/>
                <w:color w:val="auto"/>
                <w:highlight w:val="none"/>
              </w:rPr>
              <w:t>（</w:t>
            </w:r>
            <w:r>
              <w:rPr>
                <w:rFonts w:hint="eastAsia"/>
                <w:color w:val="auto"/>
                <w:highlight w:val="none"/>
              </w:rPr>
              <w:t>7</w:t>
            </w:r>
            <w:r>
              <w:rPr>
                <w:rFonts w:hint="default"/>
                <w:color w:val="auto"/>
                <w:highlight w:val="none"/>
              </w:rPr>
              <w:t>）</w:t>
            </w:r>
            <w:r>
              <w:rPr>
                <w:rFonts w:hint="eastAsia" w:ascii="宋体" w:hAnsi="宋体" w:cs="宋体"/>
                <w:color w:val="auto"/>
                <w:kern w:val="0"/>
                <w:sz w:val="21"/>
                <w:szCs w:val="21"/>
                <w:highlight w:val="none"/>
              </w:rPr>
              <w:t>中标人应向招标代理机构支付“招标代理服务费”。</w:t>
            </w:r>
          </w:p>
          <w:p>
            <w:pPr>
              <w:keepNext w:val="0"/>
              <w:keepLines w:val="0"/>
              <w:suppressLineNumbers w:val="0"/>
              <w:spacing w:before="0" w:beforeAutospacing="0" w:after="0" w:afterAutospacing="0" w:line="440" w:lineRule="exact"/>
              <w:ind w:left="0" w:right="0"/>
              <w:rPr>
                <w:rFonts w:hint="default"/>
                <w:color w:val="auto"/>
                <w:highlight w:val="none"/>
                <w:lang w:val="zh-CN"/>
              </w:rPr>
            </w:pPr>
            <w:r>
              <w:rPr>
                <w:rFonts w:hint="eastAsia" w:ascii="宋体" w:hAnsi="宋体" w:cs="宋体"/>
                <w:color w:val="auto"/>
                <w:kern w:val="0"/>
                <w:sz w:val="21"/>
                <w:szCs w:val="21"/>
                <w:highlight w:val="none"/>
              </w:rPr>
              <w:t>招标代理服务费收费标准按“东莞市轨道交通有限公司工程建设项目招标代理服务费计算标准”的规定标准计算执行。</w:t>
            </w:r>
            <w:r>
              <w:rPr>
                <w:rFonts w:hint="eastAsia"/>
                <w:color w:val="auto"/>
                <w:highlight w:val="none"/>
              </w:rPr>
              <w:t>。</w:t>
            </w:r>
          </w:p>
          <w:p>
            <w:pPr>
              <w:keepNext w:val="0"/>
              <w:keepLines w:val="0"/>
              <w:suppressLineNumbers w:val="0"/>
              <w:spacing w:before="0" w:beforeAutospacing="0" w:after="0" w:afterAutospacing="0" w:line="440" w:lineRule="exact"/>
              <w:ind w:left="0" w:right="0"/>
              <w:jc w:val="left"/>
              <w:rPr>
                <w:rFonts w:hint="default" w:eastAsia="宋体"/>
                <w:b/>
                <w:bCs/>
                <w:color w:val="auto"/>
                <w:szCs w:val="21"/>
                <w:highlight w:val="none"/>
                <w:lang w:val="en-US" w:eastAsia="zh-CN"/>
              </w:rPr>
            </w:pPr>
            <w:r>
              <w:rPr>
                <w:rFonts w:hint="eastAsia"/>
                <w:b/>
                <w:bCs/>
                <w:color w:val="auto"/>
                <w:szCs w:val="21"/>
                <w:highlight w:val="none"/>
              </w:rPr>
              <w:t>东莞市轨道交通有限公司工程建设项目</w:t>
            </w:r>
            <w:bookmarkStart w:id="164" w:name="_Toc145355213"/>
            <w:r>
              <w:rPr>
                <w:rFonts w:hint="eastAsia"/>
                <w:b/>
                <w:bCs/>
                <w:color w:val="auto"/>
                <w:szCs w:val="21"/>
                <w:highlight w:val="none"/>
              </w:rPr>
              <w:t>招标代理服务费计算标准</w:t>
            </w:r>
            <w:bookmarkEnd w:id="164"/>
            <w:r>
              <w:rPr>
                <w:rFonts w:hint="eastAsia"/>
                <w:b/>
                <w:bCs/>
                <w:color w:val="auto"/>
                <w:szCs w:val="21"/>
                <w:highlight w:val="none"/>
                <w:lang w:val="en-US" w:eastAsia="zh-CN"/>
              </w:rPr>
              <w:t>如下：</w:t>
            </w:r>
          </w:p>
          <w:p>
            <w:pPr>
              <w:pStyle w:val="5"/>
              <w:keepNext w:val="0"/>
              <w:keepLines w:val="0"/>
              <w:suppressLineNumbers w:val="0"/>
              <w:spacing w:before="0" w:beforeAutospacing="0" w:after="0" w:afterAutospacing="0" w:line="360" w:lineRule="auto"/>
              <w:ind w:left="0" w:right="0"/>
              <w:jc w:val="center"/>
              <w:rPr>
                <w:rFonts w:hint="default"/>
                <w:b/>
                <w:bCs/>
                <w:color w:val="auto"/>
                <w:szCs w:val="21"/>
                <w:highlight w:val="none"/>
              </w:rPr>
            </w:pPr>
            <w:r>
              <w:rPr>
                <w:rFonts w:hint="default" w:ascii="宋体" w:hAnsi="宋体"/>
                <w:b/>
                <w:color w:val="auto"/>
                <w:szCs w:val="21"/>
                <w:highlight w:val="none"/>
              </w:rPr>
              <w:t>表</w:t>
            </w:r>
            <w:r>
              <w:rPr>
                <w:rFonts w:hint="eastAsia" w:ascii="宋体" w:hAnsi="宋体"/>
                <w:b/>
                <w:color w:val="auto"/>
                <w:szCs w:val="21"/>
                <w:highlight w:val="none"/>
              </w:rPr>
              <w:t>1：招标代理服务费费率计算表</w:t>
            </w:r>
          </w:p>
          <w:p>
            <w:pPr>
              <w:keepNext w:val="0"/>
              <w:keepLines w:val="0"/>
              <w:suppressLineNumbers w:val="0"/>
              <w:spacing w:before="0" w:beforeAutospacing="0" w:after="0" w:afterAutospacing="0" w:line="440" w:lineRule="exact"/>
              <w:ind w:left="0" w:right="0"/>
              <w:jc w:val="center"/>
              <w:rPr>
                <w:rFonts w:hint="default"/>
                <w:b/>
                <w:bCs/>
                <w:color w:val="auto"/>
                <w:szCs w:val="21"/>
                <w:highlight w:val="none"/>
              </w:rPr>
            </w:pPr>
          </w:p>
          <w:tbl>
            <w:tblPr>
              <w:tblStyle w:val="41"/>
              <w:tblpPr w:leftFromText="180" w:rightFromText="180" w:vertAnchor="text" w:horzAnchor="page" w:tblpX="172" w:tblpY="-367"/>
              <w:tblOverlap w:val="never"/>
              <w:tblW w:w="5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279"/>
              <w:gridCol w:w="1199"/>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581" w:type="dxa"/>
                  <w:vMerge w:val="restart"/>
                  <w:vAlign w:val="center"/>
                </w:tcPr>
                <w:p>
                  <w:pPr>
                    <w:keepNext w:val="0"/>
                    <w:keepLines w:val="0"/>
                    <w:suppressLineNumbers w:val="0"/>
                    <w:spacing w:before="0" w:beforeAutospacing="0" w:after="0" w:afterAutospacing="0" w:line="440" w:lineRule="exact"/>
                    <w:ind w:left="0" w:right="0"/>
                    <w:jc w:val="left"/>
                    <w:rPr>
                      <w:rFonts w:hint="default" w:ascii="宋体" w:hAnsi="宋体"/>
                      <w:b/>
                      <w:bCs/>
                      <w:color w:val="auto"/>
                      <w:szCs w:val="21"/>
                      <w:highlight w:val="none"/>
                    </w:rPr>
                  </w:pPr>
                  <w:r>
                    <w:rPr>
                      <w:rFonts w:hint="eastAsia" w:ascii="宋体" w:hAnsi="宋体"/>
                      <w:b/>
                      <w:bCs/>
                      <w:color w:val="auto"/>
                      <w:szCs w:val="21"/>
                      <w:highlight w:val="none"/>
                    </w:rPr>
                    <w:t>中标金额</w:t>
                  </w:r>
                </w:p>
                <w:p>
                  <w:pPr>
                    <w:keepNext w:val="0"/>
                    <w:keepLines w:val="0"/>
                    <w:suppressLineNumbers w:val="0"/>
                    <w:spacing w:before="0" w:beforeAutospacing="0" w:after="0" w:afterAutospacing="0" w:line="440" w:lineRule="exact"/>
                    <w:ind w:left="0" w:right="0"/>
                    <w:jc w:val="left"/>
                    <w:rPr>
                      <w:rFonts w:hint="default" w:ascii="宋体" w:hAnsi="宋体"/>
                      <w:b/>
                      <w:color w:val="auto"/>
                      <w:szCs w:val="21"/>
                      <w:highlight w:val="none"/>
                    </w:rPr>
                  </w:pPr>
                  <w:r>
                    <w:rPr>
                      <w:rFonts w:hint="eastAsia" w:ascii="宋体" w:hAnsi="宋体"/>
                      <w:b/>
                      <w:bCs/>
                      <w:color w:val="auto"/>
                      <w:szCs w:val="21"/>
                      <w:highlight w:val="none"/>
                    </w:rPr>
                    <w:t>（设中标金额为</w:t>
                  </w:r>
                  <w:r>
                    <w:rPr>
                      <w:rFonts w:hint="default" w:ascii="宋体" w:hAnsi="宋体"/>
                      <w:b/>
                      <w:bCs/>
                      <w:color w:val="auto"/>
                      <w:szCs w:val="21"/>
                      <w:highlight w:val="none"/>
                    </w:rPr>
                    <w:t>X</w:t>
                  </w:r>
                  <w:r>
                    <w:rPr>
                      <w:rFonts w:hint="eastAsia" w:ascii="宋体" w:hAnsi="宋体"/>
                      <w:b/>
                      <w:bCs/>
                      <w:color w:val="auto"/>
                      <w:szCs w:val="21"/>
                      <w:highlight w:val="none"/>
                    </w:rPr>
                    <w:t>）</w:t>
                  </w:r>
                </w:p>
              </w:tc>
              <w:tc>
                <w:tcPr>
                  <w:tcW w:w="3500" w:type="dxa"/>
                  <w:gridSpan w:val="3"/>
                  <w:vAlign w:val="center"/>
                </w:tcPr>
                <w:p>
                  <w:pPr>
                    <w:keepNext w:val="0"/>
                    <w:keepLines w:val="0"/>
                    <w:suppressLineNumbers w:val="0"/>
                    <w:spacing w:before="0" w:beforeAutospacing="0" w:after="0" w:afterAutospacing="0" w:line="440" w:lineRule="exact"/>
                    <w:ind w:left="0" w:right="0"/>
                    <w:jc w:val="left"/>
                    <w:rPr>
                      <w:rFonts w:hint="default" w:ascii="宋体" w:hAnsi="宋体"/>
                      <w:b/>
                      <w:bCs/>
                      <w:color w:val="auto"/>
                      <w:szCs w:val="21"/>
                      <w:highlight w:val="none"/>
                    </w:rPr>
                  </w:pPr>
                  <w:r>
                    <w:rPr>
                      <w:rFonts w:hint="eastAsia" w:ascii="宋体" w:hAnsi="宋体"/>
                      <w:b/>
                      <w:color w:val="auto"/>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581" w:type="dxa"/>
                  <w:vMerge w:val="continue"/>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rPr>
                  </w:pPr>
                </w:p>
              </w:tc>
              <w:tc>
                <w:tcPr>
                  <w:tcW w:w="1279"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rPr>
                  </w:pPr>
                  <w:r>
                    <w:rPr>
                      <w:rFonts w:hint="eastAsia" w:ascii="宋体" w:hAnsi="宋体"/>
                      <w:b/>
                      <w:color w:val="auto"/>
                      <w:szCs w:val="21"/>
                      <w:highlight w:val="none"/>
                    </w:rPr>
                    <w:t>货物采购</w:t>
                  </w:r>
                </w:p>
              </w:tc>
              <w:tc>
                <w:tcPr>
                  <w:tcW w:w="1199" w:type="dxa"/>
                  <w:vAlign w:val="center"/>
                </w:tcPr>
                <w:p>
                  <w:pPr>
                    <w:keepNext w:val="0"/>
                    <w:keepLines w:val="0"/>
                    <w:suppressLineNumbers w:val="0"/>
                    <w:spacing w:before="0" w:beforeAutospacing="0" w:after="0" w:afterAutospacing="0" w:line="440" w:lineRule="exact"/>
                    <w:ind w:left="0" w:right="0"/>
                    <w:jc w:val="left"/>
                    <w:rPr>
                      <w:rFonts w:hint="default" w:ascii="宋体" w:hAnsi="宋体"/>
                      <w:b/>
                      <w:bCs/>
                      <w:color w:val="auto"/>
                      <w:szCs w:val="21"/>
                      <w:highlight w:val="none"/>
                    </w:rPr>
                  </w:pPr>
                  <w:r>
                    <w:rPr>
                      <w:rFonts w:hint="eastAsia" w:ascii="宋体" w:hAnsi="宋体"/>
                      <w:b/>
                      <w:bCs/>
                      <w:color w:val="auto"/>
                      <w:szCs w:val="21"/>
                      <w:highlight w:val="none"/>
                    </w:rPr>
                    <w:t>服务</w:t>
                  </w:r>
                </w:p>
              </w:tc>
              <w:tc>
                <w:tcPr>
                  <w:tcW w:w="1022" w:type="dxa"/>
                  <w:vAlign w:val="center"/>
                </w:tcPr>
                <w:p>
                  <w:pPr>
                    <w:keepNext w:val="0"/>
                    <w:keepLines w:val="0"/>
                    <w:suppressLineNumbers w:val="0"/>
                    <w:spacing w:before="0" w:beforeAutospacing="0" w:after="0" w:afterAutospacing="0" w:line="440" w:lineRule="exact"/>
                    <w:ind w:left="0" w:right="0"/>
                    <w:jc w:val="left"/>
                    <w:rPr>
                      <w:rFonts w:hint="default" w:ascii="宋体" w:hAnsi="宋体"/>
                      <w:b/>
                      <w:color w:val="auto"/>
                      <w:szCs w:val="21"/>
                      <w:highlight w:val="none"/>
                    </w:rPr>
                  </w:pPr>
                  <w:r>
                    <w:rPr>
                      <w:rFonts w:hint="eastAsia" w:ascii="宋体" w:hAnsi="宋体"/>
                      <w:b/>
                      <w:bCs/>
                      <w:color w:val="auto"/>
                      <w:szCs w:val="21"/>
                      <w:highlight w:val="none"/>
                    </w:rPr>
                    <w:t>工程建设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581" w:type="dxa"/>
                  <w:vAlign w:val="center"/>
                </w:tcPr>
                <w:p>
                  <w:pPr>
                    <w:keepNext w:val="0"/>
                    <w:keepLines w:val="0"/>
                    <w:suppressLineNumbers w:val="0"/>
                    <w:spacing w:before="0" w:beforeAutospacing="0" w:after="0" w:afterAutospacing="0" w:line="440" w:lineRule="exact"/>
                    <w:ind w:left="0" w:right="0"/>
                    <w:jc w:val="left"/>
                    <w:rPr>
                      <w:rFonts w:hint="default" w:ascii="宋体" w:hAnsi="宋体"/>
                      <w:bCs/>
                      <w:color w:val="auto"/>
                      <w:szCs w:val="21"/>
                      <w:highlight w:val="none"/>
                    </w:rPr>
                  </w:pPr>
                  <w:r>
                    <w:rPr>
                      <w:rFonts w:hint="eastAsia" w:ascii="宋体" w:hAnsi="宋体"/>
                      <w:bCs/>
                      <w:color w:val="auto"/>
                      <w:szCs w:val="21"/>
                      <w:highlight w:val="none"/>
                    </w:rPr>
                    <w:t>X≤100万元</w:t>
                  </w:r>
                </w:p>
              </w:tc>
              <w:tc>
                <w:tcPr>
                  <w:tcW w:w="1279"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1.5％</w:t>
                  </w:r>
                </w:p>
              </w:tc>
              <w:tc>
                <w:tcPr>
                  <w:tcW w:w="1199"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1.5％</w:t>
                  </w:r>
                </w:p>
              </w:tc>
              <w:tc>
                <w:tcPr>
                  <w:tcW w:w="1022"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581" w:type="dxa"/>
                  <w:vAlign w:val="center"/>
                </w:tcPr>
                <w:p>
                  <w:pPr>
                    <w:keepNext w:val="0"/>
                    <w:keepLines w:val="0"/>
                    <w:suppressLineNumbers w:val="0"/>
                    <w:snapToGrid w:val="0"/>
                    <w:spacing w:before="0" w:beforeAutospacing="0" w:after="0" w:afterAutospacing="0"/>
                    <w:ind w:left="0" w:right="0"/>
                    <w:jc w:val="left"/>
                    <w:rPr>
                      <w:rFonts w:hint="default" w:ascii="宋体" w:hAnsi="宋体"/>
                      <w:bCs/>
                      <w:color w:val="auto"/>
                      <w:szCs w:val="21"/>
                      <w:highlight w:val="none"/>
                    </w:rPr>
                  </w:pPr>
                  <w:r>
                    <w:rPr>
                      <w:rFonts w:hint="eastAsia" w:ascii="宋体" w:hAnsi="宋体"/>
                      <w:bCs/>
                      <w:color w:val="auto"/>
                      <w:szCs w:val="21"/>
                      <w:highlight w:val="none"/>
                    </w:rPr>
                    <w:t>100</w:t>
                  </w:r>
                  <w:r>
                    <w:rPr>
                      <w:rFonts w:hint="default" w:ascii="宋体" w:hAnsi="宋体"/>
                      <w:bCs/>
                      <w:color w:val="auto"/>
                      <w:szCs w:val="21"/>
                      <w:highlight w:val="none"/>
                    </w:rPr>
                    <w:t>万元</w:t>
                  </w:r>
                  <w:r>
                    <w:rPr>
                      <w:rFonts w:hint="eastAsia" w:ascii="宋体" w:hAnsi="宋体"/>
                      <w:bCs/>
                      <w:color w:val="auto"/>
                      <w:szCs w:val="21"/>
                      <w:highlight w:val="none"/>
                    </w:rPr>
                    <w:t>＜</w:t>
                  </w:r>
                  <w:r>
                    <w:rPr>
                      <w:rFonts w:hint="default" w:ascii="宋体" w:hAnsi="宋体"/>
                      <w:bCs/>
                      <w:color w:val="auto"/>
                      <w:szCs w:val="21"/>
                      <w:highlight w:val="none"/>
                    </w:rPr>
                    <w:t>X</w:t>
                  </w:r>
                  <w:r>
                    <w:rPr>
                      <w:rFonts w:hint="eastAsia" w:ascii="宋体" w:hAnsi="宋体"/>
                      <w:bCs/>
                      <w:color w:val="auto"/>
                      <w:szCs w:val="21"/>
                      <w:highlight w:val="none"/>
                    </w:rPr>
                    <w:t>≤500万元</w:t>
                  </w:r>
                </w:p>
              </w:tc>
              <w:tc>
                <w:tcPr>
                  <w:tcW w:w="1279"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1.1％</w:t>
                  </w:r>
                </w:p>
              </w:tc>
              <w:tc>
                <w:tcPr>
                  <w:tcW w:w="1199"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0.8％</w:t>
                  </w:r>
                </w:p>
              </w:tc>
              <w:tc>
                <w:tcPr>
                  <w:tcW w:w="1022"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581" w:type="dxa"/>
                  <w:vAlign w:val="center"/>
                </w:tcPr>
                <w:p>
                  <w:pPr>
                    <w:keepNext w:val="0"/>
                    <w:keepLines w:val="0"/>
                    <w:suppressLineNumbers w:val="0"/>
                    <w:snapToGrid w:val="0"/>
                    <w:spacing w:before="0" w:beforeAutospacing="0" w:after="0" w:afterAutospacing="0"/>
                    <w:ind w:left="0" w:right="0"/>
                    <w:jc w:val="left"/>
                    <w:rPr>
                      <w:rFonts w:hint="default" w:ascii="宋体" w:hAnsi="宋体"/>
                      <w:bCs/>
                      <w:color w:val="auto"/>
                      <w:szCs w:val="21"/>
                      <w:highlight w:val="none"/>
                    </w:rPr>
                  </w:pPr>
                  <w:r>
                    <w:rPr>
                      <w:rFonts w:hint="eastAsia" w:ascii="宋体" w:hAnsi="宋体"/>
                      <w:bCs/>
                      <w:color w:val="auto"/>
                      <w:szCs w:val="21"/>
                      <w:highlight w:val="none"/>
                    </w:rPr>
                    <w:t>500</w:t>
                  </w:r>
                  <w:r>
                    <w:rPr>
                      <w:rFonts w:hint="default" w:ascii="宋体" w:hAnsi="宋体"/>
                      <w:bCs/>
                      <w:color w:val="auto"/>
                      <w:szCs w:val="21"/>
                      <w:highlight w:val="none"/>
                    </w:rPr>
                    <w:t>万元</w:t>
                  </w:r>
                  <w:r>
                    <w:rPr>
                      <w:rFonts w:hint="eastAsia" w:ascii="宋体" w:hAnsi="宋体"/>
                      <w:bCs/>
                      <w:color w:val="auto"/>
                      <w:szCs w:val="21"/>
                      <w:highlight w:val="none"/>
                    </w:rPr>
                    <w:t>＜</w:t>
                  </w:r>
                  <w:r>
                    <w:rPr>
                      <w:rFonts w:hint="default" w:ascii="宋体" w:hAnsi="宋体"/>
                      <w:bCs/>
                      <w:color w:val="auto"/>
                      <w:szCs w:val="21"/>
                      <w:highlight w:val="none"/>
                    </w:rPr>
                    <w:t>X</w:t>
                  </w:r>
                  <w:r>
                    <w:rPr>
                      <w:rFonts w:hint="eastAsia" w:ascii="宋体" w:hAnsi="宋体"/>
                      <w:bCs/>
                      <w:color w:val="auto"/>
                      <w:szCs w:val="21"/>
                      <w:highlight w:val="none"/>
                    </w:rPr>
                    <w:t>≤1000万元</w:t>
                  </w:r>
                </w:p>
              </w:tc>
              <w:tc>
                <w:tcPr>
                  <w:tcW w:w="1279"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0.8％</w:t>
                  </w:r>
                </w:p>
              </w:tc>
              <w:tc>
                <w:tcPr>
                  <w:tcW w:w="1199"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0.45％</w:t>
                  </w:r>
                </w:p>
              </w:tc>
              <w:tc>
                <w:tcPr>
                  <w:tcW w:w="1022"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581" w:type="dxa"/>
                  <w:vAlign w:val="center"/>
                </w:tcPr>
                <w:p>
                  <w:pPr>
                    <w:keepNext w:val="0"/>
                    <w:keepLines w:val="0"/>
                    <w:suppressLineNumbers w:val="0"/>
                    <w:snapToGrid w:val="0"/>
                    <w:spacing w:before="0" w:beforeAutospacing="0" w:after="0" w:afterAutospacing="0"/>
                    <w:ind w:left="0" w:right="0"/>
                    <w:jc w:val="left"/>
                    <w:rPr>
                      <w:rFonts w:hint="default" w:ascii="宋体" w:hAnsi="宋体"/>
                      <w:bCs/>
                      <w:color w:val="auto"/>
                      <w:szCs w:val="21"/>
                      <w:highlight w:val="none"/>
                    </w:rPr>
                  </w:pPr>
                  <w:r>
                    <w:rPr>
                      <w:rFonts w:hint="eastAsia" w:ascii="宋体" w:hAnsi="宋体"/>
                      <w:bCs/>
                      <w:color w:val="auto"/>
                      <w:szCs w:val="21"/>
                      <w:highlight w:val="none"/>
                    </w:rPr>
                    <w:t>1000～5000万元</w:t>
                  </w:r>
                </w:p>
              </w:tc>
              <w:tc>
                <w:tcPr>
                  <w:tcW w:w="1279"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0.5％</w:t>
                  </w:r>
                </w:p>
              </w:tc>
              <w:tc>
                <w:tcPr>
                  <w:tcW w:w="1199"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0.25％</w:t>
                  </w:r>
                </w:p>
              </w:tc>
              <w:tc>
                <w:tcPr>
                  <w:tcW w:w="1022"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581" w:type="dxa"/>
                  <w:vAlign w:val="center"/>
                </w:tcPr>
                <w:p>
                  <w:pPr>
                    <w:keepNext w:val="0"/>
                    <w:keepLines w:val="0"/>
                    <w:suppressLineNumbers w:val="0"/>
                    <w:snapToGrid w:val="0"/>
                    <w:spacing w:before="0" w:beforeAutospacing="0" w:after="0" w:afterAutospacing="0"/>
                    <w:ind w:left="0" w:right="0"/>
                    <w:jc w:val="left"/>
                    <w:rPr>
                      <w:rFonts w:hint="default" w:ascii="宋体" w:hAnsi="宋体"/>
                      <w:bCs/>
                      <w:color w:val="auto"/>
                      <w:szCs w:val="21"/>
                      <w:highlight w:val="none"/>
                    </w:rPr>
                  </w:pPr>
                  <w:r>
                    <w:rPr>
                      <w:rFonts w:hint="eastAsia" w:ascii="宋体" w:hAnsi="宋体"/>
                      <w:bCs/>
                      <w:color w:val="auto"/>
                      <w:szCs w:val="21"/>
                      <w:highlight w:val="none"/>
                    </w:rPr>
                    <w:t>5000万元～1亿元</w:t>
                  </w:r>
                </w:p>
              </w:tc>
              <w:tc>
                <w:tcPr>
                  <w:tcW w:w="1279"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0.25％</w:t>
                  </w:r>
                </w:p>
              </w:tc>
              <w:tc>
                <w:tcPr>
                  <w:tcW w:w="1199"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0.1％</w:t>
                  </w:r>
                </w:p>
              </w:tc>
              <w:tc>
                <w:tcPr>
                  <w:tcW w:w="1022"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581" w:type="dxa"/>
                  <w:vAlign w:val="center"/>
                </w:tcPr>
                <w:p>
                  <w:pPr>
                    <w:keepNext w:val="0"/>
                    <w:keepLines w:val="0"/>
                    <w:suppressLineNumbers w:val="0"/>
                    <w:spacing w:before="0" w:beforeAutospacing="0" w:after="0" w:afterAutospacing="0" w:line="440" w:lineRule="exact"/>
                    <w:ind w:left="0" w:right="0"/>
                    <w:jc w:val="left"/>
                    <w:rPr>
                      <w:rFonts w:hint="default" w:ascii="宋体" w:hAnsi="宋体"/>
                      <w:bCs/>
                      <w:color w:val="auto"/>
                      <w:szCs w:val="21"/>
                      <w:highlight w:val="none"/>
                    </w:rPr>
                  </w:pPr>
                  <w:r>
                    <w:rPr>
                      <w:rFonts w:hint="eastAsia" w:ascii="宋体" w:hAnsi="宋体"/>
                      <w:bCs/>
                      <w:color w:val="auto"/>
                      <w:szCs w:val="21"/>
                      <w:highlight w:val="none"/>
                    </w:rPr>
                    <w:t>1～5亿元</w:t>
                  </w:r>
                </w:p>
              </w:tc>
              <w:tc>
                <w:tcPr>
                  <w:tcW w:w="1279"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0.05％</w:t>
                  </w:r>
                </w:p>
              </w:tc>
              <w:tc>
                <w:tcPr>
                  <w:tcW w:w="1199"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0.05％</w:t>
                  </w:r>
                </w:p>
              </w:tc>
              <w:tc>
                <w:tcPr>
                  <w:tcW w:w="1022"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581" w:type="dxa"/>
                  <w:vAlign w:val="center"/>
                </w:tcPr>
                <w:p>
                  <w:pPr>
                    <w:keepNext w:val="0"/>
                    <w:keepLines w:val="0"/>
                    <w:suppressLineNumbers w:val="0"/>
                    <w:spacing w:before="0" w:beforeAutospacing="0" w:after="0" w:afterAutospacing="0" w:line="440" w:lineRule="exact"/>
                    <w:ind w:left="0" w:right="0"/>
                    <w:jc w:val="left"/>
                    <w:rPr>
                      <w:rFonts w:hint="default" w:ascii="宋体" w:hAnsi="宋体"/>
                      <w:bCs/>
                      <w:color w:val="auto"/>
                      <w:szCs w:val="21"/>
                      <w:highlight w:val="none"/>
                    </w:rPr>
                  </w:pPr>
                  <w:r>
                    <w:rPr>
                      <w:rFonts w:hint="eastAsia" w:ascii="宋体" w:hAnsi="宋体"/>
                      <w:bCs/>
                      <w:color w:val="auto"/>
                      <w:szCs w:val="21"/>
                      <w:highlight w:val="none"/>
                    </w:rPr>
                    <w:t>5～10亿元</w:t>
                  </w:r>
                </w:p>
              </w:tc>
              <w:tc>
                <w:tcPr>
                  <w:tcW w:w="1279"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0.035％</w:t>
                  </w:r>
                </w:p>
              </w:tc>
              <w:tc>
                <w:tcPr>
                  <w:tcW w:w="1199"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0.035％</w:t>
                  </w:r>
                </w:p>
              </w:tc>
              <w:tc>
                <w:tcPr>
                  <w:tcW w:w="1022"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581" w:type="dxa"/>
                  <w:vAlign w:val="center"/>
                </w:tcPr>
                <w:p>
                  <w:pPr>
                    <w:keepNext w:val="0"/>
                    <w:keepLines w:val="0"/>
                    <w:suppressLineNumbers w:val="0"/>
                    <w:spacing w:before="0" w:beforeAutospacing="0" w:after="0" w:afterAutospacing="0" w:line="440" w:lineRule="exact"/>
                    <w:ind w:left="0" w:right="0"/>
                    <w:jc w:val="left"/>
                    <w:rPr>
                      <w:rFonts w:hint="default" w:ascii="宋体" w:hAnsi="宋体"/>
                      <w:bCs/>
                      <w:color w:val="auto"/>
                      <w:szCs w:val="21"/>
                      <w:highlight w:val="none"/>
                    </w:rPr>
                  </w:pPr>
                  <w:r>
                    <w:rPr>
                      <w:rFonts w:hint="eastAsia" w:ascii="宋体" w:hAnsi="宋体"/>
                      <w:bCs/>
                      <w:color w:val="auto"/>
                      <w:szCs w:val="21"/>
                      <w:highlight w:val="none"/>
                    </w:rPr>
                    <w:t>10～50亿元</w:t>
                  </w:r>
                </w:p>
              </w:tc>
              <w:tc>
                <w:tcPr>
                  <w:tcW w:w="1279"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0.008％</w:t>
                  </w:r>
                </w:p>
              </w:tc>
              <w:tc>
                <w:tcPr>
                  <w:tcW w:w="1199"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0.008％</w:t>
                  </w:r>
                </w:p>
              </w:tc>
              <w:tc>
                <w:tcPr>
                  <w:tcW w:w="1022"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581" w:type="dxa"/>
                  <w:vAlign w:val="center"/>
                </w:tcPr>
                <w:p>
                  <w:pPr>
                    <w:keepNext w:val="0"/>
                    <w:keepLines w:val="0"/>
                    <w:suppressLineNumbers w:val="0"/>
                    <w:spacing w:before="0" w:beforeAutospacing="0" w:after="0" w:afterAutospacing="0" w:line="440" w:lineRule="exact"/>
                    <w:ind w:left="0" w:right="0"/>
                    <w:jc w:val="left"/>
                    <w:rPr>
                      <w:rFonts w:hint="default" w:ascii="宋体" w:hAnsi="宋体"/>
                      <w:bCs/>
                      <w:color w:val="auto"/>
                      <w:szCs w:val="21"/>
                      <w:highlight w:val="none"/>
                    </w:rPr>
                  </w:pPr>
                  <w:r>
                    <w:rPr>
                      <w:rFonts w:hint="eastAsia" w:ascii="宋体" w:hAnsi="宋体"/>
                      <w:bCs/>
                      <w:color w:val="auto"/>
                      <w:szCs w:val="21"/>
                      <w:highlight w:val="none"/>
                    </w:rPr>
                    <w:t>50～100亿元</w:t>
                  </w:r>
                </w:p>
              </w:tc>
              <w:tc>
                <w:tcPr>
                  <w:tcW w:w="1279"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0.006％</w:t>
                  </w:r>
                </w:p>
              </w:tc>
              <w:tc>
                <w:tcPr>
                  <w:tcW w:w="1199"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0.006％</w:t>
                  </w:r>
                </w:p>
              </w:tc>
              <w:tc>
                <w:tcPr>
                  <w:tcW w:w="1022"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0.006％</w:t>
                  </w:r>
                </w:p>
              </w:tc>
            </w:tr>
          </w:tbl>
          <w:p>
            <w:pPr>
              <w:pStyle w:val="5"/>
              <w:keepNext w:val="0"/>
              <w:keepLines w:val="0"/>
              <w:suppressLineNumbers w:val="0"/>
              <w:spacing w:before="0" w:beforeAutospacing="0" w:after="0" w:afterAutospacing="0" w:line="360" w:lineRule="auto"/>
              <w:ind w:left="0" w:right="0"/>
              <w:jc w:val="center"/>
              <w:rPr>
                <w:rFonts w:hint="default" w:ascii="宋体" w:hAnsi="宋体"/>
                <w:b/>
                <w:color w:val="auto"/>
                <w:szCs w:val="21"/>
                <w:highlight w:val="none"/>
              </w:rPr>
            </w:pPr>
          </w:p>
          <w:tbl>
            <w:tblPr>
              <w:tblStyle w:val="41"/>
              <w:tblpPr w:leftFromText="180" w:rightFromText="180" w:vertAnchor="text" w:horzAnchor="page" w:tblpX="190" w:tblpY="-367"/>
              <w:tblOverlap w:val="never"/>
              <w:tblW w:w="5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301"/>
              <w:gridCol w:w="1200"/>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551" w:type="dxa"/>
                  <w:vAlign w:val="center"/>
                </w:tcPr>
                <w:p>
                  <w:pPr>
                    <w:keepNext w:val="0"/>
                    <w:keepLines w:val="0"/>
                    <w:suppressLineNumbers w:val="0"/>
                    <w:spacing w:before="0" w:beforeAutospacing="0" w:after="0" w:afterAutospacing="0" w:line="440" w:lineRule="exact"/>
                    <w:ind w:left="0" w:right="0"/>
                    <w:jc w:val="left"/>
                    <w:rPr>
                      <w:rFonts w:hint="default" w:ascii="宋体" w:hAnsi="宋体"/>
                      <w:bCs/>
                      <w:color w:val="auto"/>
                      <w:szCs w:val="21"/>
                      <w:highlight w:val="none"/>
                    </w:rPr>
                  </w:pPr>
                  <w:r>
                    <w:rPr>
                      <w:rFonts w:hint="eastAsia" w:ascii="宋体" w:hAnsi="宋体"/>
                      <w:bCs/>
                      <w:color w:val="auto"/>
                      <w:szCs w:val="21"/>
                      <w:highlight w:val="none"/>
                    </w:rPr>
                    <w:t>100亿元以上</w:t>
                  </w:r>
                </w:p>
              </w:tc>
              <w:tc>
                <w:tcPr>
                  <w:tcW w:w="1301"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0.004％</w:t>
                  </w:r>
                </w:p>
              </w:tc>
              <w:tc>
                <w:tcPr>
                  <w:tcW w:w="1200"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0.004％</w:t>
                  </w:r>
                </w:p>
              </w:tc>
              <w:tc>
                <w:tcPr>
                  <w:tcW w:w="979" w:type="dxa"/>
                  <w:vAlign w:val="center"/>
                </w:tcPr>
                <w:p>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lang w:val="zh-CN"/>
                    </w:rPr>
                  </w:pPr>
                  <w:r>
                    <w:rPr>
                      <w:rFonts w:hint="eastAsia" w:ascii="宋体" w:hAnsi="宋体"/>
                      <w:color w:val="auto"/>
                      <w:szCs w:val="21"/>
                      <w:highlight w:val="none"/>
                      <w:lang w:val="zh-CN"/>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031" w:type="dxa"/>
                  <w:gridSpan w:val="4"/>
                </w:tcPr>
                <w:p>
                  <w:pPr>
                    <w:keepNext w:val="0"/>
                    <w:keepLines w:val="0"/>
                    <w:suppressLineNumbers w:val="0"/>
                    <w:spacing w:before="0" w:beforeAutospacing="0" w:after="0" w:afterAutospacing="0" w:line="440" w:lineRule="exact"/>
                    <w:ind w:left="0" w:right="0"/>
                    <w:rPr>
                      <w:rFonts w:hint="default" w:ascii="宋体" w:hAnsi="宋体"/>
                      <w:color w:val="auto"/>
                      <w:szCs w:val="21"/>
                      <w:highlight w:val="none"/>
                    </w:rPr>
                  </w:pPr>
                  <w:r>
                    <w:rPr>
                      <w:rFonts w:hint="default" w:ascii="宋体" w:hAnsi="宋体"/>
                      <w:color w:val="auto"/>
                      <w:szCs w:val="21"/>
                      <w:highlight w:val="none"/>
                    </w:rPr>
                    <w:t>计算说明</w:t>
                  </w:r>
                  <w:r>
                    <w:rPr>
                      <w:rFonts w:hint="eastAsia" w:ascii="宋体" w:hAnsi="宋体"/>
                      <w:color w:val="auto"/>
                      <w:szCs w:val="21"/>
                      <w:highlight w:val="none"/>
                    </w:rPr>
                    <w:t>：</w:t>
                  </w:r>
                </w:p>
                <w:p>
                  <w:pPr>
                    <w:pStyle w:val="5"/>
                    <w:keepNext w:val="0"/>
                    <w:keepLines w:val="0"/>
                    <w:suppressLineNumbers w:val="0"/>
                    <w:spacing w:before="0" w:beforeAutospacing="0" w:after="0" w:afterAutospacing="0"/>
                    <w:ind w:left="0" w:right="0" w:firstLine="0" w:firstLineChars="0"/>
                    <w:rPr>
                      <w:rFonts w:hint="default"/>
                      <w:color w:val="auto"/>
                      <w:highlight w:val="none"/>
                    </w:rPr>
                  </w:pPr>
                  <w:r>
                    <w:rPr>
                      <w:rFonts w:hint="eastAsia"/>
                      <w:color w:val="auto"/>
                      <w:highlight w:val="none"/>
                    </w:rPr>
                    <w:t>招标代理服务费按上述费率进行差额累进制计算。例如：某</w:t>
                  </w:r>
                  <w:r>
                    <w:rPr>
                      <w:rFonts w:hint="eastAsia"/>
                      <w:color w:val="auto"/>
                      <w:highlight w:val="none"/>
                      <w:lang w:val="en-US" w:eastAsia="zh-CN"/>
                    </w:rPr>
                    <w:t>服务类招标项目的</w:t>
                  </w:r>
                  <w:r>
                    <w:rPr>
                      <w:rFonts w:hint="eastAsia"/>
                      <w:color w:val="auto"/>
                      <w:highlight w:val="none"/>
                    </w:rPr>
                    <w:t>中标金额为</w:t>
                  </w:r>
                  <w:r>
                    <w:rPr>
                      <w:rFonts w:hint="eastAsia"/>
                      <w:color w:val="auto"/>
                      <w:highlight w:val="none"/>
                      <w:lang w:val="en-US" w:eastAsia="zh-CN"/>
                    </w:rPr>
                    <w:t>6</w:t>
                  </w:r>
                  <w:r>
                    <w:rPr>
                      <w:rFonts w:hint="eastAsia"/>
                      <w:color w:val="auto"/>
                      <w:highlight w:val="none"/>
                    </w:rPr>
                    <w:t>00万元，招标代理服务费计算如下：</w:t>
                  </w:r>
                </w:p>
                <w:p>
                  <w:pPr>
                    <w:pStyle w:val="5"/>
                    <w:keepNext w:val="0"/>
                    <w:keepLines w:val="0"/>
                    <w:suppressLineNumbers w:val="0"/>
                    <w:spacing w:before="0" w:beforeAutospacing="0" w:after="0" w:afterAutospacing="0"/>
                    <w:ind w:left="0" w:right="0" w:firstLine="0" w:firstLineChars="0"/>
                    <w:rPr>
                      <w:rFonts w:hint="default"/>
                      <w:color w:val="auto"/>
                      <w:highlight w:val="none"/>
                    </w:rPr>
                  </w:pPr>
                  <w:r>
                    <w:rPr>
                      <w:rFonts w:hint="eastAsia"/>
                      <w:color w:val="auto"/>
                      <w:highlight w:val="none"/>
                    </w:rPr>
                    <w:t>1.100万元×1.</w:t>
                  </w:r>
                  <w:r>
                    <w:rPr>
                      <w:rFonts w:hint="eastAsia"/>
                      <w:color w:val="auto"/>
                      <w:highlight w:val="none"/>
                      <w:lang w:val="en-US" w:eastAsia="zh-CN"/>
                    </w:rPr>
                    <w:t>5</w:t>
                  </w:r>
                  <w:r>
                    <w:rPr>
                      <w:rFonts w:hint="eastAsia"/>
                      <w:color w:val="auto"/>
                      <w:highlight w:val="none"/>
                    </w:rPr>
                    <w:t>％＝1.</w:t>
                  </w:r>
                  <w:r>
                    <w:rPr>
                      <w:rFonts w:hint="eastAsia"/>
                      <w:color w:val="auto"/>
                      <w:highlight w:val="none"/>
                      <w:lang w:val="en-US" w:eastAsia="zh-CN"/>
                    </w:rPr>
                    <w:t>5</w:t>
                  </w:r>
                  <w:r>
                    <w:rPr>
                      <w:rFonts w:hint="eastAsia"/>
                      <w:color w:val="auto"/>
                      <w:highlight w:val="none"/>
                    </w:rPr>
                    <w:t>万</w:t>
                  </w:r>
                </w:p>
                <w:p>
                  <w:pPr>
                    <w:pStyle w:val="5"/>
                    <w:keepNext w:val="0"/>
                    <w:keepLines w:val="0"/>
                    <w:suppressLineNumbers w:val="0"/>
                    <w:spacing w:before="0" w:beforeAutospacing="0" w:after="0" w:afterAutospacing="0"/>
                    <w:ind w:left="0" w:right="0" w:firstLine="0" w:firstLineChars="0"/>
                    <w:rPr>
                      <w:rFonts w:hint="default"/>
                      <w:color w:val="auto"/>
                      <w:highlight w:val="none"/>
                    </w:rPr>
                  </w:pPr>
                  <w:r>
                    <w:rPr>
                      <w:rFonts w:hint="eastAsia"/>
                      <w:color w:val="auto"/>
                      <w:highlight w:val="none"/>
                    </w:rPr>
                    <w:t>2.（500－100）万元×0.</w:t>
                  </w:r>
                  <w:r>
                    <w:rPr>
                      <w:rFonts w:hint="eastAsia"/>
                      <w:color w:val="auto"/>
                      <w:highlight w:val="none"/>
                      <w:lang w:val="en-US" w:eastAsia="zh-CN"/>
                    </w:rPr>
                    <w:t>8</w:t>
                  </w:r>
                  <w:r>
                    <w:rPr>
                      <w:rFonts w:hint="eastAsia"/>
                      <w:color w:val="auto"/>
                      <w:highlight w:val="none"/>
                    </w:rPr>
                    <w:t>％＝</w:t>
                  </w:r>
                  <w:r>
                    <w:rPr>
                      <w:rFonts w:hint="eastAsia"/>
                      <w:color w:val="auto"/>
                      <w:highlight w:val="none"/>
                      <w:lang w:val="en-US" w:eastAsia="zh-CN"/>
                    </w:rPr>
                    <w:t>3.2</w:t>
                  </w:r>
                  <w:r>
                    <w:rPr>
                      <w:rFonts w:hint="eastAsia"/>
                      <w:color w:val="auto"/>
                      <w:highlight w:val="none"/>
                    </w:rPr>
                    <w:t>万元</w:t>
                  </w:r>
                </w:p>
                <w:p>
                  <w:pPr>
                    <w:pStyle w:val="5"/>
                    <w:keepNext w:val="0"/>
                    <w:keepLines w:val="0"/>
                    <w:suppressLineNumbers w:val="0"/>
                    <w:spacing w:before="0" w:beforeAutospacing="0" w:after="0" w:afterAutospacing="0"/>
                    <w:ind w:left="0" w:right="0" w:firstLine="0" w:firstLineChars="0"/>
                    <w:rPr>
                      <w:rFonts w:hint="default"/>
                      <w:color w:val="auto"/>
                      <w:highlight w:val="none"/>
                    </w:rPr>
                  </w:pPr>
                  <w:r>
                    <w:rPr>
                      <w:rFonts w:hint="eastAsia"/>
                      <w:color w:val="auto"/>
                      <w:highlight w:val="none"/>
                    </w:rPr>
                    <w:t>3.（</w:t>
                  </w:r>
                  <w:r>
                    <w:rPr>
                      <w:rFonts w:hint="eastAsia"/>
                      <w:color w:val="auto"/>
                      <w:highlight w:val="none"/>
                      <w:lang w:val="en-US" w:eastAsia="zh-CN"/>
                    </w:rPr>
                    <w:t>600</w:t>
                  </w:r>
                  <w:r>
                    <w:rPr>
                      <w:rFonts w:hint="eastAsia"/>
                      <w:color w:val="auto"/>
                      <w:highlight w:val="none"/>
                    </w:rPr>
                    <w:t>－500）万元×0.</w:t>
                  </w:r>
                  <w:r>
                    <w:rPr>
                      <w:rFonts w:hint="eastAsia"/>
                      <w:color w:val="auto"/>
                      <w:highlight w:val="none"/>
                      <w:lang w:val="en-US" w:eastAsia="zh-CN"/>
                    </w:rPr>
                    <w:t>4</w:t>
                  </w:r>
                  <w:r>
                    <w:rPr>
                      <w:rFonts w:hint="eastAsia"/>
                      <w:color w:val="auto"/>
                      <w:highlight w:val="none"/>
                    </w:rPr>
                    <w:t>5％＝</w:t>
                  </w:r>
                  <w:r>
                    <w:rPr>
                      <w:rFonts w:hint="eastAsia"/>
                      <w:color w:val="auto"/>
                      <w:highlight w:val="none"/>
                      <w:lang w:val="en-US" w:eastAsia="zh-CN"/>
                    </w:rPr>
                    <w:t>0.45</w:t>
                  </w:r>
                  <w:r>
                    <w:rPr>
                      <w:rFonts w:hint="eastAsia"/>
                      <w:color w:val="auto"/>
                      <w:highlight w:val="none"/>
                    </w:rPr>
                    <w:t>万元</w:t>
                  </w:r>
                </w:p>
                <w:p>
                  <w:pPr>
                    <w:keepNext w:val="0"/>
                    <w:keepLines w:val="0"/>
                    <w:suppressLineNumbers w:val="0"/>
                    <w:spacing w:before="0" w:beforeAutospacing="0" w:after="0" w:afterAutospacing="0" w:line="440" w:lineRule="exact"/>
                    <w:ind w:left="0" w:right="0"/>
                    <w:rPr>
                      <w:rFonts w:hint="default" w:ascii="宋体" w:hAnsi="宋体"/>
                      <w:color w:val="auto"/>
                      <w:szCs w:val="21"/>
                      <w:highlight w:val="none"/>
                    </w:rPr>
                  </w:pPr>
                  <w:r>
                    <w:rPr>
                      <w:rFonts w:hint="eastAsia"/>
                      <w:color w:val="auto"/>
                      <w:highlight w:val="none"/>
                      <w:lang w:val="en-US" w:eastAsia="zh-CN"/>
                    </w:rPr>
                    <w:t>4</w:t>
                  </w:r>
                  <w:r>
                    <w:rPr>
                      <w:rFonts w:hint="eastAsia"/>
                      <w:color w:val="auto"/>
                      <w:highlight w:val="none"/>
                    </w:rPr>
                    <w:t>.合计收费为：1.5＋</w:t>
                  </w:r>
                  <w:r>
                    <w:rPr>
                      <w:rFonts w:hint="eastAsia"/>
                      <w:color w:val="auto"/>
                      <w:highlight w:val="none"/>
                      <w:lang w:val="en-US" w:eastAsia="zh-CN"/>
                    </w:rPr>
                    <w:t>3.2</w:t>
                  </w:r>
                  <w:r>
                    <w:rPr>
                      <w:rFonts w:hint="eastAsia"/>
                      <w:color w:val="auto"/>
                      <w:highlight w:val="none"/>
                    </w:rPr>
                    <w:t>＋</w:t>
                  </w:r>
                  <w:r>
                    <w:rPr>
                      <w:rFonts w:hint="eastAsia"/>
                      <w:color w:val="auto"/>
                      <w:highlight w:val="none"/>
                      <w:lang w:val="en-US" w:eastAsia="zh-CN"/>
                    </w:rPr>
                    <w:t>0.45</w:t>
                  </w:r>
                  <w:r>
                    <w:rPr>
                      <w:rFonts w:hint="eastAsia"/>
                      <w:color w:val="auto"/>
                      <w:highlight w:val="none"/>
                    </w:rPr>
                    <w:t>＝</w:t>
                  </w:r>
                  <w:r>
                    <w:rPr>
                      <w:rFonts w:hint="eastAsia"/>
                      <w:color w:val="auto"/>
                      <w:highlight w:val="none"/>
                      <w:lang w:val="en-US" w:eastAsia="zh-CN"/>
                    </w:rPr>
                    <w:t>5.15</w:t>
                  </w:r>
                  <w:r>
                    <w:rPr>
                      <w:rFonts w:hint="eastAsia"/>
                      <w:color w:val="auto"/>
                      <w:highlight w:val="none"/>
                    </w:rPr>
                    <w:t>万元</w:t>
                  </w:r>
                </w:p>
              </w:tc>
            </w:tr>
          </w:tbl>
          <w:p>
            <w:pPr>
              <w:keepNext w:val="0"/>
              <w:keepLines w:val="0"/>
              <w:suppressLineNumbers w:val="0"/>
              <w:spacing w:before="0" w:beforeAutospacing="0" w:after="0" w:afterAutospacing="0" w:line="440" w:lineRule="exact"/>
              <w:ind w:left="0" w:right="0"/>
              <w:rPr>
                <w:rFonts w:hint="default" w:ascii="宋体" w:hAnsi="宋体"/>
                <w:b/>
                <w:color w:val="auto"/>
                <w:szCs w:val="21"/>
                <w:highlight w:val="none"/>
              </w:rPr>
            </w:pPr>
          </w:p>
          <w:p>
            <w:pPr>
              <w:keepNext w:val="0"/>
              <w:keepLines w:val="0"/>
              <w:suppressLineNumbers w:val="0"/>
              <w:spacing w:before="0" w:beforeAutospacing="0" w:after="0" w:afterAutospacing="0" w:line="440" w:lineRule="exact"/>
              <w:ind w:left="0" w:right="0"/>
              <w:rPr>
                <w:rFonts w:hint="default" w:ascii="宋体" w:hAnsi="宋体"/>
                <w:b/>
                <w:color w:val="auto"/>
                <w:szCs w:val="21"/>
                <w:highlight w:val="none"/>
              </w:rPr>
            </w:pPr>
          </w:p>
          <w:p>
            <w:pPr>
              <w:keepNext w:val="0"/>
              <w:keepLines w:val="0"/>
              <w:suppressLineNumbers w:val="0"/>
              <w:spacing w:before="0" w:beforeAutospacing="0" w:after="0" w:afterAutospacing="0" w:line="440" w:lineRule="exact"/>
              <w:ind w:left="0" w:right="0"/>
              <w:jc w:val="both"/>
              <w:rPr>
                <w:rFonts w:hint="default" w:ascii="宋体" w:hAnsi="宋体"/>
                <w:b/>
                <w:color w:val="auto"/>
                <w:szCs w:val="21"/>
                <w:highlight w:val="none"/>
              </w:rPr>
            </w:pPr>
          </w:p>
          <w:p>
            <w:pPr>
              <w:keepNext w:val="0"/>
              <w:keepLines w:val="0"/>
              <w:suppressLineNumbers w:val="0"/>
              <w:spacing w:before="0" w:beforeAutospacing="0" w:after="0" w:afterAutospacing="0" w:line="440" w:lineRule="exact"/>
              <w:ind w:left="0" w:right="0"/>
              <w:jc w:val="center"/>
              <w:rPr>
                <w:rFonts w:hint="default" w:ascii="宋体" w:hAnsi="宋体"/>
                <w:b/>
                <w:color w:val="auto"/>
                <w:szCs w:val="21"/>
                <w:highlight w:val="none"/>
              </w:rPr>
            </w:pPr>
          </w:p>
          <w:p>
            <w:pPr>
              <w:keepNext w:val="0"/>
              <w:keepLines w:val="0"/>
              <w:suppressLineNumbers w:val="0"/>
              <w:spacing w:before="0" w:beforeAutospacing="0" w:after="0" w:afterAutospacing="0" w:line="440" w:lineRule="exact"/>
              <w:ind w:left="0" w:right="0"/>
              <w:jc w:val="center"/>
              <w:rPr>
                <w:rFonts w:hint="default" w:ascii="宋体" w:hAnsi="宋体"/>
                <w:b/>
                <w:color w:val="auto"/>
                <w:szCs w:val="21"/>
                <w:highlight w:val="none"/>
              </w:rPr>
            </w:pPr>
            <w:r>
              <w:rPr>
                <w:rFonts w:hint="default" w:ascii="宋体" w:hAnsi="宋体"/>
                <w:b/>
                <w:color w:val="auto"/>
                <w:szCs w:val="21"/>
                <w:highlight w:val="none"/>
              </w:rPr>
              <w:t>表2：招标代理服务费取费标准</w:t>
            </w:r>
          </w:p>
          <w:tbl>
            <w:tblPr>
              <w:tblStyle w:val="41"/>
              <w:tblW w:w="5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466"/>
              <w:gridCol w:w="977"/>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Align w:val="center"/>
                </w:tcPr>
                <w:p>
                  <w:pPr>
                    <w:keepNext w:val="0"/>
                    <w:keepLines w:val="0"/>
                    <w:suppressLineNumbers w:val="0"/>
                    <w:snapToGrid w:val="0"/>
                    <w:spacing w:before="0" w:beforeAutospacing="0" w:after="0" w:afterAutospacing="0"/>
                    <w:ind w:left="0" w:right="0"/>
                    <w:rPr>
                      <w:rFonts w:hint="default" w:ascii="宋体" w:hAnsi="宋体" w:cs="仿宋_GB2312"/>
                      <w:b/>
                      <w:bCs/>
                      <w:color w:val="auto"/>
                      <w:szCs w:val="21"/>
                      <w:highlight w:val="none"/>
                    </w:rPr>
                  </w:pPr>
                  <w:r>
                    <w:rPr>
                      <w:rFonts w:hint="eastAsia" w:ascii="宋体" w:hAnsi="宋体" w:cs="仿宋_GB2312"/>
                      <w:b/>
                      <w:bCs/>
                      <w:color w:val="auto"/>
                      <w:szCs w:val="21"/>
                      <w:highlight w:val="none"/>
                    </w:rPr>
                    <w:t>类别</w:t>
                  </w:r>
                </w:p>
              </w:tc>
              <w:tc>
                <w:tcPr>
                  <w:tcW w:w="1466" w:type="dxa"/>
                  <w:vAlign w:val="center"/>
                </w:tcPr>
                <w:p>
                  <w:pPr>
                    <w:keepNext w:val="0"/>
                    <w:keepLines w:val="0"/>
                    <w:suppressLineNumbers w:val="0"/>
                    <w:snapToGrid w:val="0"/>
                    <w:spacing w:before="0" w:beforeAutospacing="0" w:after="0" w:afterAutospacing="0"/>
                    <w:ind w:left="0" w:right="0"/>
                    <w:jc w:val="left"/>
                    <w:rPr>
                      <w:rFonts w:hint="default" w:ascii="宋体" w:hAnsi="宋体" w:cs="仿宋_GB2312"/>
                      <w:b/>
                      <w:bCs/>
                      <w:color w:val="auto"/>
                      <w:szCs w:val="21"/>
                      <w:highlight w:val="none"/>
                    </w:rPr>
                  </w:pPr>
                  <w:r>
                    <w:rPr>
                      <w:rFonts w:hint="eastAsia" w:ascii="宋体" w:hAnsi="宋体" w:cs="仿宋_GB2312"/>
                      <w:b/>
                      <w:bCs/>
                      <w:color w:val="auto"/>
                      <w:szCs w:val="21"/>
                      <w:highlight w:val="none"/>
                    </w:rPr>
                    <w:t>中标金额</w:t>
                  </w:r>
                </w:p>
                <w:p>
                  <w:pPr>
                    <w:keepNext w:val="0"/>
                    <w:keepLines w:val="0"/>
                    <w:suppressLineNumbers w:val="0"/>
                    <w:snapToGrid w:val="0"/>
                    <w:spacing w:before="0" w:beforeAutospacing="0" w:after="0" w:afterAutospacing="0"/>
                    <w:ind w:left="0" w:right="0"/>
                    <w:jc w:val="left"/>
                    <w:rPr>
                      <w:rFonts w:hint="default" w:ascii="宋体" w:hAnsi="宋体" w:cs="仿宋_GB2312"/>
                      <w:b/>
                      <w:bCs/>
                      <w:color w:val="auto"/>
                      <w:szCs w:val="21"/>
                      <w:highlight w:val="none"/>
                    </w:rPr>
                  </w:pPr>
                  <w:r>
                    <w:rPr>
                      <w:rFonts w:hint="eastAsia" w:ascii="宋体" w:hAnsi="宋体" w:cs="仿宋_GB2312"/>
                      <w:b/>
                      <w:bCs/>
                      <w:color w:val="auto"/>
                      <w:szCs w:val="21"/>
                      <w:highlight w:val="none"/>
                    </w:rPr>
                    <w:t>（设中标金额为X）</w:t>
                  </w:r>
                </w:p>
              </w:tc>
              <w:tc>
                <w:tcPr>
                  <w:tcW w:w="977" w:type="dxa"/>
                  <w:vAlign w:val="center"/>
                </w:tcPr>
                <w:p>
                  <w:pPr>
                    <w:keepNext w:val="0"/>
                    <w:keepLines w:val="0"/>
                    <w:suppressLineNumbers w:val="0"/>
                    <w:snapToGrid w:val="0"/>
                    <w:spacing w:before="0" w:beforeAutospacing="0" w:after="0" w:afterAutospacing="0"/>
                    <w:ind w:left="0" w:right="0"/>
                    <w:jc w:val="left"/>
                    <w:rPr>
                      <w:rFonts w:hint="default" w:ascii="宋体" w:hAnsi="宋体" w:cs="仿宋_GB2312"/>
                      <w:b/>
                      <w:bCs/>
                      <w:color w:val="auto"/>
                      <w:szCs w:val="21"/>
                      <w:highlight w:val="none"/>
                    </w:rPr>
                  </w:pPr>
                  <w:r>
                    <w:rPr>
                      <w:rFonts w:hint="eastAsia" w:ascii="宋体" w:hAnsi="宋体" w:cs="仿宋_GB2312"/>
                      <w:b/>
                      <w:bCs/>
                      <w:color w:val="auto"/>
                      <w:szCs w:val="21"/>
                      <w:highlight w:val="none"/>
                    </w:rPr>
                    <w:t>取费率</w:t>
                  </w:r>
                </w:p>
              </w:tc>
              <w:tc>
                <w:tcPr>
                  <w:tcW w:w="1776" w:type="dxa"/>
                  <w:vAlign w:val="center"/>
                </w:tcPr>
                <w:p>
                  <w:pPr>
                    <w:keepNext w:val="0"/>
                    <w:keepLines w:val="0"/>
                    <w:suppressLineNumbers w:val="0"/>
                    <w:snapToGrid w:val="0"/>
                    <w:spacing w:before="0" w:beforeAutospacing="0" w:after="0" w:afterAutospacing="0"/>
                    <w:ind w:left="0" w:right="0"/>
                    <w:jc w:val="left"/>
                    <w:rPr>
                      <w:rFonts w:hint="default" w:ascii="宋体" w:hAnsi="宋体" w:cs="仿宋_GB2312"/>
                      <w:b/>
                      <w:bCs/>
                      <w:color w:val="auto"/>
                      <w:szCs w:val="21"/>
                      <w:highlight w:val="none"/>
                    </w:rPr>
                  </w:pPr>
                  <w:r>
                    <w:rPr>
                      <w:rFonts w:hint="eastAsia" w:ascii="宋体" w:hAnsi="宋体" w:cs="仿宋_GB2312"/>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58" w:type="dxa"/>
                  <w:vMerge w:val="restart"/>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kern w:val="0"/>
                      <w:szCs w:val="21"/>
                      <w:highlight w:val="none"/>
                      <w:u w:val="single"/>
                    </w:rPr>
                  </w:pPr>
                  <w:r>
                    <w:rPr>
                      <w:rFonts w:hint="eastAsia" w:ascii="宋体" w:hAnsi="宋体" w:cs="仿宋_GB2312"/>
                      <w:b/>
                      <w:bCs/>
                      <w:color w:val="auto"/>
                      <w:szCs w:val="21"/>
                      <w:highlight w:val="none"/>
                    </w:rPr>
                    <w:t>货物类</w:t>
                  </w:r>
                </w:p>
              </w:tc>
              <w:tc>
                <w:tcPr>
                  <w:tcW w:w="1466" w:type="dxa"/>
                  <w:vAlign w:val="center"/>
                </w:tcPr>
                <w:p>
                  <w:pPr>
                    <w:keepNext w:val="0"/>
                    <w:keepLines w:val="0"/>
                    <w:suppressLineNumbers w:val="0"/>
                    <w:snapToGrid w:val="0"/>
                    <w:spacing w:before="0" w:beforeAutospacing="0" w:after="0" w:afterAutospacing="0"/>
                    <w:ind w:left="0" w:right="0"/>
                    <w:jc w:val="left"/>
                    <w:rPr>
                      <w:rFonts w:hint="default" w:ascii="宋体" w:hAnsi="宋体" w:cs="仿宋_GB2312"/>
                      <w:color w:val="auto"/>
                      <w:szCs w:val="21"/>
                      <w:highlight w:val="none"/>
                    </w:rPr>
                  </w:pPr>
                  <w:r>
                    <w:rPr>
                      <w:rFonts w:hint="eastAsia" w:ascii="宋体" w:hAnsi="宋体" w:cs="仿宋_GB2312"/>
                      <w:color w:val="auto"/>
                      <w:szCs w:val="21"/>
                      <w:highlight w:val="none"/>
                    </w:rPr>
                    <w:t>X≤5000万元</w:t>
                  </w:r>
                </w:p>
              </w:tc>
              <w:tc>
                <w:tcPr>
                  <w:tcW w:w="977" w:type="dxa"/>
                  <w:vAlign w:val="center"/>
                </w:tcPr>
                <w:p>
                  <w:pPr>
                    <w:keepNext w:val="0"/>
                    <w:keepLines w:val="0"/>
                    <w:suppressLineNumbers w:val="0"/>
                    <w:snapToGrid w:val="0"/>
                    <w:spacing w:before="0" w:beforeAutospacing="0" w:after="0" w:afterAutospacing="0"/>
                    <w:ind w:left="0" w:right="0"/>
                    <w:jc w:val="left"/>
                    <w:rPr>
                      <w:rFonts w:hint="default" w:ascii="宋体" w:hAnsi="宋体" w:cs="仿宋_GB2312"/>
                      <w:color w:val="auto"/>
                      <w:szCs w:val="21"/>
                      <w:highlight w:val="none"/>
                    </w:rPr>
                  </w:pPr>
                  <w:r>
                    <w:rPr>
                      <w:rFonts w:hint="eastAsia" w:ascii="宋体" w:hAnsi="宋体" w:cs="仿宋_GB2312"/>
                      <w:color w:val="auto"/>
                      <w:szCs w:val="21"/>
                      <w:highlight w:val="none"/>
                    </w:rPr>
                    <w:t>80%</w:t>
                  </w:r>
                </w:p>
              </w:tc>
              <w:tc>
                <w:tcPr>
                  <w:tcW w:w="1776" w:type="dxa"/>
                  <w:vAlign w:val="center"/>
                </w:tcPr>
                <w:p>
                  <w:pPr>
                    <w:keepNext w:val="0"/>
                    <w:keepLines w:val="0"/>
                    <w:suppressLineNumbers w:val="0"/>
                    <w:snapToGrid w:val="0"/>
                    <w:spacing w:before="0" w:beforeAutospacing="0" w:after="0" w:afterAutospacing="0"/>
                    <w:ind w:left="0" w:right="0"/>
                    <w:jc w:val="left"/>
                    <w:rPr>
                      <w:rFonts w:hint="default"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58"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kern w:val="0"/>
                      <w:szCs w:val="21"/>
                      <w:highlight w:val="none"/>
                      <w:u w:val="single"/>
                    </w:rPr>
                  </w:pPr>
                </w:p>
              </w:tc>
              <w:tc>
                <w:tcPr>
                  <w:tcW w:w="1466" w:type="dxa"/>
                  <w:vAlign w:val="center"/>
                </w:tcPr>
                <w:p>
                  <w:pPr>
                    <w:keepNext w:val="0"/>
                    <w:keepLines w:val="0"/>
                    <w:suppressLineNumbers w:val="0"/>
                    <w:snapToGrid w:val="0"/>
                    <w:spacing w:before="0" w:beforeAutospacing="0" w:after="0" w:afterAutospacing="0"/>
                    <w:ind w:left="0" w:right="0"/>
                    <w:jc w:val="left"/>
                    <w:rPr>
                      <w:rFonts w:hint="default" w:ascii="宋体" w:hAnsi="宋体" w:cs="仿宋_GB2312"/>
                      <w:color w:val="auto"/>
                      <w:szCs w:val="21"/>
                      <w:highlight w:val="none"/>
                    </w:rPr>
                  </w:pPr>
                  <w:r>
                    <w:rPr>
                      <w:rFonts w:hint="eastAsia" w:ascii="宋体" w:hAnsi="宋体" w:cs="仿宋_GB2312"/>
                      <w:color w:val="auto"/>
                      <w:szCs w:val="21"/>
                      <w:highlight w:val="none"/>
                    </w:rPr>
                    <w:t>5000万元＜X</w:t>
                  </w:r>
                </w:p>
              </w:tc>
              <w:tc>
                <w:tcPr>
                  <w:tcW w:w="977" w:type="dxa"/>
                  <w:vAlign w:val="center"/>
                </w:tcPr>
                <w:p>
                  <w:pPr>
                    <w:keepNext w:val="0"/>
                    <w:keepLines w:val="0"/>
                    <w:suppressLineNumbers w:val="0"/>
                    <w:snapToGrid w:val="0"/>
                    <w:spacing w:before="0" w:beforeAutospacing="0" w:after="0" w:afterAutospacing="0"/>
                    <w:ind w:left="0" w:right="0"/>
                    <w:jc w:val="left"/>
                    <w:rPr>
                      <w:rFonts w:hint="default" w:ascii="宋体" w:hAnsi="宋体" w:cs="仿宋_GB2312"/>
                      <w:color w:val="auto"/>
                      <w:szCs w:val="21"/>
                      <w:highlight w:val="none"/>
                    </w:rPr>
                  </w:pPr>
                  <w:r>
                    <w:rPr>
                      <w:rFonts w:hint="eastAsia" w:ascii="宋体" w:hAnsi="宋体" w:cs="仿宋_GB2312"/>
                      <w:color w:val="auto"/>
                      <w:szCs w:val="21"/>
                      <w:highlight w:val="none"/>
                    </w:rPr>
                    <w:t>50%</w:t>
                  </w:r>
                </w:p>
              </w:tc>
              <w:tc>
                <w:tcPr>
                  <w:tcW w:w="1776" w:type="dxa"/>
                  <w:vAlign w:val="center"/>
                </w:tcPr>
                <w:p>
                  <w:pPr>
                    <w:keepNext w:val="0"/>
                    <w:keepLines w:val="0"/>
                    <w:suppressLineNumbers w:val="0"/>
                    <w:snapToGrid w:val="0"/>
                    <w:spacing w:before="0" w:beforeAutospacing="0" w:after="0" w:afterAutospacing="0"/>
                    <w:ind w:left="0" w:right="0"/>
                    <w:jc w:val="left"/>
                    <w:rPr>
                      <w:rFonts w:hint="default" w:ascii="宋体" w:hAnsi="宋体" w:cs="仿宋_GB2312"/>
                      <w:color w:val="auto"/>
                      <w:szCs w:val="21"/>
                      <w:highlight w:val="none"/>
                    </w:rPr>
                  </w:pPr>
                  <w:r>
                    <w:rPr>
                      <w:rFonts w:hint="eastAsia" w:ascii="宋体" w:hAnsi="宋体" w:cs="仿宋_GB2312"/>
                      <w:color w:val="auto"/>
                      <w:szCs w:val="21"/>
                      <w:highlight w:val="none"/>
                    </w:rPr>
                    <w:t>取50%后不足239200元的，按239200元记取。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58" w:type="dxa"/>
                  <w:vMerge w:val="restart"/>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kern w:val="0"/>
                      <w:szCs w:val="21"/>
                      <w:highlight w:val="none"/>
                      <w:u w:val="single"/>
                    </w:rPr>
                  </w:pPr>
                  <w:r>
                    <w:rPr>
                      <w:rFonts w:hint="eastAsia" w:ascii="宋体" w:hAnsi="宋体" w:cs="仿宋_GB2312"/>
                      <w:b/>
                      <w:bCs/>
                      <w:color w:val="auto"/>
                      <w:szCs w:val="21"/>
                      <w:highlight w:val="none"/>
                    </w:rPr>
                    <w:t>服务类</w:t>
                  </w:r>
                </w:p>
              </w:tc>
              <w:tc>
                <w:tcPr>
                  <w:tcW w:w="1466" w:type="dxa"/>
                  <w:vAlign w:val="center"/>
                </w:tcPr>
                <w:p>
                  <w:pPr>
                    <w:keepNext w:val="0"/>
                    <w:keepLines w:val="0"/>
                    <w:suppressLineNumbers w:val="0"/>
                    <w:snapToGrid w:val="0"/>
                    <w:spacing w:before="0" w:beforeAutospacing="0" w:after="0" w:afterAutospacing="0"/>
                    <w:ind w:left="0" w:right="0"/>
                    <w:jc w:val="left"/>
                    <w:rPr>
                      <w:rFonts w:hint="default" w:ascii="宋体" w:hAnsi="宋体" w:cs="仿宋_GB2312"/>
                      <w:color w:val="auto"/>
                      <w:szCs w:val="21"/>
                      <w:highlight w:val="none"/>
                    </w:rPr>
                  </w:pPr>
                  <w:r>
                    <w:rPr>
                      <w:rFonts w:hint="eastAsia" w:ascii="宋体" w:hAnsi="宋体" w:cs="仿宋_GB2312"/>
                      <w:color w:val="auto"/>
                      <w:szCs w:val="21"/>
                      <w:highlight w:val="none"/>
                    </w:rPr>
                    <w:t>X≤5000万元</w:t>
                  </w:r>
                </w:p>
              </w:tc>
              <w:tc>
                <w:tcPr>
                  <w:tcW w:w="977" w:type="dxa"/>
                  <w:vAlign w:val="center"/>
                </w:tcPr>
                <w:p>
                  <w:pPr>
                    <w:keepNext w:val="0"/>
                    <w:keepLines w:val="0"/>
                    <w:suppressLineNumbers w:val="0"/>
                    <w:snapToGrid w:val="0"/>
                    <w:spacing w:before="0" w:beforeAutospacing="0" w:after="0" w:afterAutospacing="0"/>
                    <w:ind w:left="0" w:right="0"/>
                    <w:jc w:val="left"/>
                    <w:rPr>
                      <w:rFonts w:hint="default" w:ascii="宋体" w:hAnsi="宋体" w:cs="仿宋_GB2312"/>
                      <w:color w:val="auto"/>
                      <w:szCs w:val="21"/>
                      <w:highlight w:val="none"/>
                    </w:rPr>
                  </w:pPr>
                  <w:r>
                    <w:rPr>
                      <w:rFonts w:hint="eastAsia" w:ascii="宋体" w:hAnsi="宋体" w:cs="仿宋_GB2312"/>
                      <w:color w:val="auto"/>
                      <w:szCs w:val="21"/>
                      <w:highlight w:val="none"/>
                    </w:rPr>
                    <w:t>80%</w:t>
                  </w:r>
                </w:p>
              </w:tc>
              <w:tc>
                <w:tcPr>
                  <w:tcW w:w="1776" w:type="dxa"/>
                  <w:vAlign w:val="center"/>
                </w:tcPr>
                <w:p>
                  <w:pPr>
                    <w:keepNext w:val="0"/>
                    <w:keepLines w:val="0"/>
                    <w:suppressLineNumbers w:val="0"/>
                    <w:snapToGrid w:val="0"/>
                    <w:spacing w:before="0" w:beforeAutospacing="0" w:after="0" w:afterAutospacing="0"/>
                    <w:ind w:left="0" w:right="0"/>
                    <w:jc w:val="left"/>
                    <w:rPr>
                      <w:rFonts w:hint="default"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kern w:val="0"/>
                      <w:szCs w:val="21"/>
                      <w:highlight w:val="none"/>
                      <w:u w:val="single"/>
                    </w:rPr>
                  </w:pPr>
                </w:p>
              </w:tc>
              <w:tc>
                <w:tcPr>
                  <w:tcW w:w="1466" w:type="dxa"/>
                  <w:vAlign w:val="center"/>
                </w:tcPr>
                <w:p>
                  <w:pPr>
                    <w:keepNext w:val="0"/>
                    <w:keepLines w:val="0"/>
                    <w:suppressLineNumbers w:val="0"/>
                    <w:snapToGrid w:val="0"/>
                    <w:spacing w:before="0" w:beforeAutospacing="0" w:after="0" w:afterAutospacing="0"/>
                    <w:ind w:left="0" w:right="0"/>
                    <w:jc w:val="left"/>
                    <w:rPr>
                      <w:rFonts w:hint="default" w:ascii="宋体" w:hAnsi="宋体" w:cs="仿宋_GB2312"/>
                      <w:color w:val="auto"/>
                      <w:szCs w:val="21"/>
                      <w:highlight w:val="none"/>
                    </w:rPr>
                  </w:pPr>
                  <w:r>
                    <w:rPr>
                      <w:rFonts w:hint="eastAsia" w:ascii="宋体" w:hAnsi="宋体" w:cs="仿宋_GB2312"/>
                      <w:color w:val="auto"/>
                      <w:szCs w:val="21"/>
                      <w:highlight w:val="none"/>
                    </w:rPr>
                    <w:t>5000万元＜X</w:t>
                  </w:r>
                </w:p>
              </w:tc>
              <w:tc>
                <w:tcPr>
                  <w:tcW w:w="977" w:type="dxa"/>
                  <w:vAlign w:val="center"/>
                </w:tcPr>
                <w:p>
                  <w:pPr>
                    <w:keepNext w:val="0"/>
                    <w:keepLines w:val="0"/>
                    <w:suppressLineNumbers w:val="0"/>
                    <w:snapToGrid w:val="0"/>
                    <w:spacing w:before="0" w:beforeAutospacing="0" w:after="0" w:afterAutospacing="0"/>
                    <w:ind w:left="0" w:right="0"/>
                    <w:jc w:val="left"/>
                    <w:rPr>
                      <w:rFonts w:hint="default" w:ascii="宋体" w:hAnsi="宋体" w:cs="仿宋_GB2312"/>
                      <w:color w:val="auto"/>
                      <w:szCs w:val="21"/>
                      <w:highlight w:val="none"/>
                    </w:rPr>
                  </w:pPr>
                  <w:r>
                    <w:rPr>
                      <w:rFonts w:hint="eastAsia" w:ascii="宋体" w:hAnsi="宋体" w:cs="仿宋_GB2312"/>
                      <w:color w:val="auto"/>
                      <w:szCs w:val="21"/>
                      <w:highlight w:val="none"/>
                    </w:rPr>
                    <w:t>50%</w:t>
                  </w:r>
                </w:p>
              </w:tc>
              <w:tc>
                <w:tcPr>
                  <w:tcW w:w="1776" w:type="dxa"/>
                  <w:vAlign w:val="center"/>
                </w:tcPr>
                <w:p>
                  <w:pPr>
                    <w:keepNext w:val="0"/>
                    <w:keepLines w:val="0"/>
                    <w:suppressLineNumbers w:val="0"/>
                    <w:snapToGrid w:val="0"/>
                    <w:spacing w:before="0" w:beforeAutospacing="0" w:after="0" w:afterAutospacing="0"/>
                    <w:ind w:left="0" w:right="0"/>
                    <w:jc w:val="left"/>
                    <w:rPr>
                      <w:rFonts w:hint="default" w:ascii="宋体" w:hAnsi="宋体" w:cs="仿宋_GB2312"/>
                      <w:color w:val="auto"/>
                      <w:szCs w:val="21"/>
                      <w:highlight w:val="none"/>
                    </w:rPr>
                  </w:pPr>
                  <w:r>
                    <w:rPr>
                      <w:rFonts w:hint="eastAsia" w:ascii="宋体" w:hAnsi="宋体" w:cs="仿宋_GB2312"/>
                      <w:color w:val="auto"/>
                      <w:szCs w:val="21"/>
                      <w:highlight w:val="none"/>
                    </w:rPr>
                    <w:t>取50%后不足135600元的，按135600元记取。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58" w:type="dxa"/>
                  <w:vMerge w:val="restart"/>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kern w:val="0"/>
                      <w:szCs w:val="21"/>
                      <w:highlight w:val="none"/>
                      <w:u w:val="single"/>
                    </w:rPr>
                  </w:pPr>
                  <w:r>
                    <w:rPr>
                      <w:rFonts w:hint="eastAsia" w:ascii="宋体" w:hAnsi="宋体" w:cs="仿宋_GB2312"/>
                      <w:b/>
                      <w:bCs/>
                      <w:color w:val="auto"/>
                      <w:szCs w:val="21"/>
                      <w:highlight w:val="none"/>
                    </w:rPr>
                    <w:t>施工类</w:t>
                  </w:r>
                </w:p>
              </w:tc>
              <w:tc>
                <w:tcPr>
                  <w:tcW w:w="1466" w:type="dxa"/>
                  <w:vAlign w:val="center"/>
                </w:tcPr>
                <w:p>
                  <w:pPr>
                    <w:keepNext w:val="0"/>
                    <w:keepLines w:val="0"/>
                    <w:suppressLineNumbers w:val="0"/>
                    <w:snapToGrid w:val="0"/>
                    <w:spacing w:before="0" w:beforeAutospacing="0" w:after="0" w:afterAutospacing="0"/>
                    <w:ind w:left="0" w:right="0"/>
                    <w:jc w:val="left"/>
                    <w:rPr>
                      <w:rFonts w:hint="default" w:ascii="宋体" w:hAnsi="宋体" w:cs="仿宋_GB2312"/>
                      <w:color w:val="auto"/>
                      <w:szCs w:val="21"/>
                      <w:highlight w:val="none"/>
                    </w:rPr>
                  </w:pPr>
                  <w:r>
                    <w:rPr>
                      <w:rFonts w:hint="eastAsia" w:ascii="宋体" w:hAnsi="宋体" w:cs="仿宋_GB2312"/>
                      <w:color w:val="auto"/>
                      <w:szCs w:val="21"/>
                      <w:highlight w:val="none"/>
                    </w:rPr>
                    <w:t>X≤5000万元</w:t>
                  </w:r>
                </w:p>
              </w:tc>
              <w:tc>
                <w:tcPr>
                  <w:tcW w:w="977" w:type="dxa"/>
                  <w:vAlign w:val="center"/>
                </w:tcPr>
                <w:p>
                  <w:pPr>
                    <w:keepNext w:val="0"/>
                    <w:keepLines w:val="0"/>
                    <w:suppressLineNumbers w:val="0"/>
                    <w:snapToGrid w:val="0"/>
                    <w:spacing w:before="0" w:beforeAutospacing="0" w:after="0" w:afterAutospacing="0"/>
                    <w:ind w:left="0" w:right="0"/>
                    <w:jc w:val="left"/>
                    <w:rPr>
                      <w:rFonts w:hint="default" w:ascii="宋体" w:hAnsi="宋体" w:cs="仿宋_GB2312"/>
                      <w:color w:val="auto"/>
                      <w:szCs w:val="21"/>
                      <w:highlight w:val="none"/>
                    </w:rPr>
                  </w:pPr>
                  <w:r>
                    <w:rPr>
                      <w:rFonts w:hint="eastAsia" w:ascii="宋体" w:hAnsi="宋体" w:cs="仿宋_GB2312"/>
                      <w:color w:val="auto"/>
                      <w:szCs w:val="21"/>
                      <w:highlight w:val="none"/>
                    </w:rPr>
                    <w:t>80%</w:t>
                  </w:r>
                </w:p>
              </w:tc>
              <w:tc>
                <w:tcPr>
                  <w:tcW w:w="1776" w:type="dxa"/>
                  <w:vAlign w:val="center"/>
                </w:tcPr>
                <w:p>
                  <w:pPr>
                    <w:keepNext w:val="0"/>
                    <w:keepLines w:val="0"/>
                    <w:suppressLineNumbers w:val="0"/>
                    <w:snapToGrid w:val="0"/>
                    <w:spacing w:before="0" w:beforeAutospacing="0" w:after="0" w:afterAutospacing="0"/>
                    <w:ind w:left="0" w:right="0"/>
                    <w:jc w:val="left"/>
                    <w:rPr>
                      <w:rFonts w:hint="default"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58"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color w:val="auto"/>
                      <w:kern w:val="0"/>
                      <w:szCs w:val="21"/>
                      <w:highlight w:val="none"/>
                      <w:u w:val="single"/>
                    </w:rPr>
                  </w:pPr>
                </w:p>
              </w:tc>
              <w:tc>
                <w:tcPr>
                  <w:tcW w:w="1466" w:type="dxa"/>
                  <w:vAlign w:val="center"/>
                </w:tcPr>
                <w:p>
                  <w:pPr>
                    <w:keepNext w:val="0"/>
                    <w:keepLines w:val="0"/>
                    <w:suppressLineNumbers w:val="0"/>
                    <w:snapToGrid w:val="0"/>
                    <w:spacing w:before="0" w:beforeAutospacing="0" w:after="0" w:afterAutospacing="0"/>
                    <w:ind w:left="0" w:right="0"/>
                    <w:jc w:val="left"/>
                    <w:rPr>
                      <w:rFonts w:hint="default" w:ascii="宋体" w:hAnsi="宋体" w:cs="仿宋_GB2312"/>
                      <w:color w:val="auto"/>
                      <w:szCs w:val="21"/>
                      <w:highlight w:val="none"/>
                    </w:rPr>
                  </w:pPr>
                  <w:r>
                    <w:rPr>
                      <w:rFonts w:hint="eastAsia" w:ascii="宋体" w:hAnsi="宋体" w:cs="仿宋_GB2312"/>
                      <w:color w:val="auto"/>
                      <w:szCs w:val="21"/>
                      <w:highlight w:val="none"/>
                    </w:rPr>
                    <w:t>5000万元＜X</w:t>
                  </w:r>
                </w:p>
              </w:tc>
              <w:tc>
                <w:tcPr>
                  <w:tcW w:w="977" w:type="dxa"/>
                  <w:vAlign w:val="center"/>
                </w:tcPr>
                <w:p>
                  <w:pPr>
                    <w:keepNext w:val="0"/>
                    <w:keepLines w:val="0"/>
                    <w:suppressLineNumbers w:val="0"/>
                    <w:snapToGrid w:val="0"/>
                    <w:spacing w:before="0" w:beforeAutospacing="0" w:after="0" w:afterAutospacing="0"/>
                    <w:ind w:left="0" w:right="0"/>
                    <w:jc w:val="left"/>
                    <w:rPr>
                      <w:rFonts w:hint="default" w:ascii="宋体" w:hAnsi="宋体" w:cs="仿宋_GB2312"/>
                      <w:color w:val="auto"/>
                      <w:szCs w:val="21"/>
                      <w:highlight w:val="none"/>
                    </w:rPr>
                  </w:pPr>
                  <w:r>
                    <w:rPr>
                      <w:rFonts w:hint="eastAsia" w:ascii="宋体" w:hAnsi="宋体" w:cs="仿宋_GB2312"/>
                      <w:color w:val="auto"/>
                      <w:szCs w:val="21"/>
                      <w:highlight w:val="none"/>
                    </w:rPr>
                    <w:t>50%</w:t>
                  </w:r>
                </w:p>
              </w:tc>
              <w:tc>
                <w:tcPr>
                  <w:tcW w:w="1776" w:type="dxa"/>
                  <w:vAlign w:val="center"/>
                </w:tcPr>
                <w:p>
                  <w:pPr>
                    <w:keepNext w:val="0"/>
                    <w:keepLines w:val="0"/>
                    <w:suppressLineNumbers w:val="0"/>
                    <w:snapToGrid w:val="0"/>
                    <w:spacing w:before="0" w:beforeAutospacing="0" w:after="0" w:afterAutospacing="0"/>
                    <w:ind w:left="0" w:right="0"/>
                    <w:jc w:val="left"/>
                    <w:rPr>
                      <w:rFonts w:hint="default" w:ascii="宋体" w:hAnsi="宋体" w:cs="仿宋_GB2312"/>
                      <w:color w:val="auto"/>
                      <w:szCs w:val="21"/>
                      <w:highlight w:val="none"/>
                    </w:rPr>
                  </w:pPr>
                  <w:r>
                    <w:rPr>
                      <w:rFonts w:hint="eastAsia" w:ascii="宋体" w:hAnsi="宋体" w:cs="仿宋_GB2312"/>
                      <w:color w:val="auto"/>
                      <w:szCs w:val="21"/>
                      <w:highlight w:val="none"/>
                    </w:rPr>
                    <w:t>取50%后不足164400元的，按164400元记取。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5179" w:type="dxa"/>
                  <w:gridSpan w:val="4"/>
                </w:tcPr>
                <w:p>
                  <w:pPr>
                    <w:keepNext w:val="0"/>
                    <w:keepLines w:val="0"/>
                    <w:suppressLineNumbers w:val="0"/>
                    <w:snapToGrid w:val="0"/>
                    <w:spacing w:before="0" w:beforeAutospacing="0" w:after="0" w:afterAutospacing="0"/>
                    <w:ind w:left="0" w:right="0"/>
                    <w:rPr>
                      <w:rFonts w:hint="default" w:cs="仿宋_GB2312"/>
                      <w:b/>
                      <w:color w:val="auto"/>
                      <w:szCs w:val="21"/>
                      <w:highlight w:val="none"/>
                    </w:rPr>
                  </w:pPr>
                  <w:r>
                    <w:rPr>
                      <w:rFonts w:hint="eastAsia" w:cs="仿宋_GB2312"/>
                      <w:b/>
                      <w:color w:val="auto"/>
                      <w:szCs w:val="21"/>
                      <w:highlight w:val="none"/>
                    </w:rPr>
                    <w:t>收费说明：</w:t>
                  </w:r>
                </w:p>
                <w:p>
                  <w:pPr>
                    <w:keepNext w:val="0"/>
                    <w:keepLines w:val="0"/>
                    <w:suppressLineNumbers w:val="0"/>
                    <w:snapToGrid w:val="0"/>
                    <w:spacing w:before="0" w:beforeAutospacing="0" w:after="0" w:afterAutospacing="0"/>
                    <w:ind w:left="0" w:right="0"/>
                    <w:rPr>
                      <w:rFonts w:hint="default" w:cs="仿宋_GB2312"/>
                      <w:color w:val="auto"/>
                      <w:spacing w:val="-8"/>
                      <w:szCs w:val="21"/>
                      <w:highlight w:val="none"/>
                    </w:rPr>
                  </w:pPr>
                  <w:r>
                    <w:rPr>
                      <w:rFonts w:hint="eastAsia" w:cs="仿宋_GB2312"/>
                      <w:color w:val="auto"/>
                      <w:spacing w:val="-5"/>
                      <w:szCs w:val="21"/>
                      <w:highlight w:val="none"/>
                    </w:rPr>
                    <w:t>招标代理服务费</w:t>
                  </w:r>
                  <w:r>
                    <w:rPr>
                      <w:rFonts w:hint="eastAsia" w:cs="仿宋_GB2312"/>
                      <w:color w:val="auto"/>
                      <w:spacing w:val="-8"/>
                      <w:szCs w:val="21"/>
                      <w:highlight w:val="none"/>
                    </w:rPr>
                    <w:t>按项目收取。如一批项目同批次招标的（各项目采用同一批评标专家相继评标的视为同批次招标项目），同批次分不同档次，1至2个项目为一档，3至4个项目为二档，以此类推，以各档次内中标金额为基数计算招标代理服务费。同批次的不同招标项目按照中标金额占比分摊招标代理费。</w:t>
                  </w:r>
                </w:p>
                <w:p>
                  <w:pPr>
                    <w:keepNext w:val="0"/>
                    <w:keepLines w:val="0"/>
                    <w:suppressLineNumbers w:val="0"/>
                    <w:snapToGrid w:val="0"/>
                    <w:spacing w:before="0" w:beforeAutospacing="0" w:after="0" w:afterAutospacing="0"/>
                    <w:ind w:left="0" w:right="0"/>
                    <w:rPr>
                      <w:rFonts w:hint="default" w:cs="仿宋_GB2312"/>
                      <w:color w:val="auto"/>
                      <w:spacing w:val="-8"/>
                      <w:szCs w:val="21"/>
                      <w:highlight w:val="none"/>
                    </w:rPr>
                  </w:pPr>
                  <w:r>
                    <w:rPr>
                      <w:rFonts w:hint="default" w:cs="仿宋_GB2312"/>
                      <w:color w:val="auto"/>
                      <w:spacing w:val="-8"/>
                      <w:szCs w:val="21"/>
                      <w:highlight w:val="none"/>
                    </w:rPr>
                    <w:t>招标代理服务费以中标金额为基数，按表1计算后得出招标代理服务费初始金额，初始金额再按照表2对应的取费率进行计算得出最终的招标代理服务费收费金额，由中标人向招标代理服务机构缴纳；该金额为含税金额。</w:t>
                  </w:r>
                </w:p>
                <w:p>
                  <w:pPr>
                    <w:keepNext w:val="0"/>
                    <w:keepLines w:val="0"/>
                    <w:suppressLineNumbers w:val="0"/>
                    <w:snapToGrid w:val="0"/>
                    <w:spacing w:before="0" w:beforeAutospacing="0" w:after="0" w:afterAutospacing="0"/>
                    <w:ind w:left="0" w:right="0"/>
                    <w:rPr>
                      <w:rFonts w:hint="default" w:ascii="宋体" w:hAnsi="宋体"/>
                      <w:color w:val="auto"/>
                      <w:kern w:val="0"/>
                      <w:szCs w:val="21"/>
                      <w:highlight w:val="none"/>
                      <w:u w:val="single"/>
                    </w:rPr>
                  </w:pPr>
                  <w:r>
                    <w:rPr>
                      <w:rFonts w:hint="eastAsia" w:ascii="宋体" w:hAnsi="宋体" w:cs="仿宋_GB2312"/>
                      <w:color w:val="auto"/>
                      <w:szCs w:val="21"/>
                      <w:highlight w:val="none"/>
                    </w:rPr>
                    <w:t>3.计算后招标代理服务费最高不超过30万元。</w:t>
                  </w:r>
                </w:p>
              </w:tc>
            </w:tr>
          </w:tbl>
          <w:p>
            <w:pPr>
              <w:keepNext w:val="0"/>
              <w:keepLines w:val="0"/>
              <w:suppressLineNumbers w:val="0"/>
              <w:spacing w:before="0" w:beforeAutospacing="0" w:after="0" w:afterAutospacing="0" w:line="440" w:lineRule="exact"/>
              <w:ind w:left="0" w:right="0"/>
              <w:rPr>
                <w:rFonts w:hint="default"/>
                <w:color w:val="auto"/>
                <w:kern w:val="0"/>
                <w:szCs w:val="21"/>
                <w:highlight w:val="none"/>
              </w:rPr>
            </w:pPr>
          </w:p>
        </w:tc>
      </w:tr>
    </w:tbl>
    <w:p>
      <w:pPr>
        <w:spacing w:line="400" w:lineRule="exact"/>
        <w:rPr>
          <w:color w:val="auto"/>
          <w:szCs w:val="24"/>
          <w:highlight w:val="none"/>
        </w:rPr>
      </w:pPr>
      <w:r>
        <w:rPr>
          <w:rFonts w:hint="eastAsia"/>
          <w:color w:val="auto"/>
          <w:szCs w:val="24"/>
          <w:highlight w:val="none"/>
        </w:rPr>
        <w:t>备注：投标人须知正文与《投标人须知前附表》描述存在不一致之处，以《投标人须知前附表》为准。</w:t>
      </w:r>
    </w:p>
    <w:p>
      <w:pPr>
        <w:pStyle w:val="61"/>
        <w:ind w:firstLine="0"/>
        <w:rPr>
          <w:rFonts w:hint="default"/>
          <w:color w:val="auto"/>
          <w:highlight w:val="none"/>
        </w:rPr>
      </w:pPr>
      <w:r>
        <w:rPr>
          <w:rFonts w:hint="default"/>
          <w:color w:val="auto"/>
          <w:highlight w:val="none"/>
        </w:rPr>
        <w:t xml:space="preserve">  </w:t>
      </w:r>
    </w:p>
    <w:p>
      <w:pPr>
        <w:pStyle w:val="26"/>
        <w:widowControl/>
        <w:rPr>
          <w:rFonts w:ascii="宋体" w:hAnsi="Calibri"/>
          <w:color w:val="auto"/>
          <w:kern w:val="0"/>
          <w:szCs w:val="20"/>
          <w:highlight w:val="none"/>
        </w:rPr>
      </w:pPr>
      <w:r>
        <w:rPr>
          <w:color w:val="auto"/>
          <w:highlight w:val="none"/>
        </w:rPr>
        <w:br w:type="page"/>
      </w:r>
    </w:p>
    <w:p>
      <w:pPr>
        <w:jc w:val="center"/>
        <w:rPr>
          <w:rFonts w:ascii="宋体" w:hAnsi="宋体" w:cs="宋体"/>
          <w:b/>
          <w:color w:val="auto"/>
          <w:sz w:val="24"/>
          <w:szCs w:val="24"/>
          <w:highlight w:val="none"/>
        </w:rPr>
      </w:pPr>
    </w:p>
    <w:p>
      <w:pPr>
        <w:adjustRightInd w:val="0"/>
        <w:snapToGrid w:val="0"/>
        <w:spacing w:line="360" w:lineRule="auto"/>
        <w:ind w:firstLine="2800" w:firstLineChars="1000"/>
        <w:rPr>
          <w:rFonts w:ascii="黑体" w:hAnsi="黑体" w:eastAsia="黑体" w:cs="黑体"/>
          <w:color w:val="auto"/>
          <w:sz w:val="28"/>
          <w:szCs w:val="28"/>
          <w:highlight w:val="none"/>
        </w:rPr>
      </w:pPr>
      <w:bookmarkStart w:id="165" w:name="_Toc14399"/>
      <w:r>
        <w:rPr>
          <w:rFonts w:hint="eastAsia" w:ascii="黑体" w:hAnsi="黑体" w:eastAsia="黑体" w:cs="黑体"/>
          <w:color w:val="auto"/>
          <w:sz w:val="28"/>
          <w:szCs w:val="28"/>
          <w:highlight w:val="none"/>
        </w:rPr>
        <w:t>投标文件否决性条款摘要</w:t>
      </w:r>
      <w:bookmarkEnd w:id="165"/>
    </w:p>
    <w:p>
      <w:pPr>
        <w:pStyle w:val="26"/>
        <w:rPr>
          <w:color w:val="auto"/>
          <w:highlight w:val="none"/>
        </w:rPr>
      </w:pPr>
    </w:p>
    <w:p>
      <w:pPr>
        <w:adjustRightInd w:val="0"/>
        <w:snapToGrid w:val="0"/>
        <w:spacing w:line="360" w:lineRule="auto"/>
        <w:ind w:firstLine="424" w:firstLineChars="202"/>
        <w:rPr>
          <w:color w:val="auto"/>
          <w:szCs w:val="21"/>
          <w:highlight w:val="none"/>
        </w:rPr>
      </w:pPr>
      <w:r>
        <w:rPr>
          <w:rFonts w:hint="eastAsia"/>
          <w:color w:val="auto"/>
          <w:szCs w:val="21"/>
          <w:highlight w:val="none"/>
        </w:rPr>
        <w:t>本章节是本招标文件（含招标文件的澄清、补充文件等）中涉及的所有否决性条款的摘要，否决性条款包括：不予受理、无效标、否决性条款。除出现以下情形外，投标文件的其他任何情形均不得作否决处理。招标文件中有关否决性条款的阐述与本章节不一致的，以本章节内容为准。</w:t>
      </w:r>
    </w:p>
    <w:p>
      <w:pPr>
        <w:adjustRightInd w:val="0"/>
        <w:snapToGrid w:val="0"/>
        <w:spacing w:line="360" w:lineRule="auto"/>
        <w:ind w:firstLine="424" w:firstLineChars="201"/>
        <w:rPr>
          <w:b/>
          <w:color w:val="auto"/>
          <w:szCs w:val="21"/>
          <w:highlight w:val="none"/>
        </w:rPr>
      </w:pPr>
      <w:bookmarkStart w:id="166" w:name="_Toc30132"/>
      <w:r>
        <w:rPr>
          <w:rFonts w:hint="eastAsia"/>
          <w:b/>
          <w:color w:val="auto"/>
          <w:szCs w:val="21"/>
          <w:highlight w:val="none"/>
        </w:rPr>
        <w:t>（一）开标阶段不予受理的情形</w:t>
      </w:r>
      <w:bookmarkEnd w:id="166"/>
    </w:p>
    <w:p>
      <w:pPr>
        <w:adjustRightInd w:val="0"/>
        <w:snapToGrid w:val="0"/>
        <w:spacing w:line="360" w:lineRule="auto"/>
        <w:ind w:firstLine="424" w:firstLineChars="202"/>
        <w:rPr>
          <w:color w:val="auto"/>
          <w:szCs w:val="21"/>
          <w:highlight w:val="none"/>
        </w:rPr>
      </w:pPr>
      <w:r>
        <w:rPr>
          <w:color w:val="auto"/>
          <w:szCs w:val="21"/>
          <w:highlight w:val="none"/>
        </w:rPr>
        <w:t>1.</w:t>
      </w:r>
      <w:r>
        <w:rPr>
          <w:rFonts w:hint="eastAsia"/>
          <w:color w:val="auto"/>
          <w:szCs w:val="21"/>
          <w:highlight w:val="none"/>
        </w:rPr>
        <w:t>第一章招标公告中</w:t>
      </w:r>
      <w:r>
        <w:rPr>
          <w:color w:val="auto"/>
          <w:szCs w:val="21"/>
          <w:highlight w:val="none"/>
        </w:rPr>
        <w:t xml:space="preserve"> /5.2</w:t>
      </w:r>
      <w:r>
        <w:rPr>
          <w:rFonts w:hint="eastAsia"/>
          <w:color w:val="auto"/>
          <w:szCs w:val="24"/>
          <w:highlight w:val="none"/>
        </w:rPr>
        <w:t>逾期送达的投标文件，电子招标投标交易平台将予以拒收。采取电子投标时，逾期未上传成功的电子投标文件，招标人拒绝接收。</w:t>
      </w:r>
    </w:p>
    <w:p>
      <w:pPr>
        <w:adjustRightInd w:val="0"/>
        <w:snapToGrid w:val="0"/>
        <w:spacing w:line="360" w:lineRule="auto"/>
        <w:ind w:firstLine="424" w:firstLineChars="202"/>
        <w:rPr>
          <w:color w:val="auto"/>
          <w:szCs w:val="21"/>
          <w:highlight w:val="none"/>
        </w:rPr>
      </w:pPr>
      <w:r>
        <w:rPr>
          <w:color w:val="auto"/>
          <w:szCs w:val="21"/>
          <w:highlight w:val="none"/>
        </w:rPr>
        <w:t>2.</w:t>
      </w:r>
      <w:r>
        <w:rPr>
          <w:rFonts w:hint="eastAsia"/>
          <w:color w:val="auto"/>
          <w:szCs w:val="21"/>
          <w:highlight w:val="none"/>
        </w:rPr>
        <w:t>第二章投标人须知</w:t>
      </w:r>
      <w:r>
        <w:rPr>
          <w:color w:val="auto"/>
          <w:szCs w:val="21"/>
          <w:highlight w:val="none"/>
        </w:rPr>
        <w:t xml:space="preserve"> /4.1.3</w:t>
      </w:r>
      <w:r>
        <w:rPr>
          <w:rFonts w:hint="eastAsia"/>
          <w:color w:val="auto"/>
          <w:szCs w:val="21"/>
          <w:highlight w:val="none"/>
        </w:rPr>
        <w:t>未按本章第</w:t>
      </w:r>
      <w:r>
        <w:rPr>
          <w:color w:val="auto"/>
          <w:szCs w:val="21"/>
          <w:highlight w:val="none"/>
        </w:rPr>
        <w:t>4.1.1</w:t>
      </w:r>
      <w:r>
        <w:rPr>
          <w:rFonts w:hint="eastAsia"/>
          <w:color w:val="auto"/>
          <w:szCs w:val="21"/>
          <w:highlight w:val="none"/>
        </w:rPr>
        <w:t>项要求密封的投标文件，招标人将予以拒收。</w:t>
      </w:r>
    </w:p>
    <w:p>
      <w:pPr>
        <w:adjustRightInd w:val="0"/>
        <w:snapToGrid w:val="0"/>
        <w:spacing w:line="360" w:lineRule="auto"/>
        <w:ind w:firstLine="424" w:firstLineChars="202"/>
        <w:rPr>
          <w:color w:val="auto"/>
          <w:szCs w:val="21"/>
          <w:highlight w:val="none"/>
        </w:rPr>
      </w:pPr>
      <w:r>
        <w:rPr>
          <w:color w:val="auto"/>
          <w:szCs w:val="21"/>
          <w:highlight w:val="none"/>
        </w:rPr>
        <w:t>3.</w:t>
      </w:r>
      <w:r>
        <w:rPr>
          <w:rFonts w:hint="eastAsia"/>
          <w:color w:val="auto"/>
          <w:szCs w:val="21"/>
          <w:highlight w:val="none"/>
        </w:rPr>
        <w:t>第二章投标人须知</w:t>
      </w:r>
      <w:r>
        <w:rPr>
          <w:color w:val="auto"/>
          <w:szCs w:val="21"/>
          <w:highlight w:val="none"/>
        </w:rPr>
        <w:t xml:space="preserve"> /4.2.5</w:t>
      </w:r>
      <w:r>
        <w:rPr>
          <w:rFonts w:hint="eastAsia"/>
          <w:color w:val="auto"/>
          <w:szCs w:val="24"/>
          <w:highlight w:val="none"/>
        </w:rPr>
        <w:t>逾期送达的投标文件，电子招标投标交易平台将予以拒收</w:t>
      </w:r>
      <w:r>
        <w:rPr>
          <w:rFonts w:hint="eastAsia"/>
          <w:color w:val="auto"/>
          <w:szCs w:val="21"/>
          <w:highlight w:val="none"/>
        </w:rPr>
        <w:t>。</w:t>
      </w:r>
    </w:p>
    <w:p>
      <w:pPr>
        <w:adjustRightInd w:val="0"/>
        <w:snapToGrid w:val="0"/>
        <w:spacing w:line="360" w:lineRule="auto"/>
        <w:ind w:firstLine="424" w:firstLineChars="201"/>
        <w:rPr>
          <w:b/>
          <w:color w:val="auto"/>
          <w:szCs w:val="21"/>
          <w:highlight w:val="none"/>
        </w:rPr>
      </w:pPr>
      <w:bookmarkStart w:id="167" w:name="_Toc9792"/>
      <w:r>
        <w:rPr>
          <w:rFonts w:hint="eastAsia"/>
          <w:b/>
          <w:color w:val="auto"/>
          <w:szCs w:val="21"/>
          <w:highlight w:val="none"/>
        </w:rPr>
        <w:t>（二）评标阶段有关无效标的情形</w:t>
      </w:r>
      <w:bookmarkEnd w:id="167"/>
    </w:p>
    <w:p>
      <w:pPr>
        <w:adjustRightInd w:val="0"/>
        <w:snapToGrid w:val="0"/>
        <w:spacing w:line="360" w:lineRule="auto"/>
        <w:ind w:firstLine="424" w:firstLineChars="202"/>
        <w:rPr>
          <w:color w:val="auto"/>
          <w:szCs w:val="21"/>
          <w:highlight w:val="none"/>
        </w:rPr>
      </w:pPr>
      <w:bookmarkStart w:id="168" w:name="_Toc19567"/>
      <w:r>
        <w:rPr>
          <w:color w:val="auto"/>
          <w:szCs w:val="21"/>
          <w:highlight w:val="none"/>
        </w:rPr>
        <w:t xml:space="preserve">1. </w:t>
      </w:r>
      <w:r>
        <w:rPr>
          <w:rFonts w:hint="eastAsia"/>
          <w:color w:val="auto"/>
          <w:szCs w:val="21"/>
          <w:highlight w:val="none"/>
        </w:rPr>
        <w:t>第二章投标人须知</w:t>
      </w:r>
      <w:r>
        <w:rPr>
          <w:color w:val="auto"/>
          <w:szCs w:val="21"/>
          <w:highlight w:val="none"/>
        </w:rPr>
        <w:t xml:space="preserve"> /</w:t>
      </w:r>
      <w:r>
        <w:rPr>
          <w:rFonts w:hint="eastAsia"/>
          <w:color w:val="auto"/>
          <w:szCs w:val="21"/>
          <w:highlight w:val="none"/>
        </w:rPr>
        <w:t>投标人须知前附表</w:t>
      </w:r>
      <w:r>
        <w:rPr>
          <w:color w:val="auto"/>
          <w:szCs w:val="21"/>
          <w:highlight w:val="none"/>
        </w:rPr>
        <w:t xml:space="preserve"> /3.2.5</w:t>
      </w:r>
      <w:r>
        <w:rPr>
          <w:rFonts w:hint="eastAsia" w:ascii="宋体" w:hAnsi="宋体"/>
          <w:color w:val="auto"/>
          <w:highlight w:val="none"/>
        </w:rPr>
        <w:t>投标报价的其他要求</w:t>
      </w:r>
      <w:bookmarkEnd w:id="168"/>
      <w:r>
        <w:rPr>
          <w:rFonts w:hint="eastAsia"/>
          <w:color w:val="auto"/>
          <w:szCs w:val="24"/>
          <w:highlight w:val="none"/>
        </w:rPr>
        <w:t>：见投标人须知前附表。</w:t>
      </w:r>
    </w:p>
    <w:p>
      <w:pPr>
        <w:adjustRightInd w:val="0"/>
        <w:snapToGrid w:val="0"/>
        <w:spacing w:line="360" w:lineRule="auto"/>
        <w:ind w:firstLine="424" w:firstLineChars="202"/>
        <w:rPr>
          <w:color w:val="auto"/>
          <w:szCs w:val="21"/>
          <w:highlight w:val="none"/>
        </w:rPr>
      </w:pPr>
      <w:bookmarkStart w:id="169" w:name="_Toc17307"/>
      <w:r>
        <w:rPr>
          <w:color w:val="auto"/>
          <w:szCs w:val="21"/>
          <w:highlight w:val="none"/>
        </w:rPr>
        <w:t>2.</w:t>
      </w:r>
      <w:r>
        <w:rPr>
          <w:rFonts w:hint="eastAsia"/>
          <w:color w:val="auto"/>
          <w:szCs w:val="21"/>
          <w:highlight w:val="none"/>
        </w:rPr>
        <w:t>第二章投标人须知</w:t>
      </w:r>
      <w:r>
        <w:rPr>
          <w:color w:val="auto"/>
          <w:szCs w:val="21"/>
          <w:highlight w:val="none"/>
        </w:rPr>
        <w:t xml:space="preserve"> /1.4.3</w:t>
      </w:r>
      <w:r>
        <w:rPr>
          <w:rFonts w:hint="eastAsia"/>
          <w:color w:val="auto"/>
          <w:szCs w:val="21"/>
          <w:highlight w:val="none"/>
        </w:rPr>
        <w:t>投标人不得存在下列情形之一：</w:t>
      </w:r>
      <w:bookmarkEnd w:id="169"/>
    </w:p>
    <w:p>
      <w:pPr>
        <w:spacing w:line="400" w:lineRule="exact"/>
        <w:ind w:firstLine="420" w:firstLineChars="200"/>
        <w:rPr>
          <w:color w:val="auto"/>
          <w:szCs w:val="21"/>
          <w:highlight w:val="none"/>
        </w:rPr>
      </w:pPr>
      <w:bookmarkStart w:id="170" w:name="_Toc11615"/>
      <w:r>
        <w:rPr>
          <w:rFonts w:hint="eastAsia"/>
          <w:color w:val="auto"/>
          <w:szCs w:val="21"/>
          <w:highlight w:val="none"/>
        </w:rPr>
        <w:t>（</w:t>
      </w:r>
      <w:r>
        <w:rPr>
          <w:color w:val="auto"/>
          <w:szCs w:val="21"/>
          <w:highlight w:val="none"/>
        </w:rPr>
        <w:t>1</w:t>
      </w:r>
      <w:r>
        <w:rPr>
          <w:rFonts w:hint="eastAsia"/>
          <w:color w:val="auto"/>
          <w:szCs w:val="21"/>
          <w:highlight w:val="none"/>
        </w:rPr>
        <w:t>）为招标人不具有独立法人资格的附属机构（单位）；</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）与招标人存在利害关系且可能影响招标公正性；</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）与本招标项目的其他投标人为同一个单位负责人；</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）与本招标项目的其他投标人存在控股、管理关系；</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）为本招标项目的代建人；</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）为本招标项目的招标代理机构；</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）与本招标项目的代建人或招标代理机构同为一个法定代表人；</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）与本招标项目的代建人或招标代理机构存在控股或参股关系；</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9</w:t>
      </w:r>
      <w:r>
        <w:rPr>
          <w:rFonts w:hint="eastAsia"/>
          <w:color w:val="auto"/>
          <w:szCs w:val="21"/>
          <w:highlight w:val="none"/>
        </w:rPr>
        <w:t>）与本招标项目的施工承包人以及建筑材料、建筑构配件和设备供应商有隶属关系或者其他利害关系；</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10</w:t>
      </w:r>
      <w:r>
        <w:rPr>
          <w:rFonts w:hint="eastAsia"/>
          <w:color w:val="auto"/>
          <w:szCs w:val="21"/>
          <w:highlight w:val="none"/>
        </w:rPr>
        <w:t>）被依法暂停或者取消投标资格；</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11</w:t>
      </w:r>
      <w:r>
        <w:rPr>
          <w:rFonts w:hint="eastAsia"/>
          <w:color w:val="auto"/>
          <w:szCs w:val="21"/>
          <w:highlight w:val="none"/>
        </w:rPr>
        <w:t>）被责令停产停业、暂扣或者吊销许可证、暂扣或者吊销执照；</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12</w:t>
      </w:r>
      <w:r>
        <w:rPr>
          <w:rFonts w:hint="eastAsia"/>
          <w:color w:val="auto"/>
          <w:szCs w:val="21"/>
          <w:highlight w:val="none"/>
        </w:rPr>
        <w:t>）进入清算程序，或被宣告破产，或其他丧失履约能力的情形；</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13</w:t>
      </w:r>
      <w:r>
        <w:rPr>
          <w:rFonts w:hint="eastAsia"/>
          <w:color w:val="auto"/>
          <w:szCs w:val="21"/>
          <w:highlight w:val="none"/>
        </w:rPr>
        <w:t>）被工商行政管理机关在全国企业信用信息公示系统中列入严重违法失信企业名单；</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14</w:t>
      </w:r>
      <w:r>
        <w:rPr>
          <w:rFonts w:hint="eastAsia"/>
          <w:color w:val="auto"/>
          <w:szCs w:val="21"/>
          <w:highlight w:val="none"/>
        </w:rPr>
        <w:t>）在近三年内投标人或其法定代表人有行贿犯罪行为的；</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15</w:t>
      </w:r>
      <w:r>
        <w:rPr>
          <w:rFonts w:hint="eastAsia"/>
          <w:color w:val="auto"/>
          <w:szCs w:val="21"/>
          <w:highlight w:val="none"/>
        </w:rPr>
        <w:t>）存在大额诉讼或多宗诉讼或其它违法、违约等影响本次招标项目正常履行的情形；</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16</w:t>
      </w:r>
      <w:r>
        <w:rPr>
          <w:rFonts w:hint="eastAsia"/>
          <w:color w:val="auto"/>
          <w:szCs w:val="21"/>
          <w:highlight w:val="none"/>
        </w:rPr>
        <w:t>）投标人企业在近三年内（自本项目招标公告发布之日起往前顺推）骗取中标或围标串标或提供虚假投标材料或严重违约或重大工程质量问题；</w:t>
      </w:r>
    </w:p>
    <w:p>
      <w:pPr>
        <w:spacing w:line="420" w:lineRule="exact"/>
        <w:ind w:firstLine="420" w:firstLineChars="200"/>
        <w:rPr>
          <w:color w:val="auto"/>
          <w:szCs w:val="21"/>
          <w:highlight w:val="none"/>
        </w:rPr>
      </w:pPr>
      <w:r>
        <w:rPr>
          <w:rFonts w:hint="eastAsia"/>
          <w:color w:val="auto"/>
          <w:szCs w:val="21"/>
          <w:highlight w:val="none"/>
        </w:rPr>
        <w:t>（</w:t>
      </w:r>
      <w:r>
        <w:rPr>
          <w:color w:val="auto"/>
          <w:szCs w:val="21"/>
          <w:highlight w:val="none"/>
        </w:rPr>
        <w:t>17</w:t>
      </w:r>
      <w:r>
        <w:rPr>
          <w:rFonts w:hint="eastAsia"/>
          <w:color w:val="auto"/>
          <w:szCs w:val="21"/>
          <w:highlight w:val="none"/>
        </w:rPr>
        <w:t>）法律法规或投标人须知前附表规定的其他情形。</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18</w:t>
      </w:r>
      <w:r>
        <w:rPr>
          <w:rFonts w:hint="eastAsia"/>
          <w:color w:val="auto"/>
          <w:szCs w:val="21"/>
          <w:highlight w:val="none"/>
        </w:rPr>
        <w:t>）投标人在“信用中国”网站（</w:t>
      </w:r>
      <w:r>
        <w:rPr>
          <w:color w:val="auto"/>
          <w:szCs w:val="21"/>
          <w:highlight w:val="none"/>
        </w:rPr>
        <w:t>www.creditchina.gov.cn</w:t>
      </w:r>
      <w:r>
        <w:rPr>
          <w:rFonts w:hint="eastAsia"/>
          <w:color w:val="auto"/>
          <w:szCs w:val="21"/>
          <w:highlight w:val="none"/>
        </w:rPr>
        <w:t>）中被列入失信被执行人名单，在国家企业信用信息公示系统（</w:t>
      </w:r>
      <w:r>
        <w:rPr>
          <w:color w:val="auto"/>
          <w:szCs w:val="21"/>
          <w:highlight w:val="none"/>
        </w:rPr>
        <w:t>www.gsxt.gov.cn</w:t>
      </w:r>
      <w:r>
        <w:rPr>
          <w:rFonts w:hint="eastAsia"/>
          <w:color w:val="auto"/>
          <w:szCs w:val="21"/>
          <w:highlight w:val="none"/>
        </w:rPr>
        <w:t>）中被列入严重违法失信企业名单，在“中国执行信息公开网”被认定为失信被执行人，处于中国政府采购网</w:t>
      </w:r>
      <w:r>
        <w:rPr>
          <w:color w:val="auto"/>
          <w:szCs w:val="21"/>
          <w:highlight w:val="none"/>
        </w:rPr>
        <w:t>(www.ccgp.gov.cn)</w:t>
      </w:r>
      <w:r>
        <w:rPr>
          <w:rFonts w:hint="eastAsia"/>
          <w:color w:val="auto"/>
          <w:szCs w:val="21"/>
          <w:highlight w:val="none"/>
        </w:rPr>
        <w:t>“政府采购严重违法失信行为信息记录”中的禁止参加政府采购活动期间</w:t>
      </w:r>
      <w:r>
        <w:rPr>
          <w:color w:val="auto"/>
          <w:szCs w:val="21"/>
          <w:highlight w:val="none"/>
        </w:rPr>
        <w:t>(</w:t>
      </w:r>
      <w:r>
        <w:rPr>
          <w:rFonts w:hint="eastAsia"/>
          <w:color w:val="auto"/>
          <w:szCs w:val="21"/>
          <w:highlight w:val="none"/>
        </w:rPr>
        <w:t>处罚限届满的除外</w:t>
      </w:r>
      <w:r>
        <w:rPr>
          <w:color w:val="auto"/>
          <w:szCs w:val="21"/>
          <w:highlight w:val="none"/>
        </w:rPr>
        <w:t>)</w:t>
      </w:r>
      <w:r>
        <w:rPr>
          <w:rFonts w:hint="eastAsia"/>
          <w:color w:val="auto"/>
          <w:szCs w:val="21"/>
          <w:highlight w:val="none"/>
        </w:rPr>
        <w:t>。（以招标人</w:t>
      </w:r>
      <w:r>
        <w:rPr>
          <w:color w:val="auto"/>
          <w:szCs w:val="21"/>
          <w:highlight w:val="none"/>
        </w:rPr>
        <w:t>\</w:t>
      </w:r>
      <w:r>
        <w:rPr>
          <w:rFonts w:hint="eastAsia"/>
          <w:color w:val="auto"/>
          <w:szCs w:val="21"/>
          <w:highlight w:val="none"/>
        </w:rPr>
        <w:t>招标代理于投标截止日当天在信用中国、国家企业信用信息公示系统、中国执行信息公开网查询结果为准，如相关失信记录已失效，投标人需提供相关证明资料）。</w:t>
      </w:r>
    </w:p>
    <w:p>
      <w:pPr>
        <w:spacing w:line="400" w:lineRule="exact"/>
        <w:ind w:firstLine="420" w:firstLineChars="200"/>
        <w:rPr>
          <w:color w:val="auto"/>
          <w:szCs w:val="21"/>
          <w:highlight w:val="none"/>
        </w:rPr>
      </w:pPr>
      <w:r>
        <w:rPr>
          <w:rFonts w:hint="eastAsia"/>
          <w:color w:val="auto"/>
          <w:szCs w:val="21"/>
          <w:highlight w:val="none"/>
        </w:rPr>
        <w:t>（19）存在大额诉讼或多宗诉讼或其它违法、违约等影响本次招标项目正常履行的情形；投标人或其关联公司曾与东莞市轨道一号线建设发展有限公司或东莞市轨道交通有限公司及其下属企业签订合同</w:t>
      </w:r>
      <w:r>
        <w:rPr>
          <w:color w:val="auto"/>
          <w:szCs w:val="21"/>
          <w:highlight w:val="none"/>
        </w:rPr>
        <w:t>,</w:t>
      </w:r>
      <w:r>
        <w:rPr>
          <w:rFonts w:hint="eastAsia"/>
          <w:color w:val="auto"/>
          <w:szCs w:val="21"/>
          <w:highlight w:val="none"/>
        </w:rPr>
        <w:t>且在履约过程中因投标人或其关联公司严重违约而导致合同变更、中止、解除的；投标人或其关联公司曾与东莞市轨道一号线建设发展有限公司或东莞市轨道交通有限公司及其下属企业发生诉讼的；法院判决或仲裁裁决曾认定投标人或其关联公司在与东莞市轨道一号线建设发展有限公司或东莞市轨道交通有限公司及其下属企业履约过程中存在违约责任或过失责任的。</w:t>
      </w:r>
    </w:p>
    <w:p>
      <w:pPr>
        <w:pStyle w:val="26"/>
        <w:rPr>
          <w:color w:val="auto"/>
          <w:highlight w:val="none"/>
        </w:rPr>
      </w:pPr>
    </w:p>
    <w:p>
      <w:pPr>
        <w:adjustRightInd w:val="0"/>
        <w:snapToGrid w:val="0"/>
        <w:spacing w:line="360" w:lineRule="auto"/>
        <w:ind w:firstLine="424" w:firstLineChars="201"/>
        <w:rPr>
          <w:b/>
          <w:color w:val="auto"/>
          <w:szCs w:val="21"/>
          <w:highlight w:val="none"/>
        </w:rPr>
      </w:pPr>
      <w:r>
        <w:rPr>
          <w:rFonts w:hint="eastAsia"/>
          <w:b/>
          <w:color w:val="auto"/>
          <w:szCs w:val="21"/>
          <w:highlight w:val="none"/>
        </w:rPr>
        <w:t>（三）评标阶段有关投标被否决的情形</w:t>
      </w:r>
      <w:bookmarkEnd w:id="170"/>
    </w:p>
    <w:p>
      <w:pPr>
        <w:snapToGrid w:val="0"/>
        <w:spacing w:line="360" w:lineRule="auto"/>
        <w:ind w:firstLine="424" w:firstLineChars="202"/>
        <w:rPr>
          <w:color w:val="auto"/>
          <w:szCs w:val="21"/>
          <w:highlight w:val="none"/>
        </w:rPr>
      </w:pPr>
      <w:r>
        <w:rPr>
          <w:color w:val="auto"/>
          <w:szCs w:val="21"/>
          <w:highlight w:val="none"/>
        </w:rPr>
        <w:t xml:space="preserve">1. </w:t>
      </w:r>
      <w:r>
        <w:rPr>
          <w:rFonts w:hint="eastAsia"/>
          <w:color w:val="auto"/>
          <w:szCs w:val="21"/>
          <w:highlight w:val="none"/>
        </w:rPr>
        <w:t>第二章投标人须知</w:t>
      </w:r>
      <w:r>
        <w:rPr>
          <w:color w:val="auto"/>
          <w:szCs w:val="21"/>
          <w:highlight w:val="none"/>
        </w:rPr>
        <w:t xml:space="preserve"> /1.12.1</w:t>
      </w:r>
      <w:r>
        <w:rPr>
          <w:rFonts w:hint="eastAsia"/>
          <w:color w:val="auto"/>
          <w:szCs w:val="21"/>
          <w:highlight w:val="none"/>
        </w:rPr>
        <w:t>投标文件应当对招标文件的实质性要求和条件作出满足性或更有利于招标人的响应，否则，投标人的投标将被否决。实质性要求和条件见投标人须知前附表。</w:t>
      </w:r>
    </w:p>
    <w:p>
      <w:pPr>
        <w:snapToGrid w:val="0"/>
        <w:spacing w:line="360" w:lineRule="auto"/>
        <w:ind w:firstLine="424" w:firstLineChars="202"/>
        <w:rPr>
          <w:color w:val="auto"/>
          <w:szCs w:val="21"/>
          <w:highlight w:val="none"/>
        </w:rPr>
      </w:pPr>
      <w:r>
        <w:rPr>
          <w:color w:val="auto"/>
          <w:szCs w:val="21"/>
          <w:highlight w:val="none"/>
        </w:rPr>
        <w:t xml:space="preserve">2. </w:t>
      </w:r>
      <w:r>
        <w:rPr>
          <w:rFonts w:hint="eastAsia"/>
          <w:color w:val="auto"/>
          <w:szCs w:val="21"/>
          <w:highlight w:val="none"/>
        </w:rPr>
        <w:t>第二章投标人须知</w:t>
      </w:r>
      <w:r>
        <w:rPr>
          <w:color w:val="auto"/>
          <w:szCs w:val="21"/>
          <w:highlight w:val="none"/>
        </w:rPr>
        <w:t xml:space="preserve"> /3.4.2</w:t>
      </w:r>
      <w:r>
        <w:rPr>
          <w:rFonts w:hint="eastAsia"/>
          <w:color w:val="auto"/>
          <w:szCs w:val="21"/>
          <w:highlight w:val="none"/>
        </w:rPr>
        <w:t>投标人不按本章第</w:t>
      </w:r>
      <w:r>
        <w:rPr>
          <w:color w:val="auto"/>
          <w:szCs w:val="21"/>
          <w:highlight w:val="none"/>
        </w:rPr>
        <w:t>3.4.1</w:t>
      </w:r>
      <w:r>
        <w:rPr>
          <w:rFonts w:hint="eastAsia"/>
          <w:color w:val="auto"/>
          <w:szCs w:val="21"/>
          <w:highlight w:val="none"/>
        </w:rPr>
        <w:t>项要求提交投标保证金的，评标委员会将否决其投标。</w:t>
      </w:r>
    </w:p>
    <w:p>
      <w:pPr>
        <w:snapToGrid w:val="0"/>
        <w:spacing w:line="360" w:lineRule="auto"/>
        <w:ind w:firstLine="424" w:firstLineChars="202"/>
        <w:rPr>
          <w:color w:val="auto"/>
          <w:szCs w:val="21"/>
          <w:highlight w:val="none"/>
        </w:rPr>
      </w:pPr>
      <w:r>
        <w:rPr>
          <w:color w:val="auto"/>
          <w:szCs w:val="21"/>
          <w:highlight w:val="none"/>
        </w:rPr>
        <w:t xml:space="preserve">3. </w:t>
      </w:r>
      <w:r>
        <w:rPr>
          <w:rFonts w:hint="eastAsia"/>
          <w:color w:val="auto"/>
          <w:szCs w:val="21"/>
          <w:highlight w:val="none"/>
        </w:rPr>
        <w:t>第二章投标人须知</w:t>
      </w:r>
      <w:r>
        <w:rPr>
          <w:color w:val="auto"/>
          <w:szCs w:val="21"/>
          <w:highlight w:val="none"/>
        </w:rPr>
        <w:t xml:space="preserve"> /</w:t>
      </w:r>
      <w:r>
        <w:rPr>
          <w:color w:val="auto"/>
          <w:highlight w:val="none"/>
        </w:rPr>
        <w:t xml:space="preserve">3.6.1 </w:t>
      </w:r>
      <w:r>
        <w:rPr>
          <w:rFonts w:hint="eastAsia"/>
          <w:color w:val="auto"/>
          <w:highlight w:val="none"/>
        </w:rPr>
        <w:t>除投标人须知前附表规定允许外，投标人不得递交备选投标方案，否则其投标将被否决。</w:t>
      </w:r>
    </w:p>
    <w:p>
      <w:pPr>
        <w:snapToGrid w:val="0"/>
        <w:spacing w:line="360" w:lineRule="auto"/>
        <w:ind w:firstLine="424" w:firstLineChars="202"/>
        <w:rPr>
          <w:color w:val="auto"/>
          <w:szCs w:val="21"/>
          <w:highlight w:val="none"/>
        </w:rPr>
      </w:pPr>
      <w:r>
        <w:rPr>
          <w:color w:val="auto"/>
          <w:szCs w:val="21"/>
          <w:highlight w:val="none"/>
        </w:rPr>
        <w:t xml:space="preserve">4. </w:t>
      </w:r>
      <w:r>
        <w:rPr>
          <w:rFonts w:hint="eastAsia"/>
          <w:color w:val="auto"/>
          <w:szCs w:val="21"/>
          <w:highlight w:val="none"/>
        </w:rPr>
        <w:t>第三章评标方法</w:t>
      </w:r>
      <w:r>
        <w:rPr>
          <w:color w:val="auto"/>
          <w:szCs w:val="21"/>
          <w:highlight w:val="none"/>
        </w:rPr>
        <w:t xml:space="preserve"> /3.1.1</w:t>
      </w:r>
      <w:r>
        <w:rPr>
          <w:rFonts w:hint="eastAsia"/>
          <w:color w:val="auto"/>
          <w:szCs w:val="21"/>
          <w:highlight w:val="none"/>
        </w:rPr>
        <w:t>评标委员会可以要求投标人提交第二章“投标人须知”规定的有关证明和证件的原件，以便核验。评标委员会依据本章第</w:t>
      </w:r>
      <w:r>
        <w:rPr>
          <w:color w:val="auto"/>
          <w:szCs w:val="21"/>
          <w:highlight w:val="none"/>
        </w:rPr>
        <w:t>2.1</w:t>
      </w:r>
      <w:r>
        <w:rPr>
          <w:rFonts w:hint="eastAsia"/>
          <w:color w:val="auto"/>
          <w:szCs w:val="21"/>
          <w:highlight w:val="none"/>
        </w:rPr>
        <w:t>款规定的标准对投标文件进行初步评审。有一项不符合评审标准的，评标委员会应当否决其投标。</w:t>
      </w:r>
    </w:p>
    <w:p>
      <w:pPr>
        <w:spacing w:line="360" w:lineRule="auto"/>
        <w:ind w:firstLine="420" w:firstLineChars="200"/>
        <w:rPr>
          <w:color w:val="auto"/>
          <w:szCs w:val="21"/>
          <w:highlight w:val="none"/>
        </w:rPr>
      </w:pPr>
      <w:r>
        <w:rPr>
          <w:color w:val="auto"/>
          <w:szCs w:val="21"/>
          <w:highlight w:val="none"/>
        </w:rPr>
        <w:t xml:space="preserve">5. </w:t>
      </w:r>
      <w:r>
        <w:rPr>
          <w:rFonts w:hint="eastAsia"/>
          <w:color w:val="auto"/>
          <w:szCs w:val="21"/>
          <w:highlight w:val="none"/>
        </w:rPr>
        <w:t>第三章评标方法</w:t>
      </w:r>
      <w:r>
        <w:rPr>
          <w:color w:val="auto"/>
          <w:szCs w:val="21"/>
          <w:highlight w:val="none"/>
        </w:rPr>
        <w:t xml:space="preserve"> /3.1.2</w:t>
      </w:r>
      <w:r>
        <w:rPr>
          <w:rFonts w:hint="eastAsia"/>
          <w:color w:val="auto"/>
          <w:szCs w:val="21"/>
          <w:highlight w:val="none"/>
        </w:rPr>
        <w:t>投标人有以下情形之一的，评标委员会应当否决其投标：</w:t>
      </w:r>
    </w:p>
    <w:p>
      <w:pPr>
        <w:spacing w:line="360" w:lineRule="auto"/>
        <w:ind w:left="420" w:leftChars="200" w:firstLine="298" w:firstLineChars="142"/>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）投标文件没有对招标文件的实质性要求和条件作出响应，或者对招标文件的偏差超出招标文件规定的偏差范围或最高项数；</w:t>
      </w:r>
    </w:p>
    <w:p>
      <w:pPr>
        <w:spacing w:line="360" w:lineRule="auto"/>
        <w:ind w:firstLine="718" w:firstLineChars="342"/>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）有串通投标、弄虚作假、行贿等违法行为。</w:t>
      </w:r>
    </w:p>
    <w:p>
      <w:pPr>
        <w:spacing w:line="360" w:lineRule="auto"/>
        <w:ind w:firstLine="420" w:firstLineChars="200"/>
        <w:rPr>
          <w:color w:val="auto"/>
          <w:szCs w:val="21"/>
          <w:highlight w:val="none"/>
        </w:rPr>
      </w:pPr>
      <w:r>
        <w:rPr>
          <w:color w:val="auto"/>
          <w:szCs w:val="21"/>
          <w:highlight w:val="none"/>
        </w:rPr>
        <w:t xml:space="preserve">6. </w:t>
      </w:r>
      <w:r>
        <w:rPr>
          <w:rFonts w:hint="eastAsia"/>
          <w:color w:val="auto"/>
          <w:szCs w:val="21"/>
          <w:highlight w:val="none"/>
        </w:rPr>
        <w:t>第三章评标方法</w:t>
      </w:r>
      <w:r>
        <w:rPr>
          <w:color w:val="auto"/>
          <w:szCs w:val="21"/>
          <w:highlight w:val="none"/>
        </w:rPr>
        <w:t xml:space="preserve"> /3.1.3</w:t>
      </w:r>
      <w:r>
        <w:rPr>
          <w:rFonts w:hint="eastAsia"/>
          <w:color w:val="auto"/>
          <w:highlight w:val="none"/>
        </w:rPr>
        <w:t>投标报价有算术错误及其他错误的，评标委员会按以下原则要求投标人对投标报价进行修正，并要求投标人书面澄清确认。投标人拒不澄清确认的，评标委员会应当否决其投标：</w:t>
      </w:r>
    </w:p>
    <w:p>
      <w:pPr>
        <w:spacing w:line="360" w:lineRule="auto"/>
        <w:ind w:left="420" w:leftChars="200" w:firstLine="298" w:firstLineChars="142"/>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）投标文件中的大写金额与小写金额不一致的，以大写金额为准；</w:t>
      </w:r>
    </w:p>
    <w:p>
      <w:pPr>
        <w:spacing w:line="360" w:lineRule="auto"/>
        <w:ind w:left="420" w:leftChars="200" w:firstLine="298" w:firstLineChars="142"/>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）总价金额与单价金额不一致的，以单价金额为准，但单价金额小数点有明显错误的除外。</w:t>
      </w:r>
    </w:p>
    <w:p>
      <w:pPr>
        <w:spacing w:line="360" w:lineRule="auto"/>
        <w:ind w:firstLine="420" w:firstLineChars="200"/>
        <w:rPr>
          <w:rFonts w:ascii="宋体" w:hAnsi="宋体"/>
          <w:color w:val="auto"/>
          <w:highlight w:val="none"/>
        </w:rPr>
      </w:pPr>
      <w:r>
        <w:rPr>
          <w:color w:val="auto"/>
          <w:szCs w:val="21"/>
          <w:highlight w:val="none"/>
        </w:rPr>
        <w:t xml:space="preserve">7. </w:t>
      </w:r>
      <w:r>
        <w:rPr>
          <w:rFonts w:hint="eastAsia"/>
          <w:color w:val="auto"/>
          <w:szCs w:val="21"/>
          <w:highlight w:val="none"/>
        </w:rPr>
        <w:t>第三章评标方法</w:t>
      </w:r>
      <w:r>
        <w:rPr>
          <w:color w:val="auto"/>
          <w:szCs w:val="21"/>
          <w:highlight w:val="none"/>
        </w:rPr>
        <w:t>/3.2.4</w:t>
      </w:r>
      <w:r>
        <w:rPr>
          <w:rFonts w:hint="eastAsia" w:ascii="宋体" w:hAnsi="宋体"/>
          <w:color w:val="auto"/>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rPr>
          <w:color w:val="auto"/>
          <w:highlight w:val="none"/>
        </w:rPr>
      </w:pPr>
    </w:p>
    <w:p>
      <w:pPr>
        <w:keepNext/>
        <w:keepLines/>
        <w:adjustRightInd w:val="0"/>
        <w:spacing w:before="240" w:after="120"/>
        <w:textAlignment w:val="baseline"/>
        <w:outlineLvl w:val="1"/>
        <w:rPr>
          <w:rFonts w:eastAsia="黑体"/>
          <w:color w:val="auto"/>
          <w:kern w:val="0"/>
          <w:sz w:val="24"/>
          <w:szCs w:val="20"/>
          <w:highlight w:val="none"/>
        </w:rPr>
      </w:pPr>
      <w:bookmarkStart w:id="171" w:name="_Toc25508"/>
      <w:bookmarkStart w:id="172" w:name="_Toc13141"/>
      <w:bookmarkStart w:id="173" w:name="_Toc31021"/>
      <w:bookmarkStart w:id="174" w:name="_Toc170804561"/>
      <w:bookmarkStart w:id="175" w:name="_Toc26347"/>
      <w:bookmarkStart w:id="176" w:name="_Toc18856"/>
      <w:bookmarkStart w:id="177" w:name="_Toc21960"/>
      <w:bookmarkStart w:id="178" w:name="_Toc19249"/>
      <w:bookmarkStart w:id="179" w:name="_Toc17216"/>
      <w:bookmarkStart w:id="180" w:name="_Toc223457733"/>
      <w:bookmarkStart w:id="181" w:name="_Toc5340"/>
      <w:r>
        <w:rPr>
          <w:rFonts w:eastAsia="黑体"/>
          <w:color w:val="auto"/>
          <w:kern w:val="0"/>
          <w:sz w:val="24"/>
          <w:szCs w:val="20"/>
          <w:highlight w:val="none"/>
        </w:rPr>
        <w:t xml:space="preserve">1. </w:t>
      </w:r>
      <w:r>
        <w:rPr>
          <w:rFonts w:hint="eastAsia" w:eastAsia="黑体"/>
          <w:color w:val="auto"/>
          <w:kern w:val="0"/>
          <w:sz w:val="24"/>
          <w:szCs w:val="20"/>
          <w:highlight w:val="none"/>
        </w:rPr>
        <w:t>总则</w:t>
      </w:r>
      <w:bookmarkEnd w:id="171"/>
      <w:bookmarkEnd w:id="172"/>
      <w:bookmarkEnd w:id="173"/>
      <w:bookmarkEnd w:id="174"/>
      <w:bookmarkEnd w:id="175"/>
      <w:bookmarkEnd w:id="176"/>
      <w:bookmarkEnd w:id="177"/>
      <w:bookmarkEnd w:id="178"/>
      <w:bookmarkEnd w:id="179"/>
      <w:bookmarkEnd w:id="180"/>
      <w:bookmarkEnd w:id="181"/>
    </w:p>
    <w:p>
      <w:pPr>
        <w:keepNext/>
        <w:keepLines/>
        <w:spacing w:before="260" w:after="260"/>
        <w:ind w:firstLine="137" w:firstLineChars="49"/>
        <w:outlineLvl w:val="2"/>
        <w:rPr>
          <w:rFonts w:eastAsia="黑体"/>
          <w:color w:val="auto"/>
          <w:sz w:val="28"/>
          <w:szCs w:val="20"/>
          <w:highlight w:val="none"/>
        </w:rPr>
      </w:pPr>
      <w:bookmarkStart w:id="182" w:name="_Toc6423"/>
      <w:bookmarkStart w:id="183" w:name="_Toc12482"/>
      <w:bookmarkStart w:id="184" w:name="_Toc12954"/>
      <w:bookmarkStart w:id="185" w:name="_Toc2608162"/>
      <w:bookmarkStart w:id="186" w:name="_Toc1852703575"/>
      <w:bookmarkStart w:id="187" w:name="_Toc29602"/>
      <w:bookmarkStart w:id="188" w:name="_Toc17107"/>
      <w:bookmarkStart w:id="189" w:name="_Toc10897"/>
      <w:bookmarkStart w:id="190" w:name="_Toc170804562"/>
      <w:bookmarkStart w:id="191" w:name="_Toc14591"/>
      <w:bookmarkStart w:id="192" w:name="_Toc26300"/>
      <w:bookmarkStart w:id="193" w:name="_Toc12415"/>
      <w:r>
        <w:rPr>
          <w:rFonts w:eastAsia="黑体"/>
          <w:color w:val="auto"/>
          <w:sz w:val="28"/>
          <w:szCs w:val="20"/>
          <w:highlight w:val="none"/>
        </w:rPr>
        <w:t xml:space="preserve">1.1 </w:t>
      </w:r>
      <w:r>
        <w:rPr>
          <w:rFonts w:hint="eastAsia" w:eastAsia="黑体"/>
          <w:color w:val="auto"/>
          <w:sz w:val="28"/>
          <w:szCs w:val="20"/>
          <w:highlight w:val="none"/>
        </w:rPr>
        <w:t>招标项目概况</w:t>
      </w:r>
      <w:bookmarkEnd w:id="182"/>
      <w:bookmarkEnd w:id="183"/>
      <w:bookmarkEnd w:id="184"/>
      <w:bookmarkEnd w:id="185"/>
      <w:bookmarkEnd w:id="186"/>
      <w:bookmarkEnd w:id="187"/>
      <w:bookmarkEnd w:id="188"/>
      <w:bookmarkEnd w:id="189"/>
      <w:bookmarkEnd w:id="190"/>
      <w:bookmarkEnd w:id="191"/>
      <w:bookmarkEnd w:id="192"/>
      <w:bookmarkEnd w:id="193"/>
    </w:p>
    <w:p>
      <w:pPr>
        <w:spacing w:line="400" w:lineRule="exact"/>
        <w:ind w:firstLine="420" w:firstLineChars="200"/>
        <w:rPr>
          <w:color w:val="auto"/>
          <w:szCs w:val="24"/>
          <w:highlight w:val="none"/>
        </w:rPr>
      </w:pPr>
      <w:r>
        <w:rPr>
          <w:color w:val="auto"/>
          <w:szCs w:val="24"/>
          <w:highlight w:val="none"/>
        </w:rPr>
        <w:t>1.1.1</w:t>
      </w:r>
      <w:r>
        <w:rPr>
          <w:rFonts w:hint="eastAsia"/>
          <w:color w:val="auto"/>
          <w:szCs w:val="24"/>
          <w:highlight w:val="none"/>
        </w:rPr>
        <w:t>根据《中华人民共和国招标投标法》、《中华人民共和国招标投标法实施条例》等有关法律、法规和规章的规定，本招标项目已具备招标条件，</w:t>
      </w:r>
      <w:r>
        <w:rPr>
          <w:rFonts w:hint="eastAsia"/>
          <w:color w:val="auto"/>
          <w:highlight w:val="none"/>
        </w:rPr>
        <w:t>现对</w:t>
      </w:r>
      <w:r>
        <w:rPr>
          <w:rFonts w:hint="eastAsia" w:asciiTheme="minorEastAsia" w:hAnsiTheme="minorEastAsia" w:eastAsiaTheme="minorEastAsia" w:cstheme="minorEastAsia"/>
          <w:color w:val="auto"/>
          <w:szCs w:val="21"/>
          <w:highlight w:val="none"/>
          <w:u w:val="single"/>
        </w:rPr>
        <w:t>东莞</w:t>
      </w:r>
      <w:r>
        <w:rPr>
          <w:rFonts w:hint="eastAsia" w:asciiTheme="minorEastAsia" w:hAnsiTheme="minorEastAsia" w:eastAsiaTheme="minorEastAsia" w:cstheme="minorEastAsia"/>
          <w:color w:val="auto"/>
          <w:szCs w:val="21"/>
          <w:highlight w:val="none"/>
          <w:u w:val="single"/>
          <w:lang w:eastAsia="zh-CN"/>
        </w:rPr>
        <w:t>市</w:t>
      </w:r>
      <w:r>
        <w:rPr>
          <w:rFonts w:hint="eastAsia" w:asciiTheme="minorEastAsia" w:hAnsiTheme="minorEastAsia" w:eastAsiaTheme="minorEastAsia" w:cstheme="minorEastAsia"/>
          <w:color w:val="auto"/>
          <w:szCs w:val="21"/>
          <w:highlight w:val="none"/>
          <w:u w:val="single"/>
        </w:rPr>
        <w:t>轨道交通1号线</w:t>
      </w:r>
      <w:r>
        <w:rPr>
          <w:rFonts w:hint="eastAsia" w:asciiTheme="minorEastAsia" w:hAnsiTheme="minorEastAsia" w:eastAsiaTheme="minorEastAsia" w:cstheme="minorEastAsia"/>
          <w:color w:val="auto"/>
          <w:szCs w:val="21"/>
          <w:highlight w:val="none"/>
          <w:u w:val="single"/>
          <w:lang w:eastAsia="zh-CN"/>
        </w:rPr>
        <w:t>一期工程</w:t>
      </w:r>
      <w:r>
        <w:rPr>
          <w:rFonts w:hint="eastAsia" w:asciiTheme="minorEastAsia" w:hAnsiTheme="minorEastAsia" w:eastAsiaTheme="minorEastAsia" w:cstheme="minorEastAsia"/>
          <w:color w:val="auto"/>
          <w:szCs w:val="21"/>
          <w:highlight w:val="none"/>
          <w:u w:val="single"/>
        </w:rPr>
        <w:t>2025-2026年结构变形监测项目</w:t>
      </w:r>
      <w:r>
        <w:rPr>
          <w:rFonts w:hint="eastAsia"/>
          <w:color w:val="auto"/>
          <w:szCs w:val="24"/>
          <w:highlight w:val="none"/>
          <w:u w:val="none"/>
        </w:rPr>
        <w:t>进行招标。</w:t>
      </w:r>
    </w:p>
    <w:p>
      <w:pPr>
        <w:spacing w:line="400" w:lineRule="exact"/>
        <w:ind w:firstLine="420" w:firstLineChars="200"/>
        <w:rPr>
          <w:color w:val="auto"/>
          <w:szCs w:val="24"/>
          <w:highlight w:val="none"/>
        </w:rPr>
      </w:pPr>
      <w:r>
        <w:rPr>
          <w:color w:val="auto"/>
          <w:szCs w:val="24"/>
          <w:highlight w:val="none"/>
        </w:rPr>
        <w:t xml:space="preserve">1.1.2 </w:t>
      </w:r>
      <w:r>
        <w:rPr>
          <w:rFonts w:hint="eastAsia"/>
          <w:color w:val="auto"/>
          <w:szCs w:val="24"/>
          <w:highlight w:val="none"/>
        </w:rPr>
        <w:t>招标人：见投标人须知前附表。</w:t>
      </w:r>
    </w:p>
    <w:p>
      <w:pPr>
        <w:spacing w:line="400" w:lineRule="exact"/>
        <w:ind w:firstLine="420" w:firstLineChars="200"/>
        <w:rPr>
          <w:color w:val="auto"/>
          <w:szCs w:val="24"/>
          <w:highlight w:val="none"/>
        </w:rPr>
      </w:pPr>
      <w:r>
        <w:rPr>
          <w:color w:val="auto"/>
          <w:szCs w:val="24"/>
          <w:highlight w:val="none"/>
        </w:rPr>
        <w:t xml:space="preserve">1.1.3 </w:t>
      </w:r>
      <w:r>
        <w:rPr>
          <w:rFonts w:hint="eastAsia"/>
          <w:color w:val="auto"/>
          <w:szCs w:val="24"/>
          <w:highlight w:val="none"/>
        </w:rPr>
        <w:t>招标代理机构：见投标人须知前附表。</w:t>
      </w:r>
    </w:p>
    <w:p>
      <w:pPr>
        <w:spacing w:line="400" w:lineRule="exact"/>
        <w:ind w:firstLine="420" w:firstLineChars="200"/>
        <w:rPr>
          <w:color w:val="auto"/>
          <w:szCs w:val="24"/>
          <w:highlight w:val="none"/>
        </w:rPr>
      </w:pPr>
      <w:r>
        <w:rPr>
          <w:color w:val="auto"/>
          <w:szCs w:val="24"/>
          <w:highlight w:val="none"/>
        </w:rPr>
        <w:t xml:space="preserve">1.1.4 </w:t>
      </w:r>
      <w:r>
        <w:rPr>
          <w:rFonts w:hint="eastAsia"/>
          <w:color w:val="auto"/>
          <w:szCs w:val="24"/>
          <w:highlight w:val="none"/>
        </w:rPr>
        <w:t>招标项目名称：见投标人须知前附表。</w:t>
      </w:r>
    </w:p>
    <w:p>
      <w:pPr>
        <w:spacing w:line="400" w:lineRule="exact"/>
        <w:ind w:firstLine="420" w:firstLineChars="200"/>
        <w:rPr>
          <w:color w:val="auto"/>
          <w:szCs w:val="24"/>
          <w:highlight w:val="none"/>
        </w:rPr>
      </w:pPr>
      <w:r>
        <w:rPr>
          <w:color w:val="auto"/>
          <w:szCs w:val="24"/>
          <w:highlight w:val="none"/>
        </w:rPr>
        <w:t xml:space="preserve">1.1.5 </w:t>
      </w:r>
      <w:r>
        <w:rPr>
          <w:rFonts w:hint="eastAsia"/>
          <w:color w:val="auto"/>
          <w:szCs w:val="24"/>
          <w:highlight w:val="none"/>
        </w:rPr>
        <w:t>项目建设地点：见投标人须知前附表。</w:t>
      </w:r>
    </w:p>
    <w:p>
      <w:pPr>
        <w:spacing w:line="400" w:lineRule="exact"/>
        <w:ind w:firstLine="420" w:firstLineChars="200"/>
        <w:rPr>
          <w:color w:val="auto"/>
          <w:szCs w:val="24"/>
          <w:highlight w:val="none"/>
        </w:rPr>
      </w:pPr>
      <w:r>
        <w:rPr>
          <w:color w:val="auto"/>
          <w:szCs w:val="24"/>
          <w:highlight w:val="none"/>
        </w:rPr>
        <w:t xml:space="preserve">1.1.6 </w:t>
      </w:r>
      <w:r>
        <w:rPr>
          <w:rFonts w:hint="eastAsia"/>
          <w:color w:val="auto"/>
          <w:szCs w:val="24"/>
          <w:highlight w:val="none"/>
        </w:rPr>
        <w:t>项目建设规模：见投标人须知前附表。</w:t>
      </w:r>
    </w:p>
    <w:p>
      <w:pPr>
        <w:keepNext/>
        <w:keepLines/>
        <w:spacing w:before="260" w:after="260"/>
        <w:ind w:firstLine="137" w:firstLineChars="49"/>
        <w:outlineLvl w:val="2"/>
        <w:rPr>
          <w:rFonts w:eastAsia="黑体"/>
          <w:color w:val="auto"/>
          <w:sz w:val="28"/>
          <w:szCs w:val="20"/>
          <w:highlight w:val="none"/>
        </w:rPr>
      </w:pPr>
      <w:bookmarkStart w:id="194" w:name="_Toc18086"/>
      <w:bookmarkStart w:id="195" w:name="_Toc22746"/>
      <w:bookmarkStart w:id="196" w:name="_Toc2608163"/>
      <w:bookmarkStart w:id="197" w:name="_Toc24683"/>
      <w:bookmarkStart w:id="198" w:name="_Toc2023587172"/>
      <w:bookmarkStart w:id="199" w:name="_Toc10898"/>
      <w:bookmarkStart w:id="200" w:name="_Toc11073"/>
      <w:bookmarkStart w:id="201" w:name="_Toc20848"/>
      <w:bookmarkStart w:id="202" w:name="_Toc9125"/>
      <w:bookmarkStart w:id="203" w:name="_Toc19341"/>
      <w:bookmarkStart w:id="204" w:name="_Toc170804563"/>
      <w:bookmarkStart w:id="205" w:name="_Toc24075"/>
      <w:r>
        <w:rPr>
          <w:rFonts w:eastAsia="黑体"/>
          <w:color w:val="auto"/>
          <w:sz w:val="28"/>
          <w:szCs w:val="20"/>
          <w:highlight w:val="none"/>
        </w:rPr>
        <w:t xml:space="preserve">1.2 </w:t>
      </w:r>
      <w:r>
        <w:rPr>
          <w:rFonts w:hint="eastAsia" w:eastAsia="黑体"/>
          <w:color w:val="auto"/>
          <w:sz w:val="28"/>
          <w:szCs w:val="20"/>
          <w:highlight w:val="none"/>
        </w:rPr>
        <w:t>招标项目的资金来源和落实情况</w:t>
      </w:r>
      <w:bookmarkEnd w:id="194"/>
      <w:bookmarkEnd w:id="195"/>
      <w:bookmarkEnd w:id="196"/>
      <w:bookmarkEnd w:id="197"/>
      <w:bookmarkEnd w:id="198"/>
      <w:bookmarkEnd w:id="199"/>
      <w:bookmarkEnd w:id="200"/>
      <w:bookmarkEnd w:id="201"/>
      <w:bookmarkEnd w:id="202"/>
      <w:bookmarkEnd w:id="203"/>
      <w:bookmarkEnd w:id="204"/>
      <w:bookmarkEnd w:id="205"/>
    </w:p>
    <w:p>
      <w:pPr>
        <w:spacing w:line="400" w:lineRule="exact"/>
        <w:ind w:firstLine="420" w:firstLineChars="200"/>
        <w:rPr>
          <w:color w:val="auto"/>
          <w:szCs w:val="24"/>
          <w:highlight w:val="none"/>
        </w:rPr>
      </w:pPr>
      <w:r>
        <w:rPr>
          <w:color w:val="auto"/>
          <w:szCs w:val="24"/>
          <w:highlight w:val="none"/>
        </w:rPr>
        <w:t xml:space="preserve">1.2.1 </w:t>
      </w:r>
      <w:r>
        <w:rPr>
          <w:rFonts w:hint="eastAsia"/>
          <w:color w:val="auto"/>
          <w:szCs w:val="24"/>
          <w:highlight w:val="none"/>
        </w:rPr>
        <w:t>资金来源及比例：见投标人须知前附表。</w:t>
      </w:r>
    </w:p>
    <w:p>
      <w:pPr>
        <w:spacing w:line="400" w:lineRule="exact"/>
        <w:ind w:firstLine="420" w:firstLineChars="200"/>
        <w:rPr>
          <w:color w:val="auto"/>
          <w:szCs w:val="24"/>
          <w:highlight w:val="none"/>
        </w:rPr>
      </w:pPr>
      <w:r>
        <w:rPr>
          <w:color w:val="auto"/>
          <w:szCs w:val="24"/>
          <w:highlight w:val="none"/>
        </w:rPr>
        <w:t xml:space="preserve">1.2.2 </w:t>
      </w:r>
      <w:r>
        <w:rPr>
          <w:rFonts w:hint="eastAsia"/>
          <w:color w:val="auto"/>
          <w:szCs w:val="24"/>
          <w:highlight w:val="none"/>
        </w:rPr>
        <w:t>资金落实情况：见投标人须知前附表。</w:t>
      </w:r>
    </w:p>
    <w:p>
      <w:pPr>
        <w:keepNext/>
        <w:keepLines/>
        <w:spacing w:before="260" w:after="260"/>
        <w:ind w:firstLine="137" w:firstLineChars="49"/>
        <w:outlineLvl w:val="2"/>
        <w:rPr>
          <w:rFonts w:eastAsia="黑体"/>
          <w:color w:val="auto"/>
          <w:sz w:val="28"/>
          <w:szCs w:val="20"/>
          <w:highlight w:val="none"/>
        </w:rPr>
      </w:pPr>
      <w:bookmarkStart w:id="206" w:name="_Toc32427"/>
      <w:bookmarkStart w:id="207" w:name="_Toc6877"/>
      <w:bookmarkStart w:id="208" w:name="_Toc32504"/>
      <w:bookmarkStart w:id="209" w:name="_Toc2608164"/>
      <w:bookmarkStart w:id="210" w:name="_Toc29333"/>
      <w:bookmarkStart w:id="211" w:name="_Toc25928"/>
      <w:bookmarkStart w:id="212" w:name="_Toc20846"/>
      <w:bookmarkStart w:id="213" w:name="_Toc24959"/>
      <w:bookmarkStart w:id="214" w:name="_Toc26583"/>
      <w:bookmarkStart w:id="215" w:name="_Toc19182"/>
      <w:bookmarkStart w:id="216" w:name="_Toc170804564"/>
      <w:bookmarkStart w:id="217" w:name="_Toc731082265"/>
      <w:r>
        <w:rPr>
          <w:rFonts w:eastAsia="黑体"/>
          <w:color w:val="auto"/>
          <w:sz w:val="28"/>
          <w:szCs w:val="20"/>
          <w:highlight w:val="none"/>
        </w:rPr>
        <w:t>1.3</w:t>
      </w:r>
      <w:r>
        <w:rPr>
          <w:rFonts w:hint="eastAsia" w:eastAsia="黑体"/>
          <w:color w:val="auto"/>
          <w:sz w:val="28"/>
          <w:szCs w:val="20"/>
          <w:highlight w:val="none"/>
        </w:rPr>
        <w:t>招标范围和招标内容</w:t>
      </w:r>
      <w:bookmarkEnd w:id="206"/>
      <w:bookmarkEnd w:id="207"/>
      <w:bookmarkEnd w:id="208"/>
      <w:bookmarkEnd w:id="209"/>
      <w:bookmarkEnd w:id="210"/>
      <w:bookmarkEnd w:id="211"/>
      <w:bookmarkEnd w:id="212"/>
      <w:bookmarkEnd w:id="213"/>
      <w:bookmarkEnd w:id="214"/>
      <w:bookmarkEnd w:id="215"/>
      <w:bookmarkEnd w:id="216"/>
      <w:bookmarkEnd w:id="217"/>
    </w:p>
    <w:p>
      <w:pPr>
        <w:spacing w:line="400" w:lineRule="exact"/>
        <w:ind w:firstLine="420" w:firstLineChars="200"/>
        <w:rPr>
          <w:color w:val="auto"/>
          <w:szCs w:val="24"/>
          <w:highlight w:val="none"/>
        </w:rPr>
      </w:pPr>
      <w:r>
        <w:rPr>
          <w:color w:val="auto"/>
          <w:szCs w:val="24"/>
          <w:highlight w:val="none"/>
        </w:rPr>
        <w:t xml:space="preserve">1.3.1 </w:t>
      </w:r>
      <w:r>
        <w:rPr>
          <w:rFonts w:hint="eastAsia"/>
          <w:color w:val="auto"/>
          <w:szCs w:val="24"/>
          <w:highlight w:val="none"/>
        </w:rPr>
        <w:t>招标范围：见投标人须知前附表。</w:t>
      </w:r>
    </w:p>
    <w:p>
      <w:pPr>
        <w:spacing w:line="400" w:lineRule="exact"/>
        <w:ind w:firstLine="420" w:firstLineChars="200"/>
        <w:rPr>
          <w:color w:val="auto"/>
          <w:szCs w:val="24"/>
          <w:highlight w:val="none"/>
        </w:rPr>
      </w:pPr>
      <w:r>
        <w:rPr>
          <w:rFonts w:hint="eastAsia"/>
          <w:color w:val="auto"/>
          <w:szCs w:val="24"/>
          <w:highlight w:val="none"/>
        </w:rPr>
        <w:t xml:space="preserve">1.3.2 </w:t>
      </w:r>
      <w:r>
        <w:rPr>
          <w:color w:val="auto"/>
          <w:szCs w:val="24"/>
          <w:highlight w:val="none"/>
        </w:rPr>
        <w:t>质量检测服务期限</w:t>
      </w:r>
      <w:r>
        <w:rPr>
          <w:rFonts w:hint="eastAsia"/>
          <w:color w:val="auto"/>
          <w:szCs w:val="24"/>
          <w:highlight w:val="none"/>
        </w:rPr>
        <w:t>：见投标人须知前附表。</w:t>
      </w:r>
    </w:p>
    <w:p>
      <w:pPr>
        <w:spacing w:line="400" w:lineRule="exact"/>
        <w:ind w:firstLine="420" w:firstLineChars="200"/>
        <w:rPr>
          <w:color w:val="auto"/>
          <w:szCs w:val="24"/>
          <w:highlight w:val="none"/>
        </w:rPr>
      </w:pPr>
      <w:r>
        <w:rPr>
          <w:rFonts w:hint="eastAsia"/>
          <w:color w:val="auto"/>
          <w:szCs w:val="24"/>
          <w:highlight w:val="none"/>
        </w:rPr>
        <w:t xml:space="preserve">1.3.3 </w:t>
      </w:r>
      <w:r>
        <w:rPr>
          <w:color w:val="auto"/>
          <w:szCs w:val="24"/>
          <w:highlight w:val="none"/>
        </w:rPr>
        <w:t>质量标准</w:t>
      </w:r>
      <w:r>
        <w:rPr>
          <w:rFonts w:hint="eastAsia"/>
          <w:color w:val="auto"/>
          <w:szCs w:val="24"/>
          <w:highlight w:val="none"/>
        </w:rPr>
        <w:t>：见投标人须知前附表。</w:t>
      </w:r>
    </w:p>
    <w:p>
      <w:pPr>
        <w:keepNext/>
        <w:keepLines/>
        <w:spacing w:before="260" w:after="260"/>
        <w:ind w:firstLine="137" w:firstLineChars="49"/>
        <w:outlineLvl w:val="2"/>
        <w:rPr>
          <w:rFonts w:eastAsia="黑体"/>
          <w:color w:val="auto"/>
          <w:sz w:val="28"/>
          <w:szCs w:val="20"/>
          <w:highlight w:val="none"/>
        </w:rPr>
      </w:pPr>
      <w:bookmarkStart w:id="218" w:name="_Toc20124"/>
      <w:bookmarkStart w:id="219" w:name="_Toc2608165"/>
      <w:bookmarkStart w:id="220" w:name="_Toc15456"/>
      <w:bookmarkStart w:id="221" w:name="_Toc19518"/>
      <w:bookmarkStart w:id="222" w:name="_Toc16857"/>
      <w:bookmarkStart w:id="223" w:name="_Toc16063"/>
      <w:bookmarkStart w:id="224" w:name="_Toc24031"/>
      <w:bookmarkStart w:id="225" w:name="_Toc25224"/>
      <w:bookmarkStart w:id="226" w:name="_Toc4094"/>
      <w:bookmarkStart w:id="227" w:name="_Toc1545683368"/>
      <w:bookmarkStart w:id="228" w:name="_Toc11189"/>
      <w:bookmarkStart w:id="229" w:name="_Toc170804565"/>
      <w:r>
        <w:rPr>
          <w:rFonts w:eastAsia="黑体"/>
          <w:color w:val="auto"/>
          <w:sz w:val="28"/>
          <w:szCs w:val="20"/>
          <w:highlight w:val="none"/>
        </w:rPr>
        <w:t>1.4</w:t>
      </w:r>
      <w:r>
        <w:rPr>
          <w:rFonts w:hint="eastAsia" w:eastAsia="黑体"/>
          <w:color w:val="auto"/>
          <w:sz w:val="28"/>
          <w:szCs w:val="20"/>
          <w:highlight w:val="none"/>
        </w:rPr>
        <w:t>投标人资格要求</w:t>
      </w:r>
      <w:bookmarkEnd w:id="218"/>
      <w:bookmarkEnd w:id="219"/>
      <w:bookmarkEnd w:id="220"/>
      <w:bookmarkEnd w:id="221"/>
      <w:bookmarkEnd w:id="222"/>
      <w:bookmarkEnd w:id="223"/>
      <w:bookmarkEnd w:id="224"/>
      <w:bookmarkEnd w:id="225"/>
      <w:bookmarkEnd w:id="226"/>
      <w:bookmarkEnd w:id="227"/>
      <w:bookmarkEnd w:id="228"/>
      <w:bookmarkEnd w:id="229"/>
    </w:p>
    <w:p>
      <w:pPr>
        <w:spacing w:line="400" w:lineRule="exact"/>
        <w:ind w:firstLine="420" w:firstLineChars="200"/>
        <w:rPr>
          <w:color w:val="auto"/>
          <w:szCs w:val="24"/>
          <w:highlight w:val="none"/>
        </w:rPr>
      </w:pPr>
      <w:r>
        <w:rPr>
          <w:color w:val="auto"/>
          <w:szCs w:val="24"/>
          <w:highlight w:val="none"/>
        </w:rPr>
        <w:t xml:space="preserve">1.4.1 </w:t>
      </w:r>
      <w:r>
        <w:rPr>
          <w:rFonts w:hint="eastAsia"/>
          <w:color w:val="auto"/>
          <w:szCs w:val="24"/>
          <w:highlight w:val="none"/>
        </w:rPr>
        <w:t>投标人应具备承担本招标项目资质条件、能力和信誉：</w:t>
      </w:r>
    </w:p>
    <w:p>
      <w:pPr>
        <w:spacing w:line="400" w:lineRule="exact"/>
        <w:ind w:firstLine="315" w:firstLineChars="150"/>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）资质要求：见投标人须知前附表；</w:t>
      </w:r>
    </w:p>
    <w:p>
      <w:pPr>
        <w:spacing w:line="400" w:lineRule="exact"/>
        <w:ind w:firstLine="315" w:firstLineChars="150"/>
        <w:rPr>
          <w:color w:val="auto"/>
          <w:szCs w:val="24"/>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）财务要求：见投标人须知前附表；</w:t>
      </w:r>
    </w:p>
    <w:p>
      <w:pPr>
        <w:spacing w:line="400" w:lineRule="exact"/>
        <w:ind w:firstLine="315" w:firstLineChars="150"/>
        <w:rPr>
          <w:color w:val="auto"/>
          <w:szCs w:val="24"/>
          <w:highlight w:val="none"/>
        </w:rPr>
      </w:pPr>
      <w:r>
        <w:rPr>
          <w:rFonts w:hint="eastAsia"/>
          <w:color w:val="auto"/>
          <w:szCs w:val="24"/>
          <w:highlight w:val="none"/>
        </w:rPr>
        <w:t>（</w:t>
      </w:r>
      <w:r>
        <w:rPr>
          <w:color w:val="auto"/>
          <w:szCs w:val="24"/>
          <w:highlight w:val="none"/>
        </w:rPr>
        <w:t>3</w:t>
      </w:r>
      <w:r>
        <w:rPr>
          <w:rFonts w:hint="eastAsia"/>
          <w:color w:val="auto"/>
          <w:szCs w:val="24"/>
          <w:highlight w:val="none"/>
        </w:rPr>
        <w:t>）业绩要求：见投标人须知前附表；</w:t>
      </w:r>
    </w:p>
    <w:p>
      <w:pPr>
        <w:spacing w:line="400" w:lineRule="exact"/>
        <w:ind w:firstLine="315" w:firstLineChars="150"/>
        <w:rPr>
          <w:color w:val="auto"/>
          <w:szCs w:val="24"/>
          <w:highlight w:val="none"/>
        </w:rPr>
      </w:pPr>
      <w:r>
        <w:rPr>
          <w:rFonts w:hint="eastAsia"/>
          <w:color w:val="auto"/>
          <w:szCs w:val="24"/>
          <w:highlight w:val="none"/>
        </w:rPr>
        <w:t>（</w:t>
      </w:r>
      <w:r>
        <w:rPr>
          <w:color w:val="auto"/>
          <w:szCs w:val="24"/>
          <w:highlight w:val="none"/>
        </w:rPr>
        <w:t>4</w:t>
      </w:r>
      <w:r>
        <w:rPr>
          <w:rFonts w:hint="eastAsia"/>
          <w:color w:val="auto"/>
          <w:szCs w:val="24"/>
          <w:highlight w:val="none"/>
        </w:rPr>
        <w:t>）信誉要求：见投标人须知前附表；</w:t>
      </w:r>
    </w:p>
    <w:p>
      <w:pPr>
        <w:spacing w:line="400" w:lineRule="exact"/>
        <w:ind w:firstLine="315" w:firstLineChars="150"/>
        <w:rPr>
          <w:color w:val="auto"/>
          <w:szCs w:val="24"/>
          <w:highlight w:val="none"/>
        </w:rPr>
      </w:pPr>
      <w:r>
        <w:rPr>
          <w:rFonts w:hint="eastAsia"/>
          <w:color w:val="auto"/>
          <w:szCs w:val="24"/>
          <w:highlight w:val="none"/>
        </w:rPr>
        <w:t>（5）项目负责人的资格要求：见投标人须知前附表。</w:t>
      </w:r>
    </w:p>
    <w:p>
      <w:pPr>
        <w:spacing w:line="400" w:lineRule="exact"/>
        <w:ind w:firstLine="315" w:firstLineChars="150"/>
        <w:rPr>
          <w:color w:val="auto"/>
          <w:szCs w:val="24"/>
          <w:highlight w:val="none"/>
        </w:rPr>
      </w:pPr>
      <w:r>
        <w:rPr>
          <w:rFonts w:hint="eastAsia"/>
          <w:color w:val="auto"/>
          <w:szCs w:val="24"/>
          <w:highlight w:val="none"/>
        </w:rPr>
        <w:t>（6）其他主要人员要求：见投标人须知前附表。</w:t>
      </w:r>
    </w:p>
    <w:p>
      <w:pPr>
        <w:spacing w:line="400" w:lineRule="exact"/>
        <w:ind w:firstLine="315" w:firstLineChars="150"/>
        <w:rPr>
          <w:color w:val="auto"/>
          <w:szCs w:val="24"/>
          <w:highlight w:val="none"/>
        </w:rPr>
      </w:pPr>
      <w:r>
        <w:rPr>
          <w:rFonts w:hint="eastAsia"/>
          <w:color w:val="auto"/>
          <w:szCs w:val="24"/>
          <w:highlight w:val="none"/>
        </w:rPr>
        <w:t>（7）仪器设备要求：见投标人须知前附表。</w:t>
      </w:r>
    </w:p>
    <w:p>
      <w:pPr>
        <w:spacing w:line="400" w:lineRule="exact"/>
        <w:ind w:firstLine="315" w:firstLineChars="150"/>
        <w:rPr>
          <w:color w:val="auto"/>
          <w:szCs w:val="24"/>
          <w:highlight w:val="none"/>
        </w:rPr>
      </w:pPr>
      <w:r>
        <w:rPr>
          <w:rFonts w:hint="eastAsia"/>
          <w:color w:val="auto"/>
          <w:szCs w:val="24"/>
          <w:highlight w:val="none"/>
        </w:rPr>
        <w:t>（8）其他要求：见投标人须知前附表。</w:t>
      </w:r>
    </w:p>
    <w:p>
      <w:pPr>
        <w:spacing w:line="400" w:lineRule="exact"/>
        <w:ind w:firstLine="420" w:firstLineChars="200"/>
        <w:rPr>
          <w:color w:val="auto"/>
          <w:szCs w:val="24"/>
          <w:highlight w:val="none"/>
        </w:rPr>
      </w:pPr>
      <w:r>
        <w:rPr>
          <w:rFonts w:hint="eastAsia"/>
          <w:color w:val="auto"/>
          <w:szCs w:val="24"/>
          <w:highlight w:val="none"/>
        </w:rPr>
        <w:t>需要提交的相关证明材料见本章第</w:t>
      </w:r>
      <w:r>
        <w:rPr>
          <w:color w:val="auto"/>
          <w:szCs w:val="24"/>
          <w:highlight w:val="none"/>
        </w:rPr>
        <w:t>3.5</w:t>
      </w:r>
      <w:r>
        <w:rPr>
          <w:rFonts w:hint="eastAsia"/>
          <w:color w:val="auto"/>
          <w:szCs w:val="24"/>
          <w:highlight w:val="none"/>
        </w:rPr>
        <w:t>款的规定。</w:t>
      </w:r>
    </w:p>
    <w:p>
      <w:pPr>
        <w:spacing w:line="400" w:lineRule="exact"/>
        <w:ind w:firstLine="420" w:firstLineChars="200"/>
        <w:rPr>
          <w:color w:val="auto"/>
          <w:szCs w:val="24"/>
          <w:highlight w:val="none"/>
        </w:rPr>
      </w:pPr>
      <w:r>
        <w:rPr>
          <w:color w:val="auto"/>
          <w:szCs w:val="24"/>
          <w:highlight w:val="none"/>
        </w:rPr>
        <w:t>1.4.2</w:t>
      </w:r>
      <w:r>
        <w:rPr>
          <w:rFonts w:hint="eastAsia"/>
          <w:color w:val="auto"/>
          <w:szCs w:val="24"/>
          <w:highlight w:val="none"/>
        </w:rPr>
        <w:t>投标人须知前附表规定接受联合体投标的，联合体除应符合本章第</w:t>
      </w:r>
      <w:r>
        <w:rPr>
          <w:color w:val="auto"/>
          <w:szCs w:val="24"/>
          <w:highlight w:val="none"/>
        </w:rPr>
        <w:t>1.4.1</w:t>
      </w:r>
      <w:r>
        <w:rPr>
          <w:rFonts w:hint="eastAsia"/>
          <w:color w:val="auto"/>
          <w:szCs w:val="24"/>
          <w:highlight w:val="none"/>
        </w:rPr>
        <w:t>项和投标人须知前附表的要求外，还应遵守以下规定：</w:t>
      </w:r>
    </w:p>
    <w:p>
      <w:pPr>
        <w:spacing w:line="400" w:lineRule="exact"/>
        <w:ind w:firstLine="315" w:firstLineChars="150"/>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）联合体各方应按招标文件提供的格式签订联合体协议书，明确联合体牵头人和各方权利义务，并承诺就中标项目向招标人承担连带责任；</w:t>
      </w:r>
    </w:p>
    <w:p>
      <w:pPr>
        <w:spacing w:line="400" w:lineRule="exact"/>
        <w:ind w:firstLine="315" w:firstLineChars="150"/>
        <w:rPr>
          <w:color w:val="auto"/>
          <w:szCs w:val="24"/>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）由同一专业的单位组成的联合体，按照资质等级较低的单位确定资质等级；</w:t>
      </w:r>
    </w:p>
    <w:p>
      <w:pPr>
        <w:spacing w:line="400" w:lineRule="exact"/>
        <w:ind w:firstLine="315" w:firstLineChars="150"/>
        <w:rPr>
          <w:color w:val="auto"/>
          <w:szCs w:val="24"/>
          <w:highlight w:val="none"/>
        </w:rPr>
      </w:pPr>
      <w:r>
        <w:rPr>
          <w:rFonts w:hint="eastAsia"/>
          <w:color w:val="auto"/>
          <w:szCs w:val="24"/>
          <w:highlight w:val="none"/>
        </w:rPr>
        <w:t>（</w:t>
      </w:r>
      <w:r>
        <w:rPr>
          <w:color w:val="auto"/>
          <w:szCs w:val="24"/>
          <w:highlight w:val="none"/>
        </w:rPr>
        <w:t>3</w:t>
      </w:r>
      <w:r>
        <w:rPr>
          <w:rFonts w:hint="eastAsia"/>
          <w:color w:val="auto"/>
          <w:szCs w:val="24"/>
          <w:highlight w:val="none"/>
        </w:rPr>
        <w:t>）联合体各方不得再以自己名义单独或参加其他联合体在本招标项目中投标，否则各相关投标均无效。</w:t>
      </w:r>
    </w:p>
    <w:p>
      <w:pPr>
        <w:spacing w:line="400" w:lineRule="exact"/>
        <w:ind w:firstLine="420" w:firstLineChars="200"/>
        <w:rPr>
          <w:color w:val="auto"/>
          <w:szCs w:val="21"/>
          <w:highlight w:val="none"/>
        </w:rPr>
      </w:pPr>
      <w:r>
        <w:rPr>
          <w:color w:val="auto"/>
          <w:szCs w:val="21"/>
          <w:highlight w:val="none"/>
        </w:rPr>
        <w:t xml:space="preserve">1.4.3 </w:t>
      </w:r>
      <w:r>
        <w:rPr>
          <w:rFonts w:hint="eastAsia"/>
          <w:color w:val="auto"/>
          <w:szCs w:val="21"/>
          <w:highlight w:val="none"/>
        </w:rPr>
        <w:t>投标人不得存在下列情形之一：</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）为招标人不具有独立法人资格的附属机构（单位）；</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）与招标人存在利害关系且可能影响招标公正性；</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）与本招标项目的其他投标人为同一个单位负责人；</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）与本招标项目的其他投标人存在控股、管理关系；</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）为本招标项目的代建人；</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）为本招标项目的招标代理机构；</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）与本招标项目的代建人或招标代理机构同为一个法定代表人；</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）与本招标项目的代建人或招标代理机构存在控股或参股关系；</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9</w:t>
      </w:r>
      <w:r>
        <w:rPr>
          <w:rFonts w:hint="eastAsia"/>
          <w:color w:val="auto"/>
          <w:szCs w:val="21"/>
          <w:highlight w:val="none"/>
        </w:rPr>
        <w:t>）与本招标项目的施工承包人以及建筑材料、建筑构配件和设备供应商有隶属关系或者其他利害关系；</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10</w:t>
      </w:r>
      <w:r>
        <w:rPr>
          <w:rFonts w:hint="eastAsia"/>
          <w:color w:val="auto"/>
          <w:szCs w:val="21"/>
          <w:highlight w:val="none"/>
        </w:rPr>
        <w:t>）被依法暂停或者取消投标资格；</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11</w:t>
      </w:r>
      <w:r>
        <w:rPr>
          <w:rFonts w:hint="eastAsia"/>
          <w:color w:val="auto"/>
          <w:szCs w:val="21"/>
          <w:highlight w:val="none"/>
        </w:rPr>
        <w:t>）被责令停产停业、暂扣或者吊销许可证、暂扣或者吊销执照；</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12</w:t>
      </w:r>
      <w:r>
        <w:rPr>
          <w:rFonts w:hint="eastAsia"/>
          <w:color w:val="auto"/>
          <w:szCs w:val="21"/>
          <w:highlight w:val="none"/>
        </w:rPr>
        <w:t>）进入清算程序，或被宣告破产，或其他丧失履约能力的情形；</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13</w:t>
      </w:r>
      <w:r>
        <w:rPr>
          <w:rFonts w:hint="eastAsia"/>
          <w:color w:val="auto"/>
          <w:szCs w:val="21"/>
          <w:highlight w:val="none"/>
        </w:rPr>
        <w:t>）被工商行政管理机关在全国企业信用信息公示系统中列入严重违法失信企业名单；</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14</w:t>
      </w:r>
      <w:r>
        <w:rPr>
          <w:rFonts w:hint="eastAsia"/>
          <w:color w:val="auto"/>
          <w:szCs w:val="21"/>
          <w:highlight w:val="none"/>
        </w:rPr>
        <w:t>）在近三年内投标人或其法定代表人有行贿犯罪行为的；</w:t>
      </w:r>
    </w:p>
    <w:p>
      <w:pPr>
        <w:spacing w:line="400" w:lineRule="exact"/>
        <w:ind w:firstLine="420" w:firstLineChars="200"/>
        <w:rPr>
          <w:color w:val="auto"/>
          <w:szCs w:val="21"/>
          <w:highlight w:val="none"/>
        </w:rPr>
      </w:pPr>
      <w:bookmarkStart w:id="230" w:name="_Toc2608166"/>
      <w:r>
        <w:rPr>
          <w:rFonts w:hint="eastAsia"/>
          <w:color w:val="auto"/>
          <w:szCs w:val="21"/>
          <w:highlight w:val="none"/>
        </w:rPr>
        <w:t>（</w:t>
      </w:r>
      <w:r>
        <w:rPr>
          <w:color w:val="auto"/>
          <w:szCs w:val="21"/>
          <w:highlight w:val="none"/>
        </w:rPr>
        <w:t>15</w:t>
      </w:r>
      <w:r>
        <w:rPr>
          <w:rFonts w:hint="eastAsia"/>
          <w:color w:val="auto"/>
          <w:szCs w:val="21"/>
          <w:highlight w:val="none"/>
        </w:rPr>
        <w:t>）存在大额诉讼或多宗诉讼或其它违法、违约等影响本次招标项目正常履行的情形；</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16</w:t>
      </w:r>
      <w:r>
        <w:rPr>
          <w:rFonts w:hint="eastAsia"/>
          <w:color w:val="auto"/>
          <w:szCs w:val="21"/>
          <w:highlight w:val="none"/>
        </w:rPr>
        <w:t>）投标人企业在近三年内（自本项目招标公告发布之日起往前顺推）骗取中标或围标串标或提供虚假投标材料或严重违约或重大工程质量问题；</w:t>
      </w:r>
    </w:p>
    <w:p>
      <w:pPr>
        <w:spacing w:line="420" w:lineRule="exact"/>
        <w:ind w:firstLine="420" w:firstLineChars="200"/>
        <w:rPr>
          <w:color w:val="auto"/>
          <w:szCs w:val="21"/>
          <w:highlight w:val="none"/>
        </w:rPr>
      </w:pPr>
      <w:r>
        <w:rPr>
          <w:rFonts w:hint="eastAsia"/>
          <w:color w:val="auto"/>
          <w:szCs w:val="21"/>
          <w:highlight w:val="none"/>
        </w:rPr>
        <w:t>（</w:t>
      </w:r>
      <w:r>
        <w:rPr>
          <w:color w:val="auto"/>
          <w:szCs w:val="21"/>
          <w:highlight w:val="none"/>
        </w:rPr>
        <w:t>17</w:t>
      </w:r>
      <w:r>
        <w:rPr>
          <w:rFonts w:hint="eastAsia"/>
          <w:color w:val="auto"/>
          <w:szCs w:val="21"/>
          <w:highlight w:val="none"/>
        </w:rPr>
        <w:t>）法律法规或投标人须知前附表规定的其他情形；</w:t>
      </w:r>
    </w:p>
    <w:p>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18</w:t>
      </w:r>
      <w:r>
        <w:rPr>
          <w:rFonts w:hint="eastAsia"/>
          <w:color w:val="auto"/>
          <w:szCs w:val="21"/>
          <w:highlight w:val="none"/>
        </w:rPr>
        <w:t>）投标人在“信用中国”网站（www.creditchina.gov.cn）中被列入失信被执行人名单，在国家企业信用信息公示系统（www.gsxt.gov.cn）中被列入严重违法失信企业名单，在“中国执行信息公开网”被认定为失信被执行人，处于中国政府采购网(www.ccgp.gov.cn)“政府采购严重违法失信行为信息记录”中的禁止参加政府采购活动期间(处罚限届满的除外)。（以招标人\招标代理于投标截止日当天在信用中国、国家企业信用信息公示系统、中国执行信息公开网查询结果为准，如相关失信记录已失效，投标人需提供相关证明资料）。</w:t>
      </w:r>
    </w:p>
    <w:p>
      <w:pPr>
        <w:spacing w:line="400" w:lineRule="exact"/>
        <w:ind w:firstLine="420" w:firstLineChars="200"/>
        <w:rPr>
          <w:color w:val="auto"/>
          <w:szCs w:val="21"/>
          <w:highlight w:val="none"/>
        </w:rPr>
      </w:pPr>
      <w:r>
        <w:rPr>
          <w:rFonts w:hint="eastAsia"/>
          <w:color w:val="auto"/>
          <w:szCs w:val="21"/>
          <w:highlight w:val="none"/>
        </w:rPr>
        <w:t>（19）存在大额诉讼或多宗诉讼或其它违法、违约等影响本次招标项目正常履行的情形；投标人或其关联公司曾与东莞市轨道一号线建设发展有限公司或东莞市轨道交通有限公司及其下属企业签订合同,且在履约过程中因投标人或其关联公司严重违约而导致合同变更、中止、解除的；投标人或其关联公司曾与东莞市轨道一号线建设发展有限公司或东莞市轨道交通有限公司及其下属企业发生诉讼的；法院判决或仲裁裁决曾认定投标人或其关联公司在与东莞市轨道一号线建设发展有限公司或东莞市轨道交通有限公司及其下属企业履约过程中存在违约责任或过失责任的。</w:t>
      </w:r>
    </w:p>
    <w:p>
      <w:pPr>
        <w:keepNext/>
        <w:keepLines/>
        <w:spacing w:before="260" w:after="260"/>
        <w:ind w:firstLine="137" w:firstLineChars="49"/>
        <w:outlineLvl w:val="2"/>
        <w:rPr>
          <w:rFonts w:eastAsia="黑体"/>
          <w:color w:val="auto"/>
          <w:sz w:val="28"/>
          <w:szCs w:val="20"/>
          <w:highlight w:val="none"/>
        </w:rPr>
      </w:pPr>
      <w:bookmarkStart w:id="231" w:name="_Toc10350"/>
      <w:bookmarkStart w:id="232" w:name="_Toc23011"/>
      <w:bookmarkStart w:id="233" w:name="_Toc29545"/>
      <w:bookmarkStart w:id="234" w:name="_Toc20625"/>
      <w:bookmarkStart w:id="235" w:name="_Toc5205"/>
      <w:bookmarkStart w:id="236" w:name="_Toc13571"/>
      <w:bookmarkStart w:id="237" w:name="_Toc8063"/>
      <w:bookmarkStart w:id="238" w:name="_Toc190688217"/>
      <w:bookmarkStart w:id="239" w:name="_Toc4484"/>
      <w:bookmarkStart w:id="240" w:name="_Toc170804566"/>
      <w:bookmarkStart w:id="241" w:name="_Toc21715"/>
      <w:r>
        <w:rPr>
          <w:rFonts w:eastAsia="黑体"/>
          <w:color w:val="auto"/>
          <w:sz w:val="28"/>
          <w:szCs w:val="20"/>
          <w:highlight w:val="none"/>
        </w:rPr>
        <w:t>1.5</w:t>
      </w:r>
      <w:r>
        <w:rPr>
          <w:rFonts w:hint="eastAsia" w:eastAsia="黑体"/>
          <w:color w:val="auto"/>
          <w:sz w:val="28"/>
          <w:szCs w:val="20"/>
          <w:highlight w:val="none"/>
        </w:rPr>
        <w:t>费用承担</w:t>
      </w:r>
      <w:bookmarkEnd w:id="230"/>
      <w:bookmarkEnd w:id="231"/>
      <w:bookmarkEnd w:id="232"/>
      <w:bookmarkEnd w:id="233"/>
      <w:bookmarkEnd w:id="234"/>
      <w:bookmarkEnd w:id="235"/>
      <w:bookmarkEnd w:id="236"/>
      <w:bookmarkEnd w:id="237"/>
      <w:bookmarkEnd w:id="238"/>
      <w:bookmarkEnd w:id="239"/>
      <w:bookmarkEnd w:id="240"/>
      <w:bookmarkEnd w:id="241"/>
    </w:p>
    <w:p>
      <w:pPr>
        <w:spacing w:line="400" w:lineRule="exact"/>
        <w:ind w:firstLine="420" w:firstLineChars="200"/>
        <w:rPr>
          <w:color w:val="auto"/>
          <w:szCs w:val="24"/>
          <w:highlight w:val="none"/>
        </w:rPr>
      </w:pPr>
      <w:r>
        <w:rPr>
          <w:rFonts w:hint="eastAsia"/>
          <w:color w:val="auto"/>
          <w:szCs w:val="24"/>
          <w:highlight w:val="none"/>
        </w:rPr>
        <w:t>投标人准备和参加投标活动发生的费用自理。</w:t>
      </w:r>
    </w:p>
    <w:p>
      <w:pPr>
        <w:keepNext/>
        <w:keepLines/>
        <w:spacing w:before="260" w:after="260"/>
        <w:ind w:firstLine="137" w:firstLineChars="49"/>
        <w:outlineLvl w:val="2"/>
        <w:rPr>
          <w:rFonts w:eastAsia="黑体"/>
          <w:color w:val="auto"/>
          <w:sz w:val="28"/>
          <w:szCs w:val="20"/>
          <w:highlight w:val="none"/>
        </w:rPr>
      </w:pPr>
      <w:bookmarkStart w:id="242" w:name="_Toc24631"/>
      <w:bookmarkStart w:id="243" w:name="_Toc3661"/>
      <w:bookmarkStart w:id="244" w:name="_Toc9880"/>
      <w:bookmarkStart w:id="245" w:name="_Toc21604"/>
      <w:bookmarkStart w:id="246" w:name="_Toc25410"/>
      <w:bookmarkStart w:id="247" w:name="_Toc13202"/>
      <w:bookmarkStart w:id="248" w:name="_Toc9017"/>
      <w:bookmarkStart w:id="249" w:name="_Toc851261795"/>
      <w:bookmarkStart w:id="250" w:name="_Toc2608167"/>
      <w:bookmarkStart w:id="251" w:name="_Toc31486"/>
      <w:bookmarkStart w:id="252" w:name="_Toc25671"/>
      <w:bookmarkStart w:id="253" w:name="_Toc170804567"/>
      <w:r>
        <w:rPr>
          <w:rFonts w:eastAsia="黑体"/>
          <w:color w:val="auto"/>
          <w:sz w:val="28"/>
          <w:szCs w:val="20"/>
          <w:highlight w:val="none"/>
        </w:rPr>
        <w:t>1.6</w:t>
      </w:r>
      <w:r>
        <w:rPr>
          <w:rFonts w:hint="eastAsia" w:eastAsia="黑体"/>
          <w:color w:val="auto"/>
          <w:sz w:val="28"/>
          <w:szCs w:val="20"/>
          <w:highlight w:val="none"/>
        </w:rPr>
        <w:t>保密</w:t>
      </w:r>
      <w:bookmarkEnd w:id="242"/>
      <w:bookmarkEnd w:id="243"/>
      <w:bookmarkEnd w:id="244"/>
      <w:bookmarkEnd w:id="245"/>
      <w:bookmarkEnd w:id="246"/>
      <w:bookmarkEnd w:id="247"/>
      <w:bookmarkEnd w:id="248"/>
      <w:bookmarkEnd w:id="249"/>
      <w:bookmarkEnd w:id="250"/>
      <w:bookmarkEnd w:id="251"/>
      <w:bookmarkEnd w:id="252"/>
      <w:bookmarkEnd w:id="253"/>
    </w:p>
    <w:p>
      <w:pPr>
        <w:spacing w:line="400" w:lineRule="exact"/>
        <w:ind w:firstLine="420" w:firstLineChars="200"/>
        <w:rPr>
          <w:color w:val="auto"/>
          <w:szCs w:val="24"/>
          <w:highlight w:val="none"/>
        </w:rPr>
      </w:pPr>
      <w:r>
        <w:rPr>
          <w:rFonts w:hint="eastAsia"/>
          <w:color w:val="auto"/>
          <w:szCs w:val="24"/>
          <w:highlight w:val="none"/>
        </w:rPr>
        <w:t>参与招标投标活动的各方应对招标文件和投标文件中的商业和技术等秘密保密，否则应承担相应的法律责任。</w:t>
      </w:r>
    </w:p>
    <w:p>
      <w:pPr>
        <w:keepNext/>
        <w:keepLines/>
        <w:spacing w:before="260" w:after="260"/>
        <w:ind w:firstLine="137" w:firstLineChars="49"/>
        <w:outlineLvl w:val="2"/>
        <w:rPr>
          <w:rFonts w:eastAsia="黑体"/>
          <w:color w:val="auto"/>
          <w:sz w:val="28"/>
          <w:szCs w:val="20"/>
          <w:highlight w:val="none"/>
        </w:rPr>
      </w:pPr>
      <w:bookmarkStart w:id="254" w:name="_Toc17618"/>
      <w:bookmarkStart w:id="255" w:name="_Toc26266"/>
      <w:bookmarkStart w:id="256" w:name="_Toc31299"/>
      <w:bookmarkStart w:id="257" w:name="_Toc2608168"/>
      <w:bookmarkStart w:id="258" w:name="_Toc6711"/>
      <w:bookmarkStart w:id="259" w:name="_Toc17829"/>
      <w:bookmarkStart w:id="260" w:name="_Toc23083"/>
      <w:bookmarkStart w:id="261" w:name="_Toc30250"/>
      <w:bookmarkStart w:id="262" w:name="_Toc12080"/>
      <w:bookmarkStart w:id="263" w:name="_Toc29363"/>
      <w:bookmarkStart w:id="264" w:name="_Toc620932251"/>
      <w:bookmarkStart w:id="265" w:name="_Toc170804568"/>
      <w:r>
        <w:rPr>
          <w:rFonts w:eastAsia="黑体"/>
          <w:color w:val="auto"/>
          <w:sz w:val="28"/>
          <w:szCs w:val="20"/>
          <w:highlight w:val="none"/>
        </w:rPr>
        <w:t xml:space="preserve">1.7 </w:t>
      </w:r>
      <w:r>
        <w:rPr>
          <w:rFonts w:hint="eastAsia" w:eastAsia="黑体"/>
          <w:color w:val="auto"/>
          <w:sz w:val="28"/>
          <w:szCs w:val="20"/>
          <w:highlight w:val="none"/>
        </w:rPr>
        <w:t>语言文字</w:t>
      </w:r>
      <w:bookmarkEnd w:id="254"/>
      <w:bookmarkEnd w:id="255"/>
      <w:bookmarkEnd w:id="256"/>
      <w:bookmarkEnd w:id="257"/>
      <w:bookmarkEnd w:id="258"/>
      <w:bookmarkEnd w:id="259"/>
      <w:bookmarkEnd w:id="260"/>
      <w:bookmarkEnd w:id="261"/>
      <w:bookmarkEnd w:id="262"/>
      <w:bookmarkEnd w:id="263"/>
      <w:bookmarkEnd w:id="264"/>
      <w:bookmarkEnd w:id="265"/>
    </w:p>
    <w:p>
      <w:pPr>
        <w:spacing w:line="400" w:lineRule="exact"/>
        <w:ind w:firstLine="420" w:firstLineChars="200"/>
        <w:rPr>
          <w:color w:val="auto"/>
          <w:szCs w:val="24"/>
          <w:highlight w:val="none"/>
        </w:rPr>
      </w:pPr>
      <w:r>
        <w:rPr>
          <w:rFonts w:hint="eastAsia"/>
          <w:color w:val="auto"/>
          <w:szCs w:val="24"/>
          <w:highlight w:val="none"/>
        </w:rPr>
        <w:t>招标投标文件使用的语言文字为中文。专用术语使用外文的，应附有中文注释。</w:t>
      </w:r>
    </w:p>
    <w:p>
      <w:pPr>
        <w:keepNext/>
        <w:keepLines/>
        <w:spacing w:before="260" w:after="260"/>
        <w:ind w:firstLine="137" w:firstLineChars="49"/>
        <w:outlineLvl w:val="2"/>
        <w:rPr>
          <w:rFonts w:eastAsia="黑体"/>
          <w:color w:val="auto"/>
          <w:sz w:val="28"/>
          <w:szCs w:val="20"/>
          <w:highlight w:val="none"/>
        </w:rPr>
      </w:pPr>
      <w:bookmarkStart w:id="266" w:name="_Toc4285"/>
      <w:bookmarkStart w:id="267" w:name="_Toc2608169"/>
      <w:bookmarkStart w:id="268" w:name="_Toc32039"/>
      <w:bookmarkStart w:id="269" w:name="_Toc26149"/>
      <w:bookmarkStart w:id="270" w:name="_Toc22455"/>
      <w:bookmarkStart w:id="271" w:name="_Toc16420"/>
      <w:bookmarkStart w:id="272" w:name="_Toc14391"/>
      <w:bookmarkStart w:id="273" w:name="_Toc1385301784"/>
      <w:bookmarkStart w:id="274" w:name="_Toc170804569"/>
      <w:bookmarkStart w:id="275" w:name="_Toc5283"/>
      <w:bookmarkStart w:id="276" w:name="_Toc4439"/>
      <w:bookmarkStart w:id="277" w:name="_Toc6053"/>
      <w:r>
        <w:rPr>
          <w:rFonts w:eastAsia="黑体"/>
          <w:color w:val="auto"/>
          <w:sz w:val="28"/>
          <w:szCs w:val="20"/>
          <w:highlight w:val="none"/>
        </w:rPr>
        <w:t>1.8</w:t>
      </w:r>
      <w:r>
        <w:rPr>
          <w:rFonts w:hint="eastAsia" w:eastAsia="黑体"/>
          <w:color w:val="auto"/>
          <w:sz w:val="28"/>
          <w:szCs w:val="20"/>
          <w:highlight w:val="none"/>
        </w:rPr>
        <w:t>计量单位</w:t>
      </w:r>
      <w:bookmarkEnd w:id="266"/>
      <w:bookmarkEnd w:id="267"/>
      <w:bookmarkEnd w:id="268"/>
      <w:bookmarkEnd w:id="269"/>
      <w:bookmarkEnd w:id="270"/>
      <w:bookmarkEnd w:id="271"/>
      <w:bookmarkEnd w:id="272"/>
      <w:bookmarkEnd w:id="273"/>
      <w:bookmarkEnd w:id="274"/>
      <w:bookmarkEnd w:id="275"/>
      <w:bookmarkEnd w:id="276"/>
      <w:bookmarkEnd w:id="277"/>
    </w:p>
    <w:p>
      <w:pPr>
        <w:spacing w:line="400" w:lineRule="exact"/>
        <w:ind w:firstLine="420" w:firstLineChars="200"/>
        <w:rPr>
          <w:color w:val="auto"/>
          <w:szCs w:val="24"/>
          <w:highlight w:val="none"/>
        </w:rPr>
      </w:pPr>
      <w:r>
        <w:rPr>
          <w:rFonts w:hint="eastAsia"/>
          <w:color w:val="auto"/>
          <w:szCs w:val="24"/>
          <w:highlight w:val="none"/>
        </w:rPr>
        <w:t>所有计量均采用中华人民共和国法定计量单位。</w:t>
      </w:r>
    </w:p>
    <w:p>
      <w:pPr>
        <w:keepNext/>
        <w:keepLines/>
        <w:spacing w:before="260" w:after="260"/>
        <w:ind w:firstLine="137" w:firstLineChars="49"/>
        <w:outlineLvl w:val="2"/>
        <w:rPr>
          <w:rFonts w:eastAsia="黑体"/>
          <w:color w:val="auto"/>
          <w:sz w:val="28"/>
          <w:szCs w:val="20"/>
          <w:highlight w:val="none"/>
        </w:rPr>
      </w:pPr>
      <w:bookmarkStart w:id="278" w:name="_Toc21913"/>
      <w:bookmarkStart w:id="279" w:name="_Toc25421"/>
      <w:bookmarkStart w:id="280" w:name="_Toc28794"/>
      <w:bookmarkStart w:id="281" w:name="_Toc22612"/>
      <w:bookmarkStart w:id="282" w:name="_Toc8683"/>
      <w:bookmarkStart w:id="283" w:name="_Toc2608170"/>
      <w:bookmarkStart w:id="284" w:name="_Toc30996"/>
      <w:bookmarkStart w:id="285" w:name="_Toc1896866561"/>
      <w:bookmarkStart w:id="286" w:name="_Toc170804570"/>
      <w:bookmarkStart w:id="287" w:name="_Toc29592"/>
      <w:bookmarkStart w:id="288" w:name="_Toc1002"/>
      <w:bookmarkStart w:id="289" w:name="_Toc28961"/>
      <w:r>
        <w:rPr>
          <w:rFonts w:eastAsia="黑体"/>
          <w:color w:val="auto"/>
          <w:sz w:val="28"/>
          <w:szCs w:val="20"/>
          <w:highlight w:val="none"/>
        </w:rPr>
        <w:t xml:space="preserve">1.9 </w:t>
      </w:r>
      <w:r>
        <w:rPr>
          <w:rFonts w:hint="eastAsia" w:eastAsia="黑体"/>
          <w:color w:val="auto"/>
          <w:sz w:val="28"/>
          <w:szCs w:val="20"/>
          <w:highlight w:val="none"/>
        </w:rPr>
        <w:t>踏勘现场</w:t>
      </w:r>
      <w:bookmarkEnd w:id="278"/>
      <w:bookmarkEnd w:id="279"/>
      <w:bookmarkEnd w:id="280"/>
      <w:bookmarkEnd w:id="281"/>
      <w:bookmarkEnd w:id="282"/>
      <w:bookmarkEnd w:id="283"/>
      <w:bookmarkEnd w:id="284"/>
      <w:bookmarkEnd w:id="285"/>
      <w:bookmarkEnd w:id="286"/>
      <w:bookmarkEnd w:id="287"/>
      <w:bookmarkEnd w:id="288"/>
      <w:bookmarkEnd w:id="289"/>
    </w:p>
    <w:p>
      <w:pPr>
        <w:spacing w:line="400" w:lineRule="exact"/>
        <w:ind w:firstLine="420" w:firstLineChars="200"/>
        <w:rPr>
          <w:color w:val="auto"/>
          <w:szCs w:val="24"/>
          <w:highlight w:val="none"/>
        </w:rPr>
      </w:pPr>
      <w:r>
        <w:rPr>
          <w:color w:val="auto"/>
          <w:szCs w:val="24"/>
          <w:highlight w:val="none"/>
        </w:rPr>
        <w:t xml:space="preserve">1.9.1 </w:t>
      </w:r>
      <w:r>
        <w:rPr>
          <w:rFonts w:hint="eastAsia"/>
          <w:color w:val="auto"/>
          <w:szCs w:val="24"/>
          <w:highlight w:val="none"/>
        </w:rPr>
        <w:t>投标人须知前附表规定组织踏勘现场的，招标人按投标人须知前附表规定的时间、地点组织投标人踏勘项目现场。部分投标人未按时参加踏勘现场的，不影响踏勘现场的正常进行。</w:t>
      </w:r>
    </w:p>
    <w:p>
      <w:pPr>
        <w:spacing w:line="400" w:lineRule="exact"/>
        <w:ind w:firstLine="420" w:firstLineChars="200"/>
        <w:rPr>
          <w:color w:val="auto"/>
          <w:szCs w:val="24"/>
          <w:highlight w:val="none"/>
        </w:rPr>
      </w:pPr>
      <w:r>
        <w:rPr>
          <w:color w:val="auto"/>
          <w:szCs w:val="24"/>
          <w:highlight w:val="none"/>
        </w:rPr>
        <w:t xml:space="preserve">1.9.2 </w:t>
      </w:r>
      <w:r>
        <w:rPr>
          <w:rFonts w:hint="eastAsia"/>
          <w:color w:val="auto"/>
          <w:szCs w:val="24"/>
          <w:highlight w:val="none"/>
        </w:rPr>
        <w:t>投标人踏勘现场发生的费用自理。</w:t>
      </w:r>
    </w:p>
    <w:p>
      <w:pPr>
        <w:spacing w:line="400" w:lineRule="exact"/>
        <w:ind w:firstLine="420" w:firstLineChars="200"/>
        <w:rPr>
          <w:color w:val="auto"/>
          <w:szCs w:val="24"/>
          <w:highlight w:val="none"/>
        </w:rPr>
      </w:pPr>
      <w:r>
        <w:rPr>
          <w:color w:val="auto"/>
          <w:szCs w:val="24"/>
          <w:highlight w:val="none"/>
        </w:rPr>
        <w:t xml:space="preserve">1.9.3 </w:t>
      </w:r>
      <w:r>
        <w:rPr>
          <w:rFonts w:hint="eastAsia"/>
          <w:color w:val="auto"/>
          <w:szCs w:val="24"/>
          <w:highlight w:val="none"/>
        </w:rPr>
        <w:t>除招标人的原因外，投标人自行负责在踏勘现场中所发生的人员伤亡和财产损失。</w:t>
      </w:r>
    </w:p>
    <w:p>
      <w:pPr>
        <w:spacing w:line="400" w:lineRule="exact"/>
        <w:ind w:firstLine="420" w:firstLineChars="200"/>
        <w:rPr>
          <w:color w:val="auto"/>
          <w:szCs w:val="24"/>
          <w:highlight w:val="none"/>
        </w:rPr>
      </w:pPr>
      <w:r>
        <w:rPr>
          <w:color w:val="auto"/>
          <w:szCs w:val="24"/>
          <w:highlight w:val="none"/>
        </w:rPr>
        <w:t xml:space="preserve">1.9.4 </w:t>
      </w:r>
      <w:r>
        <w:rPr>
          <w:rFonts w:hint="eastAsia"/>
          <w:color w:val="auto"/>
          <w:szCs w:val="24"/>
          <w:highlight w:val="none"/>
        </w:rPr>
        <w:t>招标人在踏勘现场中介绍的工程场地和相关的周边环境情况，供投标人在编制投标文件时参考，招标人不对投标人据此作出的判断和决策负责。</w:t>
      </w:r>
    </w:p>
    <w:p>
      <w:pPr>
        <w:keepNext/>
        <w:keepLines/>
        <w:spacing w:before="260" w:after="260"/>
        <w:ind w:firstLine="137" w:firstLineChars="49"/>
        <w:outlineLvl w:val="2"/>
        <w:rPr>
          <w:rFonts w:eastAsia="黑体"/>
          <w:color w:val="auto"/>
          <w:sz w:val="28"/>
          <w:szCs w:val="20"/>
          <w:highlight w:val="none"/>
        </w:rPr>
      </w:pPr>
      <w:bookmarkStart w:id="290" w:name="_Toc308"/>
      <w:bookmarkStart w:id="291" w:name="_Toc7764"/>
      <w:bookmarkStart w:id="292" w:name="_Toc23822"/>
      <w:bookmarkStart w:id="293" w:name="_Toc5629"/>
      <w:bookmarkStart w:id="294" w:name="_Toc9833"/>
      <w:bookmarkStart w:id="295" w:name="_Toc2717"/>
      <w:bookmarkStart w:id="296" w:name="_Toc8848"/>
      <w:bookmarkStart w:id="297" w:name="_Toc170804571"/>
      <w:bookmarkStart w:id="298" w:name="_Toc1241551012"/>
      <w:bookmarkStart w:id="299" w:name="_Toc3692"/>
      <w:bookmarkStart w:id="300" w:name="_Toc21669"/>
      <w:bookmarkStart w:id="301" w:name="_Toc2608171"/>
      <w:r>
        <w:rPr>
          <w:rFonts w:eastAsia="黑体"/>
          <w:color w:val="auto"/>
          <w:sz w:val="28"/>
          <w:szCs w:val="20"/>
          <w:highlight w:val="none"/>
        </w:rPr>
        <w:t>1.10</w:t>
      </w:r>
      <w:r>
        <w:rPr>
          <w:rFonts w:hint="eastAsia" w:eastAsia="黑体"/>
          <w:color w:val="auto"/>
          <w:sz w:val="28"/>
          <w:szCs w:val="20"/>
          <w:highlight w:val="none"/>
        </w:rPr>
        <w:t>投标预备会</w:t>
      </w:r>
      <w:bookmarkEnd w:id="290"/>
      <w:bookmarkEnd w:id="291"/>
      <w:bookmarkEnd w:id="292"/>
      <w:bookmarkEnd w:id="293"/>
      <w:bookmarkEnd w:id="294"/>
      <w:bookmarkEnd w:id="295"/>
      <w:bookmarkEnd w:id="296"/>
      <w:bookmarkEnd w:id="297"/>
      <w:bookmarkEnd w:id="298"/>
      <w:bookmarkEnd w:id="299"/>
      <w:bookmarkEnd w:id="300"/>
      <w:bookmarkEnd w:id="301"/>
    </w:p>
    <w:p>
      <w:pPr>
        <w:spacing w:line="400" w:lineRule="exact"/>
        <w:ind w:firstLine="420" w:firstLineChars="200"/>
        <w:rPr>
          <w:color w:val="auto"/>
          <w:szCs w:val="24"/>
          <w:highlight w:val="none"/>
        </w:rPr>
      </w:pPr>
      <w:r>
        <w:rPr>
          <w:color w:val="auto"/>
          <w:szCs w:val="24"/>
          <w:highlight w:val="none"/>
        </w:rPr>
        <w:t xml:space="preserve">1.10.1 </w:t>
      </w:r>
      <w:r>
        <w:rPr>
          <w:rFonts w:hint="eastAsia"/>
          <w:color w:val="auto"/>
          <w:szCs w:val="24"/>
          <w:highlight w:val="none"/>
        </w:rPr>
        <w:t>投标人须知前附表规定召开投标预备会的，招标人按投标人须知前附表规定的时间和地点召开投标预备会，澄清投标人提出的问题。</w:t>
      </w:r>
    </w:p>
    <w:p>
      <w:pPr>
        <w:spacing w:line="400" w:lineRule="exact"/>
        <w:ind w:firstLine="420" w:firstLineChars="200"/>
        <w:rPr>
          <w:color w:val="auto"/>
          <w:szCs w:val="24"/>
          <w:highlight w:val="none"/>
        </w:rPr>
      </w:pPr>
      <w:r>
        <w:rPr>
          <w:color w:val="auto"/>
          <w:szCs w:val="24"/>
          <w:highlight w:val="none"/>
        </w:rPr>
        <w:t xml:space="preserve">1.10.2 </w:t>
      </w:r>
      <w:r>
        <w:rPr>
          <w:rFonts w:hint="eastAsia"/>
          <w:color w:val="auto"/>
          <w:szCs w:val="24"/>
          <w:highlight w:val="none"/>
        </w:rPr>
        <w:t>投标人应按投标人须知前附表规定的时间和形式将提出的问题送达招标人，以便招标人在会议期间澄清。</w:t>
      </w:r>
    </w:p>
    <w:p>
      <w:pPr>
        <w:spacing w:line="400" w:lineRule="exact"/>
        <w:ind w:firstLine="420" w:firstLineChars="200"/>
        <w:rPr>
          <w:color w:val="auto"/>
          <w:szCs w:val="24"/>
          <w:highlight w:val="none"/>
        </w:rPr>
      </w:pPr>
      <w:r>
        <w:rPr>
          <w:color w:val="auto"/>
          <w:szCs w:val="24"/>
          <w:highlight w:val="none"/>
        </w:rPr>
        <w:t xml:space="preserve">1.10.3 </w:t>
      </w:r>
      <w:r>
        <w:rPr>
          <w:rFonts w:hint="eastAsia"/>
          <w:color w:val="auto"/>
          <w:szCs w:val="24"/>
          <w:highlight w:val="none"/>
        </w:rPr>
        <w:t>投标预备会后，招标人将对投标人所提问题的澄清，以投标人须知前附表规定的形式通知所有购买招标文件的投标人。该澄清内容为招标文件的组成部分。</w:t>
      </w:r>
    </w:p>
    <w:p>
      <w:pPr>
        <w:keepNext/>
        <w:keepLines/>
        <w:spacing w:before="260" w:after="260"/>
        <w:ind w:firstLine="137" w:firstLineChars="49"/>
        <w:outlineLvl w:val="2"/>
        <w:rPr>
          <w:rFonts w:eastAsia="黑体"/>
          <w:color w:val="auto"/>
          <w:sz w:val="28"/>
          <w:szCs w:val="20"/>
          <w:highlight w:val="none"/>
        </w:rPr>
      </w:pPr>
      <w:bookmarkStart w:id="302" w:name="_Toc1796744432"/>
      <w:bookmarkStart w:id="303" w:name="_Toc6126"/>
      <w:bookmarkStart w:id="304" w:name="_Toc16802"/>
      <w:bookmarkStart w:id="305" w:name="_Toc2608172"/>
      <w:bookmarkStart w:id="306" w:name="_Toc18677"/>
      <w:bookmarkStart w:id="307" w:name="_Toc170804572"/>
      <w:bookmarkStart w:id="308" w:name="_Toc27996"/>
      <w:bookmarkStart w:id="309" w:name="_Toc7851"/>
      <w:bookmarkStart w:id="310" w:name="_Toc10003"/>
      <w:bookmarkStart w:id="311" w:name="_Toc30422"/>
      <w:bookmarkStart w:id="312" w:name="_Toc31898"/>
      <w:bookmarkStart w:id="313" w:name="_Toc23402"/>
      <w:r>
        <w:rPr>
          <w:rFonts w:eastAsia="黑体"/>
          <w:color w:val="auto"/>
          <w:sz w:val="28"/>
          <w:szCs w:val="20"/>
          <w:highlight w:val="none"/>
        </w:rPr>
        <w:t xml:space="preserve">1.11 </w:t>
      </w:r>
      <w:r>
        <w:rPr>
          <w:rFonts w:hint="eastAsia" w:eastAsia="黑体"/>
          <w:color w:val="auto"/>
          <w:sz w:val="28"/>
          <w:szCs w:val="20"/>
          <w:highlight w:val="none"/>
        </w:rPr>
        <w:t>分包</w:t>
      </w:r>
      <w:bookmarkEnd w:id="302"/>
      <w:bookmarkEnd w:id="303"/>
      <w:bookmarkEnd w:id="304"/>
      <w:bookmarkEnd w:id="305"/>
      <w:bookmarkEnd w:id="306"/>
      <w:bookmarkEnd w:id="307"/>
      <w:bookmarkEnd w:id="308"/>
      <w:bookmarkEnd w:id="309"/>
      <w:bookmarkEnd w:id="310"/>
      <w:bookmarkEnd w:id="311"/>
      <w:bookmarkEnd w:id="312"/>
      <w:bookmarkEnd w:id="313"/>
    </w:p>
    <w:p>
      <w:pPr>
        <w:spacing w:line="400" w:lineRule="exact"/>
        <w:ind w:firstLine="420" w:firstLineChars="200"/>
        <w:rPr>
          <w:color w:val="auto"/>
          <w:szCs w:val="24"/>
          <w:highlight w:val="none"/>
        </w:rPr>
      </w:pPr>
      <w:bookmarkStart w:id="314" w:name="_Toc2608173"/>
      <w:r>
        <w:rPr>
          <w:color w:val="auto"/>
          <w:szCs w:val="24"/>
          <w:highlight w:val="none"/>
        </w:rPr>
        <w:t xml:space="preserve">1.11.1  </w:t>
      </w:r>
      <w:r>
        <w:rPr>
          <w:rFonts w:hint="eastAsia"/>
          <w:color w:val="auto"/>
          <w:szCs w:val="24"/>
          <w:highlight w:val="none"/>
        </w:rPr>
        <w:t>投标人</w:t>
      </w:r>
    </w:p>
    <w:p>
      <w:pPr>
        <w:spacing w:line="400" w:lineRule="exact"/>
        <w:ind w:firstLine="420" w:firstLineChars="200"/>
        <w:rPr>
          <w:color w:val="auto"/>
          <w:szCs w:val="24"/>
          <w:highlight w:val="none"/>
        </w:rPr>
      </w:pPr>
      <w:r>
        <w:rPr>
          <w:rFonts w:hint="eastAsia"/>
          <w:color w:val="auto"/>
          <w:szCs w:val="24"/>
          <w:highlight w:val="none"/>
        </w:rPr>
        <w:t>拟在中标后将中标项目的非主要检测工作、非关键性工作进行分包的，应符合投标人须知前附表规定的分包内容、分包金额和资质要求等限制性条件，除投标人须知前附表规定的非主要检测工作、非关键性工作外，其他工作不得分包。</w:t>
      </w:r>
    </w:p>
    <w:p>
      <w:pPr>
        <w:spacing w:line="400" w:lineRule="exact"/>
        <w:ind w:firstLine="420" w:firstLineChars="200"/>
        <w:rPr>
          <w:color w:val="auto"/>
          <w:szCs w:val="24"/>
          <w:highlight w:val="none"/>
        </w:rPr>
      </w:pPr>
      <w:r>
        <w:rPr>
          <w:color w:val="auto"/>
          <w:szCs w:val="24"/>
          <w:highlight w:val="none"/>
        </w:rPr>
        <w:t xml:space="preserve">1.11.2  </w:t>
      </w:r>
      <w:r>
        <w:rPr>
          <w:rFonts w:hint="eastAsia"/>
          <w:color w:val="auto"/>
          <w:szCs w:val="24"/>
          <w:highlight w:val="none"/>
        </w:rPr>
        <w:t>中标人不得向他人转让中标项目，接受分包的人不得再次分包。中标人应当就分包项目向招标人负责，接受分包的人就分包项目承担连带责任。</w:t>
      </w:r>
    </w:p>
    <w:p>
      <w:pPr>
        <w:keepNext/>
        <w:keepLines/>
        <w:spacing w:before="260" w:after="260"/>
        <w:ind w:firstLine="137" w:firstLineChars="49"/>
        <w:outlineLvl w:val="2"/>
        <w:rPr>
          <w:rFonts w:eastAsia="黑体"/>
          <w:color w:val="auto"/>
          <w:sz w:val="28"/>
          <w:szCs w:val="20"/>
          <w:highlight w:val="none"/>
        </w:rPr>
      </w:pPr>
      <w:bookmarkStart w:id="315" w:name="_Toc23292"/>
      <w:bookmarkStart w:id="316" w:name="_Toc170804573"/>
      <w:bookmarkStart w:id="317" w:name="_Toc1896"/>
      <w:bookmarkStart w:id="318" w:name="_Toc12640"/>
      <w:bookmarkStart w:id="319" w:name="_Toc14243"/>
      <w:bookmarkStart w:id="320" w:name="_Toc2116108157"/>
      <w:bookmarkStart w:id="321" w:name="_Toc2555"/>
      <w:bookmarkStart w:id="322" w:name="_Toc5351"/>
      <w:bookmarkStart w:id="323" w:name="_Toc3285"/>
      <w:bookmarkStart w:id="324" w:name="_Toc14187"/>
      <w:bookmarkStart w:id="325" w:name="_Toc14674"/>
      <w:r>
        <w:rPr>
          <w:rFonts w:eastAsia="黑体"/>
          <w:color w:val="auto"/>
          <w:sz w:val="28"/>
          <w:szCs w:val="20"/>
          <w:highlight w:val="none"/>
        </w:rPr>
        <w:t>1.12</w:t>
      </w:r>
      <w:r>
        <w:rPr>
          <w:rFonts w:hint="eastAsia" w:eastAsia="黑体"/>
          <w:color w:val="auto"/>
          <w:sz w:val="28"/>
          <w:szCs w:val="20"/>
          <w:highlight w:val="none"/>
        </w:rPr>
        <w:t>响应和偏差</w:t>
      </w:r>
      <w:bookmarkEnd w:id="314"/>
      <w:bookmarkEnd w:id="315"/>
      <w:bookmarkEnd w:id="316"/>
      <w:bookmarkEnd w:id="317"/>
      <w:bookmarkEnd w:id="318"/>
      <w:bookmarkEnd w:id="319"/>
      <w:bookmarkEnd w:id="320"/>
      <w:bookmarkEnd w:id="321"/>
      <w:bookmarkEnd w:id="322"/>
      <w:bookmarkEnd w:id="323"/>
      <w:bookmarkEnd w:id="324"/>
      <w:bookmarkEnd w:id="325"/>
    </w:p>
    <w:p>
      <w:pPr>
        <w:spacing w:line="400" w:lineRule="exact"/>
        <w:ind w:firstLine="420" w:firstLineChars="200"/>
        <w:rPr>
          <w:color w:val="auto"/>
          <w:szCs w:val="24"/>
          <w:highlight w:val="none"/>
        </w:rPr>
      </w:pPr>
      <w:r>
        <w:rPr>
          <w:color w:val="auto"/>
          <w:szCs w:val="24"/>
          <w:highlight w:val="none"/>
        </w:rPr>
        <w:t>1.12.1</w:t>
      </w:r>
      <w:r>
        <w:rPr>
          <w:rFonts w:hint="eastAsia"/>
          <w:color w:val="auto"/>
          <w:szCs w:val="24"/>
          <w:highlight w:val="none"/>
        </w:rPr>
        <w:t>投标文件应当对招标文件的实质性要求和条件作出满足性或更有利于招标人的响应，否则，投标人的投标将被否决。实质性要求和条件见投标人须知前附表。</w:t>
      </w:r>
    </w:p>
    <w:p>
      <w:pPr>
        <w:spacing w:line="400" w:lineRule="exact"/>
        <w:ind w:firstLine="420" w:firstLineChars="200"/>
        <w:rPr>
          <w:color w:val="auto"/>
          <w:szCs w:val="24"/>
          <w:highlight w:val="none"/>
        </w:rPr>
      </w:pPr>
      <w:r>
        <w:rPr>
          <w:color w:val="auto"/>
          <w:szCs w:val="24"/>
          <w:highlight w:val="none"/>
        </w:rPr>
        <w:t xml:space="preserve">1.12.2 </w:t>
      </w:r>
      <w:r>
        <w:rPr>
          <w:rFonts w:hint="eastAsia"/>
          <w:color w:val="auto"/>
          <w:szCs w:val="21"/>
          <w:highlight w:val="none"/>
        </w:rPr>
        <w:t>投标人应根据招标文件的要求提供</w:t>
      </w:r>
      <w:r>
        <w:rPr>
          <w:rFonts w:hint="eastAsia"/>
          <w:color w:val="auto"/>
          <w:szCs w:val="24"/>
          <w:highlight w:val="none"/>
        </w:rPr>
        <w:t>投标检测大纲等内容以对招标文件作出响应。</w:t>
      </w:r>
    </w:p>
    <w:p>
      <w:pPr>
        <w:spacing w:line="400" w:lineRule="exact"/>
        <w:ind w:firstLine="435"/>
        <w:rPr>
          <w:color w:val="auto"/>
          <w:szCs w:val="24"/>
          <w:highlight w:val="none"/>
        </w:rPr>
      </w:pPr>
      <w:r>
        <w:rPr>
          <w:color w:val="auto"/>
          <w:szCs w:val="24"/>
          <w:highlight w:val="none"/>
        </w:rPr>
        <w:t>1.12.3</w:t>
      </w:r>
      <w:r>
        <w:rPr>
          <w:rFonts w:hint="eastAsia"/>
          <w:color w:val="auto"/>
          <w:szCs w:val="24"/>
          <w:highlight w:val="none"/>
        </w:rPr>
        <w:t>投标人须知前附表允许投标文件偏离招标文件某些要求的，偏差应当符合招标文件规定的偏差范围和幅度。</w:t>
      </w:r>
    </w:p>
    <w:p>
      <w:pPr>
        <w:spacing w:line="400" w:lineRule="exact"/>
        <w:ind w:firstLine="435"/>
        <w:rPr>
          <w:color w:val="auto"/>
          <w:szCs w:val="24"/>
          <w:highlight w:val="none"/>
        </w:rPr>
      </w:pPr>
    </w:p>
    <w:p>
      <w:pPr>
        <w:keepNext/>
        <w:keepLines/>
        <w:adjustRightInd w:val="0"/>
        <w:spacing w:before="240" w:after="120" w:line="20" w:lineRule="exact"/>
        <w:textAlignment w:val="baseline"/>
        <w:outlineLvl w:val="1"/>
        <w:rPr>
          <w:rFonts w:eastAsia="黑体"/>
          <w:color w:val="auto"/>
          <w:kern w:val="0"/>
          <w:sz w:val="24"/>
          <w:szCs w:val="20"/>
          <w:highlight w:val="none"/>
        </w:rPr>
      </w:pPr>
      <w:bookmarkStart w:id="326" w:name="_Toc11372"/>
      <w:bookmarkStart w:id="327" w:name="_Toc26150"/>
      <w:bookmarkStart w:id="328" w:name="_Toc3021"/>
      <w:bookmarkStart w:id="329" w:name="_Toc953116732"/>
      <w:bookmarkStart w:id="330" w:name="_Toc544"/>
      <w:bookmarkStart w:id="331" w:name="_Toc6237"/>
      <w:bookmarkStart w:id="332" w:name="_Toc12749"/>
      <w:bookmarkStart w:id="333" w:name="_Toc26636"/>
      <w:bookmarkStart w:id="334" w:name="_Toc25807"/>
      <w:bookmarkStart w:id="335" w:name="_Toc23686"/>
      <w:bookmarkStart w:id="336" w:name="_Toc170804574"/>
      <w:r>
        <w:rPr>
          <w:rFonts w:eastAsia="黑体"/>
          <w:color w:val="auto"/>
          <w:kern w:val="0"/>
          <w:sz w:val="24"/>
          <w:szCs w:val="20"/>
          <w:highlight w:val="none"/>
        </w:rPr>
        <w:t xml:space="preserve">2. </w:t>
      </w:r>
      <w:r>
        <w:rPr>
          <w:rFonts w:hint="eastAsia" w:eastAsia="黑体"/>
          <w:color w:val="auto"/>
          <w:kern w:val="0"/>
          <w:sz w:val="24"/>
          <w:szCs w:val="20"/>
          <w:highlight w:val="none"/>
        </w:rPr>
        <w:t>招标文件</w:t>
      </w:r>
      <w:bookmarkEnd w:id="326"/>
      <w:bookmarkEnd w:id="327"/>
      <w:bookmarkEnd w:id="328"/>
      <w:bookmarkEnd w:id="329"/>
      <w:bookmarkEnd w:id="330"/>
      <w:bookmarkEnd w:id="331"/>
      <w:bookmarkEnd w:id="332"/>
      <w:bookmarkEnd w:id="333"/>
      <w:bookmarkEnd w:id="334"/>
      <w:bookmarkEnd w:id="335"/>
      <w:bookmarkEnd w:id="336"/>
    </w:p>
    <w:p>
      <w:pPr>
        <w:keepNext/>
        <w:keepLines/>
        <w:spacing w:before="260" w:after="260"/>
        <w:ind w:firstLine="137" w:firstLineChars="49"/>
        <w:outlineLvl w:val="2"/>
        <w:rPr>
          <w:rFonts w:eastAsia="黑体"/>
          <w:color w:val="auto"/>
          <w:sz w:val="28"/>
          <w:szCs w:val="20"/>
          <w:highlight w:val="none"/>
        </w:rPr>
      </w:pPr>
      <w:bookmarkStart w:id="337" w:name="_Toc13843"/>
      <w:bookmarkStart w:id="338" w:name="_Toc952391751"/>
      <w:bookmarkStart w:id="339" w:name="_Toc14322"/>
      <w:bookmarkStart w:id="340" w:name="_Toc10843"/>
      <w:bookmarkStart w:id="341" w:name="_Toc170804575"/>
      <w:bookmarkStart w:id="342" w:name="_Toc7301"/>
      <w:bookmarkStart w:id="343" w:name="_Toc22089"/>
      <w:bookmarkStart w:id="344" w:name="_Toc10203"/>
      <w:bookmarkStart w:id="345" w:name="_Toc7024"/>
      <w:bookmarkStart w:id="346" w:name="_Toc11581"/>
      <w:bookmarkStart w:id="347" w:name="_Toc2608175"/>
      <w:bookmarkStart w:id="348" w:name="_Toc29116"/>
      <w:r>
        <w:rPr>
          <w:rFonts w:eastAsia="黑体"/>
          <w:color w:val="auto"/>
          <w:sz w:val="28"/>
          <w:szCs w:val="20"/>
          <w:highlight w:val="none"/>
        </w:rPr>
        <w:t xml:space="preserve">2.1 </w:t>
      </w:r>
      <w:r>
        <w:rPr>
          <w:rFonts w:hint="eastAsia" w:eastAsia="黑体"/>
          <w:color w:val="auto"/>
          <w:sz w:val="28"/>
          <w:szCs w:val="20"/>
          <w:highlight w:val="none"/>
        </w:rPr>
        <w:t>招标文件的组成</w:t>
      </w:r>
      <w:bookmarkEnd w:id="337"/>
      <w:bookmarkEnd w:id="338"/>
      <w:bookmarkEnd w:id="339"/>
      <w:bookmarkEnd w:id="340"/>
      <w:bookmarkEnd w:id="341"/>
      <w:bookmarkEnd w:id="342"/>
      <w:bookmarkEnd w:id="343"/>
      <w:bookmarkEnd w:id="344"/>
      <w:bookmarkEnd w:id="345"/>
      <w:bookmarkEnd w:id="346"/>
      <w:bookmarkEnd w:id="347"/>
      <w:bookmarkEnd w:id="348"/>
    </w:p>
    <w:p>
      <w:pPr>
        <w:spacing w:line="400" w:lineRule="exact"/>
        <w:ind w:firstLine="359" w:firstLineChars="171"/>
        <w:rPr>
          <w:color w:val="auto"/>
          <w:szCs w:val="24"/>
          <w:highlight w:val="none"/>
        </w:rPr>
      </w:pPr>
      <w:r>
        <w:rPr>
          <w:rFonts w:hint="eastAsia"/>
          <w:color w:val="auto"/>
          <w:szCs w:val="24"/>
          <w:highlight w:val="none"/>
        </w:rPr>
        <w:t>本招标文件包括：</w:t>
      </w:r>
    </w:p>
    <w:p>
      <w:pPr>
        <w:spacing w:line="400" w:lineRule="exact"/>
        <w:ind w:firstLine="359" w:firstLineChars="171"/>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）招标公告（或投标邀请书）；</w:t>
      </w:r>
    </w:p>
    <w:p>
      <w:pPr>
        <w:spacing w:line="400" w:lineRule="exact"/>
        <w:ind w:firstLine="359" w:firstLineChars="171"/>
        <w:rPr>
          <w:color w:val="auto"/>
          <w:szCs w:val="24"/>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）投标人须知；</w:t>
      </w:r>
    </w:p>
    <w:p>
      <w:pPr>
        <w:spacing w:line="400" w:lineRule="exact"/>
        <w:ind w:firstLine="359" w:firstLineChars="171"/>
        <w:rPr>
          <w:color w:val="auto"/>
          <w:szCs w:val="24"/>
          <w:highlight w:val="none"/>
        </w:rPr>
      </w:pPr>
      <w:r>
        <w:rPr>
          <w:rFonts w:hint="eastAsia"/>
          <w:color w:val="auto"/>
          <w:szCs w:val="24"/>
          <w:highlight w:val="none"/>
        </w:rPr>
        <w:t>（</w:t>
      </w:r>
      <w:r>
        <w:rPr>
          <w:color w:val="auto"/>
          <w:szCs w:val="24"/>
          <w:highlight w:val="none"/>
        </w:rPr>
        <w:t>3</w:t>
      </w:r>
      <w:r>
        <w:rPr>
          <w:rFonts w:hint="eastAsia"/>
          <w:color w:val="auto"/>
          <w:szCs w:val="24"/>
          <w:highlight w:val="none"/>
        </w:rPr>
        <w:t>）评标办法；</w:t>
      </w:r>
    </w:p>
    <w:p>
      <w:pPr>
        <w:spacing w:line="400" w:lineRule="exact"/>
        <w:ind w:firstLine="359" w:firstLineChars="171"/>
        <w:rPr>
          <w:color w:val="auto"/>
          <w:szCs w:val="24"/>
          <w:highlight w:val="none"/>
        </w:rPr>
      </w:pPr>
      <w:r>
        <w:rPr>
          <w:rFonts w:hint="eastAsia"/>
          <w:color w:val="auto"/>
          <w:szCs w:val="24"/>
          <w:highlight w:val="none"/>
        </w:rPr>
        <w:t>（</w:t>
      </w:r>
      <w:r>
        <w:rPr>
          <w:color w:val="auto"/>
          <w:szCs w:val="24"/>
          <w:highlight w:val="none"/>
        </w:rPr>
        <w:t>4</w:t>
      </w:r>
      <w:r>
        <w:rPr>
          <w:rFonts w:hint="eastAsia"/>
          <w:color w:val="auto"/>
          <w:szCs w:val="24"/>
          <w:highlight w:val="none"/>
        </w:rPr>
        <w:t>）合同条款及格式；</w:t>
      </w:r>
    </w:p>
    <w:p>
      <w:pPr>
        <w:spacing w:line="400" w:lineRule="exact"/>
        <w:ind w:firstLine="359" w:firstLineChars="171"/>
        <w:rPr>
          <w:color w:val="auto"/>
          <w:szCs w:val="24"/>
          <w:highlight w:val="none"/>
        </w:rPr>
      </w:pPr>
      <w:r>
        <w:rPr>
          <w:rFonts w:hint="eastAsia"/>
          <w:color w:val="auto"/>
          <w:szCs w:val="24"/>
          <w:highlight w:val="none"/>
        </w:rPr>
        <w:t>（</w:t>
      </w:r>
      <w:r>
        <w:rPr>
          <w:color w:val="auto"/>
          <w:szCs w:val="24"/>
          <w:highlight w:val="none"/>
        </w:rPr>
        <w:t>5</w:t>
      </w:r>
      <w:r>
        <w:rPr>
          <w:rFonts w:hint="eastAsia"/>
          <w:color w:val="auto"/>
          <w:szCs w:val="24"/>
          <w:highlight w:val="none"/>
        </w:rPr>
        <w:t>）委托人要求；</w:t>
      </w:r>
    </w:p>
    <w:p>
      <w:pPr>
        <w:spacing w:line="400" w:lineRule="exact"/>
        <w:ind w:firstLine="359" w:firstLineChars="171"/>
        <w:rPr>
          <w:color w:val="auto"/>
          <w:szCs w:val="24"/>
          <w:highlight w:val="none"/>
        </w:rPr>
      </w:pPr>
      <w:r>
        <w:rPr>
          <w:rFonts w:hint="eastAsia"/>
          <w:color w:val="auto"/>
          <w:szCs w:val="24"/>
          <w:highlight w:val="none"/>
        </w:rPr>
        <w:t>（</w:t>
      </w:r>
      <w:r>
        <w:rPr>
          <w:color w:val="auto"/>
          <w:szCs w:val="24"/>
          <w:highlight w:val="none"/>
        </w:rPr>
        <w:t>6</w:t>
      </w:r>
      <w:r>
        <w:rPr>
          <w:rFonts w:hint="eastAsia"/>
          <w:color w:val="auto"/>
          <w:szCs w:val="24"/>
          <w:highlight w:val="none"/>
        </w:rPr>
        <w:t>）投标文件格式；</w:t>
      </w:r>
    </w:p>
    <w:p>
      <w:pPr>
        <w:spacing w:line="400" w:lineRule="exact"/>
        <w:ind w:firstLine="359" w:firstLineChars="171"/>
        <w:rPr>
          <w:color w:val="auto"/>
          <w:szCs w:val="24"/>
          <w:highlight w:val="none"/>
        </w:rPr>
      </w:pPr>
      <w:r>
        <w:rPr>
          <w:rFonts w:hint="eastAsia"/>
          <w:color w:val="auto"/>
          <w:szCs w:val="24"/>
          <w:highlight w:val="none"/>
        </w:rPr>
        <w:t>（</w:t>
      </w:r>
      <w:r>
        <w:rPr>
          <w:color w:val="auto"/>
          <w:szCs w:val="24"/>
          <w:highlight w:val="none"/>
        </w:rPr>
        <w:t>7</w:t>
      </w:r>
      <w:r>
        <w:rPr>
          <w:rFonts w:hint="eastAsia"/>
          <w:color w:val="auto"/>
          <w:szCs w:val="24"/>
          <w:highlight w:val="none"/>
        </w:rPr>
        <w:t>）投标人须知前附表规定的其他资料。</w:t>
      </w:r>
    </w:p>
    <w:p>
      <w:pPr>
        <w:spacing w:line="400" w:lineRule="exact"/>
        <w:ind w:firstLine="420" w:firstLineChars="200"/>
        <w:rPr>
          <w:color w:val="auto"/>
          <w:szCs w:val="24"/>
          <w:highlight w:val="none"/>
        </w:rPr>
      </w:pPr>
      <w:r>
        <w:rPr>
          <w:rFonts w:hint="eastAsia"/>
          <w:color w:val="auto"/>
          <w:szCs w:val="24"/>
          <w:highlight w:val="none"/>
        </w:rPr>
        <w:t>根据本章第</w:t>
      </w:r>
      <w:r>
        <w:rPr>
          <w:color w:val="auto"/>
          <w:szCs w:val="24"/>
          <w:highlight w:val="none"/>
        </w:rPr>
        <w:t>1.10</w:t>
      </w:r>
      <w:r>
        <w:rPr>
          <w:rFonts w:hint="eastAsia"/>
          <w:color w:val="auto"/>
          <w:szCs w:val="24"/>
          <w:highlight w:val="none"/>
        </w:rPr>
        <w:t>款、第</w:t>
      </w:r>
      <w:r>
        <w:rPr>
          <w:color w:val="auto"/>
          <w:szCs w:val="24"/>
          <w:highlight w:val="none"/>
        </w:rPr>
        <w:t>2.2</w:t>
      </w:r>
      <w:r>
        <w:rPr>
          <w:rFonts w:hint="eastAsia"/>
          <w:color w:val="auto"/>
          <w:szCs w:val="24"/>
          <w:highlight w:val="none"/>
        </w:rPr>
        <w:t>款和第</w:t>
      </w:r>
      <w:r>
        <w:rPr>
          <w:color w:val="auto"/>
          <w:szCs w:val="24"/>
          <w:highlight w:val="none"/>
        </w:rPr>
        <w:t>2.3</w:t>
      </w:r>
      <w:r>
        <w:rPr>
          <w:rFonts w:hint="eastAsia"/>
          <w:color w:val="auto"/>
          <w:szCs w:val="24"/>
          <w:highlight w:val="none"/>
        </w:rPr>
        <w:t>款对招标文件所作的澄清、修改，构成招标文件的组成部分。</w:t>
      </w:r>
    </w:p>
    <w:p>
      <w:pPr>
        <w:keepNext/>
        <w:keepLines/>
        <w:spacing w:before="260" w:after="260"/>
        <w:ind w:firstLine="137" w:firstLineChars="49"/>
        <w:outlineLvl w:val="2"/>
        <w:rPr>
          <w:rFonts w:eastAsia="黑体"/>
          <w:color w:val="auto"/>
          <w:sz w:val="28"/>
          <w:szCs w:val="20"/>
          <w:highlight w:val="none"/>
        </w:rPr>
      </w:pPr>
      <w:bookmarkStart w:id="349" w:name="_Toc7909"/>
      <w:bookmarkStart w:id="350" w:name="_Toc29322"/>
      <w:bookmarkStart w:id="351" w:name="_Toc12465"/>
      <w:bookmarkStart w:id="352" w:name="_Toc2608176"/>
      <w:bookmarkStart w:id="353" w:name="_Toc3583"/>
      <w:bookmarkStart w:id="354" w:name="_Toc1652537966"/>
      <w:bookmarkStart w:id="355" w:name="_Toc23531"/>
      <w:bookmarkStart w:id="356" w:name="_Toc3010"/>
      <w:bookmarkStart w:id="357" w:name="_Toc170804576"/>
      <w:bookmarkStart w:id="358" w:name="_Toc6022"/>
      <w:bookmarkStart w:id="359" w:name="_Toc5359"/>
      <w:bookmarkStart w:id="360" w:name="_Toc8138"/>
      <w:r>
        <w:rPr>
          <w:rFonts w:eastAsia="黑体"/>
          <w:color w:val="auto"/>
          <w:sz w:val="28"/>
          <w:szCs w:val="20"/>
          <w:highlight w:val="none"/>
        </w:rPr>
        <w:t xml:space="preserve">2.2 </w:t>
      </w:r>
      <w:r>
        <w:rPr>
          <w:rFonts w:hint="eastAsia" w:eastAsia="黑体"/>
          <w:color w:val="auto"/>
          <w:sz w:val="28"/>
          <w:szCs w:val="20"/>
          <w:highlight w:val="none"/>
        </w:rPr>
        <w:t>招标文件的澄清</w:t>
      </w:r>
      <w:bookmarkEnd w:id="349"/>
      <w:bookmarkEnd w:id="350"/>
      <w:bookmarkEnd w:id="351"/>
      <w:bookmarkEnd w:id="352"/>
      <w:bookmarkEnd w:id="353"/>
      <w:bookmarkEnd w:id="354"/>
      <w:bookmarkEnd w:id="355"/>
      <w:bookmarkEnd w:id="356"/>
      <w:bookmarkEnd w:id="357"/>
      <w:bookmarkEnd w:id="358"/>
      <w:bookmarkEnd w:id="359"/>
      <w:bookmarkEnd w:id="360"/>
    </w:p>
    <w:p>
      <w:pPr>
        <w:spacing w:line="400" w:lineRule="exact"/>
        <w:ind w:firstLine="420" w:firstLineChars="200"/>
        <w:rPr>
          <w:color w:val="auto"/>
          <w:szCs w:val="24"/>
          <w:highlight w:val="none"/>
        </w:rPr>
      </w:pPr>
      <w:r>
        <w:rPr>
          <w:color w:val="auto"/>
          <w:szCs w:val="24"/>
          <w:highlight w:val="none"/>
        </w:rPr>
        <w:t xml:space="preserve">2.2.1 </w:t>
      </w:r>
      <w:r>
        <w:rPr>
          <w:rFonts w:hint="eastAsia"/>
          <w:color w:val="auto"/>
          <w:szCs w:val="24"/>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00" w:lineRule="exact"/>
        <w:ind w:firstLine="420" w:firstLineChars="200"/>
        <w:rPr>
          <w:color w:val="auto"/>
          <w:szCs w:val="24"/>
          <w:highlight w:val="none"/>
        </w:rPr>
      </w:pPr>
      <w:r>
        <w:rPr>
          <w:color w:val="auto"/>
          <w:szCs w:val="24"/>
          <w:highlight w:val="none"/>
        </w:rPr>
        <w:t>2.2.2</w:t>
      </w:r>
      <w:r>
        <w:rPr>
          <w:rFonts w:hint="eastAsia"/>
          <w:color w:val="auto"/>
          <w:szCs w:val="24"/>
          <w:highlight w:val="none"/>
        </w:rPr>
        <w:t>招标文件的澄清以投标人须知前附表规定的形式发给所有购买招标文件的投标人，但不指明澄清问题的来源。澄清发出的时间距本章第</w:t>
      </w:r>
      <w:r>
        <w:rPr>
          <w:color w:val="auto"/>
          <w:szCs w:val="24"/>
          <w:highlight w:val="none"/>
        </w:rPr>
        <w:t>4.2.1</w:t>
      </w:r>
      <w:r>
        <w:rPr>
          <w:rFonts w:hint="eastAsia"/>
          <w:color w:val="auto"/>
          <w:szCs w:val="24"/>
          <w:highlight w:val="none"/>
        </w:rPr>
        <w:t>项规定的投标截止时间不足</w:t>
      </w:r>
      <w:r>
        <w:rPr>
          <w:color w:val="auto"/>
          <w:szCs w:val="24"/>
          <w:highlight w:val="none"/>
        </w:rPr>
        <w:t>15</w:t>
      </w:r>
      <w:r>
        <w:rPr>
          <w:rFonts w:hint="eastAsia"/>
          <w:color w:val="auto"/>
          <w:szCs w:val="24"/>
          <w:highlight w:val="none"/>
        </w:rPr>
        <w:t>日的，并且澄清内容可能影响投标文件编制的，将相应延长投标截止时间。</w:t>
      </w:r>
    </w:p>
    <w:p>
      <w:pPr>
        <w:spacing w:line="400" w:lineRule="exact"/>
        <w:ind w:firstLine="420" w:firstLineChars="200"/>
        <w:rPr>
          <w:color w:val="auto"/>
          <w:szCs w:val="24"/>
          <w:highlight w:val="none"/>
        </w:rPr>
      </w:pPr>
      <w:r>
        <w:rPr>
          <w:color w:val="auto"/>
          <w:szCs w:val="24"/>
          <w:highlight w:val="none"/>
        </w:rPr>
        <w:t xml:space="preserve">2.2.3 </w:t>
      </w:r>
      <w:r>
        <w:rPr>
          <w:rFonts w:hint="eastAsia"/>
          <w:color w:val="auto"/>
          <w:szCs w:val="24"/>
          <w:highlight w:val="none"/>
        </w:rPr>
        <w:t>投标人在收到澄清后，应按投标人须知前附表规定的时间和形式通知招标人，确认已收到该澄清。</w:t>
      </w:r>
    </w:p>
    <w:p>
      <w:pPr>
        <w:spacing w:line="400" w:lineRule="exact"/>
        <w:ind w:firstLine="420" w:firstLineChars="200"/>
        <w:rPr>
          <w:color w:val="auto"/>
          <w:szCs w:val="24"/>
          <w:highlight w:val="none"/>
        </w:rPr>
      </w:pPr>
      <w:r>
        <w:rPr>
          <w:color w:val="auto"/>
          <w:szCs w:val="24"/>
          <w:highlight w:val="none"/>
        </w:rPr>
        <w:t xml:space="preserve">2.2.4 </w:t>
      </w:r>
      <w:r>
        <w:rPr>
          <w:rFonts w:hint="eastAsia"/>
          <w:color w:val="auto"/>
          <w:szCs w:val="24"/>
          <w:highlight w:val="none"/>
        </w:rPr>
        <w:t>除非招标人认为确有必要答复，否则，招标人有权拒绝回复投标人在本章第</w:t>
      </w:r>
      <w:r>
        <w:rPr>
          <w:color w:val="auto"/>
          <w:szCs w:val="24"/>
          <w:highlight w:val="none"/>
        </w:rPr>
        <w:t>2.2.1</w:t>
      </w:r>
      <w:r>
        <w:rPr>
          <w:rFonts w:hint="eastAsia"/>
          <w:color w:val="auto"/>
          <w:szCs w:val="24"/>
          <w:highlight w:val="none"/>
        </w:rPr>
        <w:t>项规定的时间后的任何澄清要求。</w:t>
      </w:r>
    </w:p>
    <w:p>
      <w:pPr>
        <w:keepNext/>
        <w:keepLines/>
        <w:spacing w:before="260" w:after="260"/>
        <w:ind w:firstLine="137" w:firstLineChars="49"/>
        <w:outlineLvl w:val="2"/>
        <w:rPr>
          <w:rFonts w:eastAsia="黑体"/>
          <w:color w:val="auto"/>
          <w:sz w:val="28"/>
          <w:szCs w:val="20"/>
          <w:highlight w:val="none"/>
        </w:rPr>
      </w:pPr>
      <w:bookmarkStart w:id="361" w:name="_Toc4086"/>
      <w:bookmarkStart w:id="362" w:name="_Toc23068"/>
      <w:bookmarkStart w:id="363" w:name="_Toc170804577"/>
      <w:bookmarkStart w:id="364" w:name="_Toc13821"/>
      <w:bookmarkStart w:id="365" w:name="_Toc27045"/>
      <w:bookmarkStart w:id="366" w:name="_Toc799587911"/>
      <w:bookmarkStart w:id="367" w:name="_Toc18345"/>
      <w:bookmarkStart w:id="368" w:name="_Toc748"/>
      <w:bookmarkStart w:id="369" w:name="_Toc2608177"/>
      <w:bookmarkStart w:id="370" w:name="_Toc5933"/>
      <w:bookmarkStart w:id="371" w:name="_Toc26986"/>
      <w:bookmarkStart w:id="372" w:name="_Toc30611"/>
      <w:r>
        <w:rPr>
          <w:rFonts w:eastAsia="黑体"/>
          <w:color w:val="auto"/>
          <w:sz w:val="28"/>
          <w:szCs w:val="20"/>
          <w:highlight w:val="none"/>
        </w:rPr>
        <w:t xml:space="preserve">2.3 </w:t>
      </w:r>
      <w:r>
        <w:rPr>
          <w:rFonts w:hint="eastAsia" w:eastAsia="黑体"/>
          <w:color w:val="auto"/>
          <w:sz w:val="28"/>
          <w:szCs w:val="20"/>
          <w:highlight w:val="none"/>
        </w:rPr>
        <w:t>招标文件的修改</w:t>
      </w:r>
      <w:bookmarkEnd w:id="361"/>
      <w:bookmarkEnd w:id="362"/>
      <w:bookmarkEnd w:id="363"/>
      <w:bookmarkEnd w:id="364"/>
      <w:bookmarkEnd w:id="365"/>
      <w:bookmarkEnd w:id="366"/>
      <w:bookmarkEnd w:id="367"/>
      <w:bookmarkEnd w:id="368"/>
      <w:bookmarkEnd w:id="369"/>
      <w:bookmarkEnd w:id="370"/>
      <w:bookmarkEnd w:id="371"/>
      <w:bookmarkEnd w:id="372"/>
    </w:p>
    <w:p>
      <w:pPr>
        <w:spacing w:line="400" w:lineRule="exact"/>
        <w:ind w:firstLine="420" w:firstLineChars="200"/>
        <w:rPr>
          <w:color w:val="auto"/>
          <w:szCs w:val="24"/>
          <w:highlight w:val="none"/>
        </w:rPr>
      </w:pPr>
      <w:r>
        <w:rPr>
          <w:color w:val="auto"/>
          <w:szCs w:val="24"/>
          <w:highlight w:val="none"/>
        </w:rPr>
        <w:t>2.3.1</w:t>
      </w:r>
      <w:r>
        <w:rPr>
          <w:rFonts w:hint="eastAsia"/>
          <w:color w:val="auto"/>
          <w:szCs w:val="24"/>
          <w:highlight w:val="none"/>
        </w:rPr>
        <w:t>招标人以投标人须知前附表规定的形式修改招标文件，并通知所有已购买招标文件的投标人。修改招标文件的时间距本章第</w:t>
      </w:r>
      <w:r>
        <w:rPr>
          <w:color w:val="auto"/>
          <w:szCs w:val="24"/>
          <w:highlight w:val="none"/>
        </w:rPr>
        <w:t>4.2.1</w:t>
      </w:r>
      <w:r>
        <w:rPr>
          <w:rFonts w:hint="eastAsia"/>
          <w:color w:val="auto"/>
          <w:szCs w:val="24"/>
          <w:highlight w:val="none"/>
        </w:rPr>
        <w:t>项规定的投标截止时间不足</w:t>
      </w:r>
      <w:r>
        <w:rPr>
          <w:color w:val="auto"/>
          <w:szCs w:val="24"/>
          <w:highlight w:val="none"/>
        </w:rPr>
        <w:t>15</w:t>
      </w:r>
      <w:r>
        <w:rPr>
          <w:rFonts w:hint="eastAsia"/>
          <w:color w:val="auto"/>
          <w:szCs w:val="24"/>
          <w:highlight w:val="none"/>
        </w:rPr>
        <w:t>日的，并且修改内容可能影响投标文件编制的，将相应延长投标截止时间。</w:t>
      </w:r>
    </w:p>
    <w:p>
      <w:pPr>
        <w:spacing w:line="400" w:lineRule="exact"/>
        <w:ind w:firstLine="420" w:firstLineChars="200"/>
        <w:rPr>
          <w:color w:val="auto"/>
          <w:szCs w:val="24"/>
          <w:highlight w:val="none"/>
        </w:rPr>
      </w:pPr>
      <w:r>
        <w:rPr>
          <w:color w:val="auto"/>
          <w:szCs w:val="24"/>
          <w:highlight w:val="none"/>
        </w:rPr>
        <w:t xml:space="preserve">2.3.2 </w:t>
      </w:r>
      <w:r>
        <w:rPr>
          <w:rFonts w:hint="eastAsia"/>
          <w:color w:val="auto"/>
          <w:szCs w:val="24"/>
          <w:highlight w:val="none"/>
        </w:rPr>
        <w:t>投标人收到修改内容后，应按投标人须知前附表规定的时间和形式通知招标人，确认已收到该修改。</w:t>
      </w:r>
    </w:p>
    <w:p>
      <w:pPr>
        <w:keepNext/>
        <w:keepLines/>
        <w:spacing w:before="260" w:after="260"/>
        <w:ind w:firstLine="137" w:firstLineChars="49"/>
        <w:outlineLvl w:val="2"/>
        <w:rPr>
          <w:rFonts w:eastAsia="黑体"/>
          <w:color w:val="auto"/>
          <w:sz w:val="28"/>
          <w:szCs w:val="20"/>
          <w:highlight w:val="none"/>
        </w:rPr>
      </w:pPr>
      <w:bookmarkStart w:id="373" w:name="_Toc170804578"/>
      <w:bookmarkStart w:id="374" w:name="_Toc27044"/>
      <w:bookmarkStart w:id="375" w:name="_Toc28705"/>
      <w:bookmarkStart w:id="376" w:name="_Toc22795"/>
      <w:bookmarkStart w:id="377" w:name="_Toc1868840898"/>
      <w:bookmarkStart w:id="378" w:name="_Toc423"/>
      <w:bookmarkStart w:id="379" w:name="_Toc23143"/>
      <w:bookmarkStart w:id="380" w:name="_Toc2608178"/>
      <w:bookmarkStart w:id="381" w:name="_Toc22912"/>
      <w:bookmarkStart w:id="382" w:name="_Toc15242"/>
      <w:bookmarkStart w:id="383" w:name="_Toc6833"/>
      <w:bookmarkStart w:id="384" w:name="_Toc29182"/>
      <w:r>
        <w:rPr>
          <w:rFonts w:eastAsia="黑体"/>
          <w:color w:val="auto"/>
          <w:sz w:val="28"/>
          <w:szCs w:val="20"/>
          <w:highlight w:val="none"/>
        </w:rPr>
        <w:t xml:space="preserve">2.4 </w:t>
      </w:r>
      <w:r>
        <w:rPr>
          <w:rFonts w:hint="eastAsia" w:eastAsia="黑体"/>
          <w:color w:val="auto"/>
          <w:sz w:val="28"/>
          <w:szCs w:val="20"/>
          <w:highlight w:val="none"/>
        </w:rPr>
        <w:t>招标文件的异议</w:t>
      </w:r>
      <w:bookmarkEnd w:id="373"/>
      <w:bookmarkEnd w:id="374"/>
      <w:bookmarkEnd w:id="375"/>
      <w:bookmarkEnd w:id="376"/>
      <w:bookmarkEnd w:id="377"/>
      <w:bookmarkEnd w:id="378"/>
      <w:bookmarkEnd w:id="379"/>
      <w:bookmarkEnd w:id="380"/>
      <w:bookmarkEnd w:id="381"/>
      <w:bookmarkEnd w:id="382"/>
      <w:bookmarkEnd w:id="383"/>
      <w:bookmarkEnd w:id="384"/>
    </w:p>
    <w:p>
      <w:pPr>
        <w:spacing w:line="400" w:lineRule="exact"/>
        <w:ind w:firstLine="420" w:firstLineChars="200"/>
        <w:rPr>
          <w:color w:val="auto"/>
          <w:szCs w:val="24"/>
          <w:highlight w:val="none"/>
        </w:rPr>
      </w:pPr>
      <w:r>
        <w:rPr>
          <w:rFonts w:hint="eastAsia"/>
          <w:color w:val="auto"/>
          <w:szCs w:val="24"/>
          <w:highlight w:val="none"/>
        </w:rPr>
        <w:t>投标人或者其他利害关系人对招标文件有异议的，应当在投标截止时间</w:t>
      </w:r>
      <w:r>
        <w:rPr>
          <w:color w:val="auto"/>
          <w:szCs w:val="24"/>
          <w:highlight w:val="none"/>
        </w:rPr>
        <w:t>10</w:t>
      </w:r>
      <w:r>
        <w:rPr>
          <w:rFonts w:hint="eastAsia"/>
          <w:color w:val="auto"/>
          <w:szCs w:val="24"/>
          <w:highlight w:val="none"/>
        </w:rPr>
        <w:t>日前以书面形式提出。招标人将在收到异议之日起</w:t>
      </w:r>
      <w:r>
        <w:rPr>
          <w:color w:val="auto"/>
          <w:szCs w:val="24"/>
          <w:highlight w:val="none"/>
        </w:rPr>
        <w:t>3</w:t>
      </w:r>
      <w:r>
        <w:rPr>
          <w:rFonts w:hint="eastAsia"/>
          <w:color w:val="auto"/>
          <w:szCs w:val="24"/>
          <w:highlight w:val="none"/>
        </w:rPr>
        <w:t>日内作出答复；作出答复前，将暂停招标投标活动。</w:t>
      </w:r>
    </w:p>
    <w:p>
      <w:pPr>
        <w:keepNext/>
        <w:keepLines/>
        <w:adjustRightInd w:val="0"/>
        <w:spacing w:before="240" w:after="120" w:line="20" w:lineRule="exact"/>
        <w:textAlignment w:val="baseline"/>
        <w:outlineLvl w:val="1"/>
        <w:rPr>
          <w:rFonts w:eastAsia="黑体"/>
          <w:color w:val="auto"/>
          <w:kern w:val="0"/>
          <w:sz w:val="24"/>
          <w:szCs w:val="20"/>
          <w:highlight w:val="none"/>
        </w:rPr>
      </w:pPr>
      <w:bookmarkStart w:id="385" w:name="_Toc513151664"/>
      <w:bookmarkStart w:id="386" w:name="_Toc170804579"/>
      <w:bookmarkStart w:id="387" w:name="_Toc3527"/>
      <w:bookmarkStart w:id="388" w:name="_Toc5842"/>
      <w:bookmarkStart w:id="389" w:name="_Toc22211"/>
      <w:bookmarkStart w:id="390" w:name="_Toc23356"/>
      <w:bookmarkStart w:id="391" w:name="_Toc3606"/>
      <w:bookmarkStart w:id="392" w:name="_Toc12239"/>
      <w:bookmarkStart w:id="393" w:name="_Toc24664"/>
      <w:bookmarkStart w:id="394" w:name="_Toc7422"/>
      <w:bookmarkStart w:id="395" w:name="_Toc21605"/>
      <w:r>
        <w:rPr>
          <w:rFonts w:eastAsia="黑体"/>
          <w:color w:val="auto"/>
          <w:kern w:val="0"/>
          <w:sz w:val="24"/>
          <w:szCs w:val="20"/>
          <w:highlight w:val="none"/>
        </w:rPr>
        <w:t xml:space="preserve">3. </w:t>
      </w:r>
      <w:r>
        <w:rPr>
          <w:rFonts w:hint="eastAsia" w:eastAsia="黑体"/>
          <w:color w:val="auto"/>
          <w:kern w:val="0"/>
          <w:sz w:val="24"/>
          <w:szCs w:val="20"/>
          <w:highlight w:val="none"/>
        </w:rPr>
        <w:t>投标文件</w:t>
      </w:r>
      <w:bookmarkEnd w:id="385"/>
      <w:bookmarkEnd w:id="386"/>
      <w:bookmarkEnd w:id="387"/>
      <w:bookmarkEnd w:id="388"/>
      <w:bookmarkEnd w:id="389"/>
      <w:bookmarkEnd w:id="390"/>
      <w:bookmarkEnd w:id="391"/>
      <w:bookmarkEnd w:id="392"/>
      <w:bookmarkEnd w:id="393"/>
      <w:bookmarkEnd w:id="394"/>
      <w:bookmarkEnd w:id="395"/>
    </w:p>
    <w:p>
      <w:pPr>
        <w:keepNext/>
        <w:keepLines/>
        <w:spacing w:before="260" w:after="260"/>
        <w:ind w:firstLine="137" w:firstLineChars="49"/>
        <w:outlineLvl w:val="2"/>
        <w:rPr>
          <w:rFonts w:eastAsia="黑体"/>
          <w:color w:val="auto"/>
          <w:sz w:val="28"/>
          <w:szCs w:val="20"/>
          <w:highlight w:val="none"/>
        </w:rPr>
      </w:pPr>
      <w:bookmarkStart w:id="396" w:name="_Toc14850"/>
      <w:bookmarkStart w:id="397" w:name="_Toc2608180"/>
      <w:bookmarkStart w:id="398" w:name="_Toc21477"/>
      <w:bookmarkStart w:id="399" w:name="_Toc16703"/>
      <w:bookmarkStart w:id="400" w:name="_Toc6976"/>
      <w:bookmarkStart w:id="401" w:name="_Toc170804580"/>
      <w:bookmarkStart w:id="402" w:name="_Toc26317"/>
      <w:bookmarkStart w:id="403" w:name="_Toc30115"/>
      <w:bookmarkStart w:id="404" w:name="_Toc245690496"/>
      <w:bookmarkStart w:id="405" w:name="_Toc8453"/>
      <w:bookmarkStart w:id="406" w:name="_Toc14912"/>
      <w:bookmarkStart w:id="407" w:name="_Toc28293"/>
      <w:r>
        <w:rPr>
          <w:rFonts w:eastAsia="黑体"/>
          <w:color w:val="auto"/>
          <w:sz w:val="28"/>
          <w:szCs w:val="20"/>
          <w:highlight w:val="none"/>
        </w:rPr>
        <w:t xml:space="preserve">3.1 </w:t>
      </w:r>
      <w:r>
        <w:rPr>
          <w:rFonts w:hint="eastAsia" w:eastAsia="黑体"/>
          <w:color w:val="auto"/>
          <w:sz w:val="28"/>
          <w:szCs w:val="20"/>
          <w:highlight w:val="none"/>
        </w:rPr>
        <w:t>投标文件的组成</w:t>
      </w:r>
      <w:bookmarkEnd w:id="396"/>
      <w:bookmarkEnd w:id="397"/>
      <w:bookmarkEnd w:id="398"/>
      <w:bookmarkEnd w:id="399"/>
      <w:bookmarkEnd w:id="400"/>
      <w:bookmarkEnd w:id="401"/>
      <w:bookmarkEnd w:id="402"/>
      <w:bookmarkEnd w:id="403"/>
      <w:bookmarkEnd w:id="404"/>
      <w:bookmarkEnd w:id="405"/>
      <w:bookmarkEnd w:id="406"/>
      <w:bookmarkEnd w:id="407"/>
    </w:p>
    <w:p>
      <w:pPr>
        <w:spacing w:line="400" w:lineRule="exact"/>
        <w:ind w:firstLine="420"/>
        <w:rPr>
          <w:color w:val="auto"/>
          <w:szCs w:val="24"/>
          <w:highlight w:val="none"/>
        </w:rPr>
      </w:pPr>
      <w:r>
        <w:rPr>
          <w:color w:val="auto"/>
          <w:szCs w:val="24"/>
          <w:highlight w:val="none"/>
        </w:rPr>
        <w:t xml:space="preserve">3.1.1 </w:t>
      </w:r>
      <w:r>
        <w:rPr>
          <w:rFonts w:hint="eastAsia"/>
          <w:color w:val="auto"/>
          <w:szCs w:val="24"/>
          <w:highlight w:val="none"/>
        </w:rPr>
        <w:t>投标文件应包括下列内容：</w:t>
      </w:r>
    </w:p>
    <w:p>
      <w:pPr>
        <w:spacing w:line="400" w:lineRule="exact"/>
        <w:ind w:firstLine="420" w:firstLineChars="200"/>
        <w:rPr>
          <w:color w:val="auto"/>
          <w:szCs w:val="24"/>
          <w:highlight w:val="none"/>
        </w:rPr>
      </w:pPr>
      <w:r>
        <w:rPr>
          <w:rFonts w:hint="eastAsia"/>
          <w:color w:val="auto"/>
          <w:szCs w:val="24"/>
          <w:highlight w:val="none"/>
        </w:rPr>
        <w:t>（1）投标函及投标函附录；</w:t>
      </w:r>
    </w:p>
    <w:p>
      <w:pPr>
        <w:spacing w:line="400" w:lineRule="exact"/>
        <w:ind w:firstLine="420" w:firstLineChars="200"/>
        <w:rPr>
          <w:color w:val="auto"/>
          <w:szCs w:val="24"/>
          <w:highlight w:val="none"/>
        </w:rPr>
      </w:pPr>
      <w:r>
        <w:rPr>
          <w:rFonts w:hint="eastAsia"/>
          <w:color w:val="auto"/>
          <w:szCs w:val="24"/>
          <w:highlight w:val="none"/>
        </w:rPr>
        <w:t>（2）法定代表人身份证明</w:t>
      </w:r>
    </w:p>
    <w:p>
      <w:pPr>
        <w:spacing w:line="400" w:lineRule="exact"/>
        <w:ind w:firstLine="420" w:firstLineChars="200"/>
        <w:rPr>
          <w:color w:val="auto"/>
          <w:szCs w:val="24"/>
          <w:highlight w:val="none"/>
        </w:rPr>
      </w:pPr>
      <w:r>
        <w:rPr>
          <w:rFonts w:hint="eastAsia"/>
          <w:color w:val="auto"/>
          <w:szCs w:val="24"/>
          <w:highlight w:val="none"/>
        </w:rPr>
        <w:t>（3）法定代表人授权委托书；</w:t>
      </w:r>
    </w:p>
    <w:p>
      <w:pPr>
        <w:spacing w:line="400" w:lineRule="exact"/>
        <w:ind w:firstLine="420" w:firstLineChars="200"/>
        <w:rPr>
          <w:color w:val="auto"/>
          <w:szCs w:val="24"/>
          <w:highlight w:val="none"/>
        </w:rPr>
      </w:pPr>
      <w:r>
        <w:rPr>
          <w:rFonts w:hint="eastAsia"/>
          <w:color w:val="auto"/>
          <w:szCs w:val="24"/>
          <w:highlight w:val="none"/>
        </w:rPr>
        <w:t>（4）廉洁承诺书</w:t>
      </w:r>
    </w:p>
    <w:p>
      <w:pPr>
        <w:spacing w:line="400" w:lineRule="exact"/>
        <w:ind w:firstLine="420" w:firstLineChars="200"/>
        <w:rPr>
          <w:color w:val="auto"/>
          <w:szCs w:val="24"/>
          <w:highlight w:val="none"/>
        </w:rPr>
      </w:pPr>
      <w:r>
        <w:rPr>
          <w:rFonts w:hint="eastAsia"/>
          <w:color w:val="auto"/>
          <w:szCs w:val="24"/>
          <w:highlight w:val="none"/>
        </w:rPr>
        <w:t>（5）监测单位组织机构表</w:t>
      </w:r>
    </w:p>
    <w:p>
      <w:pPr>
        <w:spacing w:line="400" w:lineRule="exact"/>
        <w:ind w:firstLine="420" w:firstLineChars="200"/>
        <w:rPr>
          <w:color w:val="auto"/>
          <w:szCs w:val="24"/>
          <w:highlight w:val="none"/>
        </w:rPr>
      </w:pPr>
      <w:r>
        <w:rPr>
          <w:rFonts w:hint="eastAsia"/>
          <w:color w:val="auto"/>
          <w:szCs w:val="24"/>
          <w:highlight w:val="none"/>
        </w:rPr>
        <w:t>（6）工程量清单；</w:t>
      </w:r>
    </w:p>
    <w:p>
      <w:pPr>
        <w:spacing w:line="400" w:lineRule="exact"/>
        <w:ind w:firstLine="420" w:firstLineChars="200"/>
        <w:rPr>
          <w:color w:val="auto"/>
          <w:szCs w:val="24"/>
          <w:highlight w:val="none"/>
        </w:rPr>
      </w:pPr>
      <w:r>
        <w:rPr>
          <w:rFonts w:hint="eastAsia"/>
          <w:color w:val="auto"/>
          <w:szCs w:val="24"/>
          <w:highlight w:val="none"/>
        </w:rPr>
        <w:t>（7）合同条款响应性承诺书</w:t>
      </w:r>
    </w:p>
    <w:p>
      <w:pPr>
        <w:spacing w:line="400" w:lineRule="exact"/>
        <w:ind w:firstLine="420" w:firstLineChars="200"/>
        <w:rPr>
          <w:color w:val="auto"/>
          <w:szCs w:val="24"/>
          <w:highlight w:val="none"/>
        </w:rPr>
      </w:pPr>
      <w:r>
        <w:rPr>
          <w:rFonts w:hint="eastAsia"/>
          <w:color w:val="auto"/>
          <w:szCs w:val="24"/>
          <w:highlight w:val="none"/>
        </w:rPr>
        <w:t>（8）拟投入本项目的主要仪器设备表</w:t>
      </w:r>
    </w:p>
    <w:p>
      <w:pPr>
        <w:spacing w:line="400" w:lineRule="exact"/>
        <w:ind w:firstLine="420" w:firstLineChars="200"/>
        <w:rPr>
          <w:color w:val="auto"/>
          <w:szCs w:val="24"/>
          <w:highlight w:val="none"/>
        </w:rPr>
      </w:pPr>
      <w:r>
        <w:rPr>
          <w:rFonts w:hint="eastAsia"/>
          <w:color w:val="auto"/>
          <w:szCs w:val="24"/>
          <w:highlight w:val="none"/>
        </w:rPr>
        <w:t>（9）监测方案；</w:t>
      </w:r>
    </w:p>
    <w:p>
      <w:pPr>
        <w:spacing w:line="400" w:lineRule="exact"/>
        <w:ind w:firstLine="420" w:firstLineChars="200"/>
        <w:rPr>
          <w:color w:val="auto"/>
          <w:szCs w:val="24"/>
          <w:highlight w:val="none"/>
        </w:rPr>
      </w:pPr>
      <w:r>
        <w:rPr>
          <w:rFonts w:hint="eastAsia"/>
          <w:color w:val="auto"/>
          <w:szCs w:val="24"/>
          <w:highlight w:val="none"/>
        </w:rPr>
        <w:t>（10）资格审查资料；</w:t>
      </w:r>
    </w:p>
    <w:p>
      <w:pPr>
        <w:spacing w:line="400" w:lineRule="exact"/>
        <w:ind w:firstLine="420" w:firstLineChars="200"/>
        <w:rPr>
          <w:color w:val="auto"/>
          <w:szCs w:val="24"/>
          <w:highlight w:val="none"/>
        </w:rPr>
      </w:pPr>
      <w:r>
        <w:rPr>
          <w:rFonts w:hint="eastAsia"/>
          <w:color w:val="auto"/>
          <w:szCs w:val="24"/>
          <w:highlight w:val="none"/>
        </w:rPr>
        <w:t>（11）须评审的其他资料（</w:t>
      </w:r>
      <w:r>
        <w:rPr>
          <w:rFonts w:hint="eastAsia"/>
          <w:color w:val="auto"/>
          <w:szCs w:val="21"/>
          <w:highlight w:val="none"/>
        </w:rPr>
        <w:t>含</w:t>
      </w:r>
      <w:r>
        <w:rPr>
          <w:rFonts w:hint="eastAsia"/>
          <w:color w:val="auto"/>
          <w:szCs w:val="21"/>
          <w:highlight w:val="none"/>
          <w:lang w:val="en-US" w:eastAsia="zh-CN"/>
        </w:rPr>
        <w:t>业主评价、</w:t>
      </w:r>
      <w:r>
        <w:rPr>
          <w:rFonts w:hint="eastAsia"/>
          <w:color w:val="auto"/>
          <w:szCs w:val="21"/>
          <w:highlight w:val="none"/>
        </w:rPr>
        <w:t>奖项荣誉证书等相关证明材料，格式自拟</w:t>
      </w:r>
      <w:r>
        <w:rPr>
          <w:rFonts w:hint="eastAsia"/>
          <w:color w:val="auto"/>
          <w:szCs w:val="24"/>
          <w:highlight w:val="none"/>
        </w:rPr>
        <w:t>）</w:t>
      </w:r>
    </w:p>
    <w:p>
      <w:pPr>
        <w:spacing w:line="400" w:lineRule="exact"/>
        <w:ind w:firstLine="420" w:firstLineChars="200"/>
        <w:rPr>
          <w:color w:val="auto"/>
          <w:szCs w:val="24"/>
          <w:highlight w:val="none"/>
        </w:rPr>
      </w:pPr>
      <w:r>
        <w:rPr>
          <w:rFonts w:hint="eastAsia"/>
          <w:color w:val="auto"/>
          <w:szCs w:val="24"/>
          <w:highlight w:val="none"/>
        </w:rPr>
        <w:t>投标人在评标过程中作出的符合法律法规和招标文件规定的澄清确认，构成投标文件的组成部分。</w:t>
      </w:r>
    </w:p>
    <w:p>
      <w:pPr>
        <w:spacing w:line="400" w:lineRule="exact"/>
        <w:ind w:firstLine="359" w:firstLineChars="171"/>
        <w:rPr>
          <w:color w:val="auto"/>
          <w:szCs w:val="24"/>
          <w:highlight w:val="none"/>
        </w:rPr>
      </w:pPr>
      <w:r>
        <w:rPr>
          <w:color w:val="auto"/>
          <w:szCs w:val="24"/>
          <w:highlight w:val="none"/>
        </w:rPr>
        <w:t xml:space="preserve">3.1.2 </w:t>
      </w:r>
      <w:r>
        <w:rPr>
          <w:rFonts w:hint="eastAsia"/>
          <w:color w:val="auto"/>
          <w:szCs w:val="24"/>
          <w:highlight w:val="none"/>
        </w:rPr>
        <w:t>投标人须知前附表规定不接受联合体投标的，或投标人没有组成联合体的，投标文件不包括本章第</w:t>
      </w:r>
      <w:r>
        <w:rPr>
          <w:color w:val="auto"/>
          <w:szCs w:val="24"/>
          <w:highlight w:val="none"/>
        </w:rPr>
        <w:t>3.1.1</w:t>
      </w:r>
      <w:r>
        <w:rPr>
          <w:rFonts w:hint="eastAsia"/>
          <w:color w:val="auto"/>
          <w:szCs w:val="24"/>
          <w:highlight w:val="none"/>
        </w:rPr>
        <w:t>（</w:t>
      </w:r>
      <w:r>
        <w:rPr>
          <w:color w:val="auto"/>
          <w:szCs w:val="24"/>
          <w:highlight w:val="none"/>
        </w:rPr>
        <w:t>3</w:t>
      </w:r>
      <w:r>
        <w:rPr>
          <w:rFonts w:hint="eastAsia"/>
          <w:color w:val="auto"/>
          <w:szCs w:val="24"/>
          <w:highlight w:val="none"/>
        </w:rPr>
        <w:t>）目所指的联合体协议书。</w:t>
      </w:r>
    </w:p>
    <w:p>
      <w:pPr>
        <w:spacing w:line="400" w:lineRule="exact"/>
        <w:ind w:firstLine="359" w:firstLineChars="171"/>
        <w:rPr>
          <w:color w:val="auto"/>
          <w:szCs w:val="24"/>
          <w:highlight w:val="none"/>
        </w:rPr>
      </w:pPr>
      <w:r>
        <w:rPr>
          <w:color w:val="auto"/>
          <w:szCs w:val="24"/>
          <w:highlight w:val="none"/>
        </w:rPr>
        <w:t xml:space="preserve">3.1.3 </w:t>
      </w:r>
      <w:r>
        <w:rPr>
          <w:rFonts w:hint="eastAsia"/>
          <w:color w:val="auto"/>
          <w:szCs w:val="24"/>
          <w:highlight w:val="none"/>
        </w:rPr>
        <w:t>投标人须知前附表未要求提交投标保证金的，投标文件不包括本章第</w:t>
      </w:r>
      <w:r>
        <w:rPr>
          <w:color w:val="auto"/>
          <w:szCs w:val="24"/>
          <w:highlight w:val="none"/>
        </w:rPr>
        <w:t>3.1.1</w:t>
      </w:r>
      <w:r>
        <w:rPr>
          <w:rFonts w:hint="eastAsia"/>
          <w:color w:val="auto"/>
          <w:szCs w:val="24"/>
          <w:highlight w:val="none"/>
        </w:rPr>
        <w:t>（</w:t>
      </w:r>
      <w:r>
        <w:rPr>
          <w:color w:val="auto"/>
          <w:szCs w:val="24"/>
          <w:highlight w:val="none"/>
        </w:rPr>
        <w:t>4</w:t>
      </w:r>
      <w:r>
        <w:rPr>
          <w:rFonts w:hint="eastAsia"/>
          <w:color w:val="auto"/>
          <w:szCs w:val="24"/>
          <w:highlight w:val="none"/>
        </w:rPr>
        <w:t>）目所指的投标保证金。</w:t>
      </w:r>
    </w:p>
    <w:p>
      <w:pPr>
        <w:keepNext/>
        <w:keepLines/>
        <w:spacing w:before="260" w:after="260"/>
        <w:ind w:firstLine="137" w:firstLineChars="49"/>
        <w:outlineLvl w:val="2"/>
        <w:rPr>
          <w:rFonts w:eastAsia="黑体"/>
          <w:color w:val="auto"/>
          <w:sz w:val="28"/>
          <w:szCs w:val="20"/>
          <w:highlight w:val="none"/>
        </w:rPr>
      </w:pPr>
      <w:bookmarkStart w:id="408" w:name="_Toc10252"/>
      <w:bookmarkStart w:id="409" w:name="_Toc599"/>
      <w:bookmarkStart w:id="410" w:name="_Toc16779"/>
      <w:bookmarkStart w:id="411" w:name="_Toc1308"/>
      <w:bookmarkStart w:id="412" w:name="_Toc1856596738"/>
      <w:bookmarkStart w:id="413" w:name="_Toc23661"/>
      <w:bookmarkStart w:id="414" w:name="_Toc18404"/>
      <w:bookmarkStart w:id="415" w:name="_Toc14272"/>
      <w:bookmarkStart w:id="416" w:name="_Toc2608181"/>
      <w:bookmarkStart w:id="417" w:name="_Toc11646"/>
      <w:bookmarkStart w:id="418" w:name="_Toc10390"/>
      <w:bookmarkStart w:id="419" w:name="_Toc170804581"/>
      <w:r>
        <w:rPr>
          <w:rFonts w:eastAsia="黑体"/>
          <w:color w:val="auto"/>
          <w:sz w:val="28"/>
          <w:szCs w:val="20"/>
          <w:highlight w:val="none"/>
        </w:rPr>
        <w:t xml:space="preserve">3.2 </w:t>
      </w:r>
      <w:r>
        <w:rPr>
          <w:rFonts w:hint="eastAsia" w:eastAsia="黑体"/>
          <w:color w:val="auto"/>
          <w:sz w:val="28"/>
          <w:szCs w:val="20"/>
          <w:highlight w:val="none"/>
        </w:rPr>
        <w:t>投标报价</w:t>
      </w:r>
      <w:bookmarkEnd w:id="408"/>
      <w:bookmarkEnd w:id="409"/>
      <w:bookmarkEnd w:id="410"/>
      <w:bookmarkEnd w:id="411"/>
      <w:bookmarkEnd w:id="412"/>
      <w:bookmarkEnd w:id="413"/>
      <w:bookmarkEnd w:id="414"/>
      <w:bookmarkEnd w:id="415"/>
      <w:bookmarkEnd w:id="416"/>
      <w:bookmarkEnd w:id="417"/>
      <w:bookmarkEnd w:id="418"/>
      <w:bookmarkEnd w:id="419"/>
    </w:p>
    <w:p>
      <w:pPr>
        <w:spacing w:line="400" w:lineRule="exact"/>
        <w:ind w:firstLine="420" w:firstLineChars="200"/>
        <w:rPr>
          <w:color w:val="auto"/>
          <w:szCs w:val="24"/>
          <w:highlight w:val="none"/>
        </w:rPr>
      </w:pPr>
      <w:r>
        <w:rPr>
          <w:color w:val="auto"/>
          <w:szCs w:val="24"/>
          <w:highlight w:val="none"/>
        </w:rPr>
        <w:t>3.2.1</w:t>
      </w:r>
      <w:r>
        <w:rPr>
          <w:rFonts w:hint="eastAsia"/>
          <w:color w:val="auto"/>
          <w:szCs w:val="24"/>
          <w:highlight w:val="none"/>
        </w:rPr>
        <w:t>投标报价应包括国家规定的增值税税金，除投标人须知前附表另有规定外，增值税税金按一般计税方法计算。投标人应按第六章</w:t>
      </w:r>
      <w:r>
        <w:rPr>
          <w:color w:val="auto"/>
          <w:szCs w:val="24"/>
          <w:highlight w:val="none"/>
        </w:rPr>
        <w:t>“</w:t>
      </w:r>
      <w:r>
        <w:rPr>
          <w:rFonts w:hint="eastAsia"/>
          <w:color w:val="auto"/>
          <w:szCs w:val="24"/>
          <w:highlight w:val="none"/>
        </w:rPr>
        <w:t>投标文件格式</w:t>
      </w:r>
      <w:r>
        <w:rPr>
          <w:color w:val="auto"/>
          <w:szCs w:val="24"/>
          <w:highlight w:val="none"/>
        </w:rPr>
        <w:t>”</w:t>
      </w:r>
      <w:r>
        <w:rPr>
          <w:rFonts w:hint="eastAsia"/>
          <w:color w:val="auto"/>
          <w:szCs w:val="24"/>
          <w:highlight w:val="none"/>
        </w:rPr>
        <w:t>的要求在投标函中进行报价并填写工程量清单。</w:t>
      </w:r>
    </w:p>
    <w:p>
      <w:pPr>
        <w:spacing w:line="400" w:lineRule="exact"/>
        <w:ind w:firstLine="420" w:firstLineChars="200"/>
        <w:rPr>
          <w:color w:val="auto"/>
          <w:szCs w:val="24"/>
          <w:highlight w:val="none"/>
        </w:rPr>
      </w:pPr>
      <w:r>
        <w:rPr>
          <w:color w:val="auto"/>
          <w:szCs w:val="24"/>
          <w:highlight w:val="none"/>
        </w:rPr>
        <w:t xml:space="preserve">3.2.2 </w:t>
      </w:r>
      <w:r>
        <w:rPr>
          <w:rFonts w:hint="eastAsia"/>
          <w:color w:val="auto"/>
          <w:szCs w:val="24"/>
          <w:highlight w:val="none"/>
        </w:rPr>
        <w:t>投标人应充分了解该项目的总体情况以及影响投标报价的其他要素。</w:t>
      </w:r>
    </w:p>
    <w:p>
      <w:pPr>
        <w:spacing w:line="400" w:lineRule="exact"/>
        <w:ind w:firstLine="420" w:firstLineChars="200"/>
        <w:rPr>
          <w:color w:val="auto"/>
          <w:szCs w:val="24"/>
          <w:highlight w:val="none"/>
        </w:rPr>
      </w:pPr>
      <w:r>
        <w:rPr>
          <w:color w:val="auto"/>
          <w:szCs w:val="24"/>
          <w:highlight w:val="none"/>
        </w:rPr>
        <w:t xml:space="preserve">3.2.3 </w:t>
      </w:r>
      <w:r>
        <w:rPr>
          <w:rFonts w:hint="eastAsia"/>
          <w:color w:val="auto"/>
          <w:szCs w:val="24"/>
          <w:highlight w:val="none"/>
        </w:rPr>
        <w:t>本项目的报价方式见投标人须知前附表。投标人在投标截止时间前修改投标函中的投标报价总额，应同时修改投标文件</w:t>
      </w:r>
      <w:r>
        <w:rPr>
          <w:color w:val="auto"/>
          <w:szCs w:val="24"/>
          <w:highlight w:val="none"/>
        </w:rPr>
        <w:t>“</w:t>
      </w:r>
      <w:r>
        <w:rPr>
          <w:rFonts w:hint="eastAsia"/>
          <w:color w:val="auto"/>
          <w:szCs w:val="24"/>
          <w:highlight w:val="none"/>
        </w:rPr>
        <w:t>工程量清单</w:t>
      </w:r>
      <w:r>
        <w:rPr>
          <w:color w:val="auto"/>
          <w:szCs w:val="24"/>
          <w:highlight w:val="none"/>
        </w:rPr>
        <w:t>”</w:t>
      </w:r>
      <w:r>
        <w:rPr>
          <w:rFonts w:hint="eastAsia"/>
          <w:color w:val="auto"/>
          <w:szCs w:val="24"/>
          <w:highlight w:val="none"/>
        </w:rPr>
        <w:t>中的相应报价。此修改须符合本章第</w:t>
      </w:r>
      <w:r>
        <w:rPr>
          <w:color w:val="auto"/>
          <w:szCs w:val="24"/>
          <w:highlight w:val="none"/>
        </w:rPr>
        <w:t>4.3</w:t>
      </w:r>
      <w:r>
        <w:rPr>
          <w:rFonts w:hint="eastAsia"/>
          <w:color w:val="auto"/>
          <w:szCs w:val="24"/>
          <w:highlight w:val="none"/>
        </w:rPr>
        <w:t>款的有关要求。</w:t>
      </w:r>
    </w:p>
    <w:p>
      <w:pPr>
        <w:spacing w:line="400" w:lineRule="exact"/>
        <w:ind w:firstLine="420" w:firstLineChars="200"/>
        <w:rPr>
          <w:color w:val="auto"/>
          <w:szCs w:val="24"/>
          <w:highlight w:val="none"/>
        </w:rPr>
      </w:pPr>
      <w:r>
        <w:rPr>
          <w:color w:val="auto"/>
          <w:szCs w:val="24"/>
          <w:highlight w:val="none"/>
        </w:rPr>
        <w:t xml:space="preserve">3.2.4 </w:t>
      </w:r>
      <w:r>
        <w:rPr>
          <w:rFonts w:hint="eastAsia"/>
          <w:color w:val="auto"/>
          <w:szCs w:val="24"/>
          <w:highlight w:val="none"/>
        </w:rPr>
        <w:t>招标人设有最高投标限价的，投标人的投标报价不得超过最高投标限价，最高投标限价在投标人须知前附表中载明。</w:t>
      </w:r>
    </w:p>
    <w:p>
      <w:pPr>
        <w:spacing w:line="400" w:lineRule="exact"/>
        <w:ind w:firstLine="420" w:firstLineChars="200"/>
        <w:rPr>
          <w:color w:val="auto"/>
          <w:szCs w:val="24"/>
          <w:highlight w:val="none"/>
        </w:rPr>
      </w:pPr>
      <w:r>
        <w:rPr>
          <w:color w:val="auto"/>
          <w:szCs w:val="24"/>
          <w:highlight w:val="none"/>
        </w:rPr>
        <w:t xml:space="preserve">3.2.5 </w:t>
      </w:r>
      <w:r>
        <w:rPr>
          <w:rFonts w:hint="eastAsia"/>
          <w:color w:val="auto"/>
          <w:szCs w:val="24"/>
          <w:highlight w:val="none"/>
        </w:rPr>
        <w:t>投标报价的其他要求</w:t>
      </w:r>
      <w:bookmarkStart w:id="420" w:name="_Hlk117064244"/>
      <w:r>
        <w:rPr>
          <w:rFonts w:hint="eastAsia"/>
          <w:color w:val="auto"/>
          <w:szCs w:val="24"/>
          <w:highlight w:val="none"/>
        </w:rPr>
        <w:t>：见投标人须知前附表</w:t>
      </w:r>
      <w:bookmarkEnd w:id="420"/>
      <w:r>
        <w:rPr>
          <w:rFonts w:hint="eastAsia"/>
          <w:color w:val="auto"/>
          <w:szCs w:val="24"/>
          <w:highlight w:val="none"/>
        </w:rPr>
        <w:t>。</w:t>
      </w:r>
    </w:p>
    <w:p>
      <w:pPr>
        <w:keepNext/>
        <w:keepLines/>
        <w:spacing w:before="260" w:after="260"/>
        <w:ind w:firstLine="137" w:firstLineChars="49"/>
        <w:outlineLvl w:val="2"/>
        <w:rPr>
          <w:rFonts w:eastAsia="黑体"/>
          <w:color w:val="auto"/>
          <w:sz w:val="28"/>
          <w:szCs w:val="20"/>
          <w:highlight w:val="none"/>
        </w:rPr>
      </w:pPr>
      <w:bookmarkStart w:id="421" w:name="_Toc3540"/>
      <w:bookmarkStart w:id="422" w:name="_Toc5300"/>
      <w:bookmarkStart w:id="423" w:name="_Toc29566"/>
      <w:bookmarkStart w:id="424" w:name="_Toc13515"/>
      <w:bookmarkStart w:id="425" w:name="_Toc170804582"/>
      <w:bookmarkStart w:id="426" w:name="_Toc883984656"/>
      <w:bookmarkStart w:id="427" w:name="_Toc2770"/>
      <w:bookmarkStart w:id="428" w:name="_Toc25469"/>
      <w:bookmarkStart w:id="429" w:name="_Toc2608182"/>
      <w:bookmarkStart w:id="430" w:name="_Toc9506"/>
      <w:bookmarkStart w:id="431" w:name="_Toc7600"/>
      <w:bookmarkStart w:id="432" w:name="_Toc5900"/>
      <w:r>
        <w:rPr>
          <w:rFonts w:eastAsia="黑体"/>
          <w:color w:val="auto"/>
          <w:sz w:val="28"/>
          <w:szCs w:val="20"/>
          <w:highlight w:val="none"/>
        </w:rPr>
        <w:t xml:space="preserve">3.3 </w:t>
      </w:r>
      <w:r>
        <w:rPr>
          <w:rFonts w:hint="eastAsia" w:eastAsia="黑体"/>
          <w:color w:val="auto"/>
          <w:sz w:val="28"/>
          <w:szCs w:val="20"/>
          <w:highlight w:val="none"/>
        </w:rPr>
        <w:t>投标有效期</w:t>
      </w:r>
      <w:bookmarkEnd w:id="421"/>
      <w:bookmarkEnd w:id="422"/>
      <w:bookmarkEnd w:id="423"/>
      <w:bookmarkEnd w:id="424"/>
      <w:bookmarkEnd w:id="425"/>
      <w:bookmarkEnd w:id="426"/>
      <w:bookmarkEnd w:id="427"/>
      <w:bookmarkEnd w:id="428"/>
      <w:bookmarkEnd w:id="429"/>
      <w:bookmarkEnd w:id="430"/>
      <w:bookmarkEnd w:id="431"/>
      <w:bookmarkEnd w:id="432"/>
    </w:p>
    <w:p>
      <w:pPr>
        <w:spacing w:line="400" w:lineRule="exact"/>
        <w:ind w:firstLine="420" w:firstLineChars="200"/>
        <w:rPr>
          <w:color w:val="auto"/>
          <w:szCs w:val="24"/>
          <w:highlight w:val="none"/>
        </w:rPr>
      </w:pPr>
      <w:r>
        <w:rPr>
          <w:color w:val="auto"/>
          <w:szCs w:val="24"/>
          <w:highlight w:val="none"/>
        </w:rPr>
        <w:t xml:space="preserve">3.3.1 </w:t>
      </w:r>
      <w:r>
        <w:rPr>
          <w:rFonts w:hint="eastAsia"/>
          <w:color w:val="auto"/>
          <w:szCs w:val="24"/>
          <w:highlight w:val="none"/>
        </w:rPr>
        <w:t>除投标人须知前附表另有规定外，投标有效期为18</w:t>
      </w:r>
      <w:r>
        <w:rPr>
          <w:color w:val="auto"/>
          <w:szCs w:val="24"/>
          <w:highlight w:val="none"/>
        </w:rPr>
        <w:t>0</w:t>
      </w:r>
      <w:r>
        <w:rPr>
          <w:rFonts w:hint="eastAsia"/>
          <w:color w:val="auto"/>
          <w:highlight w:val="none"/>
        </w:rPr>
        <w:t>日历</w:t>
      </w:r>
      <w:r>
        <w:rPr>
          <w:rFonts w:hint="eastAsia"/>
          <w:color w:val="auto"/>
          <w:szCs w:val="24"/>
          <w:highlight w:val="none"/>
        </w:rPr>
        <w:t>天。</w:t>
      </w:r>
    </w:p>
    <w:p>
      <w:pPr>
        <w:spacing w:line="400" w:lineRule="exact"/>
        <w:ind w:firstLine="420" w:firstLineChars="200"/>
        <w:rPr>
          <w:color w:val="auto"/>
          <w:szCs w:val="24"/>
          <w:highlight w:val="none"/>
        </w:rPr>
      </w:pPr>
      <w:r>
        <w:rPr>
          <w:color w:val="auto"/>
          <w:szCs w:val="24"/>
          <w:highlight w:val="none"/>
        </w:rPr>
        <w:t xml:space="preserve">3.3.2 </w:t>
      </w:r>
      <w:r>
        <w:rPr>
          <w:rFonts w:hint="eastAsia"/>
          <w:color w:val="auto"/>
          <w:szCs w:val="24"/>
          <w:highlight w:val="none"/>
        </w:rPr>
        <w:t>在投标有效期内，投标人撤销投标文件的，应承担招标文件和法律规定的责任。</w:t>
      </w:r>
    </w:p>
    <w:p>
      <w:pPr>
        <w:spacing w:line="400" w:lineRule="exact"/>
        <w:ind w:firstLine="420" w:firstLineChars="200"/>
        <w:rPr>
          <w:color w:val="auto"/>
          <w:szCs w:val="24"/>
          <w:highlight w:val="none"/>
        </w:rPr>
      </w:pPr>
      <w:r>
        <w:rPr>
          <w:color w:val="auto"/>
          <w:szCs w:val="24"/>
          <w:highlight w:val="none"/>
        </w:rPr>
        <w:t xml:space="preserve">3.3.3 </w:t>
      </w:r>
      <w:r>
        <w:rPr>
          <w:rFonts w:hint="eastAsia"/>
          <w:color w:val="auto"/>
          <w:szCs w:val="24"/>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keepNext/>
        <w:keepLines/>
        <w:spacing w:before="260" w:after="260"/>
        <w:ind w:firstLine="137" w:firstLineChars="49"/>
        <w:outlineLvl w:val="2"/>
        <w:rPr>
          <w:rFonts w:eastAsia="黑体"/>
          <w:color w:val="auto"/>
          <w:sz w:val="28"/>
          <w:szCs w:val="20"/>
          <w:highlight w:val="none"/>
        </w:rPr>
      </w:pPr>
      <w:bookmarkStart w:id="433" w:name="OLE_LINK6"/>
      <w:bookmarkEnd w:id="433"/>
      <w:bookmarkStart w:id="434" w:name="_Toc9073"/>
      <w:bookmarkStart w:id="435" w:name="_Toc838243446"/>
      <w:bookmarkStart w:id="436" w:name="_Toc11400"/>
      <w:bookmarkStart w:id="437" w:name="_Toc24638"/>
      <w:bookmarkStart w:id="438" w:name="_Toc14521"/>
      <w:bookmarkStart w:id="439" w:name="_Toc170804583"/>
      <w:bookmarkStart w:id="440" w:name="_Toc14136"/>
      <w:bookmarkStart w:id="441" w:name="_Toc2608183"/>
      <w:bookmarkStart w:id="442" w:name="_Toc15827"/>
      <w:bookmarkStart w:id="443" w:name="_Toc28348"/>
      <w:bookmarkStart w:id="444" w:name="_Toc17087"/>
      <w:bookmarkStart w:id="445" w:name="_Toc26112"/>
      <w:bookmarkStart w:id="446" w:name="_Toc2608185"/>
      <w:r>
        <w:rPr>
          <w:rFonts w:eastAsia="黑体"/>
          <w:color w:val="auto"/>
          <w:sz w:val="28"/>
          <w:szCs w:val="20"/>
          <w:highlight w:val="none"/>
        </w:rPr>
        <w:t xml:space="preserve">3.4 </w:t>
      </w:r>
      <w:r>
        <w:rPr>
          <w:rFonts w:hint="eastAsia" w:eastAsia="黑体"/>
          <w:color w:val="auto"/>
          <w:sz w:val="28"/>
          <w:szCs w:val="20"/>
          <w:highlight w:val="none"/>
        </w:rPr>
        <w:t>投标保证金</w:t>
      </w:r>
      <w:bookmarkEnd w:id="434"/>
      <w:bookmarkEnd w:id="435"/>
      <w:bookmarkEnd w:id="436"/>
      <w:bookmarkEnd w:id="437"/>
      <w:bookmarkEnd w:id="438"/>
      <w:bookmarkEnd w:id="439"/>
      <w:bookmarkEnd w:id="440"/>
      <w:bookmarkEnd w:id="441"/>
      <w:bookmarkEnd w:id="442"/>
      <w:bookmarkEnd w:id="443"/>
      <w:bookmarkEnd w:id="444"/>
      <w:bookmarkEnd w:id="445"/>
    </w:p>
    <w:p>
      <w:pPr>
        <w:spacing w:line="400" w:lineRule="exact"/>
        <w:ind w:firstLine="420" w:firstLineChars="200"/>
        <w:rPr>
          <w:color w:val="auto"/>
          <w:szCs w:val="24"/>
          <w:highlight w:val="none"/>
        </w:rPr>
      </w:pPr>
      <w:r>
        <w:rPr>
          <w:color w:val="auto"/>
          <w:szCs w:val="24"/>
          <w:highlight w:val="none"/>
        </w:rPr>
        <w:t xml:space="preserve">3.4.1 </w:t>
      </w:r>
      <w:r>
        <w:rPr>
          <w:rFonts w:hint="eastAsia"/>
          <w:color w:val="auto"/>
          <w:szCs w:val="24"/>
          <w:highlight w:val="none"/>
        </w:rPr>
        <w:t>投标人在递交投标文件的同时，应按投标人须知前附表规定的金额、形式和第六章</w:t>
      </w:r>
      <w:r>
        <w:rPr>
          <w:color w:val="auto"/>
          <w:szCs w:val="24"/>
          <w:highlight w:val="none"/>
        </w:rPr>
        <w:t>“</w:t>
      </w:r>
      <w:r>
        <w:rPr>
          <w:rFonts w:hint="eastAsia"/>
          <w:color w:val="auto"/>
          <w:szCs w:val="24"/>
          <w:highlight w:val="none"/>
        </w:rPr>
        <w:t>投标文件格式</w:t>
      </w:r>
      <w:r>
        <w:rPr>
          <w:color w:val="auto"/>
          <w:szCs w:val="24"/>
          <w:highlight w:val="none"/>
        </w:rPr>
        <w:t>”</w:t>
      </w:r>
      <w:r>
        <w:rPr>
          <w:rFonts w:hint="eastAsia"/>
          <w:color w:val="auto"/>
          <w:szCs w:val="24"/>
          <w:highlight w:val="none"/>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400" w:lineRule="exact"/>
        <w:ind w:firstLine="420" w:firstLineChars="200"/>
        <w:jc w:val="left"/>
        <w:rPr>
          <w:color w:val="auto"/>
          <w:szCs w:val="24"/>
          <w:highlight w:val="none"/>
        </w:rPr>
      </w:pPr>
      <w:r>
        <w:rPr>
          <w:color w:val="auto"/>
          <w:szCs w:val="24"/>
          <w:highlight w:val="none"/>
        </w:rPr>
        <w:t xml:space="preserve">3.4.2 </w:t>
      </w:r>
      <w:r>
        <w:rPr>
          <w:rFonts w:hint="eastAsia"/>
          <w:color w:val="auto"/>
          <w:szCs w:val="24"/>
          <w:highlight w:val="none"/>
        </w:rPr>
        <w:t>投标人不按本章第</w:t>
      </w:r>
      <w:r>
        <w:rPr>
          <w:color w:val="auto"/>
          <w:szCs w:val="24"/>
          <w:highlight w:val="none"/>
        </w:rPr>
        <w:t>3.4.1</w:t>
      </w:r>
      <w:r>
        <w:rPr>
          <w:rFonts w:hint="eastAsia"/>
          <w:color w:val="auto"/>
          <w:szCs w:val="24"/>
          <w:highlight w:val="none"/>
        </w:rPr>
        <w:t>项要求提交投标保证金的，评标委员会将否决其投标。</w:t>
      </w:r>
    </w:p>
    <w:p>
      <w:pPr>
        <w:spacing w:line="400" w:lineRule="exact"/>
        <w:ind w:firstLine="420" w:firstLineChars="200"/>
        <w:rPr>
          <w:color w:val="auto"/>
          <w:szCs w:val="24"/>
          <w:highlight w:val="none"/>
        </w:rPr>
      </w:pPr>
      <w:r>
        <w:rPr>
          <w:color w:val="auto"/>
          <w:szCs w:val="24"/>
          <w:highlight w:val="none"/>
        </w:rPr>
        <w:t>3.4.3</w:t>
      </w:r>
      <w:r>
        <w:rPr>
          <w:rFonts w:hint="eastAsia"/>
          <w:color w:val="auto"/>
          <w:szCs w:val="24"/>
          <w:highlight w:val="none"/>
        </w:rPr>
        <w:t>招标人应当在中标通知书发出之日起五日内将投标保证金及银行同期存款利息(如有)退回中标候选人以外的投标人，在书面合同订立之日起五日内将投标保证金及银行同期存款利息(如有)退回中标人和其他中标候选人。</w:t>
      </w:r>
    </w:p>
    <w:p>
      <w:pPr>
        <w:spacing w:line="400" w:lineRule="exact"/>
        <w:ind w:firstLine="420" w:firstLineChars="200"/>
        <w:rPr>
          <w:color w:val="auto"/>
          <w:szCs w:val="24"/>
          <w:highlight w:val="none"/>
        </w:rPr>
      </w:pPr>
      <w:r>
        <w:rPr>
          <w:color w:val="auto"/>
          <w:szCs w:val="24"/>
          <w:highlight w:val="none"/>
        </w:rPr>
        <w:t xml:space="preserve">3.4.4 </w:t>
      </w:r>
      <w:r>
        <w:rPr>
          <w:rFonts w:hint="eastAsia"/>
          <w:color w:val="auto"/>
          <w:szCs w:val="24"/>
          <w:highlight w:val="none"/>
        </w:rPr>
        <w:t>有下列情形之一的，投标保证金将不予退还：</w:t>
      </w:r>
    </w:p>
    <w:p>
      <w:pPr>
        <w:topLinePunct/>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）投标人（在投标有效期内撤销其投标）除投标保证金不予退还外，招标人将在</w:t>
      </w:r>
      <w:r>
        <w:rPr>
          <w:color w:val="auto"/>
          <w:szCs w:val="21"/>
          <w:highlight w:val="none"/>
        </w:rPr>
        <w:t>6</w:t>
      </w:r>
      <w:r>
        <w:rPr>
          <w:rFonts w:hint="eastAsia"/>
          <w:color w:val="auto"/>
          <w:szCs w:val="21"/>
          <w:highlight w:val="none"/>
        </w:rPr>
        <w:t>个月至</w:t>
      </w:r>
      <w:r>
        <w:rPr>
          <w:color w:val="auto"/>
          <w:szCs w:val="21"/>
          <w:highlight w:val="none"/>
        </w:rPr>
        <w:t>2</w:t>
      </w:r>
      <w:r>
        <w:rPr>
          <w:rFonts w:hint="eastAsia"/>
          <w:color w:val="auto"/>
          <w:szCs w:val="21"/>
          <w:highlight w:val="none"/>
        </w:rPr>
        <w:t>年内将其列入参与本司管辖工程项目投标企业的拒绝名单，并上报政府建设管理相关部门；</w:t>
      </w:r>
    </w:p>
    <w:p>
      <w:pPr>
        <w:topLinePunct/>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）投标人不接受按招标文件规定修正投标价；</w:t>
      </w:r>
    </w:p>
    <w:p>
      <w:pPr>
        <w:topLinePunct/>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）经查实投标人有串通投标、弄虚作假等违法行为；</w:t>
      </w:r>
    </w:p>
    <w:p>
      <w:pPr>
        <w:topLinePunct/>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）投标人原因投标文件未解密；</w:t>
      </w:r>
    </w:p>
    <w:p>
      <w:pPr>
        <w:topLinePunct/>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）中标人在收到中标通知书后，无正当理由不与招标人订立合同，在签订合同时向招标人提出附加条件，或者不按照招标文件要求递交履约保证金；</w:t>
      </w:r>
    </w:p>
    <w:p>
      <w:pPr>
        <w:topLinePunct/>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）放弃中标（含对投标文件提出实质性修改）；</w:t>
      </w:r>
    </w:p>
    <w:p>
      <w:pPr>
        <w:topLinePunct/>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）投标人中标后未按招标文件要求办理相关手续，影响合同签订工作的。</w:t>
      </w:r>
    </w:p>
    <w:p>
      <w:pPr>
        <w:topLinePunct/>
        <w:spacing w:line="400" w:lineRule="exact"/>
        <w:ind w:firstLine="420" w:firstLineChars="200"/>
        <w:rPr>
          <w:color w:val="auto"/>
          <w:szCs w:val="24"/>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）投标人中标后未能按照招标文件规定向招标代理机构支付“招标代理服务费”（适用于有招标代理的项目）。</w:t>
      </w:r>
    </w:p>
    <w:p>
      <w:pPr>
        <w:pStyle w:val="26"/>
        <w:rPr>
          <w:color w:val="auto"/>
          <w:szCs w:val="24"/>
          <w:highlight w:val="none"/>
        </w:rPr>
      </w:pPr>
    </w:p>
    <w:p>
      <w:pPr>
        <w:keepNext/>
        <w:keepLines/>
        <w:spacing w:before="260" w:after="260"/>
        <w:ind w:firstLine="137" w:firstLineChars="49"/>
        <w:outlineLvl w:val="2"/>
        <w:rPr>
          <w:rFonts w:eastAsia="黑体"/>
          <w:color w:val="auto"/>
          <w:sz w:val="28"/>
          <w:szCs w:val="20"/>
          <w:highlight w:val="none"/>
        </w:rPr>
      </w:pPr>
      <w:bookmarkStart w:id="447" w:name="_Toc5269"/>
      <w:bookmarkStart w:id="448" w:name="_Toc170804584"/>
      <w:bookmarkStart w:id="449" w:name="_Toc13837"/>
      <w:bookmarkStart w:id="450" w:name="_Toc18821"/>
      <w:bookmarkStart w:id="451" w:name="_Toc21533"/>
      <w:bookmarkStart w:id="452" w:name="_Toc14403"/>
      <w:bookmarkStart w:id="453" w:name="_Toc13683"/>
      <w:bookmarkStart w:id="454" w:name="_Toc18923"/>
      <w:bookmarkStart w:id="455" w:name="_Toc7978"/>
      <w:bookmarkStart w:id="456" w:name="_Toc218"/>
      <w:bookmarkStart w:id="457" w:name="_Toc864872602"/>
      <w:r>
        <w:rPr>
          <w:rFonts w:eastAsia="黑体"/>
          <w:color w:val="auto"/>
          <w:sz w:val="28"/>
          <w:szCs w:val="20"/>
          <w:highlight w:val="none"/>
        </w:rPr>
        <w:t xml:space="preserve">3.5 </w:t>
      </w:r>
      <w:r>
        <w:rPr>
          <w:rFonts w:hint="eastAsia" w:eastAsia="黑体"/>
          <w:color w:val="auto"/>
          <w:sz w:val="28"/>
          <w:szCs w:val="20"/>
          <w:highlight w:val="none"/>
        </w:rPr>
        <w:t>资格审查资料</w:t>
      </w:r>
      <w:bookmarkEnd w:id="446"/>
      <w:bookmarkEnd w:id="447"/>
      <w:bookmarkEnd w:id="448"/>
      <w:bookmarkEnd w:id="449"/>
      <w:bookmarkEnd w:id="450"/>
      <w:bookmarkEnd w:id="451"/>
      <w:bookmarkEnd w:id="452"/>
      <w:bookmarkEnd w:id="453"/>
      <w:bookmarkEnd w:id="454"/>
      <w:bookmarkEnd w:id="455"/>
      <w:bookmarkEnd w:id="456"/>
      <w:bookmarkEnd w:id="457"/>
    </w:p>
    <w:p>
      <w:pPr>
        <w:spacing w:line="400" w:lineRule="exact"/>
        <w:ind w:firstLine="420" w:firstLineChars="200"/>
        <w:rPr>
          <w:color w:val="auto"/>
          <w:szCs w:val="24"/>
          <w:highlight w:val="none"/>
        </w:rPr>
      </w:pPr>
      <w:r>
        <w:rPr>
          <w:rFonts w:hint="eastAsia"/>
          <w:color w:val="auto"/>
          <w:szCs w:val="24"/>
          <w:highlight w:val="none"/>
        </w:rPr>
        <w:t>除投标人须知前附表另有规定外，投标人应按下列规定提供资格审查资料，以证明其满足本章第</w:t>
      </w:r>
      <w:r>
        <w:rPr>
          <w:color w:val="auto"/>
          <w:szCs w:val="24"/>
          <w:highlight w:val="none"/>
        </w:rPr>
        <w:t>1.4</w:t>
      </w:r>
      <w:r>
        <w:rPr>
          <w:rFonts w:hint="eastAsia"/>
          <w:color w:val="auto"/>
          <w:szCs w:val="24"/>
          <w:highlight w:val="none"/>
        </w:rPr>
        <w:t>款规定的资质、财务、业绩、信誉等要求。</w:t>
      </w:r>
    </w:p>
    <w:p>
      <w:pPr>
        <w:spacing w:line="400" w:lineRule="exact"/>
        <w:ind w:firstLine="420" w:firstLineChars="200"/>
        <w:rPr>
          <w:rFonts w:hint="eastAsia"/>
          <w:color w:val="auto"/>
          <w:szCs w:val="24"/>
          <w:highlight w:val="none"/>
        </w:rPr>
      </w:pPr>
      <w:r>
        <w:rPr>
          <w:color w:val="auto"/>
          <w:szCs w:val="24"/>
          <w:highlight w:val="none"/>
        </w:rPr>
        <w:t>3.5.1 “</w:t>
      </w:r>
      <w:r>
        <w:rPr>
          <w:rFonts w:hint="eastAsia"/>
          <w:color w:val="auto"/>
          <w:szCs w:val="24"/>
          <w:highlight w:val="none"/>
        </w:rPr>
        <w:t>投标人基本情况表</w:t>
      </w:r>
      <w:r>
        <w:rPr>
          <w:color w:val="auto"/>
          <w:szCs w:val="24"/>
          <w:highlight w:val="none"/>
        </w:rPr>
        <w:t>”</w:t>
      </w:r>
      <w:r>
        <w:rPr>
          <w:rFonts w:hint="eastAsia"/>
          <w:color w:val="auto"/>
          <w:szCs w:val="24"/>
          <w:highlight w:val="none"/>
        </w:rPr>
        <w:t>应附投标人营业执照和组织机构代码证的复印件（按照</w:t>
      </w:r>
      <w:r>
        <w:rPr>
          <w:color w:val="auto"/>
          <w:szCs w:val="24"/>
          <w:highlight w:val="none"/>
        </w:rPr>
        <w:t>“</w:t>
      </w:r>
      <w:r>
        <w:rPr>
          <w:rFonts w:hint="eastAsia"/>
          <w:color w:val="auto"/>
          <w:szCs w:val="24"/>
          <w:highlight w:val="none"/>
        </w:rPr>
        <w:t>三证合一</w:t>
      </w:r>
      <w:r>
        <w:rPr>
          <w:color w:val="auto"/>
          <w:szCs w:val="24"/>
          <w:highlight w:val="none"/>
        </w:rPr>
        <w:t>”</w:t>
      </w:r>
      <w:r>
        <w:rPr>
          <w:rFonts w:hint="eastAsia"/>
          <w:color w:val="auto"/>
          <w:szCs w:val="24"/>
          <w:highlight w:val="none"/>
        </w:rPr>
        <w:t>或</w:t>
      </w:r>
      <w:r>
        <w:rPr>
          <w:color w:val="auto"/>
          <w:szCs w:val="24"/>
          <w:highlight w:val="none"/>
        </w:rPr>
        <w:t>“</w:t>
      </w:r>
      <w:r>
        <w:rPr>
          <w:rFonts w:hint="eastAsia"/>
          <w:color w:val="auto"/>
          <w:szCs w:val="24"/>
          <w:highlight w:val="none"/>
        </w:rPr>
        <w:t>五证合一</w:t>
      </w:r>
      <w:r>
        <w:rPr>
          <w:color w:val="auto"/>
          <w:szCs w:val="24"/>
          <w:highlight w:val="none"/>
        </w:rPr>
        <w:t>”</w:t>
      </w:r>
      <w:r>
        <w:rPr>
          <w:rFonts w:hint="eastAsia"/>
          <w:color w:val="auto"/>
          <w:szCs w:val="24"/>
          <w:highlight w:val="none"/>
        </w:rPr>
        <w:t>登记制度进行登记的，可仅提供营业执照复印件）；</w:t>
      </w:r>
    </w:p>
    <w:p>
      <w:pPr>
        <w:spacing w:line="400" w:lineRule="exact"/>
        <w:ind w:firstLine="420" w:firstLineChars="200"/>
        <w:rPr>
          <w:rFonts w:hint="eastAsia" w:eastAsia="宋体"/>
          <w:color w:val="auto"/>
          <w:szCs w:val="24"/>
          <w:highlight w:val="none"/>
          <w:lang w:eastAsia="zh-CN"/>
        </w:rPr>
      </w:pPr>
      <w:r>
        <w:rPr>
          <w:rFonts w:hint="eastAsia"/>
          <w:color w:val="auto"/>
          <w:szCs w:val="24"/>
          <w:highlight w:val="none"/>
          <w:lang w:val="en-US" w:eastAsia="zh-CN"/>
        </w:rPr>
        <w:t>3.5.2</w:t>
      </w:r>
      <w:r>
        <w:rPr>
          <w:rFonts w:hint="eastAsia"/>
          <w:color w:val="auto"/>
          <w:szCs w:val="24"/>
          <w:highlight w:val="none"/>
        </w:rPr>
        <w:t>投标人须具备建设行政主管部门颁发的工程勘察综合甲级资质；或具备工程勘察专业类工程测量甲级资质；或具备工程勘察专业岩土工程（分项）物探测试检测监测甲级资质</w:t>
      </w:r>
      <w:r>
        <w:rPr>
          <w:rFonts w:hint="eastAsia"/>
          <w:color w:val="auto"/>
          <w:szCs w:val="24"/>
          <w:highlight w:val="none"/>
          <w:lang w:val="en-US" w:eastAsia="zh-CN"/>
        </w:rPr>
        <w:t>；</w:t>
      </w:r>
    </w:p>
    <w:p>
      <w:pPr>
        <w:adjustRightInd w:val="0"/>
        <w:snapToGrid w:val="0"/>
        <w:spacing w:line="360" w:lineRule="auto"/>
        <w:ind w:firstLine="420" w:firstLineChars="200"/>
        <w:jc w:val="left"/>
        <w:rPr>
          <w:rFonts w:hint="eastAsia" w:ascii="宋体" w:hAnsi="宋体" w:cs="宋体"/>
          <w:color w:val="auto"/>
          <w:kern w:val="0"/>
          <w:sz w:val="24"/>
          <w:highlight w:val="none"/>
        </w:rPr>
      </w:pPr>
      <w:r>
        <w:rPr>
          <w:rFonts w:hint="eastAsia" w:ascii="宋体" w:hAnsi="宋体" w:eastAsia="宋体" w:cs="Times New Roman"/>
          <w:color w:val="auto"/>
          <w:szCs w:val="21"/>
          <w:highlight w:val="none"/>
        </w:rPr>
        <w:t>3.5.</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投标人认为需要提交的其他资料。</w:t>
      </w:r>
    </w:p>
    <w:p>
      <w:pPr>
        <w:spacing w:line="400" w:lineRule="exact"/>
        <w:ind w:firstLine="420" w:firstLineChars="200"/>
        <w:rPr>
          <w:color w:val="auto"/>
          <w:szCs w:val="24"/>
          <w:highlight w:val="none"/>
        </w:rPr>
      </w:pPr>
    </w:p>
    <w:p>
      <w:pPr>
        <w:keepNext/>
        <w:keepLines/>
        <w:spacing w:before="260" w:after="260"/>
        <w:ind w:firstLine="137" w:firstLineChars="49"/>
        <w:outlineLvl w:val="2"/>
        <w:rPr>
          <w:rFonts w:eastAsia="黑体"/>
          <w:color w:val="auto"/>
          <w:sz w:val="28"/>
          <w:szCs w:val="20"/>
          <w:highlight w:val="none"/>
        </w:rPr>
      </w:pPr>
      <w:bookmarkStart w:id="458" w:name="_Toc2531"/>
      <w:bookmarkStart w:id="459" w:name="_Toc24375"/>
      <w:bookmarkStart w:id="460" w:name="_Toc30861"/>
      <w:bookmarkStart w:id="461" w:name="_Toc13454"/>
      <w:bookmarkStart w:id="462" w:name="_Toc2608186"/>
      <w:bookmarkStart w:id="463" w:name="_Toc170804585"/>
      <w:bookmarkStart w:id="464" w:name="_Toc29018"/>
      <w:bookmarkStart w:id="465" w:name="_Toc21682"/>
      <w:bookmarkStart w:id="466" w:name="_Toc1744498918"/>
      <w:bookmarkStart w:id="467" w:name="_Toc11241"/>
      <w:bookmarkStart w:id="468" w:name="_Toc13071"/>
      <w:bookmarkStart w:id="469" w:name="_Toc20286"/>
      <w:r>
        <w:rPr>
          <w:rFonts w:eastAsia="黑体"/>
          <w:color w:val="auto"/>
          <w:sz w:val="28"/>
          <w:szCs w:val="20"/>
          <w:highlight w:val="none"/>
        </w:rPr>
        <w:t xml:space="preserve">3.6 </w:t>
      </w:r>
      <w:r>
        <w:rPr>
          <w:rFonts w:hint="eastAsia" w:eastAsia="黑体"/>
          <w:color w:val="auto"/>
          <w:sz w:val="28"/>
          <w:szCs w:val="20"/>
          <w:highlight w:val="none"/>
        </w:rPr>
        <w:t>备选投标方案</w:t>
      </w:r>
      <w:bookmarkEnd w:id="458"/>
      <w:bookmarkEnd w:id="459"/>
      <w:bookmarkEnd w:id="460"/>
      <w:bookmarkEnd w:id="461"/>
      <w:bookmarkEnd w:id="462"/>
      <w:bookmarkEnd w:id="463"/>
      <w:bookmarkEnd w:id="464"/>
      <w:bookmarkEnd w:id="465"/>
      <w:bookmarkEnd w:id="466"/>
      <w:bookmarkEnd w:id="467"/>
      <w:bookmarkEnd w:id="468"/>
      <w:bookmarkEnd w:id="469"/>
    </w:p>
    <w:p>
      <w:pPr>
        <w:spacing w:line="400" w:lineRule="exact"/>
        <w:ind w:firstLine="420" w:firstLineChars="200"/>
        <w:rPr>
          <w:color w:val="auto"/>
          <w:szCs w:val="24"/>
          <w:highlight w:val="none"/>
        </w:rPr>
      </w:pPr>
      <w:r>
        <w:rPr>
          <w:color w:val="auto"/>
          <w:szCs w:val="24"/>
          <w:highlight w:val="none"/>
        </w:rPr>
        <w:t xml:space="preserve">3.6.1 </w:t>
      </w:r>
      <w:r>
        <w:rPr>
          <w:rFonts w:hint="eastAsia"/>
          <w:color w:val="auto"/>
          <w:szCs w:val="24"/>
          <w:highlight w:val="none"/>
        </w:rPr>
        <w:t>除投标人须知前附表规定允许外，投标人不得递交备选投标方案，否则其投标将被否决。</w:t>
      </w:r>
    </w:p>
    <w:p>
      <w:pPr>
        <w:spacing w:line="400" w:lineRule="exact"/>
        <w:ind w:firstLine="420" w:firstLineChars="200"/>
        <w:rPr>
          <w:color w:val="auto"/>
          <w:szCs w:val="24"/>
          <w:highlight w:val="none"/>
        </w:rPr>
      </w:pPr>
      <w:r>
        <w:rPr>
          <w:color w:val="auto"/>
          <w:szCs w:val="24"/>
          <w:highlight w:val="none"/>
        </w:rPr>
        <w:t xml:space="preserve">3.6.2 </w:t>
      </w:r>
      <w:r>
        <w:rPr>
          <w:rFonts w:hint="eastAsia"/>
          <w:color w:val="auto"/>
          <w:szCs w:val="24"/>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0" w:firstLineChars="200"/>
        <w:rPr>
          <w:color w:val="auto"/>
          <w:szCs w:val="24"/>
          <w:highlight w:val="none"/>
        </w:rPr>
      </w:pPr>
      <w:r>
        <w:rPr>
          <w:color w:val="auto"/>
          <w:szCs w:val="24"/>
          <w:highlight w:val="none"/>
        </w:rPr>
        <w:t xml:space="preserve">3.6.3 </w:t>
      </w:r>
      <w:r>
        <w:rPr>
          <w:rFonts w:hint="eastAsia"/>
          <w:color w:val="auto"/>
          <w:szCs w:val="24"/>
          <w:highlight w:val="none"/>
        </w:rPr>
        <w:t>投标人提供两个或两个以上投标报价，或者在投标文件中提供一个报价，但同时提供两个或两个以上检测方案的，视为提供备选方案。</w:t>
      </w:r>
    </w:p>
    <w:p>
      <w:pPr>
        <w:keepNext/>
        <w:keepLines/>
        <w:spacing w:before="260" w:after="260"/>
        <w:ind w:firstLine="137" w:firstLineChars="49"/>
        <w:outlineLvl w:val="2"/>
        <w:rPr>
          <w:rFonts w:eastAsia="黑体"/>
          <w:color w:val="auto"/>
          <w:sz w:val="28"/>
          <w:szCs w:val="20"/>
          <w:highlight w:val="none"/>
        </w:rPr>
      </w:pPr>
      <w:bookmarkStart w:id="470" w:name="_Toc28354"/>
      <w:bookmarkStart w:id="471" w:name="_Toc170804586"/>
      <w:bookmarkStart w:id="472" w:name="_Toc6256"/>
      <w:bookmarkStart w:id="473" w:name="_Toc32651"/>
      <w:bookmarkStart w:id="474" w:name="_Toc2608187"/>
      <w:bookmarkStart w:id="475" w:name="_Toc10923"/>
      <w:bookmarkStart w:id="476" w:name="_Toc199082335"/>
      <w:bookmarkStart w:id="477" w:name="_Toc30554"/>
      <w:bookmarkStart w:id="478" w:name="_Toc20449"/>
      <w:bookmarkStart w:id="479" w:name="_Toc7795"/>
      <w:bookmarkStart w:id="480" w:name="_Toc21084"/>
      <w:bookmarkStart w:id="481" w:name="_Toc7766"/>
      <w:r>
        <w:rPr>
          <w:rFonts w:eastAsia="黑体"/>
          <w:color w:val="auto"/>
          <w:sz w:val="28"/>
          <w:szCs w:val="20"/>
          <w:highlight w:val="none"/>
        </w:rPr>
        <w:t xml:space="preserve">3.7 </w:t>
      </w:r>
      <w:r>
        <w:rPr>
          <w:rFonts w:hint="eastAsia" w:eastAsia="黑体"/>
          <w:color w:val="auto"/>
          <w:sz w:val="28"/>
          <w:szCs w:val="20"/>
          <w:highlight w:val="none"/>
        </w:rPr>
        <w:t>投标文件的编制</w:t>
      </w:r>
      <w:bookmarkEnd w:id="470"/>
      <w:bookmarkEnd w:id="471"/>
      <w:bookmarkEnd w:id="472"/>
      <w:bookmarkEnd w:id="473"/>
      <w:bookmarkEnd w:id="474"/>
      <w:bookmarkEnd w:id="475"/>
      <w:bookmarkEnd w:id="476"/>
      <w:bookmarkEnd w:id="477"/>
      <w:bookmarkEnd w:id="478"/>
      <w:bookmarkEnd w:id="479"/>
      <w:bookmarkEnd w:id="480"/>
      <w:bookmarkEnd w:id="481"/>
    </w:p>
    <w:p>
      <w:pPr>
        <w:spacing w:line="400" w:lineRule="exact"/>
        <w:ind w:firstLine="420" w:firstLineChars="200"/>
        <w:rPr>
          <w:color w:val="auto"/>
          <w:szCs w:val="24"/>
          <w:highlight w:val="none"/>
        </w:rPr>
      </w:pPr>
      <w:r>
        <w:rPr>
          <w:color w:val="auto"/>
          <w:szCs w:val="24"/>
          <w:highlight w:val="none"/>
        </w:rPr>
        <w:t xml:space="preserve">3.7.1 </w:t>
      </w:r>
      <w:r>
        <w:rPr>
          <w:rFonts w:hint="eastAsia"/>
          <w:color w:val="auto"/>
          <w:szCs w:val="24"/>
          <w:highlight w:val="none"/>
        </w:rPr>
        <w:t>投标文件应按第六章</w:t>
      </w:r>
      <w:r>
        <w:rPr>
          <w:color w:val="auto"/>
          <w:szCs w:val="24"/>
          <w:highlight w:val="none"/>
        </w:rPr>
        <w:t>“</w:t>
      </w:r>
      <w:r>
        <w:rPr>
          <w:rFonts w:hint="eastAsia"/>
          <w:color w:val="auto"/>
          <w:szCs w:val="24"/>
          <w:highlight w:val="none"/>
        </w:rPr>
        <w:t>投标文件格式</w:t>
      </w:r>
      <w:r>
        <w:rPr>
          <w:color w:val="auto"/>
          <w:szCs w:val="24"/>
          <w:highlight w:val="none"/>
        </w:rPr>
        <w:t>”</w:t>
      </w:r>
      <w:r>
        <w:rPr>
          <w:rFonts w:hint="eastAsia"/>
          <w:color w:val="auto"/>
          <w:szCs w:val="24"/>
          <w:highlight w:val="none"/>
        </w:rPr>
        <w:t>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color w:val="auto"/>
          <w:szCs w:val="24"/>
          <w:highlight w:val="none"/>
        </w:rPr>
      </w:pPr>
      <w:r>
        <w:rPr>
          <w:color w:val="auto"/>
          <w:szCs w:val="24"/>
          <w:highlight w:val="none"/>
        </w:rPr>
        <w:t xml:space="preserve">3.7.2 </w:t>
      </w:r>
      <w:r>
        <w:rPr>
          <w:rFonts w:hint="eastAsia"/>
          <w:color w:val="auto"/>
          <w:szCs w:val="24"/>
          <w:highlight w:val="none"/>
        </w:rPr>
        <w:t>投标文件应当对招标文件有关投标有效期、发包人要求、招标范围等实质性内容作出响应。</w:t>
      </w:r>
    </w:p>
    <w:p>
      <w:pPr>
        <w:spacing w:line="400" w:lineRule="exact"/>
        <w:ind w:firstLine="420" w:firstLineChars="200"/>
        <w:rPr>
          <w:color w:val="auto"/>
          <w:szCs w:val="24"/>
          <w:highlight w:val="none"/>
        </w:rPr>
      </w:pPr>
      <w:r>
        <w:rPr>
          <w:color w:val="auto"/>
          <w:szCs w:val="24"/>
          <w:highlight w:val="none"/>
        </w:rPr>
        <w:t>3.7.3</w:t>
      </w:r>
      <w:r>
        <w:rPr>
          <w:rFonts w:hint="eastAsia"/>
          <w:color w:val="auto"/>
          <w:szCs w:val="24"/>
          <w:highlight w:val="none"/>
        </w:rPr>
        <w:t>投标文件全部采用电子文档，除投标人须知前附表另有规定外，投标文件所附证书证件均为原件扫描件，并</w:t>
      </w:r>
      <w:r>
        <w:rPr>
          <w:rFonts w:hint="eastAsia"/>
          <w:color w:val="auto"/>
          <w:szCs w:val="21"/>
          <w:highlight w:val="none"/>
        </w:rPr>
        <w:t>采用单位和个人数字证书，按招标文件要求在相应位置加盖电子印章</w:t>
      </w:r>
      <w:r>
        <w:rPr>
          <w:rFonts w:hint="eastAsia"/>
          <w:color w:val="auto"/>
          <w:szCs w:val="24"/>
          <w:highlight w:val="none"/>
        </w:rPr>
        <w:t>。由投标人的法定代表人签字或加盖电子印章的，应附法定代表人身份证明，由代理人签字或加盖电子印章的，应附由法定代表人签署的授权委托书。签字或盖章的具体要求见投标人须知前附表。</w:t>
      </w:r>
    </w:p>
    <w:p>
      <w:pPr>
        <w:spacing w:line="400" w:lineRule="exact"/>
        <w:ind w:firstLine="420" w:firstLineChars="200"/>
        <w:rPr>
          <w:color w:val="auto"/>
          <w:szCs w:val="24"/>
          <w:highlight w:val="none"/>
        </w:rPr>
      </w:pPr>
    </w:p>
    <w:p>
      <w:pPr>
        <w:keepNext/>
        <w:keepLines/>
        <w:adjustRightInd w:val="0"/>
        <w:snapToGrid w:val="0"/>
        <w:textAlignment w:val="baseline"/>
        <w:outlineLvl w:val="1"/>
        <w:rPr>
          <w:rFonts w:eastAsia="黑体"/>
          <w:color w:val="auto"/>
          <w:kern w:val="0"/>
          <w:sz w:val="24"/>
          <w:szCs w:val="20"/>
          <w:highlight w:val="none"/>
        </w:rPr>
      </w:pPr>
      <w:bookmarkStart w:id="482" w:name="_Toc10448"/>
      <w:bookmarkStart w:id="483" w:name="_Toc13704"/>
      <w:bookmarkStart w:id="484" w:name="_Toc17333"/>
      <w:bookmarkStart w:id="485" w:name="_Toc21419"/>
      <w:bookmarkStart w:id="486" w:name="_Toc170804587"/>
      <w:bookmarkStart w:id="487" w:name="_Toc29550"/>
      <w:bookmarkStart w:id="488" w:name="_Toc5006"/>
      <w:bookmarkStart w:id="489" w:name="_Toc9516"/>
      <w:bookmarkStart w:id="490" w:name="_Toc4650"/>
      <w:bookmarkStart w:id="491" w:name="_Toc18485"/>
      <w:bookmarkStart w:id="492" w:name="_Toc197282319"/>
      <w:r>
        <w:rPr>
          <w:rFonts w:eastAsia="黑体"/>
          <w:color w:val="auto"/>
          <w:kern w:val="0"/>
          <w:sz w:val="24"/>
          <w:szCs w:val="20"/>
          <w:highlight w:val="none"/>
        </w:rPr>
        <w:t xml:space="preserve">4. </w:t>
      </w:r>
      <w:r>
        <w:rPr>
          <w:rFonts w:hint="eastAsia" w:eastAsia="黑体"/>
          <w:color w:val="auto"/>
          <w:kern w:val="0"/>
          <w:sz w:val="24"/>
          <w:szCs w:val="20"/>
          <w:highlight w:val="none"/>
        </w:rPr>
        <w:t>投标</w:t>
      </w:r>
      <w:bookmarkEnd w:id="482"/>
      <w:bookmarkEnd w:id="483"/>
      <w:bookmarkEnd w:id="484"/>
      <w:bookmarkEnd w:id="485"/>
      <w:bookmarkEnd w:id="486"/>
      <w:bookmarkEnd w:id="487"/>
      <w:bookmarkEnd w:id="488"/>
      <w:bookmarkEnd w:id="489"/>
      <w:bookmarkEnd w:id="490"/>
      <w:bookmarkEnd w:id="491"/>
      <w:bookmarkEnd w:id="492"/>
    </w:p>
    <w:p>
      <w:pPr>
        <w:keepNext/>
        <w:keepLines/>
        <w:spacing w:before="260" w:after="260"/>
        <w:ind w:firstLine="137" w:firstLineChars="49"/>
        <w:outlineLvl w:val="2"/>
        <w:rPr>
          <w:rFonts w:eastAsia="黑体"/>
          <w:color w:val="auto"/>
          <w:sz w:val="28"/>
          <w:szCs w:val="20"/>
          <w:highlight w:val="none"/>
        </w:rPr>
      </w:pPr>
      <w:bookmarkStart w:id="493" w:name="_Toc2608189"/>
      <w:bookmarkStart w:id="494" w:name="_Toc16461"/>
      <w:bookmarkStart w:id="495" w:name="_Toc26039"/>
      <w:bookmarkStart w:id="496" w:name="_Toc9209"/>
      <w:bookmarkStart w:id="497" w:name="_Toc170804588"/>
      <w:bookmarkStart w:id="498" w:name="_Toc6987"/>
      <w:bookmarkStart w:id="499" w:name="_Toc19991"/>
      <w:bookmarkStart w:id="500" w:name="_Toc32014"/>
      <w:bookmarkStart w:id="501" w:name="_Toc9184465"/>
      <w:bookmarkStart w:id="502" w:name="_Toc30465"/>
      <w:bookmarkStart w:id="503" w:name="_Toc3294"/>
      <w:bookmarkStart w:id="504" w:name="_Toc24779"/>
      <w:r>
        <w:rPr>
          <w:rFonts w:eastAsia="黑体"/>
          <w:color w:val="auto"/>
          <w:sz w:val="28"/>
          <w:szCs w:val="20"/>
          <w:highlight w:val="none"/>
        </w:rPr>
        <w:t xml:space="preserve">4.1 </w:t>
      </w:r>
      <w:r>
        <w:rPr>
          <w:rFonts w:hint="eastAsia" w:eastAsia="黑体"/>
          <w:color w:val="auto"/>
          <w:sz w:val="28"/>
          <w:szCs w:val="20"/>
          <w:highlight w:val="none"/>
        </w:rPr>
        <w:t>投标文件的密封和标记</w:t>
      </w:r>
      <w:bookmarkEnd w:id="493"/>
      <w:bookmarkEnd w:id="494"/>
      <w:bookmarkEnd w:id="495"/>
      <w:bookmarkEnd w:id="496"/>
      <w:bookmarkEnd w:id="497"/>
      <w:bookmarkEnd w:id="498"/>
      <w:bookmarkEnd w:id="499"/>
      <w:bookmarkEnd w:id="500"/>
      <w:bookmarkEnd w:id="501"/>
      <w:bookmarkEnd w:id="502"/>
      <w:bookmarkEnd w:id="503"/>
      <w:bookmarkEnd w:id="504"/>
    </w:p>
    <w:p>
      <w:pPr>
        <w:spacing w:line="400" w:lineRule="exact"/>
        <w:ind w:firstLine="420" w:firstLineChars="200"/>
        <w:rPr>
          <w:color w:val="auto"/>
          <w:szCs w:val="24"/>
          <w:highlight w:val="none"/>
        </w:rPr>
      </w:pPr>
      <w:r>
        <w:rPr>
          <w:color w:val="auto"/>
          <w:szCs w:val="24"/>
          <w:highlight w:val="none"/>
        </w:rPr>
        <w:t>4.1.1</w:t>
      </w:r>
      <w:r>
        <w:rPr>
          <w:rFonts w:hint="eastAsia"/>
          <w:color w:val="auto"/>
          <w:szCs w:val="24"/>
          <w:highlight w:val="none"/>
        </w:rPr>
        <w:t>投标人应当按照招标文件和电子招标投标交易平台的要求加密投标文件，具体要求见投标人须知前附表。</w:t>
      </w:r>
    </w:p>
    <w:p>
      <w:pPr>
        <w:spacing w:line="400" w:lineRule="exact"/>
        <w:ind w:firstLine="420" w:firstLineChars="200"/>
        <w:rPr>
          <w:color w:val="auto"/>
          <w:szCs w:val="24"/>
          <w:highlight w:val="none"/>
        </w:rPr>
      </w:pPr>
      <w:r>
        <w:rPr>
          <w:color w:val="auto"/>
          <w:szCs w:val="24"/>
          <w:highlight w:val="none"/>
        </w:rPr>
        <w:t xml:space="preserve">4.1.2 </w:t>
      </w:r>
      <w:r>
        <w:rPr>
          <w:rFonts w:hint="eastAsia"/>
          <w:color w:val="auto"/>
          <w:szCs w:val="24"/>
          <w:highlight w:val="none"/>
        </w:rPr>
        <w:t>投标文件封套上应写明的内容见投标人须知前附表。</w:t>
      </w:r>
    </w:p>
    <w:p>
      <w:pPr>
        <w:spacing w:line="400" w:lineRule="exact"/>
        <w:ind w:firstLine="420" w:firstLineChars="200"/>
        <w:rPr>
          <w:color w:val="auto"/>
          <w:szCs w:val="24"/>
          <w:highlight w:val="none"/>
        </w:rPr>
      </w:pPr>
      <w:r>
        <w:rPr>
          <w:color w:val="auto"/>
          <w:szCs w:val="24"/>
          <w:highlight w:val="none"/>
        </w:rPr>
        <w:t xml:space="preserve">4.1.3 </w:t>
      </w:r>
      <w:r>
        <w:rPr>
          <w:rFonts w:hint="eastAsia"/>
          <w:color w:val="auto"/>
          <w:szCs w:val="24"/>
          <w:highlight w:val="none"/>
        </w:rPr>
        <w:t>未按本章第</w:t>
      </w:r>
      <w:r>
        <w:rPr>
          <w:color w:val="auto"/>
          <w:szCs w:val="24"/>
          <w:highlight w:val="none"/>
        </w:rPr>
        <w:t>4.1.1</w:t>
      </w:r>
      <w:r>
        <w:rPr>
          <w:rFonts w:hint="eastAsia"/>
          <w:color w:val="auto"/>
          <w:szCs w:val="24"/>
          <w:highlight w:val="none"/>
        </w:rPr>
        <w:t>项要求密封的投标文件，招标人将予以拒收。</w:t>
      </w:r>
    </w:p>
    <w:p>
      <w:pPr>
        <w:keepNext/>
        <w:keepLines/>
        <w:spacing w:before="260" w:after="260"/>
        <w:ind w:firstLine="137" w:firstLineChars="49"/>
        <w:outlineLvl w:val="2"/>
        <w:rPr>
          <w:rFonts w:eastAsia="黑体"/>
          <w:color w:val="auto"/>
          <w:sz w:val="28"/>
          <w:szCs w:val="20"/>
          <w:highlight w:val="none"/>
        </w:rPr>
      </w:pPr>
      <w:bookmarkStart w:id="505" w:name="_Toc23787"/>
      <w:bookmarkStart w:id="506" w:name="_Toc6050"/>
      <w:bookmarkStart w:id="507" w:name="_Toc20671"/>
      <w:bookmarkStart w:id="508" w:name="_Toc25950"/>
      <w:bookmarkStart w:id="509" w:name="_Toc8301"/>
      <w:bookmarkStart w:id="510" w:name="_Toc2608190"/>
      <w:bookmarkStart w:id="511" w:name="_Toc24525"/>
      <w:bookmarkStart w:id="512" w:name="_Toc597"/>
      <w:bookmarkStart w:id="513" w:name="_Toc17247"/>
      <w:bookmarkStart w:id="514" w:name="_Toc15786"/>
      <w:bookmarkStart w:id="515" w:name="_Toc170804589"/>
      <w:bookmarkStart w:id="516" w:name="_Toc1891964318"/>
      <w:r>
        <w:rPr>
          <w:rFonts w:eastAsia="黑体"/>
          <w:color w:val="auto"/>
          <w:sz w:val="28"/>
          <w:szCs w:val="20"/>
          <w:highlight w:val="none"/>
        </w:rPr>
        <w:t xml:space="preserve">4.2 </w:t>
      </w:r>
      <w:r>
        <w:rPr>
          <w:rFonts w:hint="eastAsia" w:eastAsia="黑体"/>
          <w:color w:val="auto"/>
          <w:sz w:val="28"/>
          <w:szCs w:val="20"/>
          <w:highlight w:val="none"/>
        </w:rPr>
        <w:t>投标文件的递交</w:t>
      </w:r>
      <w:bookmarkEnd w:id="505"/>
      <w:bookmarkEnd w:id="506"/>
      <w:bookmarkEnd w:id="507"/>
      <w:bookmarkEnd w:id="508"/>
      <w:bookmarkEnd w:id="509"/>
      <w:bookmarkEnd w:id="510"/>
      <w:bookmarkEnd w:id="511"/>
      <w:bookmarkEnd w:id="512"/>
      <w:bookmarkEnd w:id="513"/>
      <w:bookmarkEnd w:id="514"/>
      <w:bookmarkEnd w:id="515"/>
      <w:bookmarkEnd w:id="516"/>
    </w:p>
    <w:p>
      <w:pPr>
        <w:spacing w:line="400" w:lineRule="exact"/>
        <w:ind w:firstLine="420" w:firstLineChars="200"/>
        <w:rPr>
          <w:color w:val="auto"/>
          <w:szCs w:val="24"/>
          <w:highlight w:val="none"/>
        </w:rPr>
      </w:pPr>
      <w:r>
        <w:rPr>
          <w:color w:val="auto"/>
          <w:szCs w:val="24"/>
          <w:highlight w:val="none"/>
        </w:rPr>
        <w:t xml:space="preserve">4.2.1 </w:t>
      </w:r>
      <w:r>
        <w:rPr>
          <w:rFonts w:hint="eastAsia"/>
          <w:color w:val="auto"/>
          <w:szCs w:val="24"/>
          <w:highlight w:val="none"/>
        </w:rPr>
        <w:t>投标人应在投标人须知前附表规定的投标截止时间前递交投标文件。</w:t>
      </w:r>
    </w:p>
    <w:p>
      <w:pPr>
        <w:spacing w:line="400" w:lineRule="exact"/>
        <w:ind w:firstLine="420" w:firstLineChars="200"/>
        <w:rPr>
          <w:color w:val="auto"/>
          <w:szCs w:val="24"/>
          <w:highlight w:val="none"/>
        </w:rPr>
      </w:pPr>
      <w:r>
        <w:rPr>
          <w:color w:val="auto"/>
          <w:szCs w:val="24"/>
          <w:highlight w:val="none"/>
        </w:rPr>
        <w:t>4.2.2</w:t>
      </w:r>
      <w:r>
        <w:rPr>
          <w:rFonts w:hint="eastAsia"/>
          <w:bCs/>
          <w:iCs/>
          <w:color w:val="auto"/>
          <w:szCs w:val="24"/>
          <w:highlight w:val="none"/>
        </w:rPr>
        <w:t>投标人通过下载招标文件的电子招标投标交易平台递交电子投标文件。</w:t>
      </w:r>
    </w:p>
    <w:p>
      <w:pPr>
        <w:spacing w:line="400" w:lineRule="exact"/>
        <w:ind w:firstLine="420" w:firstLineChars="200"/>
        <w:rPr>
          <w:color w:val="auto"/>
          <w:szCs w:val="24"/>
          <w:highlight w:val="none"/>
        </w:rPr>
      </w:pPr>
      <w:r>
        <w:rPr>
          <w:color w:val="auto"/>
          <w:szCs w:val="24"/>
          <w:highlight w:val="none"/>
        </w:rPr>
        <w:t xml:space="preserve">4.2.3 </w:t>
      </w:r>
      <w:r>
        <w:rPr>
          <w:rFonts w:hint="eastAsia"/>
          <w:color w:val="auto"/>
          <w:szCs w:val="24"/>
          <w:highlight w:val="none"/>
        </w:rPr>
        <w:t>除投标人须知前附表另有规定外，投标人所递交的投标文件不予退还。</w:t>
      </w:r>
    </w:p>
    <w:p>
      <w:pPr>
        <w:spacing w:line="400" w:lineRule="exact"/>
        <w:ind w:firstLine="420" w:firstLineChars="200"/>
        <w:rPr>
          <w:color w:val="auto"/>
          <w:szCs w:val="24"/>
          <w:highlight w:val="none"/>
        </w:rPr>
      </w:pPr>
      <w:r>
        <w:rPr>
          <w:color w:val="auto"/>
          <w:szCs w:val="24"/>
          <w:highlight w:val="none"/>
        </w:rPr>
        <w:t>4.2.4</w:t>
      </w:r>
      <w:r>
        <w:rPr>
          <w:rFonts w:hint="eastAsia"/>
          <w:color w:val="auto"/>
          <w:szCs w:val="24"/>
          <w:highlight w:val="none"/>
        </w:rPr>
        <w:t>投标人完成电子投标文件上传后，</w:t>
      </w:r>
      <w:r>
        <w:rPr>
          <w:rFonts w:hint="eastAsia"/>
          <w:bCs/>
          <w:iCs/>
          <w:color w:val="auto"/>
          <w:szCs w:val="24"/>
          <w:highlight w:val="none"/>
        </w:rPr>
        <w:t>电子招标投标交易平台</w:t>
      </w:r>
      <w:r>
        <w:rPr>
          <w:rFonts w:hint="eastAsia"/>
          <w:color w:val="auto"/>
          <w:szCs w:val="24"/>
          <w:highlight w:val="none"/>
        </w:rPr>
        <w:t>即时向投标人发出递交回执通知。递交时间以递交回执通知载明的传输完成时间为准。</w:t>
      </w:r>
    </w:p>
    <w:p>
      <w:pPr>
        <w:spacing w:line="400" w:lineRule="exact"/>
        <w:ind w:firstLine="420" w:firstLineChars="200"/>
        <w:jc w:val="left"/>
        <w:rPr>
          <w:color w:val="auto"/>
          <w:szCs w:val="24"/>
          <w:highlight w:val="none"/>
        </w:rPr>
      </w:pPr>
      <w:r>
        <w:rPr>
          <w:color w:val="auto"/>
          <w:szCs w:val="24"/>
          <w:highlight w:val="none"/>
        </w:rPr>
        <w:t>4.2.5</w:t>
      </w:r>
      <w:r>
        <w:rPr>
          <w:rFonts w:hint="eastAsia"/>
          <w:color w:val="auto"/>
          <w:szCs w:val="24"/>
          <w:highlight w:val="none"/>
        </w:rPr>
        <w:t>逾期送达的投标文件，电子招标投标交易平台将予以拒收。</w:t>
      </w:r>
    </w:p>
    <w:p>
      <w:pPr>
        <w:keepNext/>
        <w:keepLines/>
        <w:spacing w:before="260" w:after="260"/>
        <w:ind w:firstLine="137" w:firstLineChars="49"/>
        <w:outlineLvl w:val="2"/>
        <w:rPr>
          <w:rFonts w:eastAsia="黑体"/>
          <w:color w:val="auto"/>
          <w:sz w:val="28"/>
          <w:szCs w:val="20"/>
          <w:highlight w:val="none"/>
        </w:rPr>
      </w:pPr>
      <w:bookmarkStart w:id="517" w:name="_Toc4321"/>
      <w:bookmarkStart w:id="518" w:name="_Toc9111"/>
      <w:bookmarkStart w:id="519" w:name="_Toc453931497"/>
      <w:bookmarkStart w:id="520" w:name="_Toc16825"/>
      <w:bookmarkStart w:id="521" w:name="_Toc2608191"/>
      <w:bookmarkStart w:id="522" w:name="_Toc27082"/>
      <w:bookmarkStart w:id="523" w:name="_Toc10655"/>
      <w:bookmarkStart w:id="524" w:name="_Toc22495"/>
      <w:bookmarkStart w:id="525" w:name="_Toc9066"/>
      <w:bookmarkStart w:id="526" w:name="_Toc10092"/>
      <w:bookmarkStart w:id="527" w:name="_Toc30730"/>
      <w:bookmarkStart w:id="528" w:name="_Toc170804590"/>
      <w:r>
        <w:rPr>
          <w:rFonts w:eastAsia="黑体"/>
          <w:color w:val="auto"/>
          <w:sz w:val="28"/>
          <w:szCs w:val="20"/>
          <w:highlight w:val="none"/>
        </w:rPr>
        <w:t xml:space="preserve">4.3 </w:t>
      </w:r>
      <w:r>
        <w:rPr>
          <w:rFonts w:hint="eastAsia" w:eastAsia="黑体"/>
          <w:color w:val="auto"/>
          <w:sz w:val="28"/>
          <w:szCs w:val="20"/>
          <w:highlight w:val="none"/>
        </w:rPr>
        <w:t>投标文件的修改与撤回</w:t>
      </w:r>
      <w:bookmarkEnd w:id="517"/>
      <w:bookmarkEnd w:id="518"/>
      <w:bookmarkEnd w:id="519"/>
      <w:bookmarkEnd w:id="520"/>
      <w:bookmarkEnd w:id="521"/>
      <w:bookmarkEnd w:id="522"/>
      <w:bookmarkEnd w:id="523"/>
      <w:bookmarkEnd w:id="524"/>
      <w:bookmarkEnd w:id="525"/>
      <w:bookmarkEnd w:id="526"/>
      <w:bookmarkEnd w:id="527"/>
      <w:bookmarkEnd w:id="528"/>
    </w:p>
    <w:p>
      <w:pPr>
        <w:spacing w:line="400" w:lineRule="exact"/>
        <w:ind w:firstLine="420" w:firstLineChars="200"/>
        <w:rPr>
          <w:color w:val="auto"/>
          <w:szCs w:val="24"/>
          <w:highlight w:val="none"/>
        </w:rPr>
      </w:pPr>
      <w:r>
        <w:rPr>
          <w:color w:val="auto"/>
          <w:szCs w:val="24"/>
          <w:highlight w:val="none"/>
        </w:rPr>
        <w:t xml:space="preserve">4.3.1 </w:t>
      </w:r>
      <w:r>
        <w:rPr>
          <w:rFonts w:hint="eastAsia"/>
          <w:color w:val="auto"/>
          <w:szCs w:val="24"/>
          <w:highlight w:val="none"/>
        </w:rPr>
        <w:t>在本章第</w:t>
      </w:r>
      <w:r>
        <w:rPr>
          <w:color w:val="auto"/>
          <w:szCs w:val="24"/>
          <w:highlight w:val="none"/>
        </w:rPr>
        <w:t>4.2.1</w:t>
      </w:r>
      <w:r>
        <w:rPr>
          <w:rFonts w:hint="eastAsia"/>
          <w:color w:val="auto"/>
          <w:szCs w:val="24"/>
          <w:highlight w:val="none"/>
        </w:rPr>
        <w:t>项规定的投标截止时间前，投标人可以修改或撤回已递交的投标文件，但应以书面形式通知招标人。</w:t>
      </w:r>
    </w:p>
    <w:p>
      <w:pPr>
        <w:spacing w:line="400" w:lineRule="exact"/>
        <w:ind w:firstLine="420" w:firstLineChars="200"/>
        <w:rPr>
          <w:color w:val="auto"/>
          <w:szCs w:val="24"/>
          <w:highlight w:val="none"/>
        </w:rPr>
      </w:pPr>
      <w:r>
        <w:rPr>
          <w:color w:val="auto"/>
          <w:szCs w:val="24"/>
          <w:highlight w:val="none"/>
        </w:rPr>
        <w:t>4.3.2</w:t>
      </w:r>
      <w:r>
        <w:rPr>
          <w:rFonts w:hint="eastAsia"/>
          <w:color w:val="auto"/>
          <w:szCs w:val="24"/>
          <w:highlight w:val="none"/>
        </w:rPr>
        <w:t>投标人修改或撤回已递交投标文件的通知，应按照本章第</w:t>
      </w:r>
      <w:r>
        <w:rPr>
          <w:color w:val="auto"/>
          <w:szCs w:val="24"/>
          <w:highlight w:val="none"/>
        </w:rPr>
        <w:t>3.7.3</w:t>
      </w:r>
      <w:r>
        <w:rPr>
          <w:rFonts w:hint="eastAsia"/>
          <w:color w:val="auto"/>
          <w:szCs w:val="24"/>
          <w:highlight w:val="none"/>
        </w:rPr>
        <w:t>项的要求加盖电子印章。</w:t>
      </w:r>
      <w:r>
        <w:rPr>
          <w:rFonts w:hint="eastAsia"/>
          <w:bCs/>
          <w:iCs/>
          <w:color w:val="auto"/>
          <w:szCs w:val="24"/>
          <w:highlight w:val="none"/>
        </w:rPr>
        <w:t>电子招标投标交易平台收到通知后，</w:t>
      </w:r>
      <w:r>
        <w:rPr>
          <w:rFonts w:hint="eastAsia"/>
          <w:color w:val="auto"/>
          <w:szCs w:val="24"/>
          <w:highlight w:val="none"/>
        </w:rPr>
        <w:t>即时向投标人发出确认回执通知。</w:t>
      </w:r>
    </w:p>
    <w:p>
      <w:pPr>
        <w:spacing w:line="400" w:lineRule="exact"/>
        <w:ind w:firstLine="420" w:firstLineChars="200"/>
        <w:rPr>
          <w:color w:val="auto"/>
          <w:szCs w:val="24"/>
          <w:highlight w:val="none"/>
        </w:rPr>
      </w:pPr>
      <w:r>
        <w:rPr>
          <w:color w:val="auto"/>
          <w:szCs w:val="24"/>
          <w:highlight w:val="none"/>
        </w:rPr>
        <w:t xml:space="preserve">4.3.3 </w:t>
      </w:r>
      <w:r>
        <w:rPr>
          <w:rFonts w:hint="eastAsia"/>
          <w:color w:val="auto"/>
          <w:szCs w:val="24"/>
          <w:highlight w:val="none"/>
        </w:rPr>
        <w:t>投标人撤回投标文件的，招标人自收到投标人书面撤回通知之日起</w:t>
      </w:r>
      <w:r>
        <w:rPr>
          <w:color w:val="auto"/>
          <w:szCs w:val="24"/>
          <w:highlight w:val="none"/>
        </w:rPr>
        <w:t>5</w:t>
      </w:r>
      <w:r>
        <w:rPr>
          <w:rFonts w:hint="eastAsia"/>
          <w:color w:val="auto"/>
          <w:szCs w:val="24"/>
          <w:highlight w:val="none"/>
        </w:rPr>
        <w:t>日内退还已收取的投标保证金。</w:t>
      </w:r>
    </w:p>
    <w:p>
      <w:pPr>
        <w:spacing w:line="400" w:lineRule="exact"/>
        <w:ind w:firstLine="420" w:firstLineChars="200"/>
        <w:rPr>
          <w:color w:val="auto"/>
          <w:szCs w:val="24"/>
          <w:highlight w:val="none"/>
        </w:rPr>
      </w:pPr>
      <w:r>
        <w:rPr>
          <w:color w:val="auto"/>
          <w:szCs w:val="24"/>
          <w:highlight w:val="none"/>
        </w:rPr>
        <w:t xml:space="preserve">4.3.4 </w:t>
      </w:r>
      <w:r>
        <w:rPr>
          <w:rFonts w:hint="eastAsia"/>
          <w:color w:val="auto"/>
          <w:szCs w:val="24"/>
          <w:highlight w:val="none"/>
        </w:rPr>
        <w:t>修改的内容为投标文件的组成部分。修改的投标文件应按照本章第</w:t>
      </w:r>
      <w:r>
        <w:rPr>
          <w:color w:val="auto"/>
          <w:szCs w:val="24"/>
          <w:highlight w:val="none"/>
        </w:rPr>
        <w:t>3</w:t>
      </w:r>
      <w:r>
        <w:rPr>
          <w:rFonts w:hint="eastAsia"/>
          <w:color w:val="auto"/>
          <w:szCs w:val="24"/>
          <w:highlight w:val="none"/>
        </w:rPr>
        <w:t>条、第</w:t>
      </w:r>
      <w:r>
        <w:rPr>
          <w:color w:val="auto"/>
          <w:szCs w:val="24"/>
          <w:highlight w:val="none"/>
        </w:rPr>
        <w:t>4</w:t>
      </w:r>
      <w:r>
        <w:rPr>
          <w:rFonts w:hint="eastAsia"/>
          <w:color w:val="auto"/>
          <w:szCs w:val="24"/>
          <w:highlight w:val="none"/>
        </w:rPr>
        <w:t>条的规定进行编制、密封、标记和递交，并标明</w:t>
      </w:r>
      <w:r>
        <w:rPr>
          <w:color w:val="auto"/>
          <w:szCs w:val="24"/>
          <w:highlight w:val="none"/>
        </w:rPr>
        <w:t>“</w:t>
      </w:r>
      <w:r>
        <w:rPr>
          <w:rFonts w:hint="eastAsia"/>
          <w:color w:val="auto"/>
          <w:szCs w:val="24"/>
          <w:highlight w:val="none"/>
        </w:rPr>
        <w:t>修改</w:t>
      </w:r>
      <w:r>
        <w:rPr>
          <w:color w:val="auto"/>
          <w:szCs w:val="24"/>
          <w:highlight w:val="none"/>
        </w:rPr>
        <w:t>”</w:t>
      </w:r>
      <w:r>
        <w:rPr>
          <w:rFonts w:hint="eastAsia"/>
          <w:color w:val="auto"/>
          <w:szCs w:val="24"/>
          <w:highlight w:val="none"/>
        </w:rPr>
        <w:t>字样。</w:t>
      </w:r>
    </w:p>
    <w:p>
      <w:pPr>
        <w:pStyle w:val="5"/>
        <w:rPr>
          <w:color w:val="auto"/>
          <w:highlight w:val="none"/>
        </w:rPr>
      </w:pPr>
    </w:p>
    <w:p>
      <w:pPr>
        <w:keepNext/>
        <w:keepLines/>
        <w:adjustRightInd w:val="0"/>
        <w:snapToGrid w:val="0"/>
        <w:textAlignment w:val="baseline"/>
        <w:outlineLvl w:val="1"/>
        <w:rPr>
          <w:rFonts w:eastAsia="黑体"/>
          <w:color w:val="auto"/>
          <w:kern w:val="0"/>
          <w:sz w:val="24"/>
          <w:szCs w:val="20"/>
          <w:highlight w:val="none"/>
        </w:rPr>
      </w:pPr>
      <w:bookmarkStart w:id="529" w:name="_Toc7947"/>
      <w:bookmarkStart w:id="530" w:name="_Toc2136"/>
      <w:bookmarkStart w:id="531" w:name="_Toc4058"/>
      <w:bookmarkStart w:id="532" w:name="_Toc28283"/>
      <w:bookmarkStart w:id="533" w:name="_Toc1364755935"/>
      <w:bookmarkStart w:id="534" w:name="_Toc1085"/>
      <w:bookmarkStart w:id="535" w:name="_Toc170804591"/>
      <w:bookmarkStart w:id="536" w:name="_Toc27655"/>
      <w:bookmarkStart w:id="537" w:name="_Toc14429"/>
      <w:bookmarkStart w:id="538" w:name="_Toc30628"/>
      <w:bookmarkStart w:id="539" w:name="_Toc12608"/>
      <w:r>
        <w:rPr>
          <w:rFonts w:eastAsia="黑体"/>
          <w:color w:val="auto"/>
          <w:kern w:val="0"/>
          <w:sz w:val="24"/>
          <w:szCs w:val="20"/>
          <w:highlight w:val="none"/>
        </w:rPr>
        <w:t xml:space="preserve">5. </w:t>
      </w:r>
      <w:r>
        <w:rPr>
          <w:rFonts w:hint="eastAsia" w:eastAsia="黑体"/>
          <w:color w:val="auto"/>
          <w:kern w:val="0"/>
          <w:sz w:val="24"/>
          <w:szCs w:val="20"/>
          <w:highlight w:val="none"/>
        </w:rPr>
        <w:t>开标</w:t>
      </w:r>
      <w:bookmarkEnd w:id="529"/>
      <w:bookmarkEnd w:id="530"/>
      <w:bookmarkEnd w:id="531"/>
      <w:bookmarkEnd w:id="532"/>
      <w:bookmarkEnd w:id="533"/>
      <w:bookmarkEnd w:id="534"/>
      <w:bookmarkEnd w:id="535"/>
      <w:bookmarkEnd w:id="536"/>
      <w:bookmarkEnd w:id="537"/>
      <w:bookmarkEnd w:id="538"/>
      <w:bookmarkEnd w:id="539"/>
    </w:p>
    <w:p>
      <w:pPr>
        <w:keepNext/>
        <w:keepLines/>
        <w:spacing w:before="260" w:after="260"/>
        <w:ind w:firstLine="137" w:firstLineChars="49"/>
        <w:outlineLvl w:val="2"/>
        <w:rPr>
          <w:rFonts w:eastAsia="黑体"/>
          <w:color w:val="auto"/>
          <w:sz w:val="28"/>
          <w:szCs w:val="20"/>
          <w:highlight w:val="none"/>
        </w:rPr>
      </w:pPr>
      <w:bookmarkStart w:id="540" w:name="_Toc180165938"/>
      <w:bookmarkStart w:id="541" w:name="_Toc170804592"/>
      <w:bookmarkStart w:id="542" w:name="_Toc5850"/>
      <w:bookmarkStart w:id="543" w:name="_Toc18328"/>
      <w:bookmarkStart w:id="544" w:name="_Toc23896"/>
      <w:bookmarkStart w:id="545" w:name="_Toc778"/>
      <w:bookmarkStart w:id="546" w:name="_Toc2608194"/>
      <w:bookmarkStart w:id="547" w:name="_Toc32145"/>
      <w:bookmarkStart w:id="548" w:name="_Toc22176"/>
      <w:bookmarkStart w:id="549" w:name="_Toc18513"/>
      <w:bookmarkStart w:id="550" w:name="_Toc32150"/>
      <w:bookmarkStart w:id="551" w:name="_Toc22602"/>
      <w:r>
        <w:rPr>
          <w:rFonts w:eastAsia="黑体"/>
          <w:color w:val="auto"/>
          <w:sz w:val="28"/>
          <w:szCs w:val="20"/>
          <w:highlight w:val="none"/>
        </w:rPr>
        <w:t xml:space="preserve">5.1 </w:t>
      </w:r>
      <w:r>
        <w:rPr>
          <w:rFonts w:hint="eastAsia" w:eastAsia="黑体"/>
          <w:color w:val="auto"/>
          <w:sz w:val="28"/>
          <w:szCs w:val="20"/>
          <w:highlight w:val="none"/>
        </w:rPr>
        <w:t>开标时间和地点</w:t>
      </w:r>
      <w:bookmarkEnd w:id="540"/>
      <w:bookmarkEnd w:id="541"/>
      <w:bookmarkEnd w:id="542"/>
      <w:bookmarkEnd w:id="543"/>
      <w:bookmarkEnd w:id="544"/>
      <w:bookmarkEnd w:id="545"/>
      <w:bookmarkEnd w:id="546"/>
      <w:bookmarkEnd w:id="547"/>
      <w:bookmarkEnd w:id="548"/>
      <w:bookmarkEnd w:id="549"/>
      <w:bookmarkEnd w:id="550"/>
      <w:bookmarkEnd w:id="551"/>
    </w:p>
    <w:p>
      <w:pPr>
        <w:spacing w:line="400" w:lineRule="exact"/>
        <w:ind w:firstLine="420" w:firstLineChars="200"/>
        <w:rPr>
          <w:color w:val="auto"/>
          <w:szCs w:val="24"/>
          <w:highlight w:val="none"/>
        </w:rPr>
      </w:pPr>
      <w:r>
        <w:rPr>
          <w:rFonts w:hint="eastAsia"/>
          <w:color w:val="auto"/>
          <w:szCs w:val="24"/>
          <w:highlight w:val="none"/>
        </w:rPr>
        <w:t>招标人在本章第</w:t>
      </w:r>
      <w:r>
        <w:rPr>
          <w:color w:val="auto"/>
          <w:szCs w:val="24"/>
          <w:highlight w:val="none"/>
        </w:rPr>
        <w:t>4.2.1</w:t>
      </w:r>
      <w:r>
        <w:rPr>
          <w:rFonts w:hint="eastAsia"/>
          <w:color w:val="auto"/>
          <w:szCs w:val="24"/>
          <w:highlight w:val="none"/>
        </w:rPr>
        <w:t>项规定的投标截止时间（开标时间）</w:t>
      </w:r>
      <w:r>
        <w:rPr>
          <w:color w:val="auto"/>
          <w:szCs w:val="24"/>
          <w:highlight w:val="none"/>
        </w:rPr>
        <w:t>,</w:t>
      </w:r>
      <w:r>
        <w:rPr>
          <w:rFonts w:hint="eastAsia"/>
          <w:color w:val="auto"/>
          <w:szCs w:val="24"/>
          <w:highlight w:val="none"/>
        </w:rPr>
        <w:t>通过电子招标投标交易平台公开开标，所有投标人的法定代表人或其委托代理人应当准时参加。</w:t>
      </w:r>
    </w:p>
    <w:p>
      <w:pPr>
        <w:keepNext/>
        <w:keepLines/>
        <w:spacing w:before="260" w:after="260"/>
        <w:ind w:firstLine="137" w:firstLineChars="49"/>
        <w:outlineLvl w:val="2"/>
        <w:rPr>
          <w:rFonts w:eastAsia="黑体"/>
          <w:color w:val="auto"/>
          <w:sz w:val="28"/>
          <w:szCs w:val="20"/>
          <w:highlight w:val="none"/>
        </w:rPr>
      </w:pPr>
      <w:bookmarkStart w:id="552" w:name="_Toc8566"/>
      <w:bookmarkStart w:id="553" w:name="_Toc96977696"/>
      <w:bookmarkStart w:id="554" w:name="_Toc1337"/>
      <w:bookmarkStart w:id="555" w:name="_Toc170804593"/>
      <w:bookmarkStart w:id="556" w:name="_Toc2608195"/>
      <w:bookmarkStart w:id="557" w:name="_Toc6820"/>
      <w:bookmarkStart w:id="558" w:name="_Toc13655"/>
      <w:bookmarkStart w:id="559" w:name="_Toc11121"/>
      <w:bookmarkStart w:id="560" w:name="_Toc3489"/>
      <w:bookmarkStart w:id="561" w:name="_Toc3471"/>
      <w:bookmarkStart w:id="562" w:name="_Toc30070"/>
      <w:bookmarkStart w:id="563" w:name="_Toc527"/>
      <w:r>
        <w:rPr>
          <w:rFonts w:eastAsia="黑体"/>
          <w:color w:val="auto"/>
          <w:sz w:val="28"/>
          <w:szCs w:val="20"/>
          <w:highlight w:val="none"/>
        </w:rPr>
        <w:t xml:space="preserve">5.2 </w:t>
      </w:r>
      <w:r>
        <w:rPr>
          <w:rFonts w:hint="eastAsia" w:eastAsia="黑体"/>
          <w:color w:val="auto"/>
          <w:sz w:val="28"/>
          <w:szCs w:val="20"/>
          <w:highlight w:val="none"/>
        </w:rPr>
        <w:t>开标程序</w:t>
      </w:r>
      <w:bookmarkEnd w:id="552"/>
      <w:bookmarkEnd w:id="553"/>
      <w:bookmarkEnd w:id="554"/>
      <w:bookmarkEnd w:id="555"/>
      <w:bookmarkEnd w:id="556"/>
      <w:bookmarkEnd w:id="557"/>
      <w:bookmarkEnd w:id="558"/>
      <w:bookmarkEnd w:id="559"/>
      <w:bookmarkEnd w:id="560"/>
      <w:bookmarkEnd w:id="561"/>
      <w:bookmarkEnd w:id="562"/>
      <w:bookmarkEnd w:id="563"/>
    </w:p>
    <w:p>
      <w:pPr>
        <w:spacing w:line="400" w:lineRule="exact"/>
        <w:ind w:firstLine="420" w:firstLineChars="200"/>
        <w:rPr>
          <w:color w:val="auto"/>
          <w:szCs w:val="24"/>
          <w:highlight w:val="none"/>
        </w:rPr>
      </w:pPr>
      <w:r>
        <w:rPr>
          <w:rFonts w:hint="eastAsia"/>
          <w:color w:val="auto"/>
          <w:szCs w:val="24"/>
          <w:highlight w:val="none"/>
        </w:rPr>
        <w:t>主持人按下列程序进行开标：</w:t>
      </w:r>
    </w:p>
    <w:p>
      <w:pPr>
        <w:keepNext w:val="0"/>
        <w:keepLines w:val="0"/>
        <w:suppressLineNumbers w:val="0"/>
        <w:spacing w:before="0" w:beforeAutospacing="0" w:after="0" w:afterAutospacing="0" w:line="400" w:lineRule="exact"/>
        <w:ind w:left="0" w:right="0" w:firstLine="420" w:firstLineChars="200"/>
        <w:rPr>
          <w:rFonts w:hint="default"/>
          <w:color w:val="auto"/>
          <w:szCs w:val="24"/>
          <w:highlight w:val="none"/>
        </w:rPr>
      </w:pPr>
      <w:r>
        <w:rPr>
          <w:rFonts w:hint="default"/>
          <w:color w:val="auto"/>
          <w:szCs w:val="24"/>
          <w:highlight w:val="none"/>
        </w:rPr>
        <w:t>（1）宣布开标纪律；</w:t>
      </w:r>
    </w:p>
    <w:p>
      <w:pPr>
        <w:keepNext w:val="0"/>
        <w:keepLines w:val="0"/>
        <w:suppressLineNumbers w:val="0"/>
        <w:spacing w:before="0" w:beforeAutospacing="0" w:after="0" w:afterAutospacing="0" w:line="400" w:lineRule="exact"/>
        <w:ind w:left="0" w:right="0" w:firstLine="420" w:firstLineChars="200"/>
        <w:rPr>
          <w:rFonts w:hint="default"/>
          <w:color w:val="auto"/>
          <w:szCs w:val="24"/>
          <w:highlight w:val="none"/>
        </w:rPr>
      </w:pPr>
      <w:r>
        <w:rPr>
          <w:rFonts w:hint="default"/>
          <w:color w:val="auto"/>
          <w:szCs w:val="24"/>
          <w:highlight w:val="none"/>
        </w:rPr>
        <w:t>（2）公布在投标截止时间前递交投标文件的投标人名称；</w:t>
      </w:r>
    </w:p>
    <w:p>
      <w:pPr>
        <w:keepNext w:val="0"/>
        <w:keepLines w:val="0"/>
        <w:suppressLineNumbers w:val="0"/>
        <w:spacing w:before="0" w:beforeAutospacing="0" w:after="0" w:afterAutospacing="0" w:line="400" w:lineRule="exact"/>
        <w:ind w:left="0" w:right="0" w:firstLine="420" w:firstLineChars="200"/>
        <w:rPr>
          <w:rFonts w:hint="default"/>
          <w:color w:val="auto"/>
          <w:szCs w:val="24"/>
          <w:highlight w:val="none"/>
        </w:rPr>
      </w:pPr>
      <w:r>
        <w:rPr>
          <w:rFonts w:hint="default"/>
          <w:color w:val="auto"/>
          <w:szCs w:val="24"/>
          <w:highlight w:val="none"/>
        </w:rPr>
        <w:t>（3）宣布开标人、唱标人、记录人、监标人等有关人员姓名；</w:t>
      </w:r>
    </w:p>
    <w:p>
      <w:pPr>
        <w:keepNext w:val="0"/>
        <w:keepLines w:val="0"/>
        <w:suppressLineNumbers w:val="0"/>
        <w:spacing w:before="0" w:beforeAutospacing="0" w:after="0" w:afterAutospacing="0" w:line="400" w:lineRule="exact"/>
        <w:ind w:left="0" w:right="0" w:firstLine="420" w:firstLineChars="200"/>
        <w:rPr>
          <w:rFonts w:hint="default"/>
          <w:color w:val="auto"/>
          <w:szCs w:val="24"/>
          <w:highlight w:val="none"/>
        </w:rPr>
      </w:pPr>
      <w:r>
        <w:rPr>
          <w:rFonts w:hint="default"/>
          <w:color w:val="auto"/>
          <w:szCs w:val="24"/>
          <w:highlight w:val="none"/>
        </w:rPr>
        <w:t>（4）</w:t>
      </w:r>
      <w:r>
        <w:rPr>
          <w:rFonts w:hint="eastAsia"/>
          <w:color w:val="auto"/>
          <w:szCs w:val="24"/>
          <w:highlight w:val="none"/>
        </w:rPr>
        <w:t>开标前，首先由招标人从1％、3％、5％的评标参考价候选下浮点数中，现场随机抽取确定本项目计算评标参考价的下浮点数X。</w:t>
      </w:r>
      <w:r>
        <w:rPr>
          <w:rFonts w:hint="default"/>
          <w:color w:val="auto"/>
          <w:szCs w:val="24"/>
          <w:highlight w:val="none"/>
        </w:rPr>
        <w:t>投标人通过电子招标投标交易平台对已递交的电子投标文件进行解密，公布招标项目名称、投标人名称、投标保证金的递交情况、投标报价及其他内容，并记录在案；</w:t>
      </w:r>
    </w:p>
    <w:p>
      <w:pPr>
        <w:keepNext w:val="0"/>
        <w:keepLines w:val="0"/>
        <w:suppressLineNumbers w:val="0"/>
        <w:spacing w:before="0" w:beforeAutospacing="0" w:after="0" w:afterAutospacing="0" w:line="400" w:lineRule="exact"/>
        <w:ind w:left="0" w:right="0" w:firstLine="420" w:firstLineChars="200"/>
        <w:rPr>
          <w:rFonts w:hint="default"/>
          <w:color w:val="auto"/>
          <w:szCs w:val="24"/>
          <w:highlight w:val="none"/>
        </w:rPr>
      </w:pPr>
      <w:r>
        <w:rPr>
          <w:rFonts w:hint="default"/>
          <w:color w:val="auto"/>
          <w:szCs w:val="24"/>
          <w:highlight w:val="none"/>
        </w:rPr>
        <w:t>（5）投标人代表、招标人代表、监标人、记录人等有关人员在开标记录上签字确认；若有关人员不签字的，不影响开标程序；</w:t>
      </w:r>
    </w:p>
    <w:p>
      <w:pPr>
        <w:spacing w:line="400" w:lineRule="exact"/>
        <w:ind w:firstLine="420" w:firstLineChars="200"/>
        <w:rPr>
          <w:color w:val="auto"/>
          <w:szCs w:val="24"/>
          <w:highlight w:val="none"/>
        </w:rPr>
      </w:pPr>
      <w:r>
        <w:rPr>
          <w:rFonts w:hint="default"/>
          <w:color w:val="auto"/>
          <w:szCs w:val="24"/>
          <w:highlight w:val="none"/>
        </w:rPr>
        <w:t>（6）开标结束。</w:t>
      </w:r>
    </w:p>
    <w:p>
      <w:pPr>
        <w:keepNext/>
        <w:keepLines/>
        <w:spacing w:before="260" w:after="260"/>
        <w:ind w:firstLine="137" w:firstLineChars="49"/>
        <w:outlineLvl w:val="2"/>
        <w:rPr>
          <w:rFonts w:eastAsia="黑体"/>
          <w:color w:val="auto"/>
          <w:sz w:val="28"/>
          <w:szCs w:val="20"/>
          <w:highlight w:val="none"/>
        </w:rPr>
      </w:pPr>
      <w:bookmarkStart w:id="564" w:name="_Toc13607"/>
      <w:bookmarkStart w:id="565" w:name="_Toc2608196"/>
      <w:bookmarkStart w:id="566" w:name="_Toc20041"/>
      <w:bookmarkStart w:id="567" w:name="_Toc1272"/>
      <w:bookmarkStart w:id="568" w:name="_Toc8863"/>
      <w:bookmarkStart w:id="569" w:name="_Toc5435"/>
      <w:bookmarkStart w:id="570" w:name="_Toc16993"/>
      <w:bookmarkStart w:id="571" w:name="_Toc1671"/>
      <w:bookmarkStart w:id="572" w:name="_Toc2867"/>
      <w:bookmarkStart w:id="573" w:name="_Toc2111532246"/>
      <w:bookmarkStart w:id="574" w:name="_Toc170804594"/>
      <w:bookmarkStart w:id="575" w:name="_Toc25794"/>
      <w:r>
        <w:rPr>
          <w:rFonts w:eastAsia="黑体"/>
          <w:color w:val="auto"/>
          <w:sz w:val="28"/>
          <w:szCs w:val="20"/>
          <w:highlight w:val="none"/>
        </w:rPr>
        <w:t xml:space="preserve">5.3 </w:t>
      </w:r>
      <w:r>
        <w:rPr>
          <w:rFonts w:hint="eastAsia" w:eastAsia="黑体"/>
          <w:color w:val="auto"/>
          <w:sz w:val="28"/>
          <w:szCs w:val="20"/>
          <w:highlight w:val="none"/>
        </w:rPr>
        <w:t>开标异议</w:t>
      </w:r>
      <w:bookmarkEnd w:id="564"/>
      <w:bookmarkEnd w:id="565"/>
      <w:bookmarkEnd w:id="566"/>
      <w:bookmarkEnd w:id="567"/>
      <w:bookmarkEnd w:id="568"/>
      <w:bookmarkEnd w:id="569"/>
      <w:bookmarkEnd w:id="570"/>
      <w:bookmarkEnd w:id="571"/>
      <w:bookmarkEnd w:id="572"/>
      <w:bookmarkEnd w:id="573"/>
      <w:bookmarkEnd w:id="574"/>
      <w:bookmarkEnd w:id="575"/>
    </w:p>
    <w:p>
      <w:pPr>
        <w:spacing w:line="400" w:lineRule="exact"/>
        <w:ind w:firstLine="359" w:firstLineChars="171"/>
        <w:rPr>
          <w:color w:val="auto"/>
          <w:szCs w:val="24"/>
          <w:highlight w:val="none"/>
        </w:rPr>
      </w:pPr>
      <w:r>
        <w:rPr>
          <w:rFonts w:hint="eastAsia"/>
          <w:color w:val="auto"/>
          <w:szCs w:val="24"/>
          <w:highlight w:val="none"/>
        </w:rPr>
        <w:t>投标人对开标有异议的，应当在开标现场提出，招标人当场作出答复，并制作记录。</w:t>
      </w:r>
    </w:p>
    <w:p>
      <w:pPr>
        <w:pStyle w:val="5"/>
        <w:rPr>
          <w:color w:val="auto"/>
          <w:highlight w:val="none"/>
        </w:rPr>
      </w:pPr>
    </w:p>
    <w:p>
      <w:pPr>
        <w:keepNext/>
        <w:keepLines/>
        <w:adjustRightInd w:val="0"/>
        <w:spacing w:before="240" w:after="120"/>
        <w:textAlignment w:val="baseline"/>
        <w:outlineLvl w:val="1"/>
        <w:rPr>
          <w:rFonts w:eastAsia="黑体"/>
          <w:color w:val="auto"/>
          <w:kern w:val="0"/>
          <w:sz w:val="24"/>
          <w:szCs w:val="20"/>
          <w:highlight w:val="none"/>
        </w:rPr>
      </w:pPr>
      <w:bookmarkStart w:id="576" w:name="_Toc31246"/>
      <w:bookmarkStart w:id="577" w:name="_Toc31606"/>
      <w:bookmarkStart w:id="578" w:name="_Toc170804595"/>
      <w:bookmarkStart w:id="579" w:name="_Toc26434"/>
      <w:bookmarkStart w:id="580" w:name="_Toc8038"/>
      <w:bookmarkStart w:id="581" w:name="_Toc26895"/>
      <w:bookmarkStart w:id="582" w:name="_Toc9505"/>
      <w:bookmarkStart w:id="583" w:name="_Toc8249"/>
      <w:bookmarkStart w:id="584" w:name="_Toc1355191847"/>
      <w:bookmarkStart w:id="585" w:name="_Toc2710"/>
      <w:bookmarkStart w:id="586" w:name="_Toc7837"/>
      <w:r>
        <w:rPr>
          <w:rFonts w:eastAsia="黑体"/>
          <w:color w:val="auto"/>
          <w:kern w:val="0"/>
          <w:sz w:val="24"/>
          <w:szCs w:val="20"/>
          <w:highlight w:val="none"/>
        </w:rPr>
        <w:t xml:space="preserve">6. </w:t>
      </w:r>
      <w:r>
        <w:rPr>
          <w:rFonts w:hint="eastAsia" w:eastAsia="黑体"/>
          <w:color w:val="auto"/>
          <w:kern w:val="0"/>
          <w:sz w:val="24"/>
          <w:szCs w:val="20"/>
          <w:highlight w:val="none"/>
        </w:rPr>
        <w:t>评标</w:t>
      </w:r>
      <w:bookmarkEnd w:id="576"/>
      <w:bookmarkEnd w:id="577"/>
      <w:bookmarkEnd w:id="578"/>
      <w:bookmarkEnd w:id="579"/>
      <w:bookmarkEnd w:id="580"/>
      <w:bookmarkEnd w:id="581"/>
      <w:bookmarkEnd w:id="582"/>
      <w:bookmarkEnd w:id="583"/>
      <w:bookmarkEnd w:id="584"/>
      <w:bookmarkEnd w:id="585"/>
      <w:bookmarkEnd w:id="586"/>
    </w:p>
    <w:p>
      <w:pPr>
        <w:keepNext/>
        <w:keepLines/>
        <w:spacing w:before="260" w:after="260"/>
        <w:ind w:firstLine="137" w:firstLineChars="49"/>
        <w:outlineLvl w:val="2"/>
        <w:rPr>
          <w:rFonts w:eastAsia="黑体"/>
          <w:color w:val="auto"/>
          <w:sz w:val="28"/>
          <w:szCs w:val="20"/>
          <w:highlight w:val="none"/>
        </w:rPr>
      </w:pPr>
      <w:bookmarkStart w:id="587" w:name="_Toc639"/>
      <w:bookmarkStart w:id="588" w:name="_Toc26260"/>
      <w:bookmarkStart w:id="589" w:name="_Toc1794"/>
      <w:bookmarkStart w:id="590" w:name="_Toc2608198"/>
      <w:bookmarkStart w:id="591" w:name="_Toc16042"/>
      <w:bookmarkStart w:id="592" w:name="_Toc18865"/>
      <w:bookmarkStart w:id="593" w:name="_Toc30851"/>
      <w:bookmarkStart w:id="594" w:name="_Toc170804596"/>
      <w:bookmarkStart w:id="595" w:name="_Toc23164"/>
      <w:bookmarkStart w:id="596" w:name="_Toc497812447"/>
      <w:bookmarkStart w:id="597" w:name="_Toc29260"/>
      <w:bookmarkStart w:id="598" w:name="_Toc4248"/>
      <w:r>
        <w:rPr>
          <w:rFonts w:eastAsia="黑体"/>
          <w:color w:val="auto"/>
          <w:sz w:val="28"/>
          <w:szCs w:val="20"/>
          <w:highlight w:val="none"/>
        </w:rPr>
        <w:t xml:space="preserve">6.1 </w:t>
      </w:r>
      <w:r>
        <w:rPr>
          <w:rFonts w:hint="eastAsia" w:eastAsia="黑体"/>
          <w:color w:val="auto"/>
          <w:sz w:val="28"/>
          <w:szCs w:val="20"/>
          <w:highlight w:val="none"/>
        </w:rPr>
        <w:t>评标委员会</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ind w:firstLine="420" w:firstLineChars="200"/>
        <w:rPr>
          <w:color w:val="auto"/>
          <w:szCs w:val="24"/>
          <w:highlight w:val="none"/>
        </w:rPr>
      </w:pPr>
      <w:r>
        <w:rPr>
          <w:color w:val="auto"/>
          <w:szCs w:val="24"/>
          <w:highlight w:val="none"/>
        </w:rPr>
        <w:t xml:space="preserve">6.1.1 </w:t>
      </w:r>
      <w:r>
        <w:rPr>
          <w:rFonts w:hint="eastAsia"/>
          <w:color w:val="auto"/>
          <w:szCs w:val="24"/>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color w:val="auto"/>
          <w:szCs w:val="24"/>
          <w:highlight w:val="none"/>
        </w:rPr>
      </w:pPr>
      <w:r>
        <w:rPr>
          <w:color w:val="auto"/>
          <w:szCs w:val="24"/>
          <w:highlight w:val="none"/>
        </w:rPr>
        <w:t xml:space="preserve">6.1.2 </w:t>
      </w:r>
      <w:r>
        <w:rPr>
          <w:rFonts w:hint="eastAsia"/>
          <w:color w:val="auto"/>
          <w:szCs w:val="24"/>
          <w:highlight w:val="none"/>
        </w:rPr>
        <w:t>评标委员会成员有下列情形之一的，应当回避：</w:t>
      </w:r>
    </w:p>
    <w:p>
      <w:pPr>
        <w:spacing w:line="400" w:lineRule="exact"/>
        <w:ind w:firstLine="718" w:firstLineChars="342"/>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）投标人或投标人主要负责人的近亲属；</w:t>
      </w:r>
    </w:p>
    <w:p>
      <w:pPr>
        <w:spacing w:line="400" w:lineRule="exact"/>
        <w:ind w:firstLine="718" w:firstLineChars="342"/>
        <w:rPr>
          <w:color w:val="auto"/>
          <w:szCs w:val="24"/>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）项目主管部门或者行政监督部门的人员；</w:t>
      </w:r>
    </w:p>
    <w:p>
      <w:pPr>
        <w:spacing w:line="400" w:lineRule="exact"/>
        <w:ind w:firstLine="718" w:firstLineChars="342"/>
        <w:rPr>
          <w:color w:val="auto"/>
          <w:szCs w:val="24"/>
          <w:highlight w:val="none"/>
        </w:rPr>
      </w:pPr>
      <w:r>
        <w:rPr>
          <w:rFonts w:hint="eastAsia"/>
          <w:color w:val="auto"/>
          <w:szCs w:val="24"/>
          <w:highlight w:val="none"/>
        </w:rPr>
        <w:t>（</w:t>
      </w:r>
      <w:r>
        <w:rPr>
          <w:color w:val="auto"/>
          <w:szCs w:val="24"/>
          <w:highlight w:val="none"/>
        </w:rPr>
        <w:t>3</w:t>
      </w:r>
      <w:r>
        <w:rPr>
          <w:rFonts w:hint="eastAsia"/>
          <w:color w:val="auto"/>
          <w:szCs w:val="24"/>
          <w:highlight w:val="none"/>
        </w:rPr>
        <w:t>）与投标人有经济利益关系，可能影响对投标公正评审的；</w:t>
      </w:r>
    </w:p>
    <w:p>
      <w:pPr>
        <w:spacing w:line="400" w:lineRule="exact"/>
        <w:ind w:firstLine="718" w:firstLineChars="342"/>
        <w:rPr>
          <w:color w:val="auto"/>
          <w:szCs w:val="24"/>
          <w:highlight w:val="none"/>
        </w:rPr>
      </w:pPr>
      <w:r>
        <w:rPr>
          <w:rFonts w:hint="eastAsia"/>
          <w:color w:val="auto"/>
          <w:szCs w:val="24"/>
          <w:highlight w:val="none"/>
        </w:rPr>
        <w:t>（</w:t>
      </w:r>
      <w:r>
        <w:rPr>
          <w:color w:val="auto"/>
          <w:szCs w:val="24"/>
          <w:highlight w:val="none"/>
        </w:rPr>
        <w:t>4</w:t>
      </w:r>
      <w:r>
        <w:rPr>
          <w:rFonts w:hint="eastAsia"/>
          <w:color w:val="auto"/>
          <w:szCs w:val="24"/>
          <w:highlight w:val="none"/>
        </w:rPr>
        <w:t>）曾因在招标、评标以及其他与招标投标有关活动中从事违法行为而受过行政处罚或刑事处罚的；</w:t>
      </w:r>
    </w:p>
    <w:p>
      <w:pPr>
        <w:spacing w:line="400" w:lineRule="exact"/>
        <w:ind w:firstLine="718" w:firstLineChars="342"/>
        <w:rPr>
          <w:color w:val="auto"/>
          <w:szCs w:val="24"/>
          <w:highlight w:val="none"/>
        </w:rPr>
      </w:pPr>
      <w:r>
        <w:rPr>
          <w:rFonts w:hint="eastAsia"/>
          <w:color w:val="auto"/>
          <w:szCs w:val="24"/>
          <w:highlight w:val="none"/>
        </w:rPr>
        <w:t>（</w:t>
      </w:r>
      <w:r>
        <w:rPr>
          <w:color w:val="auto"/>
          <w:szCs w:val="24"/>
          <w:highlight w:val="none"/>
        </w:rPr>
        <w:t>5</w:t>
      </w:r>
      <w:r>
        <w:rPr>
          <w:rFonts w:hint="eastAsia"/>
          <w:color w:val="auto"/>
          <w:szCs w:val="24"/>
          <w:highlight w:val="none"/>
        </w:rPr>
        <w:t>）与投标人有其他利害关系。</w:t>
      </w:r>
    </w:p>
    <w:p>
      <w:pPr>
        <w:spacing w:line="400" w:lineRule="exact"/>
        <w:ind w:firstLine="420" w:firstLineChars="200"/>
        <w:rPr>
          <w:color w:val="auto"/>
          <w:szCs w:val="24"/>
          <w:highlight w:val="none"/>
        </w:rPr>
      </w:pPr>
      <w:r>
        <w:rPr>
          <w:color w:val="auto"/>
          <w:szCs w:val="24"/>
          <w:highlight w:val="none"/>
        </w:rPr>
        <w:t xml:space="preserve">6.1.3 </w:t>
      </w:r>
      <w:r>
        <w:rPr>
          <w:rFonts w:hint="eastAsia"/>
          <w:color w:val="auto"/>
          <w:szCs w:val="24"/>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pPr>
        <w:keepNext/>
        <w:keepLines/>
        <w:spacing w:before="260" w:after="260"/>
        <w:ind w:firstLine="137" w:firstLineChars="49"/>
        <w:outlineLvl w:val="2"/>
        <w:rPr>
          <w:rFonts w:eastAsia="黑体"/>
          <w:color w:val="auto"/>
          <w:sz w:val="28"/>
          <w:szCs w:val="20"/>
          <w:highlight w:val="none"/>
        </w:rPr>
      </w:pPr>
      <w:bookmarkStart w:id="599" w:name="_Toc28789"/>
      <w:bookmarkStart w:id="600" w:name="_Toc22438"/>
      <w:bookmarkStart w:id="601" w:name="_Toc137508017"/>
      <w:bookmarkStart w:id="602" w:name="_Toc98"/>
      <w:bookmarkStart w:id="603" w:name="_Toc29285"/>
      <w:bookmarkStart w:id="604" w:name="_Toc9929"/>
      <w:bookmarkStart w:id="605" w:name="_Toc2608199"/>
      <w:bookmarkStart w:id="606" w:name="_Toc20733"/>
      <w:bookmarkStart w:id="607" w:name="_Toc32342"/>
      <w:bookmarkStart w:id="608" w:name="_Toc11119"/>
      <w:bookmarkStart w:id="609" w:name="_Toc170804597"/>
      <w:bookmarkStart w:id="610" w:name="_Toc7976"/>
      <w:r>
        <w:rPr>
          <w:rFonts w:eastAsia="黑体"/>
          <w:color w:val="auto"/>
          <w:sz w:val="28"/>
          <w:szCs w:val="20"/>
          <w:highlight w:val="none"/>
        </w:rPr>
        <w:t xml:space="preserve">6.2 </w:t>
      </w:r>
      <w:r>
        <w:rPr>
          <w:rFonts w:hint="eastAsia" w:eastAsia="黑体"/>
          <w:color w:val="auto"/>
          <w:sz w:val="28"/>
          <w:szCs w:val="20"/>
          <w:highlight w:val="none"/>
        </w:rPr>
        <w:t>评标原则</w:t>
      </w:r>
      <w:bookmarkEnd w:id="599"/>
      <w:bookmarkEnd w:id="600"/>
      <w:bookmarkEnd w:id="601"/>
      <w:bookmarkEnd w:id="602"/>
      <w:bookmarkEnd w:id="603"/>
      <w:bookmarkEnd w:id="604"/>
      <w:bookmarkEnd w:id="605"/>
      <w:bookmarkEnd w:id="606"/>
      <w:bookmarkEnd w:id="607"/>
      <w:bookmarkEnd w:id="608"/>
      <w:bookmarkEnd w:id="609"/>
      <w:bookmarkEnd w:id="610"/>
    </w:p>
    <w:p>
      <w:pPr>
        <w:spacing w:line="400" w:lineRule="exact"/>
        <w:ind w:firstLine="420" w:firstLineChars="200"/>
        <w:rPr>
          <w:color w:val="auto"/>
          <w:szCs w:val="24"/>
          <w:highlight w:val="none"/>
        </w:rPr>
      </w:pPr>
      <w:r>
        <w:rPr>
          <w:rFonts w:hint="eastAsia"/>
          <w:color w:val="auto"/>
          <w:szCs w:val="24"/>
          <w:highlight w:val="none"/>
        </w:rPr>
        <w:t>评标活动遵循公平、公正、科学和择优的原则。</w:t>
      </w:r>
    </w:p>
    <w:p>
      <w:pPr>
        <w:keepNext/>
        <w:keepLines/>
        <w:spacing w:before="260" w:after="260"/>
        <w:ind w:firstLine="137" w:firstLineChars="49"/>
        <w:outlineLvl w:val="2"/>
        <w:rPr>
          <w:rFonts w:eastAsia="黑体"/>
          <w:color w:val="auto"/>
          <w:sz w:val="28"/>
          <w:szCs w:val="20"/>
          <w:highlight w:val="none"/>
        </w:rPr>
      </w:pPr>
      <w:bookmarkStart w:id="611" w:name="_Toc15265"/>
      <w:bookmarkStart w:id="612" w:name="_Toc167"/>
      <w:bookmarkStart w:id="613" w:name="_Toc11461"/>
      <w:bookmarkStart w:id="614" w:name="_Toc25117"/>
      <w:bookmarkStart w:id="615" w:name="_Toc8443"/>
      <w:bookmarkStart w:id="616" w:name="_Toc6232"/>
      <w:bookmarkStart w:id="617" w:name="_Toc27191"/>
      <w:bookmarkStart w:id="618" w:name="_Toc11608"/>
      <w:bookmarkStart w:id="619" w:name="_Toc404837547"/>
      <w:bookmarkStart w:id="620" w:name="_Toc170804598"/>
      <w:bookmarkStart w:id="621" w:name="_Toc2608200"/>
      <w:bookmarkStart w:id="622" w:name="_Toc3012"/>
      <w:r>
        <w:rPr>
          <w:rFonts w:eastAsia="黑体"/>
          <w:color w:val="auto"/>
          <w:sz w:val="28"/>
          <w:szCs w:val="20"/>
          <w:highlight w:val="none"/>
        </w:rPr>
        <w:t xml:space="preserve">6.3 </w:t>
      </w:r>
      <w:r>
        <w:rPr>
          <w:rFonts w:hint="eastAsia" w:eastAsia="黑体"/>
          <w:color w:val="auto"/>
          <w:sz w:val="28"/>
          <w:szCs w:val="20"/>
          <w:highlight w:val="none"/>
        </w:rPr>
        <w:t>评标</w:t>
      </w:r>
      <w:bookmarkEnd w:id="611"/>
      <w:bookmarkEnd w:id="612"/>
      <w:bookmarkEnd w:id="613"/>
      <w:bookmarkEnd w:id="614"/>
      <w:bookmarkEnd w:id="615"/>
      <w:bookmarkEnd w:id="616"/>
      <w:bookmarkEnd w:id="617"/>
      <w:bookmarkEnd w:id="618"/>
      <w:bookmarkEnd w:id="619"/>
      <w:bookmarkEnd w:id="620"/>
      <w:bookmarkEnd w:id="621"/>
      <w:bookmarkEnd w:id="622"/>
    </w:p>
    <w:p>
      <w:pPr>
        <w:spacing w:line="400" w:lineRule="exact"/>
        <w:ind w:firstLine="420" w:firstLineChars="200"/>
        <w:rPr>
          <w:color w:val="auto"/>
          <w:szCs w:val="24"/>
          <w:highlight w:val="none"/>
        </w:rPr>
      </w:pPr>
      <w:r>
        <w:rPr>
          <w:color w:val="auto"/>
          <w:szCs w:val="24"/>
          <w:highlight w:val="none"/>
        </w:rPr>
        <w:t>6.3.1</w:t>
      </w:r>
      <w:r>
        <w:rPr>
          <w:rFonts w:hint="eastAsia"/>
          <w:color w:val="auto"/>
          <w:szCs w:val="24"/>
          <w:highlight w:val="none"/>
        </w:rPr>
        <w:t>评标委员会按照第三章</w:t>
      </w:r>
      <w:r>
        <w:rPr>
          <w:color w:val="auto"/>
          <w:szCs w:val="24"/>
          <w:highlight w:val="none"/>
        </w:rPr>
        <w:t>“</w:t>
      </w:r>
      <w:r>
        <w:rPr>
          <w:rFonts w:hint="eastAsia"/>
          <w:color w:val="auto"/>
          <w:szCs w:val="24"/>
          <w:highlight w:val="none"/>
        </w:rPr>
        <w:t>评标办法</w:t>
      </w:r>
      <w:r>
        <w:rPr>
          <w:color w:val="auto"/>
          <w:szCs w:val="24"/>
          <w:highlight w:val="none"/>
        </w:rPr>
        <w:t>”</w:t>
      </w:r>
      <w:r>
        <w:rPr>
          <w:rFonts w:hint="eastAsia"/>
          <w:color w:val="auto"/>
          <w:szCs w:val="24"/>
          <w:highlight w:val="none"/>
        </w:rPr>
        <w:t>规定的方法、评审因素、标准和程序对投标文件进行评审。第三章</w:t>
      </w:r>
      <w:r>
        <w:rPr>
          <w:color w:val="auto"/>
          <w:szCs w:val="24"/>
          <w:highlight w:val="none"/>
        </w:rPr>
        <w:t>“</w:t>
      </w:r>
      <w:r>
        <w:rPr>
          <w:rFonts w:hint="eastAsia"/>
          <w:color w:val="auto"/>
          <w:szCs w:val="24"/>
          <w:highlight w:val="none"/>
        </w:rPr>
        <w:t>评标办法</w:t>
      </w:r>
      <w:r>
        <w:rPr>
          <w:color w:val="auto"/>
          <w:szCs w:val="24"/>
          <w:highlight w:val="none"/>
        </w:rPr>
        <w:t>”</w:t>
      </w:r>
      <w:r>
        <w:rPr>
          <w:rFonts w:hint="eastAsia"/>
          <w:color w:val="auto"/>
          <w:szCs w:val="24"/>
          <w:highlight w:val="none"/>
        </w:rPr>
        <w:t>没有规定的方法、评审因素和标准，不作为评标依据。</w:t>
      </w:r>
    </w:p>
    <w:p>
      <w:pPr>
        <w:spacing w:line="400" w:lineRule="exact"/>
        <w:ind w:firstLine="420" w:firstLineChars="200"/>
        <w:rPr>
          <w:color w:val="auto"/>
          <w:szCs w:val="24"/>
          <w:highlight w:val="none"/>
        </w:rPr>
      </w:pPr>
      <w:r>
        <w:rPr>
          <w:color w:val="auto"/>
          <w:szCs w:val="24"/>
          <w:highlight w:val="none"/>
        </w:rPr>
        <w:t>6.3.2</w:t>
      </w:r>
      <w:r>
        <w:rPr>
          <w:rFonts w:hint="eastAsia"/>
          <w:color w:val="auto"/>
          <w:szCs w:val="24"/>
          <w:highlight w:val="none"/>
        </w:rPr>
        <w:t>评标完成后，评标委员会应当向招标人提交书面评标报告和中标候选人名单。评标委员会推荐中标候选人的人数见投标人须知前附表。</w:t>
      </w:r>
    </w:p>
    <w:p>
      <w:pPr>
        <w:pStyle w:val="5"/>
        <w:rPr>
          <w:color w:val="auto"/>
          <w:highlight w:val="none"/>
        </w:rPr>
      </w:pPr>
    </w:p>
    <w:p>
      <w:pPr>
        <w:pStyle w:val="26"/>
        <w:rPr>
          <w:color w:val="auto"/>
          <w:highlight w:val="none"/>
        </w:rPr>
      </w:pPr>
    </w:p>
    <w:p>
      <w:pPr>
        <w:keepNext/>
        <w:keepLines/>
        <w:adjustRightInd w:val="0"/>
        <w:spacing w:before="240" w:after="120"/>
        <w:textAlignment w:val="baseline"/>
        <w:outlineLvl w:val="1"/>
        <w:rPr>
          <w:rFonts w:eastAsia="黑体"/>
          <w:color w:val="auto"/>
          <w:kern w:val="0"/>
          <w:sz w:val="24"/>
          <w:szCs w:val="20"/>
          <w:highlight w:val="none"/>
        </w:rPr>
      </w:pPr>
      <w:bookmarkStart w:id="623" w:name="_Toc14160"/>
      <w:bookmarkStart w:id="624" w:name="_Toc15164"/>
      <w:bookmarkStart w:id="625" w:name="_Toc170804599"/>
      <w:bookmarkStart w:id="626" w:name="_Toc876458733"/>
      <w:bookmarkStart w:id="627" w:name="_Toc12866"/>
      <w:bookmarkStart w:id="628" w:name="_Toc8973"/>
      <w:bookmarkStart w:id="629" w:name="_Toc7385"/>
      <w:bookmarkStart w:id="630" w:name="_Toc29160"/>
      <w:bookmarkStart w:id="631" w:name="_Toc14044"/>
      <w:bookmarkStart w:id="632" w:name="_Toc8823"/>
      <w:bookmarkStart w:id="633" w:name="_Toc30478"/>
      <w:r>
        <w:rPr>
          <w:rFonts w:eastAsia="黑体"/>
          <w:color w:val="auto"/>
          <w:kern w:val="0"/>
          <w:sz w:val="24"/>
          <w:szCs w:val="20"/>
          <w:highlight w:val="none"/>
        </w:rPr>
        <w:t xml:space="preserve">7. </w:t>
      </w:r>
      <w:r>
        <w:rPr>
          <w:rFonts w:hint="eastAsia" w:eastAsia="黑体"/>
          <w:color w:val="auto"/>
          <w:kern w:val="0"/>
          <w:sz w:val="24"/>
          <w:szCs w:val="20"/>
          <w:highlight w:val="none"/>
        </w:rPr>
        <w:t>合同授予</w:t>
      </w:r>
      <w:bookmarkEnd w:id="623"/>
      <w:bookmarkEnd w:id="624"/>
      <w:bookmarkEnd w:id="625"/>
      <w:bookmarkEnd w:id="626"/>
      <w:bookmarkEnd w:id="627"/>
      <w:bookmarkEnd w:id="628"/>
      <w:bookmarkEnd w:id="629"/>
      <w:bookmarkEnd w:id="630"/>
      <w:bookmarkEnd w:id="631"/>
      <w:bookmarkEnd w:id="632"/>
      <w:bookmarkEnd w:id="633"/>
    </w:p>
    <w:p>
      <w:pPr>
        <w:keepNext/>
        <w:keepLines/>
        <w:spacing w:before="260" w:after="260"/>
        <w:ind w:firstLine="137" w:firstLineChars="49"/>
        <w:outlineLvl w:val="2"/>
        <w:rPr>
          <w:rFonts w:eastAsia="黑体"/>
          <w:color w:val="auto"/>
          <w:sz w:val="28"/>
          <w:szCs w:val="20"/>
          <w:highlight w:val="none"/>
        </w:rPr>
      </w:pPr>
      <w:bookmarkStart w:id="634" w:name="_Toc29088"/>
      <w:bookmarkStart w:id="635" w:name="_Toc6603"/>
      <w:bookmarkStart w:id="636" w:name="_Toc1051590758"/>
      <w:bookmarkStart w:id="637" w:name="_Toc24071"/>
      <w:bookmarkStart w:id="638" w:name="_Toc13983"/>
      <w:bookmarkStart w:id="639" w:name="_Toc4804"/>
      <w:bookmarkStart w:id="640" w:name="_Toc2608202"/>
      <w:bookmarkStart w:id="641" w:name="_Toc8633"/>
      <w:bookmarkStart w:id="642" w:name="_Toc26720"/>
      <w:bookmarkStart w:id="643" w:name="_Toc20310"/>
      <w:bookmarkStart w:id="644" w:name="_Toc170804600"/>
      <w:bookmarkStart w:id="645" w:name="_Toc29138"/>
      <w:r>
        <w:rPr>
          <w:rFonts w:eastAsia="黑体"/>
          <w:color w:val="auto"/>
          <w:sz w:val="28"/>
          <w:szCs w:val="20"/>
          <w:highlight w:val="none"/>
        </w:rPr>
        <w:t xml:space="preserve">7.1 </w:t>
      </w:r>
      <w:r>
        <w:rPr>
          <w:rFonts w:hint="eastAsia" w:eastAsia="黑体"/>
          <w:color w:val="auto"/>
          <w:sz w:val="28"/>
          <w:szCs w:val="20"/>
          <w:highlight w:val="none"/>
        </w:rPr>
        <w:t>中标候选人公示</w:t>
      </w:r>
      <w:bookmarkEnd w:id="634"/>
      <w:bookmarkEnd w:id="635"/>
      <w:bookmarkEnd w:id="636"/>
      <w:bookmarkEnd w:id="637"/>
      <w:bookmarkEnd w:id="638"/>
      <w:bookmarkEnd w:id="639"/>
      <w:bookmarkEnd w:id="640"/>
      <w:bookmarkEnd w:id="641"/>
      <w:bookmarkEnd w:id="642"/>
      <w:bookmarkEnd w:id="643"/>
      <w:bookmarkEnd w:id="644"/>
      <w:bookmarkEnd w:id="645"/>
    </w:p>
    <w:p>
      <w:pPr>
        <w:spacing w:line="400" w:lineRule="exact"/>
        <w:ind w:firstLine="420" w:firstLineChars="200"/>
        <w:rPr>
          <w:color w:val="auto"/>
          <w:highlight w:val="none"/>
        </w:rPr>
      </w:pPr>
      <w:r>
        <w:rPr>
          <w:rFonts w:hint="eastAsia"/>
          <w:color w:val="auto"/>
          <w:highlight w:val="none"/>
        </w:rPr>
        <w:t>根据《国家发展改革委等部门关于严格执行招标投标法规制度进一步规范招标投标主体行为的若干意见》(发改法规规〔2022〕1117号)，招标人将加强对评标报告的审查，在中标候选人公示前审查评标委员会提交的书面评标报告，发现异常情形的，依照法定程序进行复核，确认存在问题的，依照法定程序予以纠正和处理。</w:t>
      </w:r>
    </w:p>
    <w:p>
      <w:pPr>
        <w:spacing w:line="400" w:lineRule="exact"/>
        <w:ind w:firstLine="420" w:firstLineChars="200"/>
        <w:rPr>
          <w:color w:val="auto"/>
          <w:szCs w:val="24"/>
          <w:highlight w:val="none"/>
        </w:rPr>
      </w:pPr>
      <w:r>
        <w:rPr>
          <w:rFonts w:hint="eastAsia"/>
          <w:color w:val="auto"/>
          <w:szCs w:val="24"/>
          <w:highlight w:val="none"/>
        </w:rPr>
        <w:t>招标人在收到评标报告之日起</w:t>
      </w:r>
      <w:r>
        <w:rPr>
          <w:color w:val="auto"/>
          <w:szCs w:val="24"/>
          <w:highlight w:val="none"/>
        </w:rPr>
        <w:t>3</w:t>
      </w:r>
      <w:r>
        <w:rPr>
          <w:rFonts w:hint="eastAsia"/>
          <w:color w:val="auto"/>
          <w:szCs w:val="24"/>
          <w:highlight w:val="none"/>
        </w:rPr>
        <w:t>日内，按照投标人须知前附表规定的公示媒介和期限公示中标候选人，公示期不得少于</w:t>
      </w:r>
      <w:r>
        <w:rPr>
          <w:color w:val="auto"/>
          <w:szCs w:val="24"/>
          <w:highlight w:val="none"/>
        </w:rPr>
        <w:t>3</w:t>
      </w:r>
      <w:r>
        <w:rPr>
          <w:rFonts w:hint="eastAsia"/>
          <w:color w:val="auto"/>
          <w:szCs w:val="24"/>
          <w:highlight w:val="none"/>
        </w:rPr>
        <w:t>天。</w:t>
      </w:r>
    </w:p>
    <w:p>
      <w:pPr>
        <w:keepNext/>
        <w:keepLines/>
        <w:spacing w:before="260" w:after="260"/>
        <w:ind w:firstLine="137" w:firstLineChars="49"/>
        <w:outlineLvl w:val="2"/>
        <w:rPr>
          <w:rFonts w:eastAsia="黑体"/>
          <w:color w:val="auto"/>
          <w:sz w:val="28"/>
          <w:szCs w:val="20"/>
          <w:highlight w:val="none"/>
        </w:rPr>
      </w:pPr>
      <w:bookmarkStart w:id="646" w:name="_Toc22217"/>
      <w:bookmarkStart w:id="647" w:name="_Toc295454896"/>
      <w:bookmarkStart w:id="648" w:name="_Toc170804601"/>
      <w:bookmarkStart w:id="649" w:name="_Toc30983"/>
      <w:bookmarkStart w:id="650" w:name="_Toc18195"/>
      <w:bookmarkStart w:id="651" w:name="_Toc7861"/>
      <w:bookmarkStart w:id="652" w:name="_Toc27130"/>
      <w:bookmarkStart w:id="653" w:name="_Toc12177"/>
      <w:bookmarkStart w:id="654" w:name="_Toc2608203"/>
      <w:bookmarkStart w:id="655" w:name="_Toc15763"/>
      <w:bookmarkStart w:id="656" w:name="_Toc15431"/>
      <w:bookmarkStart w:id="657" w:name="_Toc20825"/>
      <w:r>
        <w:rPr>
          <w:rFonts w:eastAsia="黑体"/>
          <w:color w:val="auto"/>
          <w:sz w:val="28"/>
          <w:szCs w:val="20"/>
          <w:highlight w:val="none"/>
        </w:rPr>
        <w:t xml:space="preserve">7.2 </w:t>
      </w:r>
      <w:r>
        <w:rPr>
          <w:rFonts w:hint="eastAsia" w:eastAsia="黑体"/>
          <w:color w:val="auto"/>
          <w:sz w:val="28"/>
          <w:szCs w:val="20"/>
          <w:highlight w:val="none"/>
        </w:rPr>
        <w:t>评标结果异议</w:t>
      </w:r>
      <w:bookmarkEnd w:id="646"/>
      <w:bookmarkEnd w:id="647"/>
      <w:bookmarkEnd w:id="648"/>
      <w:bookmarkEnd w:id="649"/>
      <w:bookmarkEnd w:id="650"/>
      <w:bookmarkEnd w:id="651"/>
      <w:bookmarkEnd w:id="652"/>
      <w:bookmarkEnd w:id="653"/>
      <w:bookmarkEnd w:id="654"/>
      <w:bookmarkEnd w:id="655"/>
      <w:bookmarkEnd w:id="656"/>
      <w:bookmarkEnd w:id="657"/>
    </w:p>
    <w:p>
      <w:pPr>
        <w:spacing w:line="400" w:lineRule="exact"/>
        <w:ind w:firstLine="420" w:firstLineChars="200"/>
        <w:rPr>
          <w:color w:val="auto"/>
          <w:szCs w:val="24"/>
          <w:highlight w:val="none"/>
        </w:rPr>
      </w:pPr>
      <w:r>
        <w:rPr>
          <w:rFonts w:hint="eastAsia"/>
          <w:color w:val="auto"/>
          <w:szCs w:val="24"/>
          <w:highlight w:val="none"/>
        </w:rPr>
        <w:t>投标人或者其他利害关系人对评标结果有异议的，应当在中标候选人公示期间提出。招标人将在收到异议之日起</w:t>
      </w:r>
      <w:r>
        <w:rPr>
          <w:color w:val="auto"/>
          <w:szCs w:val="24"/>
          <w:highlight w:val="none"/>
        </w:rPr>
        <w:t>3</w:t>
      </w:r>
      <w:r>
        <w:rPr>
          <w:rFonts w:hint="eastAsia"/>
          <w:color w:val="auto"/>
          <w:szCs w:val="24"/>
          <w:highlight w:val="none"/>
        </w:rPr>
        <w:t>日内作出答复；作出答复前，将暂停招标投标活动。</w:t>
      </w:r>
    </w:p>
    <w:p>
      <w:pPr>
        <w:keepNext/>
        <w:keepLines/>
        <w:spacing w:before="260" w:after="260"/>
        <w:ind w:firstLine="137" w:firstLineChars="49"/>
        <w:outlineLvl w:val="2"/>
        <w:rPr>
          <w:rFonts w:eastAsia="黑体"/>
          <w:color w:val="auto"/>
          <w:sz w:val="28"/>
          <w:szCs w:val="20"/>
          <w:highlight w:val="none"/>
        </w:rPr>
      </w:pPr>
      <w:bookmarkStart w:id="658" w:name="_Toc18482"/>
      <w:bookmarkStart w:id="659" w:name="_Toc29071"/>
      <w:bookmarkStart w:id="660" w:name="_Toc27579"/>
      <w:bookmarkStart w:id="661" w:name="_Toc2608204"/>
      <w:bookmarkStart w:id="662" w:name="_Toc170804602"/>
      <w:bookmarkStart w:id="663" w:name="_Toc17425"/>
      <w:bookmarkStart w:id="664" w:name="_Toc2953"/>
      <w:bookmarkStart w:id="665" w:name="_Toc11025"/>
      <w:bookmarkStart w:id="666" w:name="_Toc18860"/>
      <w:bookmarkStart w:id="667" w:name="_Toc7472"/>
      <w:bookmarkStart w:id="668" w:name="_Toc728245208"/>
      <w:bookmarkStart w:id="669" w:name="_Toc15263"/>
      <w:r>
        <w:rPr>
          <w:rFonts w:eastAsia="黑体"/>
          <w:color w:val="auto"/>
          <w:sz w:val="28"/>
          <w:szCs w:val="20"/>
          <w:highlight w:val="none"/>
        </w:rPr>
        <w:t xml:space="preserve">7.3 </w:t>
      </w:r>
      <w:r>
        <w:rPr>
          <w:rFonts w:hint="eastAsia" w:eastAsia="黑体"/>
          <w:color w:val="auto"/>
          <w:sz w:val="28"/>
          <w:szCs w:val="20"/>
          <w:highlight w:val="none"/>
        </w:rPr>
        <w:t>中标候选人履约能力审查</w:t>
      </w:r>
      <w:bookmarkEnd w:id="658"/>
      <w:bookmarkEnd w:id="659"/>
      <w:bookmarkEnd w:id="660"/>
      <w:bookmarkEnd w:id="661"/>
      <w:bookmarkEnd w:id="662"/>
      <w:bookmarkEnd w:id="663"/>
      <w:bookmarkEnd w:id="664"/>
      <w:bookmarkEnd w:id="665"/>
      <w:bookmarkEnd w:id="666"/>
      <w:bookmarkEnd w:id="667"/>
      <w:bookmarkEnd w:id="668"/>
      <w:bookmarkEnd w:id="669"/>
    </w:p>
    <w:p>
      <w:pPr>
        <w:spacing w:line="400" w:lineRule="exact"/>
        <w:ind w:firstLine="420" w:firstLineChars="200"/>
        <w:rPr>
          <w:color w:val="auto"/>
          <w:szCs w:val="24"/>
          <w:highlight w:val="none"/>
        </w:rPr>
      </w:pPr>
      <w:r>
        <w:rPr>
          <w:rFonts w:hint="eastAsia"/>
          <w:color w:val="auto"/>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keepNext/>
        <w:keepLines/>
        <w:spacing w:before="260" w:after="260"/>
        <w:ind w:firstLine="137" w:firstLineChars="49"/>
        <w:outlineLvl w:val="2"/>
        <w:rPr>
          <w:rFonts w:eastAsia="黑体"/>
          <w:color w:val="auto"/>
          <w:sz w:val="28"/>
          <w:szCs w:val="20"/>
          <w:highlight w:val="none"/>
        </w:rPr>
      </w:pPr>
      <w:bookmarkStart w:id="670" w:name="_Toc170804603"/>
      <w:bookmarkStart w:id="671" w:name="_Toc12456"/>
      <w:bookmarkStart w:id="672" w:name="_Toc3278"/>
      <w:bookmarkStart w:id="673" w:name="_Toc29504"/>
      <w:bookmarkStart w:id="674" w:name="_Toc14624"/>
      <w:bookmarkStart w:id="675" w:name="_Toc19553"/>
      <w:bookmarkStart w:id="676" w:name="_Toc2608205"/>
      <w:bookmarkStart w:id="677" w:name="_Toc1107906603"/>
      <w:bookmarkStart w:id="678" w:name="_Toc25453"/>
      <w:bookmarkStart w:id="679" w:name="_Toc21635"/>
      <w:bookmarkStart w:id="680" w:name="_Toc13132"/>
      <w:bookmarkStart w:id="681" w:name="_Toc19487"/>
      <w:r>
        <w:rPr>
          <w:rFonts w:eastAsia="黑体"/>
          <w:color w:val="auto"/>
          <w:sz w:val="28"/>
          <w:szCs w:val="20"/>
          <w:highlight w:val="none"/>
        </w:rPr>
        <w:t xml:space="preserve">7.4 </w:t>
      </w:r>
      <w:r>
        <w:rPr>
          <w:rFonts w:hint="eastAsia" w:eastAsia="黑体"/>
          <w:color w:val="auto"/>
          <w:sz w:val="28"/>
          <w:szCs w:val="20"/>
          <w:highlight w:val="none"/>
        </w:rPr>
        <w:t>定标</w:t>
      </w:r>
      <w:bookmarkEnd w:id="670"/>
      <w:bookmarkEnd w:id="671"/>
      <w:bookmarkEnd w:id="672"/>
      <w:bookmarkEnd w:id="673"/>
      <w:bookmarkEnd w:id="674"/>
      <w:bookmarkEnd w:id="675"/>
      <w:bookmarkEnd w:id="676"/>
      <w:bookmarkEnd w:id="677"/>
      <w:bookmarkEnd w:id="678"/>
      <w:bookmarkEnd w:id="679"/>
      <w:bookmarkEnd w:id="680"/>
      <w:bookmarkEnd w:id="681"/>
    </w:p>
    <w:p>
      <w:pPr>
        <w:spacing w:line="400" w:lineRule="exact"/>
        <w:ind w:firstLine="420" w:firstLineChars="200"/>
        <w:rPr>
          <w:color w:val="auto"/>
          <w:szCs w:val="24"/>
          <w:highlight w:val="none"/>
        </w:rPr>
      </w:pPr>
      <w:r>
        <w:rPr>
          <w:rFonts w:hint="eastAsia"/>
          <w:color w:val="auto"/>
          <w:szCs w:val="24"/>
          <w:highlight w:val="none"/>
        </w:rPr>
        <w:t>按照投标人须知前附表的规定，招标人或招标人授权的评标委员会依法确定中标人。</w:t>
      </w:r>
    </w:p>
    <w:p>
      <w:pPr>
        <w:keepNext/>
        <w:keepLines/>
        <w:spacing w:before="260" w:after="260"/>
        <w:ind w:firstLine="137" w:firstLineChars="49"/>
        <w:outlineLvl w:val="2"/>
        <w:rPr>
          <w:rFonts w:eastAsia="黑体"/>
          <w:color w:val="auto"/>
          <w:sz w:val="28"/>
          <w:szCs w:val="20"/>
          <w:highlight w:val="none"/>
        </w:rPr>
      </w:pPr>
      <w:bookmarkStart w:id="682" w:name="_Toc3864"/>
      <w:bookmarkStart w:id="683" w:name="_Toc32072"/>
      <w:bookmarkStart w:id="684" w:name="_Toc23218"/>
      <w:bookmarkStart w:id="685" w:name="_Toc10658"/>
      <w:bookmarkStart w:id="686" w:name="_Toc20036"/>
      <w:bookmarkStart w:id="687" w:name="_Toc8332"/>
      <w:bookmarkStart w:id="688" w:name="_Toc170804604"/>
      <w:bookmarkStart w:id="689" w:name="_Toc26548"/>
      <w:bookmarkStart w:id="690" w:name="_Toc2608206"/>
      <w:bookmarkStart w:id="691" w:name="_Toc31479"/>
      <w:bookmarkStart w:id="692" w:name="_Toc1903057131"/>
      <w:bookmarkStart w:id="693" w:name="_Toc17855"/>
      <w:r>
        <w:rPr>
          <w:rFonts w:eastAsia="黑体"/>
          <w:color w:val="auto"/>
          <w:sz w:val="28"/>
          <w:szCs w:val="20"/>
          <w:highlight w:val="none"/>
        </w:rPr>
        <w:t xml:space="preserve">7.5 </w:t>
      </w:r>
      <w:r>
        <w:rPr>
          <w:rFonts w:hint="eastAsia" w:eastAsia="黑体"/>
          <w:color w:val="auto"/>
          <w:sz w:val="28"/>
          <w:szCs w:val="20"/>
          <w:highlight w:val="none"/>
        </w:rPr>
        <w:t>中标通知</w:t>
      </w:r>
      <w:bookmarkEnd w:id="682"/>
      <w:bookmarkEnd w:id="683"/>
      <w:bookmarkEnd w:id="684"/>
      <w:bookmarkEnd w:id="685"/>
      <w:bookmarkEnd w:id="686"/>
      <w:bookmarkEnd w:id="687"/>
      <w:bookmarkEnd w:id="688"/>
      <w:bookmarkEnd w:id="689"/>
      <w:bookmarkEnd w:id="690"/>
      <w:bookmarkEnd w:id="691"/>
      <w:bookmarkEnd w:id="692"/>
      <w:bookmarkEnd w:id="693"/>
    </w:p>
    <w:p>
      <w:pPr>
        <w:spacing w:line="400" w:lineRule="exact"/>
        <w:ind w:firstLine="420" w:firstLineChars="200"/>
        <w:rPr>
          <w:color w:val="auto"/>
          <w:szCs w:val="24"/>
          <w:highlight w:val="none"/>
        </w:rPr>
      </w:pPr>
      <w:r>
        <w:rPr>
          <w:rFonts w:hint="eastAsia"/>
          <w:color w:val="auto"/>
          <w:szCs w:val="24"/>
          <w:highlight w:val="none"/>
        </w:rPr>
        <w:t>在本章第</w:t>
      </w:r>
      <w:r>
        <w:rPr>
          <w:color w:val="auto"/>
          <w:szCs w:val="24"/>
          <w:highlight w:val="none"/>
        </w:rPr>
        <w:t>3.3</w:t>
      </w:r>
      <w:r>
        <w:rPr>
          <w:rFonts w:hint="eastAsia"/>
          <w:color w:val="auto"/>
          <w:szCs w:val="24"/>
          <w:highlight w:val="none"/>
        </w:rPr>
        <w:t>款规定的投标有效期内，招标人以书面形式向中标人发出中标通知书，同时将中标结果通知未中标的投标人。</w:t>
      </w:r>
    </w:p>
    <w:p>
      <w:pPr>
        <w:keepNext/>
        <w:keepLines/>
        <w:spacing w:before="260" w:after="260"/>
        <w:ind w:firstLine="137" w:firstLineChars="49"/>
        <w:outlineLvl w:val="2"/>
        <w:rPr>
          <w:rFonts w:eastAsia="黑体"/>
          <w:color w:val="auto"/>
          <w:sz w:val="28"/>
          <w:szCs w:val="20"/>
          <w:highlight w:val="none"/>
        </w:rPr>
      </w:pPr>
      <w:bookmarkStart w:id="694" w:name="_Toc28137"/>
      <w:bookmarkStart w:id="695" w:name="_Toc59762299"/>
      <w:bookmarkStart w:id="696" w:name="_Toc2608207"/>
      <w:bookmarkStart w:id="697" w:name="_Toc170804605"/>
      <w:bookmarkStart w:id="698" w:name="_Toc32058"/>
      <w:bookmarkStart w:id="699" w:name="_Toc12509"/>
      <w:bookmarkStart w:id="700" w:name="_Toc19877"/>
      <w:bookmarkStart w:id="701" w:name="_Toc2111"/>
      <w:bookmarkStart w:id="702" w:name="_Toc5515"/>
      <w:bookmarkStart w:id="703" w:name="_Toc14795"/>
      <w:bookmarkStart w:id="704" w:name="_Toc18343"/>
      <w:bookmarkStart w:id="705" w:name="_Toc14600"/>
      <w:r>
        <w:rPr>
          <w:rFonts w:eastAsia="黑体"/>
          <w:color w:val="auto"/>
          <w:sz w:val="28"/>
          <w:szCs w:val="20"/>
          <w:highlight w:val="none"/>
        </w:rPr>
        <w:t xml:space="preserve">7.6 </w:t>
      </w:r>
      <w:r>
        <w:rPr>
          <w:rFonts w:hint="eastAsia" w:eastAsia="黑体"/>
          <w:color w:val="auto"/>
          <w:sz w:val="28"/>
          <w:szCs w:val="20"/>
          <w:highlight w:val="none"/>
        </w:rPr>
        <w:t>履约保证金</w:t>
      </w:r>
      <w:bookmarkEnd w:id="694"/>
      <w:bookmarkEnd w:id="695"/>
      <w:bookmarkEnd w:id="696"/>
      <w:bookmarkEnd w:id="697"/>
      <w:bookmarkEnd w:id="698"/>
      <w:bookmarkEnd w:id="699"/>
      <w:bookmarkEnd w:id="700"/>
      <w:bookmarkEnd w:id="701"/>
      <w:bookmarkEnd w:id="702"/>
      <w:bookmarkEnd w:id="703"/>
      <w:bookmarkEnd w:id="704"/>
      <w:bookmarkEnd w:id="705"/>
    </w:p>
    <w:p>
      <w:pPr>
        <w:spacing w:line="400" w:lineRule="exact"/>
        <w:ind w:firstLine="420" w:firstLineChars="200"/>
        <w:rPr>
          <w:strike/>
          <w:color w:val="auto"/>
          <w:szCs w:val="24"/>
          <w:highlight w:val="none"/>
        </w:rPr>
      </w:pPr>
      <w:r>
        <w:rPr>
          <w:color w:val="auto"/>
          <w:szCs w:val="24"/>
          <w:highlight w:val="none"/>
        </w:rPr>
        <w:t xml:space="preserve">7.6.1 </w:t>
      </w:r>
      <w:r>
        <w:rPr>
          <w:rFonts w:hint="eastAsia"/>
          <w:color w:val="auto"/>
          <w:szCs w:val="24"/>
          <w:highlight w:val="none"/>
        </w:rPr>
        <w:t>在签订合同前，中标人应按投标人须知前附表规定的形式、金额和招标文件第四章</w:t>
      </w:r>
      <w:r>
        <w:rPr>
          <w:color w:val="auto"/>
          <w:szCs w:val="24"/>
          <w:highlight w:val="none"/>
        </w:rPr>
        <w:t>“</w:t>
      </w:r>
      <w:r>
        <w:rPr>
          <w:rFonts w:hint="eastAsia"/>
          <w:color w:val="auto"/>
          <w:szCs w:val="24"/>
          <w:highlight w:val="none"/>
        </w:rPr>
        <w:t>合同条款及格式</w:t>
      </w:r>
      <w:r>
        <w:rPr>
          <w:color w:val="auto"/>
          <w:szCs w:val="24"/>
          <w:highlight w:val="none"/>
        </w:rPr>
        <w:t>”</w:t>
      </w:r>
      <w:r>
        <w:rPr>
          <w:rFonts w:hint="eastAsia"/>
          <w:color w:val="auto"/>
          <w:szCs w:val="24"/>
          <w:highlight w:val="none"/>
        </w:rPr>
        <w:t>规定的或者事先经过招标人书面认可的履约保证金格式向招标人提交履约保证金。除投标人须知前附表另有规定外，履约保证金为中标合同金额的</w:t>
      </w:r>
      <w:r>
        <w:rPr>
          <w:color w:val="auto"/>
          <w:szCs w:val="24"/>
          <w:highlight w:val="none"/>
        </w:rPr>
        <w:t>10%</w:t>
      </w:r>
      <w:r>
        <w:rPr>
          <w:rFonts w:hint="eastAsia"/>
          <w:color w:val="auto"/>
          <w:szCs w:val="24"/>
          <w:highlight w:val="none"/>
        </w:rPr>
        <w:t>。联合体中标的，其履约保证金以联合体各方或者联合体中牵头人的名义提交。</w:t>
      </w:r>
    </w:p>
    <w:p>
      <w:pPr>
        <w:spacing w:line="400" w:lineRule="exact"/>
        <w:ind w:firstLine="420" w:firstLineChars="200"/>
        <w:rPr>
          <w:color w:val="auto"/>
          <w:szCs w:val="24"/>
          <w:highlight w:val="none"/>
        </w:rPr>
      </w:pPr>
      <w:r>
        <w:rPr>
          <w:color w:val="auto"/>
          <w:szCs w:val="24"/>
          <w:highlight w:val="none"/>
        </w:rPr>
        <w:t xml:space="preserve">7.6.2 </w:t>
      </w:r>
      <w:r>
        <w:rPr>
          <w:rFonts w:hint="eastAsia"/>
          <w:color w:val="auto"/>
          <w:szCs w:val="24"/>
          <w:highlight w:val="none"/>
        </w:rPr>
        <w:t>中标人不能按本章第</w:t>
      </w:r>
      <w:r>
        <w:rPr>
          <w:color w:val="auto"/>
          <w:szCs w:val="24"/>
          <w:highlight w:val="none"/>
        </w:rPr>
        <w:t>7.6.1</w:t>
      </w:r>
      <w:r>
        <w:rPr>
          <w:rFonts w:hint="eastAsia"/>
          <w:color w:val="auto"/>
          <w:szCs w:val="24"/>
          <w:highlight w:val="none"/>
        </w:rPr>
        <w:t>项要求提交履约保证金的，视为放弃中标，其投标保证金不予退还，给招标人造成的损失超过投标保证金数额的，中标人还应当对超过部分予以赔偿。</w:t>
      </w:r>
    </w:p>
    <w:p>
      <w:pPr>
        <w:keepNext/>
        <w:keepLines/>
        <w:spacing w:before="260" w:after="260"/>
        <w:ind w:firstLine="137" w:firstLineChars="49"/>
        <w:outlineLvl w:val="2"/>
        <w:rPr>
          <w:rFonts w:eastAsia="黑体"/>
          <w:color w:val="auto"/>
          <w:sz w:val="28"/>
          <w:szCs w:val="20"/>
          <w:highlight w:val="none"/>
        </w:rPr>
      </w:pPr>
      <w:bookmarkStart w:id="706" w:name="_Toc26153"/>
      <w:bookmarkStart w:id="707" w:name="_Toc22658"/>
      <w:bookmarkStart w:id="708" w:name="_Toc170804606"/>
      <w:bookmarkStart w:id="709" w:name="_Toc30744"/>
      <w:bookmarkStart w:id="710" w:name="_Toc5053"/>
      <w:bookmarkStart w:id="711" w:name="_Toc1550096144"/>
      <w:bookmarkStart w:id="712" w:name="_Toc32225"/>
      <w:bookmarkStart w:id="713" w:name="_Toc12697"/>
      <w:bookmarkStart w:id="714" w:name="_Toc4801"/>
      <w:bookmarkStart w:id="715" w:name="_Toc12741"/>
      <w:bookmarkStart w:id="716" w:name="_Toc1144"/>
      <w:bookmarkStart w:id="717" w:name="_Toc2608208"/>
      <w:r>
        <w:rPr>
          <w:rFonts w:eastAsia="黑体"/>
          <w:color w:val="auto"/>
          <w:sz w:val="28"/>
          <w:szCs w:val="20"/>
          <w:highlight w:val="none"/>
        </w:rPr>
        <w:t xml:space="preserve">7.7 </w:t>
      </w:r>
      <w:r>
        <w:rPr>
          <w:rFonts w:hint="eastAsia" w:eastAsia="黑体"/>
          <w:color w:val="auto"/>
          <w:sz w:val="28"/>
          <w:szCs w:val="20"/>
          <w:highlight w:val="none"/>
        </w:rPr>
        <w:t>签订合同</w:t>
      </w:r>
      <w:bookmarkEnd w:id="706"/>
      <w:bookmarkEnd w:id="707"/>
      <w:bookmarkEnd w:id="708"/>
      <w:bookmarkEnd w:id="709"/>
      <w:bookmarkEnd w:id="710"/>
      <w:bookmarkEnd w:id="711"/>
      <w:bookmarkEnd w:id="712"/>
      <w:bookmarkEnd w:id="713"/>
      <w:bookmarkEnd w:id="714"/>
      <w:bookmarkEnd w:id="715"/>
      <w:bookmarkEnd w:id="716"/>
      <w:bookmarkEnd w:id="717"/>
    </w:p>
    <w:p>
      <w:pPr>
        <w:spacing w:line="400" w:lineRule="exact"/>
        <w:ind w:firstLine="420" w:firstLineChars="200"/>
        <w:rPr>
          <w:color w:val="auto"/>
          <w:szCs w:val="24"/>
          <w:highlight w:val="none"/>
        </w:rPr>
      </w:pPr>
      <w:r>
        <w:rPr>
          <w:color w:val="auto"/>
          <w:szCs w:val="24"/>
          <w:highlight w:val="none"/>
        </w:rPr>
        <w:t xml:space="preserve">7.7.1 </w:t>
      </w:r>
      <w:r>
        <w:rPr>
          <w:rFonts w:hint="eastAsia"/>
          <w:color w:val="auto"/>
          <w:szCs w:val="24"/>
          <w:highlight w:val="none"/>
        </w:rPr>
        <w:t>招标人和中标人应当在中标通知书发出之日起</w:t>
      </w:r>
      <w:r>
        <w:rPr>
          <w:color w:val="auto"/>
          <w:szCs w:val="24"/>
          <w:highlight w:val="none"/>
        </w:rPr>
        <w:t>30</w:t>
      </w:r>
      <w:r>
        <w:rPr>
          <w:rFonts w:hint="eastAsia"/>
          <w:color w:val="auto"/>
          <w:szCs w:val="24"/>
          <w:highlight w:val="none"/>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400" w:lineRule="exact"/>
        <w:ind w:firstLine="420" w:firstLineChars="200"/>
        <w:rPr>
          <w:color w:val="auto"/>
          <w:szCs w:val="24"/>
          <w:highlight w:val="none"/>
        </w:rPr>
      </w:pPr>
      <w:r>
        <w:rPr>
          <w:color w:val="auto"/>
          <w:szCs w:val="24"/>
          <w:highlight w:val="none"/>
        </w:rPr>
        <w:t xml:space="preserve">7.7.2 </w:t>
      </w:r>
      <w:r>
        <w:rPr>
          <w:rFonts w:hint="eastAsia"/>
          <w:color w:val="auto"/>
          <w:szCs w:val="24"/>
          <w:highlight w:val="none"/>
        </w:rPr>
        <w:t>发出中标通知书后，招标人无正当理由拒签合同，或者在签订合同时向中标人提出附加条件的，招标人向中标人退还投标保证金；给中标人造成损失的，还应当赔偿损失。</w:t>
      </w:r>
    </w:p>
    <w:p>
      <w:pPr>
        <w:spacing w:line="400" w:lineRule="exact"/>
        <w:ind w:firstLine="420" w:firstLineChars="200"/>
        <w:rPr>
          <w:color w:val="auto"/>
          <w:szCs w:val="21"/>
          <w:highlight w:val="none"/>
        </w:rPr>
      </w:pPr>
      <w:r>
        <w:rPr>
          <w:color w:val="auto"/>
          <w:szCs w:val="24"/>
          <w:highlight w:val="none"/>
        </w:rPr>
        <w:t>7.7.3</w:t>
      </w:r>
      <w:r>
        <w:rPr>
          <w:rFonts w:hint="eastAsia"/>
          <w:color w:val="auto"/>
          <w:szCs w:val="21"/>
          <w:highlight w:val="none"/>
        </w:rPr>
        <w:t>联合体中标的，联合体各方应当共同与招标人签订合同，就中标项目向招标人承担连带责任。</w:t>
      </w:r>
    </w:p>
    <w:p>
      <w:pPr>
        <w:pStyle w:val="5"/>
        <w:rPr>
          <w:color w:val="auto"/>
          <w:highlight w:val="none"/>
        </w:rPr>
      </w:pPr>
    </w:p>
    <w:p>
      <w:pPr>
        <w:keepNext/>
        <w:keepLines/>
        <w:adjustRightInd w:val="0"/>
        <w:spacing w:before="240" w:after="120"/>
        <w:textAlignment w:val="baseline"/>
        <w:outlineLvl w:val="1"/>
        <w:rPr>
          <w:rFonts w:eastAsia="黑体"/>
          <w:color w:val="auto"/>
          <w:kern w:val="0"/>
          <w:sz w:val="24"/>
          <w:szCs w:val="20"/>
          <w:highlight w:val="none"/>
        </w:rPr>
      </w:pPr>
      <w:bookmarkStart w:id="718" w:name="_Toc18396"/>
      <w:bookmarkStart w:id="719" w:name="_Toc27832"/>
      <w:bookmarkStart w:id="720" w:name="_Toc5505"/>
      <w:bookmarkStart w:id="721" w:name="_Toc30839"/>
      <w:bookmarkStart w:id="722" w:name="_Toc170804607"/>
      <w:bookmarkStart w:id="723" w:name="_Toc13549"/>
      <w:bookmarkStart w:id="724" w:name="_Toc5834"/>
      <w:bookmarkStart w:id="725" w:name="_Toc5679"/>
      <w:bookmarkStart w:id="726" w:name="_Toc9838"/>
      <w:bookmarkStart w:id="727" w:name="_Toc952"/>
      <w:bookmarkStart w:id="728" w:name="_Toc1341770451"/>
      <w:r>
        <w:rPr>
          <w:rFonts w:eastAsia="黑体"/>
          <w:color w:val="auto"/>
          <w:kern w:val="0"/>
          <w:sz w:val="24"/>
          <w:szCs w:val="20"/>
          <w:highlight w:val="none"/>
        </w:rPr>
        <w:t>8.纪律和监督</w:t>
      </w:r>
      <w:bookmarkEnd w:id="718"/>
      <w:bookmarkEnd w:id="719"/>
      <w:bookmarkEnd w:id="720"/>
      <w:bookmarkEnd w:id="721"/>
      <w:bookmarkEnd w:id="722"/>
      <w:bookmarkEnd w:id="723"/>
      <w:bookmarkEnd w:id="724"/>
      <w:bookmarkEnd w:id="725"/>
      <w:bookmarkEnd w:id="726"/>
      <w:bookmarkEnd w:id="727"/>
      <w:bookmarkEnd w:id="728"/>
    </w:p>
    <w:p>
      <w:pPr>
        <w:keepNext/>
        <w:keepLines/>
        <w:spacing w:before="260" w:after="260"/>
        <w:ind w:firstLine="137" w:firstLineChars="49"/>
        <w:outlineLvl w:val="2"/>
        <w:rPr>
          <w:rFonts w:eastAsia="黑体"/>
          <w:color w:val="auto"/>
          <w:sz w:val="28"/>
          <w:szCs w:val="20"/>
          <w:highlight w:val="none"/>
        </w:rPr>
      </w:pPr>
      <w:bookmarkStart w:id="729" w:name="_Toc2608210"/>
      <w:bookmarkStart w:id="730" w:name="_Toc8066"/>
      <w:bookmarkStart w:id="731" w:name="_Toc6141"/>
      <w:bookmarkStart w:id="732" w:name="_Toc170804608"/>
      <w:bookmarkStart w:id="733" w:name="_Toc410192810"/>
      <w:bookmarkStart w:id="734" w:name="_Toc8064"/>
      <w:bookmarkStart w:id="735" w:name="_Toc4170"/>
      <w:bookmarkStart w:id="736" w:name="_Toc477"/>
      <w:bookmarkStart w:id="737" w:name="_Toc2986"/>
      <w:bookmarkStart w:id="738" w:name="_Toc30674"/>
      <w:bookmarkStart w:id="739" w:name="_Toc8744"/>
      <w:bookmarkStart w:id="740" w:name="_Toc7889"/>
      <w:r>
        <w:rPr>
          <w:rFonts w:eastAsia="黑体"/>
          <w:color w:val="auto"/>
          <w:sz w:val="28"/>
          <w:szCs w:val="20"/>
          <w:highlight w:val="none"/>
        </w:rPr>
        <w:t xml:space="preserve">8.1 </w:t>
      </w:r>
      <w:r>
        <w:rPr>
          <w:rFonts w:hint="eastAsia" w:eastAsia="黑体"/>
          <w:color w:val="auto"/>
          <w:sz w:val="28"/>
          <w:szCs w:val="20"/>
          <w:highlight w:val="none"/>
        </w:rPr>
        <w:t>对招标人的纪律要求</w:t>
      </w:r>
      <w:bookmarkEnd w:id="729"/>
      <w:bookmarkEnd w:id="730"/>
      <w:bookmarkEnd w:id="731"/>
      <w:bookmarkEnd w:id="732"/>
      <w:bookmarkEnd w:id="733"/>
      <w:bookmarkEnd w:id="734"/>
      <w:bookmarkEnd w:id="735"/>
      <w:bookmarkEnd w:id="736"/>
      <w:bookmarkEnd w:id="737"/>
      <w:bookmarkEnd w:id="738"/>
      <w:bookmarkEnd w:id="739"/>
      <w:bookmarkEnd w:id="740"/>
    </w:p>
    <w:p>
      <w:pPr>
        <w:spacing w:line="400" w:lineRule="exact"/>
        <w:ind w:firstLine="420" w:firstLineChars="200"/>
        <w:rPr>
          <w:color w:val="auto"/>
          <w:szCs w:val="24"/>
          <w:highlight w:val="none"/>
        </w:rPr>
      </w:pPr>
      <w:r>
        <w:rPr>
          <w:rFonts w:hint="eastAsia"/>
          <w:color w:val="auto"/>
          <w:szCs w:val="24"/>
          <w:highlight w:val="none"/>
        </w:rPr>
        <w:t>招标人不得泄露招标投标活动中应当保密的情况和资料，不得与投标人串通损害国家利益、社会公共利益或者他人合法权益。</w:t>
      </w:r>
    </w:p>
    <w:p>
      <w:pPr>
        <w:keepNext/>
        <w:keepLines/>
        <w:spacing w:before="260" w:after="260"/>
        <w:ind w:firstLine="137" w:firstLineChars="49"/>
        <w:outlineLvl w:val="2"/>
        <w:rPr>
          <w:rFonts w:eastAsia="黑体"/>
          <w:color w:val="auto"/>
          <w:sz w:val="28"/>
          <w:szCs w:val="20"/>
          <w:highlight w:val="none"/>
        </w:rPr>
      </w:pPr>
      <w:bookmarkStart w:id="741" w:name="_Toc31771"/>
      <w:bookmarkStart w:id="742" w:name="_Toc4161"/>
      <w:bookmarkStart w:id="743" w:name="_Toc9040"/>
      <w:bookmarkStart w:id="744" w:name="_Toc11856"/>
      <w:bookmarkStart w:id="745" w:name="_Toc2608211"/>
      <w:bookmarkStart w:id="746" w:name="_Toc29007"/>
      <w:bookmarkStart w:id="747" w:name="_Toc13860"/>
      <w:bookmarkStart w:id="748" w:name="_Toc11887"/>
      <w:bookmarkStart w:id="749" w:name="_Toc170804609"/>
      <w:bookmarkStart w:id="750" w:name="_Toc688050800"/>
      <w:bookmarkStart w:id="751" w:name="_Toc15623"/>
      <w:bookmarkStart w:id="752" w:name="_Toc1317"/>
      <w:r>
        <w:rPr>
          <w:rFonts w:eastAsia="黑体"/>
          <w:color w:val="auto"/>
          <w:sz w:val="28"/>
          <w:szCs w:val="20"/>
          <w:highlight w:val="none"/>
        </w:rPr>
        <w:t xml:space="preserve">8.2 </w:t>
      </w:r>
      <w:r>
        <w:rPr>
          <w:rFonts w:hint="eastAsia" w:eastAsia="黑体"/>
          <w:color w:val="auto"/>
          <w:sz w:val="28"/>
          <w:szCs w:val="20"/>
          <w:highlight w:val="none"/>
        </w:rPr>
        <w:t>对投标人的纪律要求</w:t>
      </w:r>
      <w:bookmarkEnd w:id="741"/>
      <w:bookmarkEnd w:id="742"/>
      <w:bookmarkEnd w:id="743"/>
      <w:bookmarkEnd w:id="744"/>
      <w:bookmarkEnd w:id="745"/>
      <w:bookmarkEnd w:id="746"/>
      <w:bookmarkEnd w:id="747"/>
      <w:bookmarkEnd w:id="748"/>
      <w:bookmarkEnd w:id="749"/>
      <w:bookmarkEnd w:id="750"/>
      <w:bookmarkEnd w:id="751"/>
      <w:bookmarkEnd w:id="752"/>
    </w:p>
    <w:p>
      <w:pPr>
        <w:spacing w:line="400" w:lineRule="exact"/>
        <w:ind w:firstLine="420" w:firstLineChars="200"/>
        <w:rPr>
          <w:color w:val="auto"/>
          <w:szCs w:val="24"/>
          <w:highlight w:val="none"/>
        </w:rPr>
      </w:pPr>
      <w:r>
        <w:rPr>
          <w:rFonts w:hint="eastAsia"/>
          <w:color w:val="auto"/>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keepLines/>
        <w:spacing w:before="260" w:after="260"/>
        <w:ind w:firstLine="137" w:firstLineChars="49"/>
        <w:outlineLvl w:val="2"/>
        <w:rPr>
          <w:rFonts w:eastAsia="黑体"/>
          <w:color w:val="auto"/>
          <w:sz w:val="28"/>
          <w:szCs w:val="20"/>
          <w:highlight w:val="none"/>
        </w:rPr>
      </w:pPr>
      <w:bookmarkStart w:id="753" w:name="_Toc24786"/>
      <w:bookmarkStart w:id="754" w:name="_Toc27333"/>
      <w:bookmarkStart w:id="755" w:name="_Toc9760"/>
      <w:bookmarkStart w:id="756" w:name="_Toc21740"/>
      <w:bookmarkStart w:id="757" w:name="_Toc2608212"/>
      <w:bookmarkStart w:id="758" w:name="_Toc15339"/>
      <w:bookmarkStart w:id="759" w:name="_Toc8802"/>
      <w:bookmarkStart w:id="760" w:name="_Toc32728"/>
      <w:bookmarkStart w:id="761" w:name="_Toc4970"/>
      <w:bookmarkStart w:id="762" w:name="_Toc170804610"/>
      <w:bookmarkStart w:id="763" w:name="_Toc2017840152"/>
      <w:bookmarkStart w:id="764" w:name="_Toc29557"/>
      <w:r>
        <w:rPr>
          <w:rFonts w:eastAsia="黑体"/>
          <w:color w:val="auto"/>
          <w:sz w:val="28"/>
          <w:szCs w:val="20"/>
          <w:highlight w:val="none"/>
        </w:rPr>
        <w:t xml:space="preserve">8.3 </w:t>
      </w:r>
      <w:r>
        <w:rPr>
          <w:rFonts w:hint="eastAsia" w:eastAsia="黑体"/>
          <w:color w:val="auto"/>
          <w:sz w:val="28"/>
          <w:szCs w:val="20"/>
          <w:highlight w:val="none"/>
        </w:rPr>
        <w:t>对评标委员会成员的纪律要求</w:t>
      </w:r>
      <w:bookmarkEnd w:id="753"/>
      <w:bookmarkEnd w:id="754"/>
      <w:bookmarkEnd w:id="755"/>
      <w:bookmarkEnd w:id="756"/>
      <w:bookmarkEnd w:id="757"/>
      <w:bookmarkEnd w:id="758"/>
      <w:bookmarkEnd w:id="759"/>
      <w:bookmarkEnd w:id="760"/>
      <w:bookmarkEnd w:id="761"/>
      <w:bookmarkEnd w:id="762"/>
      <w:bookmarkEnd w:id="763"/>
      <w:bookmarkEnd w:id="764"/>
    </w:p>
    <w:p>
      <w:pPr>
        <w:spacing w:line="400" w:lineRule="exact"/>
        <w:ind w:firstLine="420" w:firstLineChars="200"/>
        <w:rPr>
          <w:color w:val="auto"/>
          <w:szCs w:val="24"/>
          <w:highlight w:val="none"/>
        </w:rPr>
      </w:pPr>
      <w:r>
        <w:rPr>
          <w:rFonts w:hint="eastAsia"/>
          <w:color w:val="auto"/>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color w:val="auto"/>
          <w:szCs w:val="24"/>
          <w:highlight w:val="none"/>
        </w:rPr>
        <w:t>“</w:t>
      </w:r>
      <w:r>
        <w:rPr>
          <w:rFonts w:hint="eastAsia"/>
          <w:color w:val="auto"/>
          <w:szCs w:val="24"/>
          <w:highlight w:val="none"/>
        </w:rPr>
        <w:t>评标办法</w:t>
      </w:r>
      <w:r>
        <w:rPr>
          <w:color w:val="auto"/>
          <w:szCs w:val="24"/>
          <w:highlight w:val="none"/>
        </w:rPr>
        <w:t>”</w:t>
      </w:r>
      <w:r>
        <w:rPr>
          <w:rFonts w:hint="eastAsia"/>
          <w:color w:val="auto"/>
          <w:szCs w:val="24"/>
          <w:highlight w:val="none"/>
        </w:rPr>
        <w:t>没有规定的评审因素和标准进行评标。</w:t>
      </w:r>
    </w:p>
    <w:p>
      <w:pPr>
        <w:keepNext/>
        <w:keepLines/>
        <w:spacing w:before="260" w:after="260"/>
        <w:ind w:firstLine="137" w:firstLineChars="49"/>
        <w:outlineLvl w:val="2"/>
        <w:rPr>
          <w:rFonts w:eastAsia="黑体"/>
          <w:color w:val="auto"/>
          <w:sz w:val="28"/>
          <w:szCs w:val="20"/>
          <w:highlight w:val="none"/>
        </w:rPr>
      </w:pPr>
      <w:bookmarkStart w:id="765" w:name="_Toc27510"/>
      <w:bookmarkStart w:id="766" w:name="_Toc12762"/>
      <w:bookmarkStart w:id="767" w:name="_Toc2608213"/>
      <w:bookmarkStart w:id="768" w:name="_Toc26475"/>
      <w:bookmarkStart w:id="769" w:name="_Toc29102"/>
      <w:bookmarkStart w:id="770" w:name="_Toc3408"/>
      <w:bookmarkStart w:id="771" w:name="_Toc28666"/>
      <w:bookmarkStart w:id="772" w:name="_Toc170804611"/>
      <w:bookmarkStart w:id="773" w:name="_Toc1862"/>
      <w:bookmarkStart w:id="774" w:name="_Toc18929"/>
      <w:bookmarkStart w:id="775" w:name="_Toc31147"/>
      <w:bookmarkStart w:id="776" w:name="_Toc777681240"/>
      <w:r>
        <w:rPr>
          <w:rFonts w:eastAsia="黑体"/>
          <w:color w:val="auto"/>
          <w:sz w:val="28"/>
          <w:szCs w:val="20"/>
          <w:highlight w:val="none"/>
        </w:rPr>
        <w:t xml:space="preserve">8.4 </w:t>
      </w:r>
      <w:r>
        <w:rPr>
          <w:rFonts w:hint="eastAsia" w:eastAsia="黑体"/>
          <w:color w:val="auto"/>
          <w:sz w:val="28"/>
          <w:szCs w:val="20"/>
          <w:highlight w:val="none"/>
        </w:rPr>
        <w:t>对与评标活动有关的工作人员的纪律要求</w:t>
      </w:r>
      <w:bookmarkEnd w:id="765"/>
      <w:bookmarkEnd w:id="766"/>
      <w:bookmarkEnd w:id="767"/>
      <w:bookmarkEnd w:id="768"/>
      <w:bookmarkEnd w:id="769"/>
      <w:bookmarkEnd w:id="770"/>
      <w:bookmarkEnd w:id="771"/>
      <w:bookmarkEnd w:id="772"/>
      <w:bookmarkEnd w:id="773"/>
      <w:bookmarkEnd w:id="774"/>
      <w:bookmarkEnd w:id="775"/>
      <w:bookmarkEnd w:id="776"/>
    </w:p>
    <w:p>
      <w:pPr>
        <w:spacing w:line="400" w:lineRule="exact"/>
        <w:ind w:firstLine="420" w:firstLineChars="200"/>
        <w:rPr>
          <w:color w:val="auto"/>
          <w:szCs w:val="24"/>
          <w:highlight w:val="none"/>
        </w:rPr>
      </w:pPr>
      <w:r>
        <w:rPr>
          <w:rFonts w:hint="eastAsia"/>
          <w:color w:val="auto"/>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keepNext/>
        <w:keepLines/>
        <w:spacing w:before="260" w:after="260"/>
        <w:ind w:firstLine="137" w:firstLineChars="49"/>
        <w:outlineLvl w:val="2"/>
        <w:rPr>
          <w:rFonts w:eastAsia="黑体"/>
          <w:color w:val="auto"/>
          <w:sz w:val="28"/>
          <w:szCs w:val="20"/>
          <w:highlight w:val="none"/>
        </w:rPr>
      </w:pPr>
      <w:bookmarkStart w:id="777" w:name="_Toc10132"/>
      <w:bookmarkStart w:id="778" w:name="_Toc170804612"/>
      <w:bookmarkStart w:id="779" w:name="_Toc1343"/>
      <w:bookmarkStart w:id="780" w:name="_Toc10990"/>
      <w:bookmarkStart w:id="781" w:name="_Toc29540"/>
      <w:bookmarkStart w:id="782" w:name="_Toc6299"/>
      <w:bookmarkStart w:id="783" w:name="_Toc15836"/>
      <w:bookmarkStart w:id="784" w:name="_Toc1529"/>
      <w:bookmarkStart w:id="785" w:name="_Toc9848"/>
      <w:bookmarkStart w:id="786" w:name="_Toc28063"/>
      <w:bookmarkStart w:id="787" w:name="_Toc2608214"/>
      <w:bookmarkStart w:id="788" w:name="_Toc903125038"/>
      <w:r>
        <w:rPr>
          <w:rFonts w:eastAsia="黑体"/>
          <w:color w:val="auto"/>
          <w:sz w:val="28"/>
          <w:szCs w:val="20"/>
          <w:highlight w:val="none"/>
        </w:rPr>
        <w:t xml:space="preserve">8.5 </w:t>
      </w:r>
      <w:r>
        <w:rPr>
          <w:rFonts w:hint="eastAsia" w:eastAsia="黑体"/>
          <w:color w:val="auto"/>
          <w:sz w:val="28"/>
          <w:szCs w:val="20"/>
          <w:highlight w:val="none"/>
        </w:rPr>
        <w:t>投诉</w:t>
      </w:r>
      <w:bookmarkEnd w:id="777"/>
      <w:bookmarkEnd w:id="778"/>
      <w:bookmarkEnd w:id="779"/>
      <w:bookmarkEnd w:id="780"/>
      <w:bookmarkEnd w:id="781"/>
      <w:bookmarkEnd w:id="782"/>
      <w:bookmarkEnd w:id="783"/>
      <w:bookmarkEnd w:id="784"/>
      <w:bookmarkEnd w:id="785"/>
      <w:bookmarkEnd w:id="786"/>
      <w:bookmarkEnd w:id="787"/>
      <w:bookmarkEnd w:id="788"/>
    </w:p>
    <w:p>
      <w:pPr>
        <w:spacing w:line="400" w:lineRule="exact"/>
        <w:ind w:firstLine="420" w:firstLineChars="200"/>
        <w:rPr>
          <w:color w:val="auto"/>
          <w:szCs w:val="24"/>
          <w:highlight w:val="none"/>
        </w:rPr>
      </w:pPr>
      <w:r>
        <w:rPr>
          <w:color w:val="auto"/>
          <w:szCs w:val="24"/>
          <w:highlight w:val="none"/>
        </w:rPr>
        <w:t xml:space="preserve">8.5.1 </w:t>
      </w:r>
      <w:r>
        <w:rPr>
          <w:rFonts w:hint="eastAsia"/>
          <w:color w:val="auto"/>
          <w:szCs w:val="24"/>
          <w:highlight w:val="none"/>
        </w:rPr>
        <w:t>投标人或者其他利害关系人认为招标投标活动不符合法律、行政法规规定的，可以自知道或者应当知道之日起</w:t>
      </w:r>
      <w:r>
        <w:rPr>
          <w:color w:val="auto"/>
          <w:szCs w:val="24"/>
          <w:highlight w:val="none"/>
        </w:rPr>
        <w:t>10</w:t>
      </w:r>
      <w:r>
        <w:rPr>
          <w:rFonts w:hint="eastAsia"/>
          <w:color w:val="auto"/>
          <w:szCs w:val="24"/>
          <w:highlight w:val="none"/>
        </w:rPr>
        <w:t>日内向有关行政监督部门投诉。投诉应当有明确的请求和必要的证明材料。</w:t>
      </w:r>
    </w:p>
    <w:p>
      <w:pPr>
        <w:spacing w:line="400" w:lineRule="exact"/>
        <w:ind w:firstLine="420" w:firstLineChars="200"/>
        <w:rPr>
          <w:color w:val="auto"/>
          <w:szCs w:val="24"/>
          <w:highlight w:val="none"/>
        </w:rPr>
      </w:pPr>
      <w:r>
        <w:rPr>
          <w:color w:val="auto"/>
          <w:szCs w:val="24"/>
          <w:highlight w:val="none"/>
        </w:rPr>
        <w:t xml:space="preserve">8.5.2 </w:t>
      </w:r>
      <w:r>
        <w:rPr>
          <w:rFonts w:hint="eastAsia"/>
          <w:color w:val="auto"/>
          <w:szCs w:val="24"/>
          <w:highlight w:val="none"/>
        </w:rPr>
        <w:t>投标人或者其他利害关系人对招标文件、开标和评标结果提出投诉的，应当按照投标人须知第</w:t>
      </w:r>
      <w:r>
        <w:rPr>
          <w:color w:val="auto"/>
          <w:szCs w:val="24"/>
          <w:highlight w:val="none"/>
        </w:rPr>
        <w:t>2.4</w:t>
      </w:r>
      <w:r>
        <w:rPr>
          <w:rFonts w:hint="eastAsia"/>
          <w:color w:val="auto"/>
          <w:szCs w:val="24"/>
          <w:highlight w:val="none"/>
        </w:rPr>
        <w:t>款、第</w:t>
      </w:r>
      <w:r>
        <w:rPr>
          <w:color w:val="auto"/>
          <w:szCs w:val="24"/>
          <w:highlight w:val="none"/>
        </w:rPr>
        <w:t>5.3</w:t>
      </w:r>
      <w:r>
        <w:rPr>
          <w:rFonts w:hint="eastAsia"/>
          <w:color w:val="auto"/>
          <w:szCs w:val="24"/>
          <w:highlight w:val="none"/>
        </w:rPr>
        <w:t>款和第</w:t>
      </w:r>
      <w:r>
        <w:rPr>
          <w:color w:val="auto"/>
          <w:szCs w:val="24"/>
          <w:highlight w:val="none"/>
        </w:rPr>
        <w:t>7.2</w:t>
      </w:r>
      <w:r>
        <w:rPr>
          <w:rFonts w:hint="eastAsia"/>
          <w:color w:val="auto"/>
          <w:szCs w:val="24"/>
          <w:highlight w:val="none"/>
        </w:rPr>
        <w:t>款的规定先向招标人提出异议。异议答复期间不计算在第</w:t>
      </w:r>
      <w:r>
        <w:rPr>
          <w:color w:val="auto"/>
          <w:szCs w:val="24"/>
          <w:highlight w:val="none"/>
        </w:rPr>
        <w:t>8.5.1</w:t>
      </w:r>
      <w:r>
        <w:rPr>
          <w:rFonts w:hint="eastAsia"/>
          <w:color w:val="auto"/>
          <w:szCs w:val="24"/>
          <w:highlight w:val="none"/>
        </w:rPr>
        <w:t>项规定的期限内。</w:t>
      </w:r>
    </w:p>
    <w:p>
      <w:pPr>
        <w:keepNext/>
        <w:keepLines/>
        <w:adjustRightInd w:val="0"/>
        <w:spacing w:before="240" w:after="120"/>
        <w:textAlignment w:val="baseline"/>
        <w:outlineLvl w:val="1"/>
        <w:rPr>
          <w:rFonts w:eastAsia="黑体"/>
          <w:color w:val="auto"/>
          <w:kern w:val="0"/>
          <w:sz w:val="24"/>
          <w:szCs w:val="20"/>
          <w:highlight w:val="none"/>
        </w:rPr>
      </w:pPr>
      <w:bookmarkStart w:id="789" w:name="_Toc13942"/>
      <w:bookmarkStart w:id="790" w:name="_Toc30720"/>
      <w:bookmarkStart w:id="791" w:name="_Toc6369"/>
      <w:bookmarkStart w:id="792" w:name="_Toc408096670"/>
      <w:bookmarkStart w:id="793" w:name="_Toc19818"/>
      <w:bookmarkStart w:id="794" w:name="_Toc1618"/>
      <w:bookmarkStart w:id="795" w:name="_Toc24191"/>
      <w:bookmarkStart w:id="796" w:name="_Toc170804613"/>
      <w:bookmarkStart w:id="797" w:name="_Toc30846"/>
      <w:bookmarkStart w:id="798" w:name="_Toc26361"/>
      <w:bookmarkStart w:id="799" w:name="_Toc12852"/>
      <w:r>
        <w:rPr>
          <w:rFonts w:eastAsia="黑体"/>
          <w:color w:val="auto"/>
          <w:kern w:val="0"/>
          <w:sz w:val="24"/>
          <w:szCs w:val="20"/>
          <w:highlight w:val="none"/>
        </w:rPr>
        <w:t xml:space="preserve">9. </w:t>
      </w:r>
      <w:r>
        <w:rPr>
          <w:rFonts w:hint="eastAsia" w:eastAsia="黑体"/>
          <w:color w:val="auto"/>
          <w:kern w:val="0"/>
          <w:sz w:val="24"/>
          <w:szCs w:val="20"/>
          <w:highlight w:val="none"/>
        </w:rPr>
        <w:t>是否采用电子招标投标</w:t>
      </w:r>
      <w:bookmarkEnd w:id="789"/>
      <w:bookmarkEnd w:id="790"/>
      <w:bookmarkEnd w:id="791"/>
      <w:bookmarkEnd w:id="792"/>
      <w:bookmarkEnd w:id="793"/>
      <w:bookmarkEnd w:id="794"/>
      <w:bookmarkEnd w:id="795"/>
      <w:bookmarkEnd w:id="796"/>
      <w:bookmarkEnd w:id="797"/>
      <w:bookmarkEnd w:id="798"/>
      <w:bookmarkEnd w:id="799"/>
    </w:p>
    <w:p>
      <w:pPr>
        <w:spacing w:line="400" w:lineRule="exact"/>
        <w:ind w:firstLine="420" w:firstLineChars="200"/>
        <w:rPr>
          <w:color w:val="auto"/>
          <w:szCs w:val="24"/>
          <w:highlight w:val="none"/>
        </w:rPr>
      </w:pPr>
      <w:r>
        <w:rPr>
          <w:rFonts w:hint="eastAsia"/>
          <w:color w:val="auto"/>
          <w:szCs w:val="24"/>
          <w:highlight w:val="none"/>
        </w:rPr>
        <w:t>本招标项目是否采用电子招标投标方式，见投标人须知前附表。</w:t>
      </w:r>
    </w:p>
    <w:p>
      <w:pPr>
        <w:keepNext/>
        <w:keepLines/>
        <w:adjustRightInd w:val="0"/>
        <w:spacing w:before="240" w:after="120"/>
        <w:textAlignment w:val="baseline"/>
        <w:outlineLvl w:val="1"/>
        <w:rPr>
          <w:rFonts w:eastAsia="黑体"/>
          <w:color w:val="auto"/>
          <w:kern w:val="0"/>
          <w:sz w:val="24"/>
          <w:szCs w:val="20"/>
          <w:highlight w:val="none"/>
        </w:rPr>
      </w:pPr>
      <w:bookmarkStart w:id="800" w:name="_Toc1344"/>
      <w:bookmarkStart w:id="801" w:name="_Toc32116"/>
      <w:bookmarkStart w:id="802" w:name="_Toc16350"/>
      <w:bookmarkStart w:id="803" w:name="_Toc16614"/>
      <w:bookmarkStart w:id="804" w:name="_Toc27721"/>
      <w:bookmarkStart w:id="805" w:name="_Toc170804614"/>
      <w:bookmarkStart w:id="806" w:name="_Toc23107"/>
      <w:bookmarkStart w:id="807" w:name="_Toc11415"/>
      <w:bookmarkStart w:id="808" w:name="_Toc25786"/>
      <w:bookmarkStart w:id="809" w:name="_Toc1965447819"/>
      <w:bookmarkStart w:id="810" w:name="_Toc29552"/>
      <w:r>
        <w:rPr>
          <w:rFonts w:eastAsia="黑体"/>
          <w:color w:val="auto"/>
          <w:kern w:val="0"/>
          <w:sz w:val="24"/>
          <w:szCs w:val="20"/>
          <w:highlight w:val="none"/>
        </w:rPr>
        <w:t xml:space="preserve">10. </w:t>
      </w:r>
      <w:r>
        <w:rPr>
          <w:rFonts w:hint="eastAsia" w:eastAsia="黑体"/>
          <w:color w:val="auto"/>
          <w:kern w:val="0"/>
          <w:sz w:val="24"/>
          <w:szCs w:val="20"/>
          <w:highlight w:val="none"/>
        </w:rPr>
        <w:t>需要补充的其他内容</w:t>
      </w:r>
      <w:bookmarkEnd w:id="800"/>
      <w:bookmarkEnd w:id="801"/>
      <w:bookmarkEnd w:id="802"/>
      <w:bookmarkEnd w:id="803"/>
      <w:bookmarkEnd w:id="804"/>
      <w:bookmarkEnd w:id="805"/>
      <w:bookmarkEnd w:id="806"/>
      <w:bookmarkEnd w:id="807"/>
      <w:bookmarkEnd w:id="808"/>
      <w:bookmarkEnd w:id="809"/>
      <w:bookmarkEnd w:id="810"/>
    </w:p>
    <w:p>
      <w:pPr>
        <w:spacing w:line="400" w:lineRule="exact"/>
        <w:ind w:firstLine="420" w:firstLineChars="200"/>
        <w:rPr>
          <w:color w:val="auto"/>
          <w:szCs w:val="24"/>
          <w:highlight w:val="none"/>
        </w:rPr>
      </w:pPr>
      <w:r>
        <w:rPr>
          <w:rFonts w:hint="eastAsia"/>
          <w:color w:val="auto"/>
          <w:szCs w:val="24"/>
          <w:highlight w:val="none"/>
        </w:rPr>
        <w:t>需要补充的其他内容：见投标人须知前附表。</w:t>
      </w:r>
      <w:r>
        <w:rPr>
          <w:color w:val="auto"/>
          <w:szCs w:val="24"/>
          <w:highlight w:val="none"/>
        </w:rPr>
        <w:br w:type="page"/>
      </w:r>
    </w:p>
    <w:p>
      <w:pPr>
        <w:keepNext/>
        <w:keepLines/>
        <w:spacing w:before="260" w:after="260" w:line="412" w:lineRule="auto"/>
        <w:ind w:firstLine="137" w:firstLineChars="49"/>
        <w:outlineLvl w:val="2"/>
        <w:rPr>
          <w:rFonts w:eastAsia="黑体"/>
          <w:color w:val="auto"/>
          <w:sz w:val="28"/>
          <w:szCs w:val="20"/>
          <w:highlight w:val="none"/>
        </w:rPr>
      </w:pPr>
      <w:bookmarkStart w:id="811" w:name="_Toc2608217"/>
      <w:bookmarkStart w:id="812" w:name="_Toc27220"/>
      <w:bookmarkStart w:id="813" w:name="_Toc7649"/>
      <w:bookmarkStart w:id="814" w:name="_Toc170804615"/>
      <w:bookmarkStart w:id="815" w:name="_Toc4061"/>
      <w:bookmarkStart w:id="816" w:name="_Toc17814"/>
      <w:bookmarkStart w:id="817" w:name="_Toc10305"/>
      <w:bookmarkStart w:id="818" w:name="_Toc32458"/>
      <w:bookmarkStart w:id="819" w:name="_Toc10757"/>
      <w:bookmarkStart w:id="820" w:name="_Toc11116"/>
      <w:bookmarkStart w:id="821" w:name="_Toc688035779"/>
      <w:bookmarkStart w:id="822" w:name="_Toc16199"/>
      <w:r>
        <w:rPr>
          <w:rFonts w:hint="eastAsia" w:eastAsia="黑体"/>
          <w:color w:val="auto"/>
          <w:sz w:val="28"/>
          <w:szCs w:val="20"/>
          <w:highlight w:val="none"/>
        </w:rPr>
        <w:t>附件一：开标记录表</w:t>
      </w:r>
      <w:bookmarkEnd w:id="811"/>
      <w:bookmarkEnd w:id="812"/>
      <w:bookmarkEnd w:id="813"/>
      <w:bookmarkEnd w:id="814"/>
      <w:bookmarkEnd w:id="815"/>
      <w:bookmarkEnd w:id="816"/>
      <w:bookmarkEnd w:id="817"/>
      <w:bookmarkEnd w:id="818"/>
      <w:bookmarkEnd w:id="819"/>
      <w:bookmarkEnd w:id="820"/>
      <w:bookmarkEnd w:id="821"/>
      <w:bookmarkEnd w:id="822"/>
    </w:p>
    <w:p>
      <w:pPr>
        <w:pStyle w:val="5"/>
        <w:spacing w:line="440" w:lineRule="exact"/>
        <w:ind w:firstLine="3119"/>
        <w:rPr>
          <w:color w:val="auto"/>
          <w:szCs w:val="24"/>
          <w:highlight w:val="none"/>
        </w:rPr>
      </w:pPr>
      <w:r>
        <w:rPr>
          <w:rFonts w:hint="eastAsia" w:eastAsia="黑体"/>
          <w:color w:val="auto"/>
          <w:sz w:val="28"/>
          <w:szCs w:val="20"/>
          <w:highlight w:val="none"/>
        </w:rPr>
        <w:t>以交易中心提供的格式为准</w:t>
      </w:r>
    </w:p>
    <w:p>
      <w:pPr>
        <w:keepNext/>
        <w:keepLines/>
        <w:spacing w:before="260" w:after="260" w:line="412" w:lineRule="auto"/>
        <w:ind w:firstLine="137" w:firstLineChars="49"/>
        <w:outlineLvl w:val="2"/>
        <w:rPr>
          <w:rFonts w:eastAsia="黑体"/>
          <w:color w:val="auto"/>
          <w:sz w:val="28"/>
          <w:szCs w:val="20"/>
          <w:highlight w:val="none"/>
        </w:rPr>
      </w:pPr>
      <w:bookmarkStart w:id="823" w:name="_Toc32409"/>
      <w:bookmarkStart w:id="824" w:name="_Toc24028"/>
      <w:bookmarkStart w:id="825" w:name="_Toc170804616"/>
      <w:bookmarkStart w:id="826" w:name="_Toc8191"/>
      <w:bookmarkStart w:id="827" w:name="_Toc20157"/>
      <w:bookmarkStart w:id="828" w:name="_Toc2608218"/>
      <w:bookmarkStart w:id="829" w:name="_Toc22148"/>
      <w:bookmarkStart w:id="830" w:name="_Toc16978"/>
      <w:bookmarkStart w:id="831" w:name="_Toc19791"/>
      <w:bookmarkStart w:id="832" w:name="_Toc1765382205"/>
      <w:bookmarkStart w:id="833" w:name="_Toc11123"/>
      <w:bookmarkStart w:id="834" w:name="_Toc22812"/>
      <w:r>
        <w:rPr>
          <w:rFonts w:hint="eastAsia" w:eastAsia="黑体"/>
          <w:color w:val="auto"/>
          <w:sz w:val="28"/>
          <w:szCs w:val="20"/>
          <w:highlight w:val="none"/>
        </w:rPr>
        <w:t>附件二：问题澄清通知</w:t>
      </w:r>
      <w:bookmarkEnd w:id="823"/>
      <w:bookmarkEnd w:id="824"/>
      <w:bookmarkEnd w:id="825"/>
      <w:bookmarkEnd w:id="826"/>
      <w:bookmarkEnd w:id="827"/>
      <w:bookmarkEnd w:id="828"/>
      <w:bookmarkEnd w:id="829"/>
      <w:bookmarkEnd w:id="830"/>
      <w:bookmarkEnd w:id="831"/>
      <w:bookmarkEnd w:id="832"/>
      <w:bookmarkEnd w:id="833"/>
      <w:bookmarkEnd w:id="834"/>
    </w:p>
    <w:p>
      <w:pPr>
        <w:spacing w:line="440" w:lineRule="exact"/>
        <w:jc w:val="center"/>
        <w:rPr>
          <w:color w:val="auto"/>
          <w:szCs w:val="24"/>
          <w:highlight w:val="none"/>
        </w:rPr>
      </w:pPr>
      <w:r>
        <w:rPr>
          <w:rFonts w:hint="eastAsia" w:eastAsia="黑体"/>
          <w:color w:val="auto"/>
          <w:sz w:val="28"/>
          <w:szCs w:val="24"/>
          <w:highlight w:val="none"/>
        </w:rPr>
        <w:t>以交易中心提供的格式为准</w:t>
      </w:r>
    </w:p>
    <w:p>
      <w:pPr>
        <w:spacing w:line="400" w:lineRule="exact"/>
        <w:rPr>
          <w:rFonts w:eastAsia="黑体"/>
          <w:color w:val="auto"/>
          <w:sz w:val="28"/>
          <w:szCs w:val="20"/>
          <w:highlight w:val="none"/>
        </w:rPr>
      </w:pPr>
    </w:p>
    <w:p>
      <w:pPr>
        <w:keepNext/>
        <w:keepLines/>
        <w:spacing w:before="260" w:after="260" w:line="412" w:lineRule="auto"/>
        <w:ind w:firstLine="137" w:firstLineChars="49"/>
        <w:outlineLvl w:val="2"/>
        <w:rPr>
          <w:rFonts w:eastAsia="黑体"/>
          <w:color w:val="auto"/>
          <w:sz w:val="28"/>
          <w:szCs w:val="20"/>
          <w:highlight w:val="none"/>
        </w:rPr>
      </w:pPr>
      <w:bookmarkStart w:id="835" w:name="_Toc2608219"/>
      <w:bookmarkStart w:id="836" w:name="_Toc170804617"/>
      <w:bookmarkStart w:id="837" w:name="_Toc23372"/>
      <w:bookmarkStart w:id="838" w:name="_Toc312"/>
      <w:bookmarkStart w:id="839" w:name="_Toc32294"/>
      <w:bookmarkStart w:id="840" w:name="_Toc23173"/>
      <w:bookmarkStart w:id="841" w:name="_Toc30462"/>
      <w:bookmarkStart w:id="842" w:name="_Toc25235"/>
      <w:bookmarkStart w:id="843" w:name="_Toc2596"/>
      <w:bookmarkStart w:id="844" w:name="_Toc1144652483"/>
      <w:bookmarkStart w:id="845" w:name="_Toc1371"/>
      <w:bookmarkStart w:id="846" w:name="_Toc22631"/>
      <w:r>
        <w:rPr>
          <w:rFonts w:hint="eastAsia" w:eastAsia="黑体"/>
          <w:color w:val="auto"/>
          <w:sz w:val="28"/>
          <w:szCs w:val="20"/>
          <w:highlight w:val="none"/>
        </w:rPr>
        <w:t>附件三：问题的澄清</w:t>
      </w:r>
      <w:bookmarkEnd w:id="835"/>
      <w:bookmarkEnd w:id="836"/>
      <w:bookmarkEnd w:id="837"/>
      <w:bookmarkEnd w:id="838"/>
      <w:bookmarkEnd w:id="839"/>
      <w:bookmarkEnd w:id="840"/>
      <w:bookmarkEnd w:id="841"/>
      <w:bookmarkEnd w:id="842"/>
      <w:bookmarkEnd w:id="843"/>
      <w:bookmarkEnd w:id="844"/>
      <w:bookmarkEnd w:id="845"/>
      <w:bookmarkEnd w:id="846"/>
    </w:p>
    <w:p>
      <w:pPr>
        <w:spacing w:line="440" w:lineRule="exact"/>
        <w:jc w:val="center"/>
        <w:rPr>
          <w:color w:val="auto"/>
          <w:szCs w:val="24"/>
          <w:highlight w:val="none"/>
        </w:rPr>
      </w:pPr>
      <w:r>
        <w:rPr>
          <w:rFonts w:hint="eastAsia" w:eastAsia="黑体"/>
          <w:color w:val="auto"/>
          <w:sz w:val="28"/>
          <w:szCs w:val="24"/>
          <w:highlight w:val="none"/>
        </w:rPr>
        <w:t>以交易中心提供的格式为准</w:t>
      </w:r>
    </w:p>
    <w:p>
      <w:pPr>
        <w:spacing w:line="400" w:lineRule="exact"/>
        <w:rPr>
          <w:color w:val="auto"/>
          <w:szCs w:val="24"/>
          <w:highlight w:val="none"/>
        </w:rPr>
      </w:pPr>
    </w:p>
    <w:p>
      <w:pPr>
        <w:keepNext/>
        <w:keepLines/>
        <w:spacing w:before="260" w:after="260" w:line="412" w:lineRule="auto"/>
        <w:ind w:firstLine="137" w:firstLineChars="49"/>
        <w:outlineLvl w:val="2"/>
        <w:rPr>
          <w:rFonts w:eastAsia="黑体"/>
          <w:color w:val="auto"/>
          <w:sz w:val="28"/>
          <w:szCs w:val="20"/>
          <w:highlight w:val="none"/>
        </w:rPr>
      </w:pPr>
      <w:bookmarkStart w:id="847" w:name="_Toc10617"/>
      <w:bookmarkStart w:id="848" w:name="_Toc23130"/>
      <w:bookmarkStart w:id="849" w:name="_Toc170804618"/>
      <w:bookmarkStart w:id="850" w:name="_Toc24966"/>
      <w:bookmarkStart w:id="851" w:name="_Toc2608220"/>
      <w:bookmarkStart w:id="852" w:name="_Toc24807"/>
      <w:bookmarkStart w:id="853" w:name="_Toc15529"/>
      <w:bookmarkStart w:id="854" w:name="_Toc1015771955"/>
      <w:bookmarkStart w:id="855" w:name="_Toc20794"/>
      <w:bookmarkStart w:id="856" w:name="_Toc23720"/>
      <w:bookmarkStart w:id="857" w:name="_Toc853"/>
      <w:bookmarkStart w:id="858" w:name="_Toc23403"/>
      <w:r>
        <w:rPr>
          <w:rFonts w:hint="eastAsia" w:eastAsia="黑体"/>
          <w:color w:val="auto"/>
          <w:sz w:val="28"/>
          <w:szCs w:val="20"/>
          <w:highlight w:val="none"/>
        </w:rPr>
        <w:t>附件四：中标通知书</w:t>
      </w:r>
      <w:bookmarkEnd w:id="847"/>
      <w:bookmarkEnd w:id="848"/>
      <w:bookmarkEnd w:id="849"/>
      <w:bookmarkEnd w:id="850"/>
      <w:bookmarkEnd w:id="851"/>
      <w:bookmarkEnd w:id="852"/>
      <w:bookmarkEnd w:id="853"/>
      <w:bookmarkEnd w:id="854"/>
      <w:bookmarkEnd w:id="855"/>
      <w:bookmarkEnd w:id="856"/>
      <w:bookmarkEnd w:id="857"/>
      <w:bookmarkEnd w:id="858"/>
    </w:p>
    <w:p>
      <w:pPr>
        <w:spacing w:line="400" w:lineRule="exact"/>
        <w:rPr>
          <w:color w:val="auto"/>
          <w:szCs w:val="24"/>
          <w:highlight w:val="none"/>
        </w:rPr>
      </w:pPr>
    </w:p>
    <w:p>
      <w:pPr>
        <w:spacing w:line="400" w:lineRule="exact"/>
        <w:jc w:val="center"/>
        <w:rPr>
          <w:rFonts w:eastAsia="黑体"/>
          <w:color w:val="auto"/>
          <w:sz w:val="28"/>
          <w:szCs w:val="24"/>
          <w:highlight w:val="none"/>
        </w:rPr>
      </w:pPr>
      <w:r>
        <w:rPr>
          <w:rFonts w:hint="eastAsia" w:eastAsia="黑体"/>
          <w:color w:val="auto"/>
          <w:sz w:val="28"/>
          <w:szCs w:val="24"/>
          <w:highlight w:val="none"/>
        </w:rPr>
        <w:t>中标通知书</w:t>
      </w:r>
    </w:p>
    <w:p>
      <w:pPr>
        <w:spacing w:line="400" w:lineRule="exact"/>
        <w:jc w:val="center"/>
        <w:rPr>
          <w:rFonts w:eastAsia="黑体"/>
          <w:color w:val="auto"/>
          <w:sz w:val="28"/>
          <w:szCs w:val="24"/>
          <w:highlight w:val="none"/>
        </w:rPr>
      </w:pPr>
    </w:p>
    <w:p>
      <w:pPr>
        <w:rPr>
          <w:rFonts w:ascii="宋体"/>
          <w:bCs/>
          <w:color w:val="auto"/>
          <w:szCs w:val="24"/>
          <w:highlight w:val="none"/>
        </w:rPr>
      </w:pPr>
      <w:r>
        <w:rPr>
          <w:rFonts w:hint="eastAsia" w:ascii="宋体"/>
          <w:bCs/>
          <w:color w:val="auto"/>
          <w:szCs w:val="24"/>
          <w:highlight w:val="none"/>
        </w:rPr>
        <w:t>以广州公共资源交易中心印制的《广州建设工程中标通知书》为准。</w:t>
      </w:r>
    </w:p>
    <w:p>
      <w:pPr>
        <w:spacing w:line="400" w:lineRule="exact"/>
        <w:rPr>
          <w:color w:val="auto"/>
          <w:szCs w:val="24"/>
          <w:highlight w:val="none"/>
        </w:rPr>
      </w:pPr>
    </w:p>
    <w:p>
      <w:pPr>
        <w:keepNext/>
        <w:keepLines/>
        <w:spacing w:before="260" w:after="260" w:line="412" w:lineRule="auto"/>
        <w:ind w:firstLine="137" w:firstLineChars="49"/>
        <w:outlineLvl w:val="2"/>
        <w:rPr>
          <w:rFonts w:eastAsia="黑体"/>
          <w:color w:val="auto"/>
          <w:sz w:val="28"/>
          <w:szCs w:val="20"/>
          <w:highlight w:val="none"/>
        </w:rPr>
      </w:pPr>
      <w:bookmarkStart w:id="859" w:name="_Toc23642"/>
      <w:bookmarkStart w:id="860" w:name="_Toc17966"/>
      <w:bookmarkStart w:id="861" w:name="_Toc2608221"/>
      <w:bookmarkStart w:id="862" w:name="_Toc170804619"/>
      <w:bookmarkStart w:id="863" w:name="_Toc1731737682"/>
      <w:bookmarkStart w:id="864" w:name="_Toc24123"/>
      <w:bookmarkStart w:id="865" w:name="_Toc8873"/>
      <w:bookmarkStart w:id="866" w:name="_Toc14968"/>
      <w:bookmarkStart w:id="867" w:name="_Toc11853"/>
      <w:bookmarkStart w:id="868" w:name="_Toc11264"/>
      <w:bookmarkStart w:id="869" w:name="_Toc20329"/>
      <w:bookmarkStart w:id="870" w:name="_Toc4779"/>
      <w:r>
        <w:rPr>
          <w:rFonts w:hint="eastAsia" w:eastAsia="黑体"/>
          <w:color w:val="auto"/>
          <w:sz w:val="28"/>
          <w:szCs w:val="20"/>
          <w:highlight w:val="none"/>
        </w:rPr>
        <w:t>附件五：中标结果通知书</w:t>
      </w:r>
      <w:bookmarkEnd w:id="859"/>
      <w:bookmarkEnd w:id="860"/>
      <w:bookmarkEnd w:id="861"/>
      <w:bookmarkEnd w:id="862"/>
      <w:bookmarkEnd w:id="863"/>
      <w:bookmarkEnd w:id="864"/>
      <w:bookmarkEnd w:id="865"/>
      <w:bookmarkEnd w:id="866"/>
      <w:bookmarkEnd w:id="867"/>
      <w:bookmarkEnd w:id="868"/>
      <w:bookmarkEnd w:id="869"/>
      <w:bookmarkEnd w:id="870"/>
    </w:p>
    <w:p>
      <w:pPr>
        <w:spacing w:line="400" w:lineRule="exact"/>
        <w:jc w:val="center"/>
        <w:rPr>
          <w:rFonts w:eastAsia="黑体"/>
          <w:color w:val="auto"/>
          <w:sz w:val="28"/>
          <w:szCs w:val="24"/>
          <w:highlight w:val="none"/>
        </w:rPr>
      </w:pPr>
      <w:r>
        <w:rPr>
          <w:rFonts w:hint="eastAsia" w:eastAsia="黑体"/>
          <w:color w:val="auto"/>
          <w:sz w:val="28"/>
          <w:szCs w:val="24"/>
          <w:highlight w:val="none"/>
        </w:rPr>
        <w:t>中标结果通知书</w:t>
      </w:r>
    </w:p>
    <w:p>
      <w:pPr>
        <w:spacing w:line="400" w:lineRule="exact"/>
        <w:rPr>
          <w:color w:val="auto"/>
          <w:szCs w:val="24"/>
          <w:highlight w:val="none"/>
        </w:rPr>
      </w:pPr>
    </w:p>
    <w:p>
      <w:pPr>
        <w:spacing w:line="440" w:lineRule="exact"/>
        <w:rPr>
          <w:color w:val="auto"/>
          <w:szCs w:val="24"/>
          <w:highlight w:val="none"/>
        </w:rPr>
      </w:pPr>
      <w:r>
        <w:rPr>
          <w:color w:val="auto"/>
          <w:szCs w:val="24"/>
          <w:highlight w:val="none"/>
          <w:u w:val="single"/>
        </w:rPr>
        <w:t xml:space="preserve">                     </w:t>
      </w:r>
      <w:r>
        <w:rPr>
          <w:rFonts w:hint="eastAsia"/>
          <w:color w:val="auto"/>
          <w:szCs w:val="24"/>
          <w:highlight w:val="none"/>
        </w:rPr>
        <w:t>（未中标人名称）：</w:t>
      </w:r>
    </w:p>
    <w:p>
      <w:pPr>
        <w:spacing w:line="440" w:lineRule="exact"/>
        <w:rPr>
          <w:color w:val="auto"/>
          <w:szCs w:val="24"/>
          <w:highlight w:val="none"/>
        </w:rPr>
      </w:pPr>
    </w:p>
    <w:p>
      <w:pPr>
        <w:spacing w:line="440" w:lineRule="exact"/>
        <w:ind w:firstLine="420"/>
        <w:rPr>
          <w:color w:val="auto"/>
          <w:szCs w:val="24"/>
          <w:highlight w:val="none"/>
        </w:rPr>
      </w:pPr>
      <w:r>
        <w:rPr>
          <w:rFonts w:hint="eastAsia"/>
          <w:color w:val="auto"/>
          <w:szCs w:val="24"/>
          <w:highlight w:val="none"/>
        </w:rPr>
        <w:t>我方已接受</w:t>
      </w:r>
      <w:r>
        <w:rPr>
          <w:color w:val="auto"/>
          <w:szCs w:val="24"/>
          <w:highlight w:val="none"/>
          <w:u w:val="single"/>
        </w:rPr>
        <w:t xml:space="preserve">          </w:t>
      </w:r>
      <w:r>
        <w:rPr>
          <w:rFonts w:hint="eastAsia"/>
          <w:color w:val="auto"/>
          <w:szCs w:val="24"/>
          <w:highlight w:val="none"/>
        </w:rPr>
        <w:t>（中标人名称）于</w:t>
      </w:r>
      <w:r>
        <w:rPr>
          <w:color w:val="auto"/>
          <w:szCs w:val="24"/>
          <w:highlight w:val="none"/>
          <w:u w:val="single"/>
        </w:rPr>
        <w:t xml:space="preserve">        </w:t>
      </w:r>
      <w:r>
        <w:rPr>
          <w:rFonts w:hint="eastAsia"/>
          <w:color w:val="auto"/>
          <w:szCs w:val="24"/>
          <w:highlight w:val="none"/>
        </w:rPr>
        <w:t>（投标日期）所递交的</w:t>
      </w:r>
      <w:r>
        <w:rPr>
          <w:color w:val="auto"/>
          <w:szCs w:val="24"/>
          <w:highlight w:val="none"/>
          <w:u w:val="single"/>
        </w:rPr>
        <w:t xml:space="preserve">               </w:t>
      </w:r>
      <w:r>
        <w:rPr>
          <w:rFonts w:hint="eastAsia"/>
          <w:color w:val="auto"/>
          <w:szCs w:val="24"/>
          <w:highlight w:val="none"/>
        </w:rPr>
        <w:t>（项目名称）监测招标的投标文件，确定</w:t>
      </w:r>
      <w:r>
        <w:rPr>
          <w:color w:val="auto"/>
          <w:szCs w:val="24"/>
          <w:highlight w:val="none"/>
          <w:u w:val="single"/>
        </w:rPr>
        <w:t xml:space="preserve">                     </w:t>
      </w:r>
      <w:r>
        <w:rPr>
          <w:rFonts w:hint="eastAsia"/>
          <w:color w:val="auto"/>
          <w:szCs w:val="24"/>
          <w:highlight w:val="none"/>
        </w:rPr>
        <w:t>（中标人名称）为中标人。</w:t>
      </w:r>
    </w:p>
    <w:p>
      <w:pPr>
        <w:spacing w:line="440" w:lineRule="exact"/>
        <w:ind w:firstLine="420"/>
        <w:rPr>
          <w:color w:val="auto"/>
          <w:szCs w:val="24"/>
          <w:highlight w:val="none"/>
        </w:rPr>
      </w:pPr>
      <w:r>
        <w:rPr>
          <w:rFonts w:hint="eastAsia"/>
          <w:color w:val="auto"/>
          <w:szCs w:val="24"/>
          <w:highlight w:val="none"/>
        </w:rPr>
        <w:t>感谢你单位对招标项目的参与！</w:t>
      </w:r>
    </w:p>
    <w:p>
      <w:pPr>
        <w:spacing w:line="440" w:lineRule="exact"/>
        <w:rPr>
          <w:color w:val="auto"/>
          <w:szCs w:val="24"/>
          <w:highlight w:val="none"/>
        </w:rPr>
      </w:pPr>
    </w:p>
    <w:p>
      <w:pPr>
        <w:spacing w:line="440" w:lineRule="exact"/>
        <w:ind w:firstLine="3045" w:firstLineChars="1450"/>
        <w:rPr>
          <w:color w:val="auto"/>
          <w:szCs w:val="24"/>
          <w:highlight w:val="none"/>
        </w:rPr>
      </w:pPr>
      <w:r>
        <w:rPr>
          <w:rFonts w:hint="eastAsia"/>
          <w:color w:val="auto"/>
          <w:szCs w:val="24"/>
          <w:highlight w:val="none"/>
        </w:rPr>
        <w:t>招标人：</w:t>
      </w:r>
      <w:r>
        <w:rPr>
          <w:rFonts w:eastAsia="黑体"/>
          <w:color w:val="auto"/>
          <w:sz w:val="28"/>
          <w:szCs w:val="24"/>
          <w:highlight w:val="none"/>
          <w:u w:val="single"/>
        </w:rPr>
        <w:t xml:space="preserve">               </w:t>
      </w:r>
      <w:r>
        <w:rPr>
          <w:rFonts w:hint="eastAsia"/>
          <w:color w:val="auto"/>
          <w:szCs w:val="24"/>
          <w:highlight w:val="none"/>
        </w:rPr>
        <w:t>（盖单位章）</w:t>
      </w:r>
    </w:p>
    <w:p>
      <w:pPr>
        <w:spacing w:line="440" w:lineRule="exact"/>
        <w:ind w:right="840" w:firstLine="3990" w:firstLineChars="1900"/>
        <w:rPr>
          <w:color w:val="auto"/>
          <w:szCs w:val="24"/>
          <w:highlight w:val="none"/>
        </w:rPr>
      </w:pPr>
      <w:r>
        <w:rPr>
          <w:color w:val="auto"/>
          <w:szCs w:val="24"/>
          <w:highlight w:val="none"/>
          <w:u w:val="single"/>
        </w:rPr>
        <w:t xml:space="preserve">      </w:t>
      </w:r>
      <w:r>
        <w:rPr>
          <w:rFonts w:hint="eastAsia"/>
          <w:color w:val="auto"/>
          <w:szCs w:val="24"/>
          <w:highlight w:val="none"/>
        </w:rPr>
        <w:t>年</w:t>
      </w:r>
      <w:r>
        <w:rPr>
          <w:color w:val="auto"/>
          <w:szCs w:val="24"/>
          <w:highlight w:val="none"/>
          <w:u w:val="single"/>
        </w:rPr>
        <w:t xml:space="preserve">      </w:t>
      </w:r>
      <w:r>
        <w:rPr>
          <w:rFonts w:hint="eastAsia"/>
          <w:color w:val="auto"/>
          <w:szCs w:val="24"/>
          <w:highlight w:val="none"/>
        </w:rPr>
        <w:t>月</w:t>
      </w:r>
      <w:r>
        <w:rPr>
          <w:color w:val="auto"/>
          <w:szCs w:val="24"/>
          <w:highlight w:val="none"/>
          <w:u w:val="single"/>
        </w:rPr>
        <w:t xml:space="preserve">      </w:t>
      </w:r>
      <w:r>
        <w:rPr>
          <w:rFonts w:hint="eastAsia"/>
          <w:color w:val="auto"/>
          <w:szCs w:val="24"/>
          <w:highlight w:val="none"/>
        </w:rPr>
        <w:t>日</w:t>
      </w:r>
    </w:p>
    <w:p>
      <w:pPr>
        <w:keepNext/>
        <w:keepLines/>
        <w:adjustRightInd w:val="0"/>
        <w:spacing w:line="420" w:lineRule="exact"/>
        <w:jc w:val="center"/>
        <w:textAlignment w:val="baseline"/>
        <w:outlineLvl w:val="0"/>
        <w:rPr>
          <w:rFonts w:eastAsia="黑体"/>
          <w:color w:val="auto"/>
          <w:kern w:val="24"/>
          <w:sz w:val="28"/>
          <w:szCs w:val="20"/>
          <w:highlight w:val="none"/>
        </w:rPr>
      </w:pPr>
      <w:r>
        <w:rPr>
          <w:rFonts w:eastAsia="黑体"/>
          <w:color w:val="auto"/>
          <w:kern w:val="24"/>
          <w:sz w:val="28"/>
          <w:szCs w:val="20"/>
          <w:highlight w:val="none"/>
        </w:rPr>
        <w:br w:type="page"/>
      </w:r>
      <w:bookmarkStart w:id="871" w:name="_Toc469353583"/>
      <w:bookmarkStart w:id="872" w:name="_Toc16994"/>
      <w:bookmarkStart w:id="873" w:name="_Toc29244"/>
      <w:bookmarkStart w:id="874" w:name="_Toc18084"/>
      <w:bookmarkStart w:id="875" w:name="_Toc25741"/>
      <w:bookmarkStart w:id="876" w:name="_Toc820"/>
      <w:bookmarkStart w:id="877" w:name="_Toc16668"/>
      <w:bookmarkStart w:id="878" w:name="_Toc26532"/>
      <w:bookmarkStart w:id="879" w:name="_Toc24289"/>
      <w:bookmarkStart w:id="880" w:name="_Toc6762"/>
      <w:bookmarkStart w:id="881" w:name="_Toc170804620"/>
      <w:r>
        <w:rPr>
          <w:rFonts w:hint="eastAsia" w:eastAsia="黑体"/>
          <w:color w:val="auto"/>
          <w:kern w:val="24"/>
          <w:sz w:val="28"/>
          <w:szCs w:val="20"/>
          <w:highlight w:val="none"/>
        </w:rPr>
        <w:t>第三章评标办法（综合评估法）</w:t>
      </w:r>
      <w:bookmarkEnd w:id="871"/>
      <w:bookmarkEnd w:id="872"/>
      <w:bookmarkEnd w:id="873"/>
      <w:bookmarkEnd w:id="874"/>
      <w:bookmarkEnd w:id="875"/>
      <w:bookmarkEnd w:id="876"/>
      <w:bookmarkEnd w:id="877"/>
      <w:bookmarkEnd w:id="878"/>
      <w:bookmarkEnd w:id="879"/>
      <w:bookmarkEnd w:id="880"/>
      <w:bookmarkEnd w:id="881"/>
    </w:p>
    <w:p>
      <w:pPr>
        <w:spacing w:line="420" w:lineRule="exact"/>
        <w:jc w:val="center"/>
        <w:rPr>
          <w:i/>
          <w:color w:val="auto"/>
          <w:szCs w:val="24"/>
          <w:highlight w:val="none"/>
        </w:rPr>
      </w:pPr>
    </w:p>
    <w:p>
      <w:pPr>
        <w:jc w:val="center"/>
        <w:rPr>
          <w:rFonts w:ascii="黑体" w:hAnsi="黑体" w:eastAsia="黑体" w:cs="黑体"/>
          <w:color w:val="auto"/>
          <w:sz w:val="24"/>
          <w:szCs w:val="24"/>
          <w:highlight w:val="none"/>
        </w:rPr>
      </w:pPr>
      <w:bookmarkStart w:id="882" w:name="_Toc170804621"/>
      <w:r>
        <w:rPr>
          <w:rFonts w:hint="eastAsia" w:ascii="黑体" w:hAnsi="黑体" w:eastAsia="黑体" w:cs="黑体"/>
          <w:color w:val="auto"/>
          <w:sz w:val="24"/>
          <w:szCs w:val="24"/>
          <w:highlight w:val="none"/>
        </w:rPr>
        <w:t>评标办法前附表</w:t>
      </w:r>
      <w:bookmarkEnd w:id="882"/>
    </w:p>
    <w:p>
      <w:pPr>
        <w:rPr>
          <w:color w:val="auto"/>
          <w:szCs w:val="24"/>
          <w:highlight w:val="none"/>
        </w:rPr>
      </w:pPr>
    </w:p>
    <w:tbl>
      <w:tblPr>
        <w:tblStyle w:val="41"/>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087"/>
        <w:gridCol w:w="50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0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b/>
                <w:color w:val="auto"/>
                <w:szCs w:val="24"/>
                <w:highlight w:val="none"/>
              </w:rPr>
            </w:pPr>
            <w:r>
              <w:rPr>
                <w:rFonts w:hint="eastAsia"/>
                <w:b/>
                <w:color w:val="auto"/>
                <w:szCs w:val="24"/>
                <w:highlight w:val="none"/>
              </w:rPr>
              <w:t>条款号</w:t>
            </w: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b/>
                <w:color w:val="auto"/>
                <w:szCs w:val="24"/>
                <w:highlight w:val="none"/>
              </w:rPr>
            </w:pPr>
            <w:r>
              <w:rPr>
                <w:rFonts w:hint="eastAsia"/>
                <w:b/>
                <w:color w:val="auto"/>
                <w:szCs w:val="24"/>
                <w:highlight w:val="none"/>
              </w:rPr>
              <w:t>评审因素</w:t>
            </w:r>
          </w:p>
        </w:tc>
        <w:tc>
          <w:tcPr>
            <w:tcW w:w="5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b/>
                <w:color w:val="auto"/>
                <w:szCs w:val="24"/>
                <w:highlight w:val="none"/>
              </w:rPr>
            </w:pPr>
            <w:r>
              <w:rPr>
                <w:rFonts w:hint="eastAsia"/>
                <w:b/>
                <w:color w:val="auto"/>
                <w:szCs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1</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评标方法</w:t>
            </w: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中标候选人排序方法</w:t>
            </w:r>
          </w:p>
        </w:tc>
        <w:tc>
          <w:tcPr>
            <w:tcW w:w="506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720"/>
              </w:tabs>
              <w:spacing w:before="0" w:beforeAutospacing="0" w:after="0" w:afterAutospacing="0" w:line="360" w:lineRule="auto"/>
              <w:ind w:left="0" w:right="0"/>
              <w:rPr>
                <w:rFonts w:hint="default"/>
                <w:color w:val="auto"/>
                <w:szCs w:val="24"/>
                <w:highlight w:val="none"/>
              </w:rPr>
            </w:pPr>
            <w:r>
              <w:rPr>
                <w:rFonts w:hint="eastAsia"/>
                <w:color w:val="auto"/>
                <w:szCs w:val="24"/>
                <w:highlight w:val="none"/>
              </w:rPr>
              <w:t>（</w:t>
            </w:r>
            <w:r>
              <w:rPr>
                <w:rFonts w:hint="default"/>
                <w:color w:val="auto"/>
                <w:szCs w:val="24"/>
                <w:highlight w:val="none"/>
              </w:rPr>
              <w:t>1</w:t>
            </w:r>
            <w:r>
              <w:rPr>
                <w:rFonts w:hint="eastAsia"/>
                <w:color w:val="auto"/>
                <w:szCs w:val="24"/>
                <w:highlight w:val="none"/>
              </w:rPr>
              <w:t>）本次评标采用综合评估法。评标委员会对满足招标文件实质性要求的投标文件，按照本章第</w:t>
            </w:r>
            <w:r>
              <w:rPr>
                <w:rFonts w:hint="default"/>
                <w:color w:val="auto"/>
                <w:szCs w:val="24"/>
                <w:highlight w:val="none"/>
              </w:rPr>
              <w:t>2.2</w:t>
            </w:r>
            <w:r>
              <w:rPr>
                <w:rFonts w:hint="eastAsia"/>
                <w:color w:val="auto"/>
                <w:szCs w:val="24"/>
                <w:highlight w:val="none"/>
              </w:rPr>
              <w:t>款规定的评分标准进行打分，并按得分由高到低顺序推荐中标候选人。总分相同的，以详细评审中</w:t>
            </w:r>
            <w:r>
              <w:rPr>
                <w:rFonts w:hint="eastAsia"/>
                <w:color w:val="auto"/>
                <w:szCs w:val="24"/>
                <w:highlight w:val="none"/>
                <w:lang w:val="en-US" w:eastAsia="zh-CN"/>
              </w:rPr>
              <w:t>技术</w:t>
            </w:r>
            <w:r>
              <w:rPr>
                <w:rFonts w:hint="eastAsia"/>
                <w:color w:val="auto"/>
                <w:szCs w:val="24"/>
                <w:highlight w:val="none"/>
              </w:rPr>
              <w:t>得分高的排前；</w:t>
            </w:r>
            <w:r>
              <w:rPr>
                <w:rFonts w:hint="eastAsia"/>
                <w:color w:val="auto"/>
                <w:szCs w:val="24"/>
                <w:highlight w:val="none"/>
                <w:lang w:val="en-US" w:eastAsia="zh-CN"/>
              </w:rPr>
              <w:t>若技术得分也相同的</w:t>
            </w:r>
            <w:r>
              <w:rPr>
                <w:rFonts w:hint="eastAsia"/>
                <w:color w:val="auto"/>
                <w:szCs w:val="24"/>
                <w:highlight w:val="none"/>
              </w:rPr>
              <w:t>，</w:t>
            </w:r>
            <w:r>
              <w:rPr>
                <w:rFonts w:hint="eastAsia"/>
                <w:color w:val="auto"/>
                <w:szCs w:val="24"/>
                <w:highlight w:val="none"/>
                <w:lang w:val="en-US" w:eastAsia="zh-CN"/>
              </w:rPr>
              <w:t>以</w:t>
            </w:r>
            <w:r>
              <w:rPr>
                <w:rFonts w:hint="eastAsia" w:ascii="宋体" w:hAnsi="宋体"/>
                <w:color w:val="auto"/>
                <w:sz w:val="21"/>
                <w:szCs w:val="21"/>
                <w:highlight w:val="none"/>
              </w:rPr>
              <w:t>评标价低</w:t>
            </w:r>
            <w:r>
              <w:rPr>
                <w:rFonts w:hint="default" w:ascii="宋体" w:hAnsi="宋体"/>
                <w:color w:val="auto"/>
                <w:sz w:val="21"/>
                <w:szCs w:val="21"/>
                <w:highlight w:val="none"/>
              </w:rPr>
              <w:t>的</w:t>
            </w:r>
            <w:r>
              <w:rPr>
                <w:rFonts w:hint="eastAsia" w:ascii="宋体" w:hAnsi="宋体"/>
                <w:color w:val="auto"/>
                <w:sz w:val="21"/>
                <w:szCs w:val="21"/>
                <w:highlight w:val="none"/>
                <w:lang w:val="en-US" w:eastAsia="zh-CN"/>
              </w:rPr>
              <w:t>排前；</w:t>
            </w:r>
            <w:r>
              <w:rPr>
                <w:rFonts w:hint="eastAsia"/>
                <w:color w:val="auto"/>
                <w:szCs w:val="24"/>
                <w:highlight w:val="none"/>
              </w:rPr>
              <w:t>如仍存在相同情况，则对具有相同情况的投标人</w:t>
            </w:r>
            <w:r>
              <w:rPr>
                <w:rFonts w:hint="eastAsia"/>
                <w:color w:val="auto"/>
                <w:szCs w:val="24"/>
                <w:highlight w:val="none"/>
                <w:lang w:eastAsia="zh-CN"/>
              </w:rPr>
              <w:t>，</w:t>
            </w:r>
            <w:r>
              <w:rPr>
                <w:rFonts w:hint="eastAsia"/>
                <w:color w:val="auto"/>
                <w:szCs w:val="24"/>
                <w:highlight w:val="none"/>
              </w:rPr>
              <w:t>按中标候选人数量规定，由评标委员会采用随机抽取方式，确定中标候选人的排序。</w:t>
            </w:r>
          </w:p>
          <w:p>
            <w:pPr>
              <w:keepNext w:val="0"/>
              <w:keepLines w:val="0"/>
              <w:suppressLineNumbers w:val="0"/>
              <w:tabs>
                <w:tab w:val="left" w:pos="720"/>
              </w:tabs>
              <w:spacing w:before="0" w:beforeAutospacing="0" w:after="0" w:afterAutospacing="0" w:line="360" w:lineRule="auto"/>
              <w:ind w:left="0" w:right="0"/>
              <w:rPr>
                <w:rFonts w:hint="default" w:ascii="宋体" w:hAnsi="宋体" w:cs="宋体"/>
                <w:color w:val="auto"/>
                <w:kern w:val="0"/>
                <w:szCs w:val="21"/>
                <w:highlight w:val="none"/>
              </w:rPr>
            </w:pPr>
            <w:r>
              <w:rPr>
                <w:rFonts w:hint="eastAsia"/>
                <w:color w:val="auto"/>
                <w:szCs w:val="24"/>
                <w:highlight w:val="none"/>
              </w:rPr>
              <w:t>（</w:t>
            </w:r>
            <w:r>
              <w:rPr>
                <w:rFonts w:hint="default"/>
                <w:color w:val="auto"/>
                <w:szCs w:val="24"/>
                <w:highlight w:val="none"/>
              </w:rPr>
              <w:t>2</w:t>
            </w:r>
            <w:r>
              <w:rPr>
                <w:rFonts w:hint="eastAsia"/>
                <w:color w:val="auto"/>
                <w:szCs w:val="24"/>
                <w:highlight w:val="none"/>
              </w:rPr>
              <w:t>）到投标截止时间止，若递交投标文件的投标人不足3家的，招标人将重新组织招标；若本项目通过初步评审的投标人不足3名时为招标失败。招标人分析招标失败原因，修正招标方案，报有关管理部门核准后，重新组织招标。</w:t>
            </w:r>
          </w:p>
        </w:tc>
      </w:tr>
    </w:tbl>
    <w:p>
      <w:pPr>
        <w:jc w:val="center"/>
        <w:rPr>
          <w:rFonts w:ascii="黑体" w:hAnsi="黑体" w:eastAsia="黑体" w:cs="黑体"/>
          <w:color w:val="auto"/>
          <w:sz w:val="24"/>
          <w:szCs w:val="24"/>
          <w:highlight w:val="none"/>
        </w:rPr>
      </w:pPr>
      <w:bookmarkStart w:id="883" w:name="_Toc170804622"/>
      <w:r>
        <w:rPr>
          <w:rFonts w:hint="eastAsia" w:ascii="黑体" w:hAnsi="黑体" w:eastAsia="黑体" w:cs="黑体"/>
          <w:color w:val="auto"/>
          <w:sz w:val="24"/>
          <w:szCs w:val="24"/>
          <w:highlight w:val="none"/>
        </w:rPr>
        <w:t>初步评审</w:t>
      </w:r>
      <w:bookmarkEnd w:id="883"/>
    </w:p>
    <w:tbl>
      <w:tblPr>
        <w:tblStyle w:val="41"/>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087"/>
        <w:gridCol w:w="50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b/>
                <w:color w:val="auto"/>
                <w:szCs w:val="24"/>
                <w:highlight w:val="none"/>
              </w:rPr>
            </w:pPr>
            <w:r>
              <w:rPr>
                <w:rFonts w:hint="eastAsia"/>
                <w:b/>
                <w:color w:val="auto"/>
                <w:szCs w:val="24"/>
                <w:highlight w:val="none"/>
              </w:rPr>
              <w:t>条款号</w:t>
            </w: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b/>
                <w:color w:val="auto"/>
                <w:szCs w:val="24"/>
                <w:highlight w:val="none"/>
              </w:rPr>
            </w:pPr>
            <w:r>
              <w:rPr>
                <w:rFonts w:hint="eastAsia"/>
                <w:b/>
                <w:color w:val="auto"/>
                <w:szCs w:val="24"/>
                <w:highlight w:val="none"/>
              </w:rPr>
              <w:t>评审因素</w:t>
            </w:r>
          </w:p>
        </w:tc>
        <w:tc>
          <w:tcPr>
            <w:tcW w:w="5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b/>
                <w:color w:val="auto"/>
                <w:szCs w:val="24"/>
                <w:highlight w:val="none"/>
              </w:rPr>
            </w:pPr>
            <w:r>
              <w:rPr>
                <w:rFonts w:hint="eastAsia"/>
                <w:b/>
                <w:color w:val="auto"/>
                <w:szCs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2.1.1</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形式评审标准</w:t>
            </w: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投标人名称</w:t>
            </w:r>
          </w:p>
        </w:tc>
        <w:tc>
          <w:tcPr>
            <w:tcW w:w="5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eastAsia"/>
                <w:color w:val="auto"/>
                <w:szCs w:val="24"/>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投标函及投标函附录签字盖章</w:t>
            </w:r>
          </w:p>
        </w:tc>
        <w:tc>
          <w:tcPr>
            <w:tcW w:w="5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eastAsia"/>
                <w:color w:val="auto"/>
                <w:szCs w:val="24"/>
                <w:highlight w:val="none"/>
              </w:rPr>
              <w:t>符合第六章</w:t>
            </w:r>
            <w:r>
              <w:rPr>
                <w:rFonts w:hint="default"/>
                <w:color w:val="auto"/>
                <w:szCs w:val="24"/>
                <w:highlight w:val="none"/>
              </w:rPr>
              <w:t>“</w:t>
            </w:r>
            <w:r>
              <w:rPr>
                <w:rFonts w:hint="eastAsia"/>
                <w:color w:val="auto"/>
                <w:szCs w:val="24"/>
                <w:highlight w:val="none"/>
              </w:rPr>
              <w:t>投标文件格式</w:t>
            </w:r>
            <w:r>
              <w:rPr>
                <w:rFonts w:hint="default"/>
                <w:color w:val="auto"/>
                <w:szCs w:val="24"/>
                <w:highlight w:val="none"/>
              </w:rPr>
              <w:t>”</w:t>
            </w:r>
            <w:r>
              <w:rPr>
                <w:rFonts w:hint="eastAsia"/>
                <w:color w:val="auto"/>
                <w:szCs w:val="24"/>
                <w:highlight w:val="none"/>
              </w:rPr>
              <w:t>的规定，有法定代表人或其委托代理人签字且加盖单位公章，应附法定代表人证明书，若法定代表人委托代理人参与投标相关事项则须同时提供法定代表人授权书。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投标文件格式</w:t>
            </w:r>
          </w:p>
        </w:tc>
        <w:tc>
          <w:tcPr>
            <w:tcW w:w="5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eastAsia"/>
                <w:color w:val="auto"/>
                <w:szCs w:val="24"/>
                <w:highlight w:val="none"/>
              </w:rPr>
              <w:t>符合第六章</w:t>
            </w:r>
            <w:r>
              <w:rPr>
                <w:rFonts w:hint="default"/>
                <w:color w:val="auto"/>
                <w:szCs w:val="24"/>
                <w:highlight w:val="none"/>
              </w:rPr>
              <w:t>“</w:t>
            </w:r>
            <w:r>
              <w:rPr>
                <w:rFonts w:hint="eastAsia"/>
                <w:color w:val="auto"/>
                <w:szCs w:val="24"/>
                <w:highlight w:val="none"/>
              </w:rPr>
              <w:t>投标文件格式</w:t>
            </w:r>
            <w:r>
              <w:rPr>
                <w:rFonts w:hint="default"/>
                <w:color w:val="auto"/>
                <w:szCs w:val="24"/>
                <w:highlight w:val="none"/>
              </w:rPr>
              <w:t>”</w:t>
            </w:r>
            <w:r>
              <w:rPr>
                <w:rFonts w:hint="eastAsia"/>
                <w:color w:val="auto"/>
                <w:szCs w:val="24"/>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备选投标方案</w:t>
            </w:r>
          </w:p>
        </w:tc>
        <w:tc>
          <w:tcPr>
            <w:tcW w:w="5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eastAsia"/>
                <w:color w:val="auto"/>
                <w:szCs w:val="24"/>
                <w:highlight w:val="none"/>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授权有效性</w:t>
            </w:r>
          </w:p>
        </w:tc>
        <w:tc>
          <w:tcPr>
            <w:tcW w:w="5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Tahoma"/>
                <w:color w:val="auto"/>
                <w:szCs w:val="24"/>
                <w:highlight w:val="none"/>
              </w:rPr>
            </w:pPr>
            <w:r>
              <w:rPr>
                <w:rFonts w:hint="eastAsia" w:ascii="宋体" w:hAnsi="宋体" w:cs="Tahoma"/>
                <w:color w:val="auto"/>
                <w:szCs w:val="24"/>
                <w:highlight w:val="none"/>
              </w:rPr>
              <w:t>投标人参加投标的意思表达清楚，法定代表人证明书及投标人代表被授权有效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rPr>
                <w:rFonts w:hint="default"/>
                <w:color w:val="auto"/>
                <w:szCs w:val="24"/>
                <w:highlight w:val="none"/>
              </w:rPr>
            </w:pPr>
            <w:r>
              <w:rPr>
                <w:rFonts w:hint="eastAsia" w:ascii="宋体" w:hAnsi="宋体"/>
                <w:color w:val="auto"/>
                <w:kern w:val="0"/>
                <w:szCs w:val="24"/>
                <w:highlight w:val="none"/>
              </w:rPr>
              <w:t>不存在串通投标情形</w:t>
            </w:r>
          </w:p>
        </w:tc>
        <w:tc>
          <w:tcPr>
            <w:tcW w:w="5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auto"/>
                <w:kern w:val="0"/>
                <w:szCs w:val="24"/>
                <w:highlight w:val="none"/>
              </w:rPr>
            </w:pPr>
            <w:r>
              <w:rPr>
                <w:rFonts w:hint="eastAsia" w:ascii="宋体" w:hAnsi="宋体"/>
                <w:color w:val="auto"/>
                <w:kern w:val="0"/>
                <w:szCs w:val="24"/>
                <w:highlight w:val="none"/>
              </w:rPr>
              <w:t>串通投标情形以《中华人民共和国招标投标法实施条例》为准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color w:val="auto"/>
                <w:szCs w:val="24"/>
                <w:highlight w:val="none"/>
              </w:rPr>
            </w:pPr>
            <w:r>
              <w:rPr>
                <w:rFonts w:hint="eastAsia"/>
                <w:color w:val="auto"/>
                <w:szCs w:val="24"/>
                <w:highlight w:val="none"/>
              </w:rPr>
              <w:t>投标人机器码</w:t>
            </w:r>
          </w:p>
        </w:tc>
        <w:tc>
          <w:tcPr>
            <w:tcW w:w="5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auto"/>
                <w:kern w:val="0"/>
                <w:szCs w:val="24"/>
                <w:highlight w:val="none"/>
              </w:rPr>
            </w:pPr>
            <w:r>
              <w:rPr>
                <w:rFonts w:hint="eastAsia"/>
                <w:color w:val="auto"/>
                <w:szCs w:val="24"/>
                <w:highlight w:val="none"/>
              </w:rPr>
              <w:t>投标人与其他投标人加密打包投标文件电脑机器特征码一致的</w:t>
            </w:r>
            <w:r>
              <w:rPr>
                <w:rFonts w:hint="default"/>
                <w:color w:val="auto"/>
                <w:szCs w:val="24"/>
                <w:highlight w:val="none"/>
              </w:rPr>
              <w:t>(</w:t>
            </w:r>
            <w:r>
              <w:rPr>
                <w:rFonts w:hint="eastAsia"/>
                <w:color w:val="auto"/>
                <w:szCs w:val="24"/>
                <w:highlight w:val="none"/>
              </w:rPr>
              <w:t>以广州公共资源交易中心评标系统的检索信息为准</w:t>
            </w:r>
            <w:r>
              <w:rPr>
                <w:rFonts w:hint="default"/>
                <w:color w:val="auto"/>
                <w:szCs w:val="24"/>
                <w:highlight w:val="none"/>
              </w:rPr>
              <w:t>)</w:t>
            </w:r>
            <w:r>
              <w:rPr>
                <w:rFonts w:hint="eastAsia"/>
                <w:color w:val="auto"/>
                <w:szCs w:val="24"/>
                <w:highlight w:val="none"/>
              </w:rPr>
              <w:t>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2.1.2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资格评审标准</w:t>
            </w: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营业执照和组织机构代码证</w:t>
            </w:r>
          </w:p>
        </w:tc>
        <w:tc>
          <w:tcPr>
            <w:tcW w:w="5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eastAsia"/>
                <w:color w:val="auto"/>
                <w:szCs w:val="24"/>
                <w:highlight w:val="none"/>
              </w:rPr>
              <w:t>符合第二章</w:t>
            </w:r>
            <w:r>
              <w:rPr>
                <w:rFonts w:hint="default"/>
                <w:color w:val="auto"/>
                <w:szCs w:val="24"/>
                <w:highlight w:val="none"/>
              </w:rPr>
              <w:t>“</w:t>
            </w:r>
            <w:r>
              <w:rPr>
                <w:rFonts w:hint="eastAsia"/>
                <w:color w:val="auto"/>
                <w:szCs w:val="24"/>
                <w:highlight w:val="none"/>
              </w:rPr>
              <w:t>投标人须知</w:t>
            </w:r>
            <w:r>
              <w:rPr>
                <w:rFonts w:hint="default"/>
                <w:color w:val="auto"/>
                <w:szCs w:val="24"/>
                <w:highlight w:val="none"/>
              </w:rPr>
              <w:t>”</w:t>
            </w:r>
            <w:r>
              <w:rPr>
                <w:rFonts w:hint="eastAsia"/>
                <w:color w:val="auto"/>
                <w:szCs w:val="24"/>
                <w:highlight w:val="none"/>
              </w:rPr>
              <w:t>第</w:t>
            </w:r>
            <w:r>
              <w:rPr>
                <w:rFonts w:hint="default"/>
                <w:color w:val="auto"/>
                <w:szCs w:val="24"/>
                <w:highlight w:val="none"/>
              </w:rPr>
              <w:t>3.5.1</w:t>
            </w:r>
            <w:r>
              <w:rPr>
                <w:rFonts w:hint="eastAsia"/>
                <w:color w:val="auto"/>
                <w:szCs w:val="24"/>
                <w:highlight w:val="none"/>
              </w:rPr>
              <w:t>项规定，</w:t>
            </w:r>
            <w:r>
              <w:rPr>
                <w:rFonts w:hint="eastAsia" w:ascii="宋体" w:hAnsi="宋体" w:cs="Tahoma"/>
                <w:color w:val="auto"/>
                <w:szCs w:val="24"/>
                <w:highlight w:val="none"/>
              </w:rPr>
              <w:t>投标人必须是在中华人民共和国注册的独立法人。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资质要求</w:t>
            </w:r>
          </w:p>
        </w:tc>
        <w:tc>
          <w:tcPr>
            <w:tcW w:w="5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eastAsia"/>
                <w:color w:val="auto"/>
                <w:szCs w:val="24"/>
                <w:highlight w:val="none"/>
              </w:rPr>
              <w:t>符合第二章“投标人须知”第</w:t>
            </w:r>
            <w:r>
              <w:rPr>
                <w:rFonts w:hint="default"/>
                <w:color w:val="auto"/>
                <w:szCs w:val="24"/>
                <w:highlight w:val="none"/>
              </w:rPr>
              <w:t>1.4.1</w:t>
            </w:r>
            <w:r>
              <w:rPr>
                <w:rFonts w:hint="eastAsia"/>
                <w:color w:val="auto"/>
                <w:szCs w:val="24"/>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业绩要求</w:t>
            </w:r>
          </w:p>
        </w:tc>
        <w:tc>
          <w:tcPr>
            <w:tcW w:w="5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863"/>
              </w:tabs>
              <w:spacing w:before="0" w:beforeAutospacing="0" w:after="0" w:afterAutospacing="0" w:line="440" w:lineRule="exact"/>
              <w:ind w:left="0" w:right="0"/>
              <w:rPr>
                <w:rFonts w:hint="default" w:ascii="宋体" w:hAnsi="宋体" w:cs="Tahoma"/>
                <w:color w:val="auto"/>
                <w:szCs w:val="24"/>
                <w:highlight w:val="none"/>
              </w:rPr>
            </w:pPr>
            <w:r>
              <w:rPr>
                <w:rFonts w:hint="default"/>
                <w:color w:val="auto"/>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信誉要求</w:t>
            </w:r>
          </w:p>
        </w:tc>
        <w:tc>
          <w:tcPr>
            <w:tcW w:w="5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项目负责人</w:t>
            </w:r>
          </w:p>
        </w:tc>
        <w:tc>
          <w:tcPr>
            <w:tcW w:w="5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其他主要人员</w:t>
            </w:r>
          </w:p>
        </w:tc>
        <w:tc>
          <w:tcPr>
            <w:tcW w:w="5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仪器设备</w:t>
            </w:r>
          </w:p>
        </w:tc>
        <w:tc>
          <w:tcPr>
            <w:tcW w:w="5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default"/>
                <w:color w:val="auto"/>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其他要求</w:t>
            </w:r>
          </w:p>
        </w:tc>
        <w:tc>
          <w:tcPr>
            <w:tcW w:w="5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eastAsia"/>
                <w:color w:val="auto"/>
                <w:szCs w:val="24"/>
                <w:highlight w:val="none"/>
              </w:rPr>
              <w:t>符合第二章“投标人须知”第</w:t>
            </w:r>
            <w:r>
              <w:rPr>
                <w:rFonts w:hint="default"/>
                <w:color w:val="auto"/>
                <w:szCs w:val="24"/>
                <w:highlight w:val="none"/>
              </w:rPr>
              <w:t>1.4.1</w:t>
            </w:r>
            <w:r>
              <w:rPr>
                <w:rFonts w:hint="eastAsia"/>
                <w:color w:val="auto"/>
                <w:szCs w:val="24"/>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联合体投标人</w:t>
            </w:r>
          </w:p>
        </w:tc>
        <w:tc>
          <w:tcPr>
            <w:tcW w:w="5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eastAsia"/>
                <w:color w:val="auto"/>
                <w:szCs w:val="24"/>
                <w:highlight w:val="none"/>
              </w:rPr>
              <w:t>本项目不允许联合体投标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不存在禁止投标的情形</w:t>
            </w:r>
          </w:p>
        </w:tc>
        <w:tc>
          <w:tcPr>
            <w:tcW w:w="5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eastAsia"/>
                <w:color w:val="auto"/>
                <w:szCs w:val="24"/>
                <w:highlight w:val="none"/>
              </w:rPr>
              <w:t>不存在第二章</w:t>
            </w:r>
            <w:r>
              <w:rPr>
                <w:rFonts w:hint="default"/>
                <w:color w:val="auto"/>
                <w:szCs w:val="24"/>
                <w:highlight w:val="none"/>
              </w:rPr>
              <w:t>“</w:t>
            </w:r>
            <w:r>
              <w:rPr>
                <w:rFonts w:hint="eastAsia"/>
                <w:color w:val="auto"/>
                <w:szCs w:val="24"/>
                <w:highlight w:val="none"/>
              </w:rPr>
              <w:t>投标人须知</w:t>
            </w:r>
            <w:r>
              <w:rPr>
                <w:rFonts w:hint="default"/>
                <w:color w:val="auto"/>
                <w:szCs w:val="24"/>
                <w:highlight w:val="none"/>
              </w:rPr>
              <w:t>”</w:t>
            </w:r>
            <w:r>
              <w:rPr>
                <w:rFonts w:hint="eastAsia"/>
                <w:color w:val="auto"/>
                <w:szCs w:val="24"/>
                <w:highlight w:val="none"/>
              </w:rPr>
              <w:t>第</w:t>
            </w:r>
            <w:r>
              <w:rPr>
                <w:rFonts w:hint="default"/>
                <w:color w:val="auto"/>
                <w:szCs w:val="24"/>
                <w:highlight w:val="none"/>
              </w:rPr>
              <w:t>1.4.3</w:t>
            </w:r>
            <w:r>
              <w:rPr>
                <w:rFonts w:hint="eastAsia"/>
                <w:color w:val="auto"/>
                <w:szCs w:val="24"/>
                <w:highlight w:val="none"/>
              </w:rPr>
              <w:t>项及前附表规定的任何一种情形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2.1.3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响应性评审标准</w:t>
            </w:r>
          </w:p>
        </w:tc>
        <w:tc>
          <w:tcPr>
            <w:tcW w:w="208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投标有效期</w:t>
            </w:r>
          </w:p>
        </w:tc>
        <w:tc>
          <w:tcPr>
            <w:tcW w:w="50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default"/>
                <w:strike/>
                <w:color w:val="auto"/>
                <w:szCs w:val="24"/>
                <w:highlight w:val="none"/>
              </w:rPr>
            </w:pPr>
            <w:r>
              <w:rPr>
                <w:rFonts w:hint="eastAsia"/>
                <w:color w:val="auto"/>
                <w:szCs w:val="24"/>
                <w:highlight w:val="none"/>
              </w:rPr>
              <w:t>符合第二章</w:t>
            </w:r>
            <w:r>
              <w:rPr>
                <w:rFonts w:hint="default"/>
                <w:color w:val="auto"/>
                <w:szCs w:val="24"/>
                <w:highlight w:val="none"/>
              </w:rPr>
              <w:t>“</w:t>
            </w:r>
            <w:r>
              <w:rPr>
                <w:rFonts w:hint="eastAsia"/>
                <w:color w:val="auto"/>
                <w:szCs w:val="24"/>
                <w:highlight w:val="none"/>
              </w:rPr>
              <w:t>投标人须知</w:t>
            </w:r>
            <w:r>
              <w:rPr>
                <w:rFonts w:hint="default"/>
                <w:color w:val="auto"/>
                <w:szCs w:val="24"/>
                <w:highlight w:val="none"/>
              </w:rPr>
              <w:t>”</w:t>
            </w:r>
            <w:r>
              <w:rPr>
                <w:rFonts w:hint="eastAsia"/>
                <w:color w:val="auto"/>
                <w:szCs w:val="24"/>
                <w:highlight w:val="none"/>
              </w:rPr>
              <w:t>第</w:t>
            </w:r>
            <w:r>
              <w:rPr>
                <w:rFonts w:hint="default"/>
                <w:color w:val="auto"/>
                <w:szCs w:val="24"/>
                <w:highlight w:val="none"/>
              </w:rPr>
              <w:t>3.3.1</w:t>
            </w:r>
            <w:r>
              <w:rPr>
                <w:rFonts w:hint="eastAsia"/>
                <w:color w:val="auto"/>
                <w:szCs w:val="24"/>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strike/>
                <w:color w:val="auto"/>
                <w:szCs w:val="24"/>
                <w:highlight w:val="none"/>
              </w:rPr>
            </w:pPr>
            <w:r>
              <w:rPr>
                <w:rFonts w:hint="eastAsia"/>
                <w:color w:val="auto"/>
                <w:szCs w:val="24"/>
                <w:highlight w:val="none"/>
              </w:rPr>
              <w:t>投标保证金</w:t>
            </w:r>
          </w:p>
        </w:tc>
        <w:tc>
          <w:tcPr>
            <w:tcW w:w="50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left"/>
              <w:rPr>
                <w:rFonts w:hint="default"/>
                <w:strike/>
                <w:color w:val="auto"/>
                <w:szCs w:val="24"/>
                <w:highlight w:val="none"/>
              </w:rPr>
            </w:pPr>
            <w:r>
              <w:rPr>
                <w:rFonts w:hint="eastAsia"/>
                <w:color w:val="auto"/>
                <w:szCs w:val="24"/>
                <w:highlight w:val="none"/>
              </w:rPr>
              <w:t>符合第二章</w:t>
            </w:r>
            <w:r>
              <w:rPr>
                <w:rFonts w:hint="default"/>
                <w:color w:val="auto"/>
                <w:szCs w:val="24"/>
                <w:highlight w:val="none"/>
              </w:rPr>
              <w:t>“</w:t>
            </w:r>
            <w:r>
              <w:rPr>
                <w:rFonts w:hint="eastAsia"/>
                <w:color w:val="auto"/>
                <w:szCs w:val="24"/>
                <w:highlight w:val="none"/>
              </w:rPr>
              <w:t>投标人须知</w:t>
            </w:r>
            <w:r>
              <w:rPr>
                <w:rFonts w:hint="default"/>
                <w:color w:val="auto"/>
                <w:szCs w:val="24"/>
                <w:highlight w:val="none"/>
              </w:rPr>
              <w:t>”</w:t>
            </w:r>
            <w:r>
              <w:rPr>
                <w:rFonts w:hint="eastAsia"/>
                <w:color w:val="auto"/>
                <w:szCs w:val="24"/>
                <w:highlight w:val="none"/>
              </w:rPr>
              <w:t>第</w:t>
            </w:r>
            <w:r>
              <w:rPr>
                <w:rFonts w:hint="default"/>
                <w:color w:val="auto"/>
                <w:szCs w:val="24"/>
                <w:highlight w:val="none"/>
              </w:rPr>
              <w:t>3.4.1</w:t>
            </w:r>
            <w:r>
              <w:rPr>
                <w:rFonts w:hint="eastAsia"/>
                <w:color w:val="auto"/>
                <w:szCs w:val="24"/>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strike/>
                <w:color w:val="auto"/>
                <w:szCs w:val="24"/>
                <w:highlight w:val="none"/>
              </w:rPr>
            </w:pPr>
            <w:r>
              <w:rPr>
                <w:rFonts w:hint="eastAsia"/>
                <w:color w:val="auto"/>
                <w:szCs w:val="24"/>
                <w:highlight w:val="none"/>
              </w:rPr>
              <w:t>响应合同条款</w:t>
            </w:r>
          </w:p>
        </w:tc>
        <w:tc>
          <w:tcPr>
            <w:tcW w:w="5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default"/>
                <w:strike/>
                <w:color w:val="auto"/>
                <w:szCs w:val="24"/>
                <w:highlight w:val="none"/>
              </w:rPr>
            </w:pPr>
            <w:r>
              <w:rPr>
                <w:rFonts w:hint="eastAsia"/>
                <w:color w:val="auto"/>
                <w:szCs w:val="24"/>
                <w:highlight w:val="none"/>
              </w:rPr>
              <w:t>符合第六章</w:t>
            </w:r>
            <w:r>
              <w:rPr>
                <w:rFonts w:hint="default"/>
                <w:color w:val="auto"/>
                <w:szCs w:val="24"/>
                <w:highlight w:val="none"/>
              </w:rPr>
              <w:t>“</w:t>
            </w:r>
            <w:r>
              <w:rPr>
                <w:rFonts w:hint="eastAsia"/>
                <w:color w:val="auto"/>
                <w:szCs w:val="24"/>
                <w:highlight w:val="none"/>
              </w:rPr>
              <w:t>投标文件格式</w:t>
            </w:r>
            <w:r>
              <w:rPr>
                <w:rFonts w:hint="default"/>
                <w:color w:val="auto"/>
                <w:szCs w:val="24"/>
                <w:highlight w:val="none"/>
              </w:rPr>
              <w:t>”</w:t>
            </w:r>
            <w:r>
              <w:rPr>
                <w:rFonts w:hint="eastAsia"/>
                <w:color w:val="auto"/>
                <w:szCs w:val="24"/>
                <w:highlight w:val="none"/>
              </w:rPr>
              <w:t>的规定，提交合同条款响应性承诺书（法定代表人及其被授权人签字并加盖单位公章）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strike/>
                <w:color w:val="auto"/>
                <w:szCs w:val="24"/>
                <w:highlight w:val="none"/>
              </w:rPr>
            </w:pPr>
            <w:r>
              <w:rPr>
                <w:rFonts w:hint="eastAsia"/>
                <w:color w:val="auto"/>
                <w:szCs w:val="24"/>
                <w:highlight w:val="none"/>
              </w:rPr>
              <w:t>投标报价</w:t>
            </w:r>
          </w:p>
        </w:tc>
        <w:tc>
          <w:tcPr>
            <w:tcW w:w="5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default"/>
                <w:color w:val="auto"/>
                <w:szCs w:val="24"/>
                <w:highlight w:val="none"/>
              </w:rPr>
            </w:pPr>
            <w:r>
              <w:rPr>
                <w:rFonts w:hint="eastAsia"/>
                <w:color w:val="auto"/>
                <w:szCs w:val="24"/>
                <w:highlight w:val="none"/>
              </w:rPr>
              <w:t>须同时满足以下条件：</w:t>
            </w:r>
          </w:p>
          <w:p>
            <w:pPr>
              <w:keepNext w:val="0"/>
              <w:keepLines w:val="0"/>
              <w:suppressLineNumbers w:val="0"/>
              <w:spacing w:before="0" w:beforeAutospacing="0" w:after="0" w:afterAutospacing="0" w:line="440" w:lineRule="exact"/>
              <w:ind w:left="0" w:right="0"/>
              <w:jc w:val="left"/>
              <w:rPr>
                <w:rFonts w:hint="eastAsia" w:eastAsia="宋体"/>
                <w:color w:val="auto"/>
                <w:szCs w:val="24"/>
                <w:highlight w:val="none"/>
                <w:lang w:eastAsia="zh-CN"/>
              </w:rPr>
            </w:pPr>
            <w:r>
              <w:rPr>
                <w:rFonts w:hint="eastAsia"/>
                <w:color w:val="auto"/>
                <w:szCs w:val="24"/>
                <w:highlight w:val="none"/>
              </w:rPr>
              <w:t>（</w:t>
            </w:r>
            <w:r>
              <w:rPr>
                <w:rFonts w:hint="default"/>
                <w:color w:val="auto"/>
                <w:szCs w:val="24"/>
                <w:highlight w:val="none"/>
              </w:rPr>
              <w:t>1</w:t>
            </w:r>
            <w:r>
              <w:rPr>
                <w:rFonts w:hint="eastAsia"/>
                <w:color w:val="auto"/>
                <w:szCs w:val="24"/>
                <w:highlight w:val="none"/>
              </w:rPr>
              <w:t>）投标报价不得高于本项目招标控制价</w:t>
            </w:r>
            <w:r>
              <w:rPr>
                <w:rFonts w:hint="eastAsia"/>
                <w:color w:val="auto"/>
                <w:szCs w:val="24"/>
                <w:highlight w:val="none"/>
                <w:lang w:val="en-US" w:eastAsia="zh-CN"/>
              </w:rPr>
              <w:t>；</w:t>
            </w:r>
          </w:p>
          <w:p>
            <w:pPr>
              <w:keepNext w:val="0"/>
              <w:keepLines w:val="0"/>
              <w:suppressLineNumbers w:val="0"/>
              <w:spacing w:before="0" w:beforeAutospacing="0" w:after="0" w:afterAutospacing="0" w:line="440" w:lineRule="exact"/>
              <w:ind w:left="0" w:right="0"/>
              <w:jc w:val="left"/>
              <w:rPr>
                <w:rFonts w:hint="default"/>
                <w:color w:val="auto"/>
                <w:szCs w:val="24"/>
                <w:highlight w:val="none"/>
              </w:rPr>
            </w:pPr>
            <w:r>
              <w:rPr>
                <w:rFonts w:hint="eastAsia"/>
                <w:color w:val="auto"/>
                <w:szCs w:val="24"/>
                <w:highlight w:val="none"/>
              </w:rPr>
              <w:t>（</w:t>
            </w:r>
            <w:r>
              <w:rPr>
                <w:rFonts w:hint="default"/>
                <w:color w:val="auto"/>
                <w:szCs w:val="24"/>
                <w:highlight w:val="none"/>
              </w:rPr>
              <w:t>2</w:t>
            </w:r>
            <w:r>
              <w:rPr>
                <w:rFonts w:hint="eastAsia"/>
                <w:color w:val="auto"/>
                <w:szCs w:val="24"/>
                <w:highlight w:val="none"/>
              </w:rPr>
              <w:t>）按第六章“投标文件格式”的要求在投标函中进行报价并填写工程量清单；</w:t>
            </w:r>
          </w:p>
          <w:p>
            <w:pPr>
              <w:keepNext w:val="0"/>
              <w:keepLines w:val="0"/>
              <w:suppressLineNumbers w:val="0"/>
              <w:spacing w:before="0" w:beforeAutospacing="0" w:after="0" w:afterAutospacing="0" w:line="440" w:lineRule="exact"/>
              <w:ind w:left="0" w:right="0"/>
              <w:jc w:val="left"/>
              <w:rPr>
                <w:rFonts w:hint="default"/>
                <w:strike/>
                <w:color w:val="auto"/>
                <w:szCs w:val="24"/>
                <w:highlight w:val="none"/>
              </w:rPr>
            </w:pPr>
            <w:r>
              <w:rPr>
                <w:rFonts w:hint="eastAsia"/>
                <w:color w:val="auto"/>
                <w:szCs w:val="24"/>
                <w:highlight w:val="none"/>
              </w:rPr>
              <w:t>（</w:t>
            </w:r>
            <w:r>
              <w:rPr>
                <w:rFonts w:hint="default"/>
                <w:color w:val="auto"/>
                <w:szCs w:val="24"/>
                <w:highlight w:val="none"/>
              </w:rPr>
              <w:t>3</w:t>
            </w:r>
            <w:r>
              <w:rPr>
                <w:rFonts w:hint="eastAsia"/>
                <w:color w:val="auto"/>
                <w:szCs w:val="24"/>
                <w:highlight w:val="none"/>
              </w:rPr>
              <w:t>）对同一招标项目未出现两个或以上投标报价。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r>
              <w:rPr>
                <w:rFonts w:hint="default"/>
                <w:color w:val="auto"/>
                <w:szCs w:val="24"/>
                <w:highlight w:val="none"/>
              </w:rPr>
              <w:t>3.1.3</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r>
              <w:rPr>
                <w:rFonts w:hint="eastAsia"/>
                <w:color w:val="auto"/>
                <w:szCs w:val="24"/>
                <w:highlight w:val="none"/>
              </w:rPr>
              <w:t>投标报价</w:t>
            </w:r>
            <w:r>
              <w:rPr>
                <w:rFonts w:hint="eastAsia"/>
                <w:color w:val="auto"/>
                <w:highlight w:val="none"/>
              </w:rPr>
              <w:t>修正</w:t>
            </w: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投标价</w:t>
            </w:r>
            <w:r>
              <w:rPr>
                <w:rFonts w:hint="eastAsia"/>
                <w:color w:val="auto"/>
                <w:highlight w:val="none"/>
              </w:rPr>
              <w:t>修正</w:t>
            </w:r>
            <w:r>
              <w:rPr>
                <w:rFonts w:hint="eastAsia"/>
                <w:color w:val="auto"/>
                <w:szCs w:val="24"/>
                <w:highlight w:val="none"/>
              </w:rPr>
              <w:t>原则</w:t>
            </w:r>
          </w:p>
        </w:tc>
        <w:tc>
          <w:tcPr>
            <w:tcW w:w="5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default"/>
                <w:color w:val="auto"/>
                <w:szCs w:val="24"/>
                <w:highlight w:val="none"/>
              </w:rPr>
            </w:pPr>
            <w:r>
              <w:rPr>
                <w:rFonts w:hint="eastAsia"/>
                <w:color w:val="auto"/>
                <w:szCs w:val="24"/>
                <w:highlight w:val="none"/>
              </w:rPr>
              <w:t>评标委员会按招标文件第三章</w:t>
            </w:r>
            <w:r>
              <w:rPr>
                <w:rFonts w:hint="eastAsia"/>
                <w:color w:val="auto"/>
                <w:highlight w:val="none"/>
              </w:rPr>
              <w:t>评标办法</w:t>
            </w:r>
            <w:r>
              <w:rPr>
                <w:rFonts w:hint="default"/>
                <w:color w:val="auto"/>
                <w:highlight w:val="none"/>
              </w:rPr>
              <w:t>3.1.3</w:t>
            </w:r>
            <w:r>
              <w:rPr>
                <w:rFonts w:hint="eastAsia"/>
                <w:color w:val="auto"/>
                <w:highlight w:val="none"/>
              </w:rPr>
              <w:t>规定</w:t>
            </w:r>
            <w:r>
              <w:rPr>
                <w:rFonts w:hint="eastAsia"/>
                <w:color w:val="auto"/>
                <w:szCs w:val="24"/>
                <w:highlight w:val="none"/>
              </w:rPr>
              <w:t>原则对投标报价进行修正。</w:t>
            </w:r>
          </w:p>
        </w:tc>
      </w:tr>
    </w:tbl>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rFonts w:ascii="黑体" w:hAnsi="黑体" w:eastAsia="黑体" w:cs="黑体"/>
          <w:color w:val="auto"/>
          <w:sz w:val="24"/>
          <w:szCs w:val="24"/>
          <w:highlight w:val="none"/>
        </w:rPr>
      </w:pPr>
      <w:bookmarkStart w:id="884" w:name="_Toc170804623"/>
      <w:r>
        <w:rPr>
          <w:rFonts w:hint="eastAsia" w:ascii="黑体" w:hAnsi="黑体" w:eastAsia="黑体" w:cs="黑体"/>
          <w:color w:val="auto"/>
          <w:sz w:val="24"/>
          <w:szCs w:val="24"/>
          <w:highlight w:val="none"/>
        </w:rPr>
        <w:br w:type="page"/>
      </w:r>
    </w:p>
    <w:bookmarkEnd w:id="884"/>
    <w:p>
      <w:pPr>
        <w:jc w:val="center"/>
        <w:rPr>
          <w:rFonts w:ascii="黑体" w:hAnsi="黑体" w:eastAsia="黑体" w:cs="黑体"/>
          <w:color w:val="auto"/>
          <w:sz w:val="24"/>
          <w:szCs w:val="24"/>
          <w:highlight w:val="none"/>
        </w:rPr>
      </w:pPr>
      <w:bookmarkStart w:id="885" w:name="_Toc170804624"/>
      <w:r>
        <w:rPr>
          <w:rFonts w:hint="eastAsia" w:ascii="黑体" w:hAnsi="黑体" w:eastAsia="黑体" w:cs="黑体"/>
          <w:color w:val="auto"/>
          <w:sz w:val="24"/>
          <w:szCs w:val="24"/>
          <w:highlight w:val="none"/>
        </w:rPr>
        <w:t>详细评审</w:t>
      </w:r>
      <w:bookmarkEnd w:id="885"/>
    </w:p>
    <w:tbl>
      <w:tblPr>
        <w:tblStyle w:val="41"/>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1064"/>
        <w:gridCol w:w="1527"/>
        <w:gridCol w:w="59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b/>
                <w:color w:val="auto"/>
                <w:szCs w:val="24"/>
                <w:highlight w:val="none"/>
              </w:rPr>
            </w:pPr>
            <w:r>
              <w:rPr>
                <w:rFonts w:hint="eastAsia"/>
                <w:b/>
                <w:color w:val="auto"/>
                <w:szCs w:val="24"/>
                <w:highlight w:val="none"/>
              </w:rPr>
              <w:t>条款号</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b/>
                <w:color w:val="auto"/>
                <w:szCs w:val="24"/>
                <w:highlight w:val="none"/>
              </w:rPr>
            </w:pPr>
            <w:r>
              <w:rPr>
                <w:rFonts w:hint="eastAsia"/>
                <w:b/>
                <w:color w:val="auto"/>
                <w:szCs w:val="24"/>
                <w:highlight w:val="none"/>
              </w:rPr>
              <w:t>条款内容</w:t>
            </w:r>
          </w:p>
        </w:tc>
        <w:tc>
          <w:tcPr>
            <w:tcW w:w="59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b/>
                <w:color w:val="auto"/>
                <w:szCs w:val="24"/>
                <w:highlight w:val="none"/>
              </w:rPr>
            </w:pPr>
            <w:r>
              <w:rPr>
                <w:rFonts w:hint="eastAsia"/>
                <w:b/>
                <w:color w:val="auto"/>
                <w:szCs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4" w:type="dxa"/>
            <w:gridSpan w:val="2"/>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2.2.1</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分值构成</w:t>
            </w:r>
          </w:p>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w:t>
            </w:r>
            <w:r>
              <w:rPr>
                <w:rFonts w:hint="eastAsia"/>
                <w:color w:val="auto"/>
                <w:szCs w:val="24"/>
                <w:highlight w:val="none"/>
              </w:rPr>
              <w:t>总分</w:t>
            </w:r>
            <w:r>
              <w:rPr>
                <w:rFonts w:hint="default"/>
                <w:color w:val="auto"/>
                <w:szCs w:val="24"/>
                <w:highlight w:val="none"/>
              </w:rPr>
              <w:t>100</w:t>
            </w:r>
            <w:r>
              <w:rPr>
                <w:rFonts w:hint="eastAsia"/>
                <w:color w:val="auto"/>
                <w:szCs w:val="24"/>
                <w:highlight w:val="none"/>
              </w:rPr>
              <w:t>分</w:t>
            </w:r>
            <w:r>
              <w:rPr>
                <w:rFonts w:hint="default"/>
                <w:color w:val="auto"/>
                <w:szCs w:val="24"/>
                <w:highlight w:val="none"/>
              </w:rPr>
              <w:t>)</w:t>
            </w:r>
          </w:p>
        </w:tc>
        <w:tc>
          <w:tcPr>
            <w:tcW w:w="59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综合评分法采用百分制，根据第三章</w:t>
            </w:r>
            <w:r>
              <w:rPr>
                <w:rFonts w:hint="default"/>
                <w:color w:val="auto"/>
                <w:highlight w:val="none"/>
              </w:rPr>
              <w:t>3.2.3</w:t>
            </w:r>
            <w:r>
              <w:rPr>
                <w:rFonts w:hint="eastAsia"/>
                <w:color w:val="auto"/>
                <w:highlight w:val="none"/>
              </w:rPr>
              <w:t>款规定，投标人得分</w:t>
            </w:r>
            <w:r>
              <w:rPr>
                <w:rFonts w:hint="default"/>
                <w:color w:val="auto"/>
                <w:highlight w:val="none"/>
              </w:rPr>
              <w:t xml:space="preserve"> = </w:t>
            </w:r>
            <w:r>
              <w:rPr>
                <w:rFonts w:hint="eastAsia"/>
                <w:color w:val="auto"/>
                <w:highlight w:val="none"/>
                <w:lang w:eastAsia="zh-CN"/>
              </w:rPr>
              <w:t>商务</w:t>
            </w:r>
            <w:r>
              <w:rPr>
                <w:rFonts w:hint="eastAsia"/>
                <w:color w:val="auto"/>
                <w:highlight w:val="none"/>
              </w:rPr>
              <w:t>得分（</w:t>
            </w:r>
            <w:r>
              <w:rPr>
                <w:rFonts w:hint="default"/>
                <w:color w:val="auto"/>
                <w:highlight w:val="none"/>
              </w:rPr>
              <w:t>A</w:t>
            </w:r>
            <w:r>
              <w:rPr>
                <w:rFonts w:hint="eastAsia"/>
                <w:color w:val="auto"/>
                <w:highlight w:val="none"/>
              </w:rPr>
              <w:t>）</w:t>
            </w:r>
            <w:r>
              <w:rPr>
                <w:rFonts w:hint="default"/>
                <w:color w:val="auto"/>
                <w:highlight w:val="none"/>
              </w:rPr>
              <w:t xml:space="preserve">+ </w:t>
            </w:r>
            <w:r>
              <w:rPr>
                <w:rFonts w:hint="eastAsia"/>
                <w:color w:val="auto"/>
                <w:highlight w:val="none"/>
                <w:lang w:eastAsia="zh-CN"/>
              </w:rPr>
              <w:t>技术</w:t>
            </w:r>
            <w:r>
              <w:rPr>
                <w:rFonts w:hint="eastAsia"/>
                <w:color w:val="auto"/>
                <w:highlight w:val="none"/>
              </w:rPr>
              <w:t>得分（</w:t>
            </w:r>
            <w:r>
              <w:rPr>
                <w:rFonts w:hint="default"/>
                <w:color w:val="auto"/>
                <w:highlight w:val="none"/>
              </w:rPr>
              <w:t>B</w:t>
            </w:r>
            <w:r>
              <w:rPr>
                <w:rFonts w:hint="eastAsia"/>
                <w:color w:val="auto"/>
                <w:highlight w:val="none"/>
              </w:rPr>
              <w:t>）</w:t>
            </w:r>
            <w:r>
              <w:rPr>
                <w:rFonts w:hint="default"/>
                <w:color w:val="auto"/>
                <w:highlight w:val="none"/>
              </w:rPr>
              <w:t xml:space="preserve"> + </w:t>
            </w:r>
            <w:r>
              <w:rPr>
                <w:rFonts w:hint="eastAsia"/>
                <w:color w:val="auto"/>
                <w:highlight w:val="none"/>
                <w:lang w:eastAsia="zh-CN"/>
              </w:rPr>
              <w:t>价格</w:t>
            </w:r>
            <w:r>
              <w:rPr>
                <w:rFonts w:hint="eastAsia"/>
                <w:color w:val="auto"/>
                <w:highlight w:val="none"/>
              </w:rPr>
              <w:t>得分（</w:t>
            </w:r>
            <w:r>
              <w:rPr>
                <w:rFonts w:hint="default"/>
                <w:color w:val="auto"/>
                <w:highlight w:val="none"/>
              </w:rPr>
              <w:t>C</w:t>
            </w:r>
            <w:r>
              <w:rPr>
                <w:rFonts w:hint="eastAsia"/>
                <w:color w:val="auto"/>
                <w:highlight w:val="none"/>
              </w:rPr>
              <w:t>）</w:t>
            </w:r>
          </w:p>
          <w:p>
            <w:pPr>
              <w:keepNext w:val="0"/>
              <w:keepLines w:val="0"/>
              <w:suppressLineNumbers w:val="0"/>
              <w:spacing w:before="0" w:beforeAutospacing="0" w:after="0" w:afterAutospacing="0" w:line="440" w:lineRule="exact"/>
              <w:ind w:left="0" w:right="0"/>
              <w:rPr>
                <w:rFonts w:hint="default"/>
                <w:b/>
                <w:bCs/>
                <w:color w:val="auto"/>
                <w:highlight w:val="none"/>
              </w:rPr>
            </w:pPr>
            <w:r>
              <w:rPr>
                <w:rFonts w:hint="eastAsia"/>
                <w:b/>
                <w:bCs/>
                <w:color w:val="auto"/>
                <w:highlight w:val="none"/>
                <w:lang w:eastAsia="zh-CN"/>
              </w:rPr>
              <w:t>商务</w:t>
            </w:r>
            <w:r>
              <w:rPr>
                <w:rFonts w:hint="eastAsia"/>
                <w:b/>
                <w:bCs/>
                <w:color w:val="auto"/>
                <w:highlight w:val="none"/>
              </w:rPr>
              <w:t>得分（</w:t>
            </w:r>
            <w:r>
              <w:rPr>
                <w:rFonts w:hint="default"/>
                <w:b/>
                <w:bCs/>
                <w:color w:val="auto"/>
                <w:highlight w:val="none"/>
              </w:rPr>
              <w:t>A</w:t>
            </w:r>
            <w:r>
              <w:rPr>
                <w:rFonts w:hint="eastAsia"/>
                <w:b/>
                <w:bCs/>
                <w:color w:val="auto"/>
                <w:highlight w:val="none"/>
              </w:rPr>
              <w:t>）：满分</w:t>
            </w:r>
            <w:r>
              <w:rPr>
                <w:rFonts w:hint="default"/>
                <w:b/>
                <w:bCs/>
                <w:color w:val="auto"/>
                <w:highlight w:val="none"/>
              </w:rPr>
              <w:t xml:space="preserve"> </w:t>
            </w:r>
            <w:r>
              <w:rPr>
                <w:rFonts w:hint="eastAsia"/>
                <w:b/>
                <w:bCs/>
                <w:color w:val="auto"/>
                <w:highlight w:val="none"/>
              </w:rPr>
              <w:t>2</w:t>
            </w:r>
            <w:r>
              <w:rPr>
                <w:rFonts w:hint="eastAsia"/>
                <w:b/>
                <w:bCs/>
                <w:color w:val="auto"/>
                <w:highlight w:val="none"/>
                <w:lang w:val="en-US" w:eastAsia="zh-CN"/>
              </w:rPr>
              <w:t>0</w:t>
            </w:r>
            <w:r>
              <w:rPr>
                <w:rFonts w:hint="eastAsia"/>
                <w:b/>
                <w:bCs/>
                <w:color w:val="auto"/>
                <w:highlight w:val="none"/>
              </w:rPr>
              <w:t>分</w:t>
            </w:r>
          </w:p>
          <w:p>
            <w:pPr>
              <w:keepNext w:val="0"/>
              <w:keepLines w:val="0"/>
              <w:suppressLineNumbers w:val="0"/>
              <w:spacing w:before="0" w:beforeAutospacing="0" w:after="0" w:afterAutospacing="0" w:line="440" w:lineRule="exact"/>
              <w:ind w:left="0" w:right="0"/>
              <w:rPr>
                <w:rFonts w:hint="default"/>
                <w:b/>
                <w:bCs/>
                <w:color w:val="auto"/>
                <w:highlight w:val="none"/>
              </w:rPr>
            </w:pPr>
            <w:r>
              <w:rPr>
                <w:rFonts w:hint="eastAsia"/>
                <w:b/>
                <w:bCs/>
                <w:color w:val="auto"/>
                <w:highlight w:val="none"/>
                <w:lang w:eastAsia="zh-CN"/>
              </w:rPr>
              <w:t>技术</w:t>
            </w:r>
            <w:r>
              <w:rPr>
                <w:rFonts w:hint="eastAsia"/>
                <w:b/>
                <w:bCs/>
                <w:color w:val="auto"/>
                <w:highlight w:val="none"/>
              </w:rPr>
              <w:t>得分（</w:t>
            </w:r>
            <w:r>
              <w:rPr>
                <w:rFonts w:hint="default"/>
                <w:b/>
                <w:bCs/>
                <w:color w:val="auto"/>
                <w:highlight w:val="none"/>
              </w:rPr>
              <w:t>B</w:t>
            </w:r>
            <w:r>
              <w:rPr>
                <w:rFonts w:hint="eastAsia"/>
                <w:b/>
                <w:bCs/>
                <w:color w:val="auto"/>
                <w:highlight w:val="none"/>
              </w:rPr>
              <w:t>）：满分3</w:t>
            </w:r>
            <w:r>
              <w:rPr>
                <w:rFonts w:hint="eastAsia"/>
                <w:b/>
                <w:bCs/>
                <w:color w:val="auto"/>
                <w:highlight w:val="none"/>
                <w:lang w:val="en-US" w:eastAsia="zh-CN"/>
              </w:rPr>
              <w:t>0</w:t>
            </w:r>
            <w:r>
              <w:rPr>
                <w:rFonts w:hint="eastAsia"/>
                <w:b/>
                <w:bCs/>
                <w:color w:val="auto"/>
                <w:highlight w:val="none"/>
              </w:rPr>
              <w:t>分</w:t>
            </w:r>
          </w:p>
          <w:p>
            <w:pPr>
              <w:keepNext w:val="0"/>
              <w:keepLines w:val="0"/>
              <w:suppressLineNumbers w:val="0"/>
              <w:spacing w:before="0" w:beforeAutospacing="0" w:after="0" w:afterAutospacing="0" w:line="440" w:lineRule="exact"/>
              <w:ind w:left="0" w:right="0"/>
              <w:jc w:val="both"/>
              <w:rPr>
                <w:rFonts w:hint="default"/>
                <w:color w:val="auto"/>
                <w:highlight w:val="none"/>
              </w:rPr>
            </w:pPr>
            <w:r>
              <w:rPr>
                <w:rFonts w:hint="eastAsia"/>
                <w:b/>
                <w:bCs/>
                <w:color w:val="auto"/>
                <w:highlight w:val="none"/>
                <w:lang w:eastAsia="zh-CN"/>
              </w:rPr>
              <w:t>价格</w:t>
            </w:r>
            <w:r>
              <w:rPr>
                <w:rFonts w:hint="eastAsia"/>
                <w:b/>
                <w:bCs/>
                <w:color w:val="auto"/>
                <w:highlight w:val="none"/>
              </w:rPr>
              <w:t>得分（</w:t>
            </w:r>
            <w:r>
              <w:rPr>
                <w:rFonts w:hint="default"/>
                <w:b/>
                <w:bCs/>
                <w:color w:val="auto"/>
                <w:highlight w:val="none"/>
              </w:rPr>
              <w:t>C</w:t>
            </w:r>
            <w:r>
              <w:rPr>
                <w:rFonts w:hint="eastAsia"/>
                <w:b/>
                <w:bCs/>
                <w:color w:val="auto"/>
                <w:highlight w:val="none"/>
              </w:rPr>
              <w:t>）：满分</w:t>
            </w:r>
            <w:r>
              <w:rPr>
                <w:rFonts w:hint="eastAsia"/>
                <w:b/>
                <w:bCs/>
                <w:color w:val="auto"/>
                <w:highlight w:val="none"/>
                <w:lang w:val="en-US" w:eastAsia="zh-CN"/>
              </w:rPr>
              <w:t>50</w:t>
            </w:r>
            <w:r>
              <w:rPr>
                <w:rFonts w:hint="eastAsia"/>
                <w:b/>
                <w:bCs/>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2" w:hRule="atLeast"/>
        </w:trPr>
        <w:tc>
          <w:tcPr>
            <w:tcW w:w="17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2.2.2</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评标基准价计算方法</w:t>
            </w:r>
          </w:p>
        </w:tc>
        <w:tc>
          <w:tcPr>
            <w:tcW w:w="59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在开标前，首先由招标人从</w:t>
            </w:r>
            <w:r>
              <w:rPr>
                <w:rFonts w:hint="default" w:ascii="宋体" w:hAnsi="宋体"/>
                <w:color w:val="auto"/>
                <w:szCs w:val="21"/>
                <w:highlight w:val="none"/>
              </w:rPr>
              <w:t>1</w:t>
            </w:r>
            <w:r>
              <w:rPr>
                <w:rFonts w:hint="eastAsia" w:ascii="宋体" w:hAnsi="宋体"/>
                <w:color w:val="auto"/>
                <w:szCs w:val="21"/>
                <w:highlight w:val="none"/>
              </w:rPr>
              <w:t>％、</w:t>
            </w:r>
            <w:r>
              <w:rPr>
                <w:rFonts w:hint="default" w:ascii="宋体" w:hAnsi="宋体"/>
                <w:color w:val="auto"/>
                <w:szCs w:val="21"/>
                <w:highlight w:val="none"/>
              </w:rPr>
              <w:t>3</w:t>
            </w:r>
            <w:r>
              <w:rPr>
                <w:rFonts w:hint="eastAsia" w:ascii="宋体" w:hAnsi="宋体"/>
                <w:color w:val="auto"/>
                <w:szCs w:val="21"/>
                <w:highlight w:val="none"/>
              </w:rPr>
              <w:t>％、</w:t>
            </w:r>
            <w:r>
              <w:rPr>
                <w:rFonts w:hint="default" w:ascii="宋体" w:hAnsi="宋体"/>
                <w:color w:val="auto"/>
                <w:szCs w:val="21"/>
                <w:highlight w:val="none"/>
              </w:rPr>
              <w:t>5</w:t>
            </w:r>
            <w:r>
              <w:rPr>
                <w:rFonts w:hint="eastAsia" w:ascii="宋体" w:hAnsi="宋体"/>
                <w:color w:val="auto"/>
                <w:szCs w:val="21"/>
                <w:highlight w:val="none"/>
              </w:rPr>
              <w:t>％的评标参考价候选下浮点数中现场随机抽取确定该项目计算评标基准价的下浮率X。</w:t>
            </w:r>
          </w:p>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eastAsia" w:ascii="宋体" w:hAnsi="宋体" w:cs="宋体"/>
                <w:color w:val="auto"/>
                <w:kern w:val="0"/>
                <w:szCs w:val="21"/>
                <w:highlight w:val="none"/>
              </w:rPr>
              <w:t>对通过初步评审的投标报价按如下规定计算评标基准价：当通过初步评审的投标人不少于</w:t>
            </w:r>
            <w:r>
              <w:rPr>
                <w:rFonts w:hint="default" w:ascii="宋体" w:hAnsi="宋体" w:cs="宋体"/>
                <w:color w:val="auto"/>
                <w:kern w:val="0"/>
                <w:szCs w:val="21"/>
                <w:highlight w:val="none"/>
              </w:rPr>
              <w:t>5家时（含5家），</w:t>
            </w:r>
            <w:r>
              <w:rPr>
                <w:rFonts w:hint="eastAsia"/>
                <w:color w:val="auto"/>
                <w:highlight w:val="none"/>
              </w:rPr>
              <w:t>去掉一个最高价和一个最低价后，</w:t>
            </w:r>
            <w:r>
              <w:rPr>
                <w:rFonts w:hint="eastAsia" w:ascii="宋体" w:hAnsi="宋体" w:cs="宋体"/>
                <w:color w:val="auto"/>
                <w:kern w:val="0"/>
                <w:szCs w:val="21"/>
                <w:highlight w:val="none"/>
              </w:rPr>
              <w:t>对其余通过初步评审的投标报价取算术平均值</w:t>
            </w:r>
            <w:r>
              <w:rPr>
                <w:rFonts w:hint="eastAsia"/>
                <w:color w:val="auto"/>
                <w:highlight w:val="none"/>
              </w:rPr>
              <w:t>下浮X</w:t>
            </w:r>
            <w:r>
              <w:rPr>
                <w:rFonts w:hint="eastAsia" w:ascii="宋体" w:hAnsi="宋体" w:cs="宋体"/>
                <w:color w:val="auto"/>
                <w:kern w:val="0"/>
                <w:szCs w:val="21"/>
                <w:highlight w:val="none"/>
              </w:rPr>
              <w:t>作为评标基准价；当通过初步评审的投标人少于</w:t>
            </w:r>
            <w:r>
              <w:rPr>
                <w:rFonts w:hint="default" w:ascii="宋体" w:hAnsi="宋体" w:cs="宋体"/>
                <w:color w:val="auto"/>
                <w:kern w:val="0"/>
                <w:szCs w:val="21"/>
                <w:highlight w:val="none"/>
              </w:rPr>
              <w:t>5家且大于等于3家时，则取全部</w:t>
            </w:r>
            <w:r>
              <w:rPr>
                <w:rFonts w:hint="eastAsia" w:ascii="宋体" w:hAnsi="宋体" w:cs="宋体"/>
                <w:color w:val="auto"/>
                <w:kern w:val="0"/>
                <w:szCs w:val="21"/>
                <w:highlight w:val="none"/>
              </w:rPr>
              <w:t>通过初步评审的投标报价</w:t>
            </w:r>
            <w:r>
              <w:rPr>
                <w:rFonts w:hint="default" w:ascii="宋体" w:hAnsi="宋体" w:cs="宋体"/>
                <w:color w:val="auto"/>
                <w:kern w:val="0"/>
                <w:szCs w:val="21"/>
                <w:highlight w:val="none"/>
              </w:rPr>
              <w:t>的算术平均值</w:t>
            </w:r>
            <w:r>
              <w:rPr>
                <w:rFonts w:hint="eastAsia"/>
                <w:color w:val="auto"/>
                <w:highlight w:val="none"/>
              </w:rPr>
              <w:t>下浮X</w:t>
            </w:r>
            <w:r>
              <w:rPr>
                <w:rFonts w:hint="default" w:ascii="宋体" w:hAnsi="宋体" w:cs="宋体"/>
                <w:color w:val="auto"/>
                <w:kern w:val="0"/>
                <w:szCs w:val="21"/>
                <w:highlight w:val="none"/>
              </w:rPr>
              <w:t>作为评标</w:t>
            </w:r>
            <w:r>
              <w:rPr>
                <w:rFonts w:hint="eastAsia" w:ascii="宋体" w:hAnsi="宋体" w:cs="宋体"/>
                <w:color w:val="auto"/>
                <w:kern w:val="0"/>
                <w:szCs w:val="21"/>
                <w:highlight w:val="none"/>
              </w:rPr>
              <w:t>基准</w:t>
            </w:r>
            <w:r>
              <w:rPr>
                <w:rFonts w:hint="default" w:ascii="宋体" w:hAnsi="宋体" w:cs="宋体"/>
                <w:color w:val="auto"/>
                <w:kern w:val="0"/>
                <w:szCs w:val="21"/>
                <w:highlight w:val="none"/>
              </w:rPr>
              <w:t>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17" w:hRule="atLeast"/>
        </w:trPr>
        <w:tc>
          <w:tcPr>
            <w:tcW w:w="17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2.2.3</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投标报价的偏差率计算公式</w:t>
            </w:r>
          </w:p>
        </w:tc>
        <w:tc>
          <w:tcPr>
            <w:tcW w:w="59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r>
              <w:rPr>
                <w:rFonts w:hint="eastAsia"/>
                <w:color w:val="auto"/>
                <w:szCs w:val="24"/>
                <w:highlight w:val="none"/>
              </w:rPr>
              <w:t>偏差率＝（评标价－评标基准价）</w:t>
            </w:r>
            <w:r>
              <w:rPr>
                <w:rFonts w:hint="default"/>
                <w:color w:val="auto"/>
                <w:szCs w:val="24"/>
                <w:highlight w:val="none"/>
              </w:rPr>
              <w:t>/</w:t>
            </w:r>
            <w:r>
              <w:rPr>
                <w:rFonts w:hint="eastAsia"/>
                <w:color w:val="auto"/>
                <w:szCs w:val="24"/>
                <w:highlight w:val="none"/>
              </w:rPr>
              <w:t>评标基准价</w:t>
            </w:r>
            <w:r>
              <w:rPr>
                <w:rFonts w:hint="default"/>
                <w:color w:val="auto"/>
                <w:szCs w:val="24"/>
                <w:highlight w:val="none"/>
              </w:rPr>
              <w:t>*100%</w:t>
            </w:r>
          </w:p>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eastAsia"/>
                <w:color w:val="auto"/>
                <w:szCs w:val="24"/>
                <w:highlight w:val="none"/>
              </w:rPr>
              <w:t>（偏差率四舍五入保留</w:t>
            </w:r>
            <w:r>
              <w:rPr>
                <w:rFonts w:hint="default"/>
                <w:color w:val="auto"/>
                <w:szCs w:val="24"/>
                <w:highlight w:val="none"/>
              </w:rPr>
              <w:t>1</w:t>
            </w:r>
            <w:r>
              <w:rPr>
                <w:rFonts w:hint="eastAsia"/>
                <w:color w:val="auto"/>
                <w:szCs w:val="24"/>
                <w:highlight w:val="none"/>
              </w:rPr>
              <w:t>位小数，</w:t>
            </w:r>
            <w:r>
              <w:rPr>
                <w:rFonts w:hint="eastAsia" w:ascii="宋体" w:hAnsi="Courier New"/>
                <w:color w:val="auto"/>
                <w:szCs w:val="21"/>
                <w:highlight w:val="none"/>
              </w:rPr>
              <w:t>报价偏差率不足1%的，按直线内插法计算投标报价得分</w:t>
            </w:r>
            <w:r>
              <w:rPr>
                <w:rFonts w:hint="eastAsia"/>
                <w:color w:val="auto"/>
                <w:szCs w:val="24"/>
                <w:highlight w:val="none"/>
              </w:rPr>
              <w:t>）</w:t>
            </w:r>
          </w:p>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eastAsia"/>
                <w:color w:val="auto"/>
                <w:szCs w:val="24"/>
                <w:highlight w:val="none"/>
              </w:rPr>
              <w:t>“投标报价”为投标人投标函中的大写金额。</w:t>
            </w:r>
          </w:p>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eastAsia"/>
                <w:color w:val="auto"/>
                <w:szCs w:val="24"/>
                <w:highlight w:val="none"/>
              </w:rPr>
              <w:t>“评标价”为经修正后的投标报价（如有）。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7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b/>
                <w:color w:val="auto"/>
                <w:szCs w:val="24"/>
                <w:highlight w:val="none"/>
              </w:rPr>
            </w:pPr>
            <w:r>
              <w:rPr>
                <w:rFonts w:hint="eastAsia"/>
                <w:b/>
                <w:color w:val="auto"/>
                <w:szCs w:val="24"/>
                <w:highlight w:val="none"/>
              </w:rPr>
              <w:t>条款号</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b/>
                <w:color w:val="auto"/>
                <w:szCs w:val="24"/>
                <w:highlight w:val="none"/>
              </w:rPr>
            </w:pPr>
            <w:r>
              <w:rPr>
                <w:rFonts w:hint="eastAsia"/>
                <w:b/>
                <w:color w:val="auto"/>
                <w:szCs w:val="24"/>
                <w:highlight w:val="none"/>
              </w:rPr>
              <w:t>评分因素</w:t>
            </w:r>
          </w:p>
        </w:tc>
        <w:tc>
          <w:tcPr>
            <w:tcW w:w="59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b/>
                <w:color w:val="auto"/>
                <w:szCs w:val="24"/>
                <w:highlight w:val="none"/>
              </w:rPr>
            </w:pPr>
            <w:r>
              <w:rPr>
                <w:rFonts w:hint="eastAsia"/>
                <w:b/>
                <w:color w:val="auto"/>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660"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2.2.4</w:t>
            </w:r>
            <w:r>
              <w:rPr>
                <w:rFonts w:hint="eastAsia"/>
                <w:color w:val="auto"/>
                <w:szCs w:val="24"/>
                <w:highlight w:val="none"/>
              </w:rPr>
              <w:t>（</w:t>
            </w:r>
            <w:r>
              <w:rPr>
                <w:rFonts w:hint="default"/>
                <w:color w:val="auto"/>
                <w:szCs w:val="24"/>
                <w:highlight w:val="none"/>
              </w:rPr>
              <w:t>1</w:t>
            </w:r>
            <w:r>
              <w:rPr>
                <w:rFonts w:hint="eastAsia"/>
                <w:color w:val="auto"/>
                <w:szCs w:val="24"/>
                <w:highlight w:val="none"/>
              </w:rPr>
              <w:t>）</w:t>
            </w:r>
          </w:p>
        </w:tc>
        <w:tc>
          <w:tcPr>
            <w:tcW w:w="106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color w:val="auto"/>
                <w:szCs w:val="24"/>
                <w:highlight w:val="none"/>
                <w:lang w:eastAsia="zh-CN"/>
              </w:rPr>
            </w:pPr>
            <w:bookmarkStart w:id="886" w:name="OLE_LINK19"/>
            <w:r>
              <w:rPr>
                <w:rFonts w:hint="eastAsia"/>
                <w:color w:val="auto"/>
                <w:szCs w:val="24"/>
                <w:highlight w:val="none"/>
                <w:lang w:eastAsia="zh-CN"/>
              </w:rPr>
              <w:t>商务</w:t>
            </w:r>
          </w:p>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评</w:t>
            </w:r>
            <w:bookmarkEnd w:id="886"/>
            <w:r>
              <w:rPr>
                <w:rFonts w:hint="eastAsia"/>
                <w:color w:val="auto"/>
                <w:szCs w:val="24"/>
                <w:highlight w:val="none"/>
              </w:rPr>
              <w:t>分标准</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w:t>
            </w:r>
            <w:r>
              <w:rPr>
                <w:rFonts w:hint="eastAsia" w:ascii="宋体" w:hAnsi="宋体" w:eastAsia="宋体" w:cs="宋体"/>
                <w:color w:val="auto"/>
                <w:sz w:val="21"/>
                <w:szCs w:val="21"/>
                <w:highlight w:val="none"/>
                <w:lang w:eastAsia="zh-CN"/>
              </w:rPr>
              <w:t>管理体系</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eastAsia="zh-CN"/>
              </w:rPr>
              <w:t>认证</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9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对</w:t>
            </w:r>
            <w:r>
              <w:rPr>
                <w:rFonts w:hint="eastAsia" w:ascii="宋体" w:hAnsi="宋体" w:eastAsia="宋体" w:cs="宋体"/>
                <w:color w:val="auto"/>
                <w:sz w:val="21"/>
                <w:szCs w:val="21"/>
                <w:highlight w:val="none"/>
              </w:rPr>
              <w:t>投标人具有有效的管理体系认证</w:t>
            </w:r>
            <w:r>
              <w:rPr>
                <w:rFonts w:hint="eastAsia" w:ascii="宋体" w:hAnsi="宋体" w:cs="宋体"/>
                <w:color w:val="auto"/>
                <w:sz w:val="21"/>
                <w:szCs w:val="21"/>
                <w:highlight w:val="none"/>
                <w:lang w:val="en-US" w:eastAsia="zh-CN"/>
              </w:rPr>
              <w:t>和</w:t>
            </w:r>
            <w:r>
              <w:rPr>
                <w:rFonts w:hint="eastAsia" w:ascii="宋体" w:hAnsi="宋体" w:eastAsia="宋体" w:cs="宋体"/>
                <w:color w:val="auto"/>
                <w:szCs w:val="21"/>
                <w:highlight w:val="none"/>
              </w:rPr>
              <w:t>CMA计量认证证书</w:t>
            </w:r>
            <w:r>
              <w:rPr>
                <w:rFonts w:hint="eastAsia" w:ascii="宋体" w:hAnsi="宋体" w:cs="宋体"/>
                <w:color w:val="auto"/>
                <w:sz w:val="21"/>
                <w:szCs w:val="21"/>
                <w:highlight w:val="none"/>
                <w:lang w:eastAsia="zh-CN"/>
              </w:rPr>
              <w:t>进行评分</w:t>
            </w:r>
            <w:r>
              <w:rPr>
                <w:rFonts w:hint="eastAsia" w:ascii="宋体" w:hAnsi="宋体" w:eastAsia="宋体" w:cs="宋体"/>
                <w:color w:val="auto"/>
                <w:sz w:val="21"/>
                <w:szCs w:val="21"/>
                <w:highlight w:val="none"/>
              </w:rPr>
              <w:t>：</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具有质量管理体系认证（ISO9001）得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具有环境管理体系认证证书（ISO14001）得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具有职业健康安全管理标准认证（ISO45001）得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ascii="宋体" w:hAnsi="宋体" w:eastAsia="宋体" w:cs="宋体"/>
                <w:color w:val="auto"/>
                <w:sz w:val="21"/>
                <w:szCs w:val="21"/>
                <w:highlight w:val="none"/>
                <w:lang w:eastAsia="zh-CN"/>
              </w:rPr>
            </w:pPr>
            <w:r>
              <w:rPr>
                <w:rFonts w:hint="eastAsia" w:ascii="Times New Roman" w:hAnsi="Times New Roman" w:eastAsia="宋体" w:cs="Times New Roman"/>
                <w:color w:val="auto"/>
                <w:szCs w:val="24"/>
                <w:highlight w:val="none"/>
                <w:lang w:eastAsia="zh-CN"/>
              </w:rPr>
              <w:t>（</w:t>
            </w:r>
            <w:r>
              <w:rPr>
                <w:rFonts w:hint="eastAsia" w:ascii="Times New Roman" w:hAnsi="Times New Roman" w:eastAsia="宋体" w:cs="Times New Roman"/>
                <w:color w:val="auto"/>
                <w:szCs w:val="24"/>
                <w:highlight w:val="none"/>
                <w:lang w:val="en-US" w:eastAsia="zh-CN"/>
              </w:rPr>
              <w:t>4</w:t>
            </w:r>
            <w:r>
              <w:rPr>
                <w:rFonts w:hint="eastAsia" w:ascii="Times New Roman" w:hAnsi="Times New Roman" w:eastAsia="宋体" w:cs="Times New Roman"/>
                <w:color w:val="auto"/>
                <w:szCs w:val="24"/>
                <w:highlight w:val="none"/>
                <w:lang w:eastAsia="zh-CN"/>
              </w:rPr>
              <w:t>）</w:t>
            </w:r>
            <w:r>
              <w:rPr>
                <w:rFonts w:hint="eastAsia" w:ascii="Times New Roman" w:hAnsi="Times New Roman" w:eastAsia="宋体" w:cs="Times New Roman"/>
                <w:color w:val="auto"/>
                <w:szCs w:val="24"/>
                <w:highlight w:val="none"/>
              </w:rPr>
              <w:t>具</w:t>
            </w:r>
            <w:r>
              <w:rPr>
                <w:rFonts w:hint="eastAsia" w:ascii="Times New Roman" w:hAnsi="Times New Roman" w:eastAsia="宋体" w:cs="Times New Roman"/>
                <w:color w:val="auto"/>
                <w:szCs w:val="24"/>
                <w:highlight w:val="none"/>
                <w:lang w:val="en-US" w:eastAsia="zh-CN"/>
              </w:rPr>
              <w:t>有</w:t>
            </w:r>
            <w:r>
              <w:rPr>
                <w:rFonts w:hint="eastAsia" w:ascii="Times New Roman" w:hAnsi="Times New Roman" w:eastAsia="宋体" w:cs="Times New Roman"/>
                <w:color w:val="auto"/>
                <w:szCs w:val="24"/>
                <w:highlight w:val="none"/>
              </w:rPr>
              <w:t>CMA计量认证证书（或CMA检验检测机构资质认定证书）</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Times New Roman" w:hAnsi="Times New Roman" w:eastAsia="宋体" w:cs="Times New Roman"/>
                <w:color w:val="auto"/>
                <w:szCs w:val="24"/>
                <w:highlight w:val="none"/>
                <w:lang w:eastAsia="zh-CN"/>
              </w:rPr>
              <w:t>。</w:t>
            </w:r>
          </w:p>
          <w:p>
            <w:pPr>
              <w:keepNext w:val="0"/>
              <w:keepLines w:val="0"/>
              <w:suppressLineNumbers w:val="0"/>
              <w:tabs>
                <w:tab w:val="left" w:pos="720"/>
              </w:tabs>
              <w:spacing w:before="0" w:beforeAutospacing="0" w:after="0" w:afterAutospacing="0" w:line="360" w:lineRule="auto"/>
              <w:ind w:left="0" w:right="0"/>
              <w:rPr>
                <w:rFonts w:hint="default"/>
                <w:color w:val="auto"/>
                <w:highlight w:val="none"/>
              </w:rPr>
            </w:pPr>
            <w:r>
              <w:rPr>
                <w:rFonts w:hint="eastAsia" w:ascii="宋体" w:hAnsi="宋体" w:eastAsia="宋体" w:cs="宋体"/>
                <w:color w:val="auto"/>
                <w:sz w:val="21"/>
                <w:szCs w:val="21"/>
                <w:highlight w:val="none"/>
                <w:lang w:val="en-US" w:eastAsia="zh-CN"/>
              </w:rPr>
              <w:t>注：①</w:t>
            </w:r>
            <w:r>
              <w:rPr>
                <w:rFonts w:hint="eastAsia" w:ascii="宋体" w:hAnsi="宋体" w:cs="宋体"/>
                <w:color w:val="auto"/>
                <w:sz w:val="21"/>
                <w:szCs w:val="21"/>
                <w:highlight w:val="none"/>
                <w:lang w:val="en-US" w:eastAsia="zh-CN"/>
              </w:rPr>
              <w:t>本项</w:t>
            </w:r>
            <w:r>
              <w:rPr>
                <w:rFonts w:hint="default" w:ascii="宋体" w:hAnsi="宋体" w:cs="宋体"/>
                <w:color w:val="auto"/>
                <w:sz w:val="21"/>
                <w:szCs w:val="21"/>
                <w:highlight w:val="none"/>
                <w:lang w:val="en-US" w:eastAsia="zh-CN"/>
              </w:rPr>
              <w:t>满分</w:t>
            </w:r>
            <w:r>
              <w:rPr>
                <w:rFonts w:hint="eastAsia" w:ascii="宋体" w:hAnsi="宋体" w:cs="宋体"/>
                <w:color w:val="auto"/>
                <w:sz w:val="21"/>
                <w:szCs w:val="21"/>
                <w:highlight w:val="none"/>
                <w:lang w:val="en-US" w:eastAsia="zh-CN"/>
              </w:rPr>
              <w:t>为5分；</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管理体系认证证书由国家认证认可监督管理部门批准设立的认证机构颁发并在有效期内</w:t>
            </w:r>
            <w:r>
              <w:rPr>
                <w:rFonts w:hint="eastAsia" w:ascii="宋体" w:hAnsi="宋体" w:cs="宋体"/>
                <w:color w:val="auto"/>
                <w:sz w:val="21"/>
                <w:szCs w:val="21"/>
                <w:highlight w:val="none"/>
                <w:lang w:eastAsia="zh-CN"/>
              </w:rPr>
              <w:t>，须</w:t>
            </w:r>
            <w:r>
              <w:rPr>
                <w:rFonts w:hint="eastAsia" w:ascii="宋体" w:hAnsi="宋体" w:cs="宋体"/>
                <w:color w:val="auto"/>
                <w:sz w:val="21"/>
                <w:szCs w:val="21"/>
                <w:highlight w:val="none"/>
                <w:lang w:val="en-US" w:eastAsia="zh-CN"/>
              </w:rPr>
              <w:t>提供</w:t>
            </w:r>
            <w:r>
              <w:rPr>
                <w:rFonts w:hint="eastAsia" w:ascii="宋体" w:hAnsi="宋体" w:eastAsia="宋体" w:cs="宋体"/>
                <w:color w:val="auto"/>
                <w:sz w:val="21"/>
                <w:szCs w:val="21"/>
                <w:highlight w:val="none"/>
              </w:rPr>
              <w:t>证</w:t>
            </w:r>
            <w:r>
              <w:rPr>
                <w:rFonts w:hint="eastAsia" w:ascii="宋体" w:hAnsi="宋体" w:eastAsia="宋体" w:cs="宋体"/>
                <w:color w:val="auto"/>
                <w:sz w:val="21"/>
                <w:szCs w:val="21"/>
                <w:highlight w:val="none"/>
                <w:lang w:val="en-US" w:eastAsia="zh-CN"/>
              </w:rPr>
              <w:t>书扫描件及</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全国认证认可信息公共服务平台(http://cx.cnca.cn)查询结果凭证</w:t>
            </w:r>
            <w:r>
              <w:rPr>
                <w:rFonts w:hint="eastAsia" w:ascii="宋体" w:hAnsi="宋体" w:cs="宋体"/>
                <w:color w:val="auto"/>
                <w:sz w:val="21"/>
                <w:szCs w:val="21"/>
                <w:highlight w:val="none"/>
                <w:lang w:val="en-US" w:eastAsia="zh-CN"/>
              </w:rPr>
              <w:t>或截图并加盖投标人公章；</w:t>
            </w:r>
            <w:r>
              <w:rPr>
                <w:rFonts w:hint="eastAsia" w:ascii="Times New Roman" w:hAnsi="Times New Roman" w:eastAsia="宋体" w:cs="Times New Roman"/>
                <w:b w:val="0"/>
                <w:bCs w:val="0"/>
                <w:color w:val="auto"/>
                <w:szCs w:val="24"/>
                <w:highlight w:val="none"/>
              </w:rPr>
              <w:t>CMA</w:t>
            </w:r>
            <w:r>
              <w:rPr>
                <w:rFonts w:hint="eastAsia" w:ascii="Times New Roman" w:hAnsi="Times New Roman" w:eastAsia="宋体" w:cs="Times New Roman"/>
                <w:b w:val="0"/>
                <w:bCs w:val="0"/>
                <w:color w:val="auto"/>
                <w:szCs w:val="24"/>
                <w:highlight w:val="none"/>
                <w:lang w:val="en-US" w:eastAsia="zh-CN"/>
              </w:rPr>
              <w:t>认证证书由</w:t>
            </w:r>
            <w:r>
              <w:rPr>
                <w:rFonts w:hint="eastAsia" w:ascii="Times New Roman" w:hAnsi="Times New Roman" w:eastAsia="宋体" w:cs="Times New Roman"/>
                <w:color w:val="auto"/>
                <w:szCs w:val="24"/>
                <w:highlight w:val="none"/>
              </w:rPr>
              <w:t>省级</w:t>
            </w:r>
            <w:r>
              <w:rPr>
                <w:rFonts w:hint="eastAsia" w:ascii="Times New Roman" w:hAnsi="Times New Roman" w:eastAsia="宋体" w:cs="Times New Roman"/>
                <w:color w:val="auto"/>
                <w:szCs w:val="24"/>
                <w:highlight w:val="none"/>
                <w:lang w:eastAsia="zh-CN"/>
              </w:rPr>
              <w:t>（</w:t>
            </w:r>
            <w:r>
              <w:rPr>
                <w:rFonts w:hint="eastAsia" w:ascii="Times New Roman" w:hAnsi="Times New Roman" w:eastAsia="宋体" w:cs="Times New Roman"/>
                <w:color w:val="auto"/>
                <w:szCs w:val="24"/>
                <w:highlight w:val="none"/>
              </w:rPr>
              <w:t>或以上</w:t>
            </w:r>
            <w:r>
              <w:rPr>
                <w:rFonts w:hint="eastAsia" w:ascii="Times New Roman" w:hAnsi="Times New Roman" w:eastAsia="宋体" w:cs="Times New Roman"/>
                <w:color w:val="auto"/>
                <w:szCs w:val="24"/>
                <w:highlight w:val="none"/>
                <w:lang w:eastAsia="zh-CN"/>
              </w:rPr>
              <w:t>）</w:t>
            </w:r>
            <w:r>
              <w:rPr>
                <w:rFonts w:hint="eastAsia" w:ascii="Times New Roman" w:hAnsi="Times New Roman" w:eastAsia="宋体" w:cs="Times New Roman"/>
                <w:color w:val="auto"/>
                <w:szCs w:val="24"/>
                <w:highlight w:val="none"/>
              </w:rPr>
              <w:t>政府计量行政部门颁发</w:t>
            </w:r>
            <w:r>
              <w:rPr>
                <w:rFonts w:hint="eastAsia" w:ascii="Times New Roman" w:hAnsi="Times New Roman" w:eastAsia="宋体" w:cs="Times New Roman"/>
                <w:color w:val="auto"/>
                <w:szCs w:val="24"/>
                <w:highlight w:val="none"/>
                <w:lang w:eastAsia="zh-CN"/>
              </w:rPr>
              <w:t>，</w:t>
            </w:r>
            <w:r>
              <w:rPr>
                <w:rFonts w:hint="eastAsia" w:ascii="宋体" w:hAnsi="宋体" w:cs="宋体"/>
                <w:color w:val="auto"/>
                <w:sz w:val="21"/>
                <w:szCs w:val="21"/>
                <w:highlight w:val="none"/>
                <w:lang w:val="en-US" w:eastAsia="zh-CN"/>
              </w:rPr>
              <w:t>须</w:t>
            </w:r>
            <w:r>
              <w:rPr>
                <w:rFonts w:hint="eastAsia" w:ascii="宋体" w:hAnsi="宋体" w:cs="宋体"/>
                <w:b w:val="0"/>
                <w:bCs w:val="0"/>
                <w:color w:val="auto"/>
                <w:sz w:val="21"/>
                <w:szCs w:val="21"/>
                <w:highlight w:val="none"/>
                <w:lang w:val="en-US" w:eastAsia="zh-CN"/>
              </w:rPr>
              <w:t>提供</w:t>
            </w:r>
            <w:r>
              <w:rPr>
                <w:rFonts w:hint="eastAsia" w:ascii="宋体" w:hAnsi="宋体" w:cs="宋体"/>
                <w:b w:val="0"/>
                <w:bCs w:val="0"/>
                <w:color w:val="auto"/>
                <w:szCs w:val="21"/>
                <w:highlight w:val="none"/>
              </w:rPr>
              <w:t>有效证明资料</w:t>
            </w:r>
            <w:r>
              <w:rPr>
                <w:rFonts w:hint="eastAsia" w:ascii="宋体" w:hAnsi="宋体" w:eastAsia="宋体" w:cs="宋体"/>
                <w:b w:val="0"/>
                <w:bCs w:val="0"/>
                <w:color w:val="auto"/>
                <w:sz w:val="21"/>
                <w:szCs w:val="21"/>
                <w:highlight w:val="none"/>
                <w:lang w:val="en-US" w:eastAsia="zh-CN"/>
              </w:rPr>
              <w:t>扫描件</w:t>
            </w:r>
            <w:r>
              <w:rPr>
                <w:rFonts w:hint="eastAsia" w:ascii="宋体" w:hAnsi="宋体" w:cs="宋体"/>
                <w:b w:val="0"/>
                <w:bCs w:val="0"/>
                <w:color w:val="auto"/>
                <w:sz w:val="21"/>
                <w:szCs w:val="21"/>
                <w:highlight w:val="none"/>
                <w:lang w:val="en-US" w:eastAsia="zh-CN"/>
              </w:rPr>
              <w:t>并加盖投标人公章</w:t>
            </w:r>
            <w:r>
              <w:rPr>
                <w:rFonts w:hint="eastAsia" w:ascii="宋体" w:hAnsi="宋体" w:eastAsia="宋体" w:cs="宋体"/>
                <w:b w:val="0"/>
                <w:bCs w:val="0"/>
                <w:color w:val="auto"/>
                <w:sz w:val="21"/>
                <w:szCs w:val="21"/>
                <w:highlight w:val="none"/>
                <w:lang w:val="en-US" w:eastAsia="zh-CN"/>
              </w:rPr>
              <w:t>，</w:t>
            </w:r>
            <w:r>
              <w:rPr>
                <w:rFonts w:hint="eastAsia" w:ascii="宋体" w:hAnsi="宋体" w:cs="宋体"/>
                <w:color w:val="auto"/>
                <w:sz w:val="21"/>
                <w:szCs w:val="21"/>
                <w:highlight w:val="none"/>
                <w:lang w:val="en-US" w:eastAsia="zh-CN"/>
              </w:rPr>
              <w:t>不提供不得分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2" w:hRule="atLeast"/>
        </w:trPr>
        <w:tc>
          <w:tcPr>
            <w:tcW w:w="66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p>
        </w:tc>
        <w:tc>
          <w:tcPr>
            <w:tcW w:w="106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color w:val="auto"/>
                <w:szCs w:val="24"/>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项目业绩</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分）</w:t>
            </w:r>
          </w:p>
        </w:tc>
        <w:tc>
          <w:tcPr>
            <w:tcW w:w="59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年1月1日至本项目投标截止时间内</w:t>
            </w:r>
            <w:r>
              <w:rPr>
                <w:rFonts w:hint="eastAsia" w:ascii="宋体" w:hAnsi="宋体" w:cs="宋体"/>
                <w:color w:val="auto"/>
                <w:sz w:val="21"/>
                <w:szCs w:val="21"/>
                <w:highlight w:val="none"/>
                <w:lang w:eastAsia="zh-CN"/>
              </w:rPr>
              <w:t>承接过</w:t>
            </w:r>
            <w:r>
              <w:rPr>
                <w:rFonts w:hint="eastAsia" w:ascii="宋体" w:hAnsi="宋体" w:eastAsia="宋体" w:cs="宋体"/>
                <w:color w:val="auto"/>
                <w:sz w:val="21"/>
                <w:szCs w:val="21"/>
                <w:highlight w:val="none"/>
              </w:rPr>
              <w:t>的（以</w:t>
            </w:r>
            <w:r>
              <w:rPr>
                <w:rFonts w:hint="eastAsia" w:ascii="宋体" w:hAnsi="宋体" w:cs="宋体"/>
                <w:color w:val="auto"/>
                <w:sz w:val="21"/>
                <w:szCs w:val="21"/>
                <w:highlight w:val="none"/>
                <w:lang w:eastAsia="zh-CN"/>
              </w:rPr>
              <w:t>签订合同</w:t>
            </w:r>
            <w:r>
              <w:rPr>
                <w:rFonts w:hint="eastAsia" w:ascii="宋体" w:hAnsi="宋体" w:eastAsia="宋体" w:cs="宋体"/>
                <w:color w:val="auto"/>
                <w:sz w:val="21"/>
                <w:szCs w:val="21"/>
                <w:highlight w:val="none"/>
              </w:rPr>
              <w:t>时间为准）工程</w:t>
            </w:r>
            <w:r>
              <w:rPr>
                <w:rFonts w:hint="eastAsia" w:ascii="宋体" w:hAnsi="宋体" w:cs="宋体"/>
                <w:color w:val="auto"/>
                <w:sz w:val="21"/>
                <w:szCs w:val="21"/>
                <w:highlight w:val="none"/>
                <w:lang w:val="en-US" w:eastAsia="zh-CN"/>
              </w:rPr>
              <w:t>类</w:t>
            </w:r>
            <w:r>
              <w:rPr>
                <w:rFonts w:hint="eastAsia" w:ascii="宋体" w:hAnsi="宋体" w:eastAsia="宋体" w:cs="宋体"/>
                <w:color w:val="auto"/>
                <w:sz w:val="21"/>
                <w:szCs w:val="21"/>
                <w:highlight w:val="none"/>
              </w:rPr>
              <w:t>监测</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业绩：</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单项合同金额＞</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万，每个合同得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（2）10</w:t>
            </w:r>
            <w:r>
              <w:rPr>
                <w:rFonts w:hint="eastAsia" w:ascii="宋体" w:hAnsi="宋体" w:eastAsia="宋体" w:cs="宋体"/>
                <w:color w:val="auto"/>
                <w:sz w:val="21"/>
                <w:szCs w:val="21"/>
                <w:highlight w:val="none"/>
              </w:rPr>
              <w:t>0万＜单项合同金额≤</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0万，每个合同得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bookmarkStart w:id="887" w:name="OLE_LINK8"/>
            <w:r>
              <w:rPr>
                <w:rFonts w:hint="eastAsia" w:ascii="宋体" w:hAnsi="宋体" w:cs="宋体"/>
                <w:color w:val="auto"/>
                <w:sz w:val="21"/>
                <w:szCs w:val="21"/>
                <w:highlight w:val="none"/>
                <w:lang w:val="en-US" w:eastAsia="zh-CN"/>
              </w:rPr>
              <w:t>本小项最高得8分；</w:t>
            </w:r>
          </w:p>
          <w:bookmarkEnd w:id="887"/>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其他情况不得分。</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color w:val="auto"/>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①</w:t>
            </w:r>
            <w:r>
              <w:rPr>
                <w:rFonts w:hint="eastAsia" w:ascii="Times New Roman" w:hAnsi="Times New Roman" w:eastAsia="宋体" w:cs="Times New Roman"/>
                <w:color w:val="auto"/>
                <w:highlight w:val="none"/>
                <w:lang w:val="en-US" w:eastAsia="zh-CN"/>
              </w:rPr>
              <w:t>以上单项合同</w:t>
            </w:r>
            <w:r>
              <w:rPr>
                <w:rFonts w:hint="eastAsia"/>
                <w:color w:val="auto"/>
                <w:highlight w:val="none"/>
              </w:rPr>
              <w:t>金额以合同为准</w:t>
            </w:r>
            <w:r>
              <w:rPr>
                <w:rFonts w:hint="eastAsia"/>
                <w:color w:val="auto"/>
                <w:highlight w:val="none"/>
                <w:lang w:eastAsia="zh-CN"/>
              </w:rPr>
              <w:t>，</w:t>
            </w:r>
            <w:r>
              <w:rPr>
                <w:rFonts w:hint="eastAsia" w:ascii="宋体" w:hAnsi="宋体" w:eastAsia="宋体" w:cs="宋体"/>
                <w:color w:val="auto"/>
                <w:sz w:val="21"/>
                <w:szCs w:val="21"/>
                <w:highlight w:val="none"/>
              </w:rPr>
              <w:t>以上单项合同不重复计分，满分为</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bookmarkStart w:id="888" w:name="OLE_LINK10"/>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②业绩须提供</w:t>
            </w:r>
            <w:r>
              <w:rPr>
                <w:rFonts w:hint="eastAsia" w:ascii="宋体" w:hAnsi="宋体" w:cs="宋体"/>
                <w:color w:val="auto"/>
                <w:kern w:val="0"/>
                <w:szCs w:val="21"/>
                <w:highlight w:val="none"/>
                <w:lang w:bidi="ar"/>
              </w:rPr>
              <w:t>中标通知书（或免招标的相关证明）</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合同</w:t>
            </w:r>
            <w:r>
              <w:rPr>
                <w:rFonts w:hint="eastAsia" w:ascii="宋体" w:hAnsi="宋体" w:cs="宋体"/>
                <w:color w:val="auto"/>
                <w:sz w:val="21"/>
                <w:szCs w:val="21"/>
                <w:highlight w:val="none"/>
                <w:lang w:val="en-US" w:eastAsia="zh-CN"/>
              </w:rPr>
              <w:t>关键页</w:t>
            </w:r>
            <w:r>
              <w:rPr>
                <w:rFonts w:hint="eastAsia" w:ascii="宋体" w:hAnsi="宋体" w:cs="宋体"/>
                <w:color w:val="auto"/>
                <w:kern w:val="0"/>
                <w:szCs w:val="21"/>
                <w:highlight w:val="none"/>
                <w:lang w:bidi="ar"/>
              </w:rPr>
              <w:t>（提供合同协议书等能反映主要内容和合同双方签字盖章页即可）</w:t>
            </w:r>
            <w:r>
              <w:rPr>
                <w:rFonts w:hint="eastAsia" w:ascii="宋体" w:hAnsi="宋体" w:cs="宋体"/>
                <w:color w:val="auto"/>
                <w:sz w:val="21"/>
                <w:szCs w:val="21"/>
                <w:highlight w:val="none"/>
                <w:lang w:val="en-US" w:eastAsia="zh-CN"/>
              </w:rPr>
              <w:t>扫描</w:t>
            </w:r>
            <w:r>
              <w:rPr>
                <w:rFonts w:hint="eastAsia" w:ascii="宋体" w:hAnsi="宋体" w:eastAsia="宋体" w:cs="宋体"/>
                <w:color w:val="auto"/>
                <w:sz w:val="21"/>
                <w:szCs w:val="21"/>
                <w:highlight w:val="none"/>
              </w:rPr>
              <w:t>件</w:t>
            </w:r>
            <w:r>
              <w:rPr>
                <w:rFonts w:hint="eastAsia" w:ascii="宋体" w:hAnsi="宋体" w:cs="宋体"/>
                <w:color w:val="auto"/>
                <w:sz w:val="21"/>
                <w:szCs w:val="21"/>
                <w:highlight w:val="none"/>
                <w:lang w:val="en-US" w:eastAsia="zh-CN"/>
              </w:rPr>
              <w:t>并加盖投标人公章</w:t>
            </w:r>
            <w:bookmarkEnd w:id="888"/>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2" w:hRule="atLeast"/>
        </w:trPr>
        <w:tc>
          <w:tcPr>
            <w:tcW w:w="66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p>
        </w:tc>
        <w:tc>
          <w:tcPr>
            <w:tcW w:w="1064"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color w:val="auto"/>
                <w:szCs w:val="24"/>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业主评价</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tc>
        <w:tc>
          <w:tcPr>
            <w:tcW w:w="59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对</w:t>
            </w: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在</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年1月1日至本项目投标截止时间内</w:t>
            </w:r>
            <w:r>
              <w:rPr>
                <w:rFonts w:hint="eastAsia" w:ascii="宋体" w:hAnsi="宋体" w:cs="宋体"/>
                <w:color w:val="auto"/>
                <w:sz w:val="21"/>
                <w:szCs w:val="21"/>
                <w:highlight w:val="none"/>
                <w:lang w:eastAsia="zh-CN"/>
              </w:rPr>
              <w:t>，承担的</w:t>
            </w:r>
            <w:r>
              <w:rPr>
                <w:rFonts w:hint="eastAsia" w:ascii="宋体" w:hAnsi="宋体" w:eastAsia="宋体" w:cs="宋体"/>
                <w:color w:val="auto"/>
                <w:sz w:val="21"/>
                <w:szCs w:val="21"/>
                <w:highlight w:val="none"/>
              </w:rPr>
              <w:t>工程</w:t>
            </w:r>
            <w:r>
              <w:rPr>
                <w:rFonts w:hint="eastAsia" w:ascii="宋体" w:hAnsi="宋体" w:cs="宋体"/>
                <w:color w:val="auto"/>
                <w:sz w:val="21"/>
                <w:szCs w:val="21"/>
                <w:highlight w:val="none"/>
                <w:lang w:val="en-US" w:eastAsia="zh-CN"/>
              </w:rPr>
              <w:t>类</w:t>
            </w:r>
            <w:r>
              <w:rPr>
                <w:rFonts w:hint="eastAsia" w:ascii="宋体" w:hAnsi="宋体" w:eastAsia="宋体" w:cs="宋体"/>
                <w:color w:val="auto"/>
                <w:sz w:val="21"/>
                <w:szCs w:val="21"/>
                <w:highlight w:val="none"/>
              </w:rPr>
              <w:t>监测</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lang w:eastAsia="zh-CN"/>
              </w:rPr>
              <w:t>得到的甲方服务评价进行评分，</w:t>
            </w:r>
            <w:r>
              <w:rPr>
                <w:rFonts w:hint="eastAsia" w:ascii="宋体" w:hAnsi="宋体" w:cs="宋体"/>
                <w:color w:val="auto"/>
                <w:sz w:val="21"/>
                <w:szCs w:val="21"/>
                <w:highlight w:val="none"/>
                <w:lang w:val="en-US" w:eastAsia="zh-CN"/>
              </w:rPr>
              <w:t>每</w:t>
            </w:r>
            <w:r>
              <w:rPr>
                <w:rFonts w:hint="eastAsia" w:ascii="宋体" w:hAnsi="宋体" w:cs="宋体"/>
                <w:color w:val="auto"/>
                <w:sz w:val="21"/>
                <w:szCs w:val="21"/>
                <w:highlight w:val="none"/>
                <w:lang w:eastAsia="zh-CN"/>
              </w:rPr>
              <w:t>提供</w:t>
            </w:r>
            <w:r>
              <w:rPr>
                <w:rFonts w:hint="eastAsia" w:ascii="宋体" w:hAnsi="宋体" w:cs="宋体"/>
                <w:color w:val="auto"/>
                <w:sz w:val="21"/>
                <w:szCs w:val="21"/>
                <w:highlight w:val="none"/>
                <w:lang w:val="en-US" w:eastAsia="zh-CN"/>
              </w:rPr>
              <w:t>1份甲方通报表扬或评价为优秀，每提供1份得1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不提供，得0分。</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eastAsia="zh-CN"/>
              </w:rPr>
              <w:t>同一项目多次获得</w:t>
            </w:r>
            <w:r>
              <w:rPr>
                <w:rFonts w:hint="eastAsia" w:ascii="宋体" w:hAnsi="宋体" w:cs="宋体"/>
                <w:color w:val="auto"/>
                <w:sz w:val="21"/>
                <w:szCs w:val="21"/>
                <w:highlight w:val="none"/>
                <w:lang w:val="en-US" w:eastAsia="zh-CN"/>
              </w:rPr>
              <w:t>通报表扬或评价为优秀，按1次计，本项满分为2分；</w:t>
            </w:r>
            <w:r>
              <w:rPr>
                <w:rFonts w:hint="eastAsia" w:ascii="宋体" w:hAnsi="宋体" w:eastAsia="宋体" w:cs="宋体"/>
                <w:color w:val="auto"/>
                <w:sz w:val="21"/>
                <w:szCs w:val="21"/>
                <w:highlight w:val="none"/>
              </w:rPr>
              <w:t>②</w:t>
            </w:r>
            <w:r>
              <w:rPr>
                <w:rFonts w:hint="eastAsia" w:ascii="宋体" w:hAnsi="宋体" w:cs="宋体"/>
                <w:color w:val="auto"/>
                <w:sz w:val="21"/>
                <w:szCs w:val="21"/>
                <w:highlight w:val="none"/>
                <w:lang w:val="en-US" w:eastAsia="zh-CN"/>
              </w:rPr>
              <w:t>须</w:t>
            </w:r>
            <w:r>
              <w:rPr>
                <w:rFonts w:hint="eastAsia" w:ascii="宋体" w:hAnsi="宋体" w:cs="宋体"/>
                <w:color w:val="auto"/>
                <w:sz w:val="21"/>
                <w:szCs w:val="21"/>
                <w:highlight w:val="none"/>
                <w:lang w:eastAsia="zh-CN"/>
              </w:rPr>
              <w:t>提供</w:t>
            </w:r>
            <w:r>
              <w:rPr>
                <w:rFonts w:hint="eastAsia" w:ascii="宋体" w:hAnsi="宋体" w:cs="宋体"/>
                <w:color w:val="auto"/>
                <w:sz w:val="21"/>
                <w:szCs w:val="21"/>
                <w:highlight w:val="none"/>
                <w:lang w:val="en-US" w:eastAsia="zh-CN"/>
              </w:rPr>
              <w:t>有甲方盖章的</w:t>
            </w:r>
            <w:r>
              <w:rPr>
                <w:rFonts w:hint="eastAsia" w:ascii="宋体" w:hAnsi="宋体" w:cs="宋体"/>
                <w:color w:val="auto"/>
                <w:sz w:val="21"/>
                <w:szCs w:val="21"/>
                <w:highlight w:val="none"/>
                <w:lang w:eastAsia="zh-CN"/>
              </w:rPr>
              <w:t>通报表扬或评价证明材料</w:t>
            </w:r>
            <w:r>
              <w:rPr>
                <w:rFonts w:hint="eastAsia" w:ascii="宋体" w:hAnsi="宋体" w:cs="宋体"/>
                <w:color w:val="auto"/>
                <w:kern w:val="0"/>
                <w:szCs w:val="21"/>
                <w:highlight w:val="none"/>
                <w:lang w:bidi="ar"/>
              </w:rPr>
              <w:t>扫描件</w:t>
            </w:r>
            <w:r>
              <w:rPr>
                <w:rFonts w:hint="eastAsia" w:ascii="宋体" w:hAnsi="宋体" w:cs="宋体"/>
                <w:color w:val="auto"/>
                <w:sz w:val="21"/>
                <w:szCs w:val="21"/>
                <w:highlight w:val="none"/>
                <w:lang w:val="en-US" w:eastAsia="zh-CN"/>
              </w:rPr>
              <w:t>并加盖投标人公章</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2" w:hRule="atLeast"/>
        </w:trPr>
        <w:tc>
          <w:tcPr>
            <w:tcW w:w="66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p>
        </w:tc>
        <w:tc>
          <w:tcPr>
            <w:tcW w:w="1064"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color w:val="auto"/>
                <w:szCs w:val="24"/>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项目荣誉</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tc>
        <w:tc>
          <w:tcPr>
            <w:tcW w:w="592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ascii="宋体" w:hAnsi="宋体" w:cs="宋体"/>
                <w:color w:val="auto"/>
                <w:szCs w:val="21"/>
                <w:highlight w:val="none"/>
              </w:rPr>
            </w:pPr>
            <w:r>
              <w:rPr>
                <w:rFonts w:hint="eastAsia" w:ascii="宋体" w:hAnsi="宋体" w:cs="宋体"/>
                <w:color w:val="auto"/>
                <w:szCs w:val="21"/>
                <w:highlight w:val="none"/>
              </w:rPr>
              <w:t>投标人自202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年1月1日至</w:t>
            </w:r>
            <w:r>
              <w:rPr>
                <w:rFonts w:hint="eastAsia" w:ascii="宋体" w:hAnsi="宋体" w:eastAsia="宋体" w:cs="宋体"/>
                <w:color w:val="auto"/>
                <w:sz w:val="21"/>
                <w:szCs w:val="21"/>
                <w:highlight w:val="none"/>
              </w:rPr>
              <w:t>本项目投标截止时间内</w:t>
            </w:r>
            <w:r>
              <w:rPr>
                <w:rFonts w:hint="eastAsia" w:ascii="宋体" w:hAnsi="宋体" w:cs="宋体"/>
                <w:color w:val="auto"/>
                <w:szCs w:val="21"/>
                <w:highlight w:val="none"/>
                <w:lang w:val="en-US" w:eastAsia="zh-CN"/>
              </w:rPr>
              <w:t>完成的项目</w:t>
            </w:r>
            <w:r>
              <w:rPr>
                <w:rFonts w:hint="eastAsia" w:ascii="宋体" w:hAnsi="宋体" w:eastAsia="宋体" w:cs="宋体"/>
                <w:color w:val="auto"/>
                <w:sz w:val="21"/>
                <w:szCs w:val="21"/>
                <w:highlight w:val="none"/>
              </w:rPr>
              <w:t>（以</w:t>
            </w:r>
            <w:r>
              <w:rPr>
                <w:rFonts w:hint="eastAsia" w:ascii="宋体" w:hAnsi="宋体" w:cs="宋体"/>
                <w:color w:val="auto"/>
                <w:szCs w:val="21"/>
                <w:highlight w:val="none"/>
              </w:rPr>
              <w:t>奖项落款时间</w:t>
            </w:r>
            <w:r>
              <w:rPr>
                <w:rFonts w:hint="eastAsia" w:ascii="宋体" w:hAnsi="宋体" w:cs="宋体"/>
                <w:color w:val="auto"/>
                <w:sz w:val="21"/>
                <w:szCs w:val="21"/>
                <w:highlight w:val="none"/>
                <w:lang w:val="en-US" w:eastAsia="zh-CN"/>
              </w:rPr>
              <w:t>或网上公示时间</w:t>
            </w:r>
            <w:r>
              <w:rPr>
                <w:rFonts w:hint="eastAsia" w:ascii="宋体" w:hAnsi="宋体" w:eastAsia="宋体" w:cs="宋体"/>
                <w:color w:val="auto"/>
                <w:sz w:val="21"/>
                <w:szCs w:val="21"/>
                <w:highlight w:val="none"/>
              </w:rPr>
              <w:t>为准）</w:t>
            </w:r>
            <w:r>
              <w:rPr>
                <w:rFonts w:hint="eastAsia" w:ascii="宋体" w:hAnsi="宋体" w:cs="宋体"/>
                <w:color w:val="auto"/>
                <w:szCs w:val="21"/>
                <w:highlight w:val="none"/>
              </w:rPr>
              <w:t>获得</w:t>
            </w:r>
            <w:r>
              <w:rPr>
                <w:rFonts w:hint="eastAsia" w:ascii="宋体" w:hAnsi="宋体" w:cs="宋体"/>
                <w:color w:val="auto"/>
                <w:szCs w:val="21"/>
                <w:highlight w:val="none"/>
                <w:lang w:val="en-US" w:eastAsia="zh-CN"/>
              </w:rPr>
              <w:t>监测/勘察/测绘类</w:t>
            </w:r>
            <w:r>
              <w:rPr>
                <w:rFonts w:hint="eastAsia" w:ascii="宋体" w:hAnsi="宋体" w:cs="宋体"/>
                <w:color w:val="auto"/>
                <w:szCs w:val="21"/>
                <w:highlight w:val="none"/>
              </w:rPr>
              <w:t>奖项的</w:t>
            </w:r>
            <w:r>
              <w:rPr>
                <w:rFonts w:hint="eastAsia" w:ascii="宋体" w:hAnsi="宋体" w:cs="宋体"/>
                <w:color w:val="auto"/>
                <w:szCs w:val="21"/>
                <w:highlight w:val="none"/>
                <w:lang w:eastAsia="zh-CN"/>
              </w:rPr>
              <w:t>，</w:t>
            </w:r>
            <w:r>
              <w:rPr>
                <w:rFonts w:hint="eastAsia" w:ascii="宋体" w:hAnsi="宋体" w:cs="宋体"/>
                <w:color w:val="auto"/>
                <w:szCs w:val="21"/>
                <w:highlight w:val="none"/>
              </w:rPr>
              <w:t>每</w:t>
            </w:r>
            <w:r>
              <w:rPr>
                <w:rFonts w:hint="eastAsia" w:ascii="宋体" w:hAnsi="宋体" w:cs="宋体"/>
                <w:color w:val="auto"/>
                <w:szCs w:val="21"/>
                <w:highlight w:val="none"/>
                <w:lang w:val="en-US" w:eastAsia="zh-CN"/>
              </w:rPr>
              <w:t>个</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color w:val="auto"/>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①</w:t>
            </w:r>
            <w:r>
              <w:rPr>
                <w:rFonts w:hint="eastAsia" w:ascii="宋体" w:hAnsi="宋体" w:cs="宋体"/>
                <w:color w:val="auto"/>
                <w:szCs w:val="21"/>
                <w:highlight w:val="none"/>
              </w:rPr>
              <w:t>同一项目获得多个奖项时</w:t>
            </w:r>
            <w:r>
              <w:rPr>
                <w:rFonts w:hint="eastAsia" w:ascii="宋体" w:hAnsi="宋体" w:eastAsia="宋体" w:cs="宋体"/>
                <w:color w:val="auto"/>
                <w:sz w:val="21"/>
                <w:szCs w:val="21"/>
                <w:highlight w:val="none"/>
              </w:rPr>
              <w:t>不重复计分，满分为</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②</w:t>
            </w:r>
            <w:r>
              <w:rPr>
                <w:rFonts w:hint="eastAsia" w:ascii="宋体" w:hAnsi="宋体" w:cs="宋体"/>
                <w:color w:val="auto"/>
                <w:sz w:val="21"/>
                <w:szCs w:val="21"/>
                <w:highlight w:val="none"/>
                <w:lang w:val="en-US" w:eastAsia="zh-CN"/>
              </w:rPr>
              <w:t>奖项由地级市或以上</w:t>
            </w:r>
            <w:r>
              <w:rPr>
                <w:rFonts w:hint="eastAsia" w:ascii="宋体" w:hAnsi="宋体" w:cs="宋体"/>
                <w:color w:val="auto"/>
                <w:szCs w:val="21"/>
                <w:highlight w:val="none"/>
              </w:rPr>
              <w:t>主管部门或行</w:t>
            </w:r>
            <w:r>
              <w:rPr>
                <w:rFonts w:hint="eastAsia" w:ascii="宋体" w:hAnsi="宋体" w:eastAsia="宋体" w:cs="宋体"/>
                <w:color w:val="auto"/>
                <w:sz w:val="21"/>
                <w:szCs w:val="21"/>
                <w:highlight w:val="none"/>
              </w:rPr>
              <w:t>业协会颁发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获奖证书</w:t>
            </w:r>
            <w:r>
              <w:rPr>
                <w:rFonts w:hint="eastAsia" w:ascii="宋体" w:hAnsi="宋体" w:cs="宋体"/>
                <w:color w:val="auto"/>
                <w:kern w:val="0"/>
                <w:szCs w:val="21"/>
                <w:highlight w:val="none"/>
                <w:lang w:bidi="ar"/>
              </w:rPr>
              <w:t>扫描件</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网上公示获奖页面截图凭证</w:t>
            </w:r>
            <w:r>
              <w:rPr>
                <w:rFonts w:hint="eastAsia" w:ascii="宋体" w:hAnsi="宋体" w:cs="宋体"/>
                <w:color w:val="auto"/>
                <w:sz w:val="21"/>
                <w:szCs w:val="21"/>
                <w:highlight w:val="none"/>
                <w:lang w:val="en-US" w:eastAsia="zh-CN"/>
              </w:rPr>
              <w:t>并加盖投标人公章</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不提供不得分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0"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2.2.4</w:t>
            </w:r>
            <w:r>
              <w:rPr>
                <w:rFonts w:hint="eastAsia"/>
                <w:color w:val="auto"/>
                <w:szCs w:val="24"/>
                <w:highlight w:val="none"/>
              </w:rPr>
              <w:t>（</w:t>
            </w:r>
            <w:r>
              <w:rPr>
                <w:rFonts w:hint="eastAsia"/>
                <w:color w:val="auto"/>
                <w:szCs w:val="24"/>
                <w:highlight w:val="none"/>
                <w:lang w:val="en-US" w:eastAsia="zh-CN"/>
              </w:rPr>
              <w:t>2</w:t>
            </w:r>
            <w:r>
              <w:rPr>
                <w:rFonts w:hint="eastAsia"/>
                <w:color w:val="auto"/>
                <w:szCs w:val="24"/>
                <w:highlight w:val="none"/>
              </w:rPr>
              <w:t>）</w:t>
            </w:r>
          </w:p>
        </w:tc>
        <w:tc>
          <w:tcPr>
            <w:tcW w:w="106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color w:val="auto"/>
                <w:szCs w:val="24"/>
                <w:highlight w:val="none"/>
                <w:lang w:eastAsia="zh-CN"/>
              </w:rPr>
            </w:pPr>
            <w:bookmarkStart w:id="889" w:name="OLE_LINK20"/>
            <w:r>
              <w:rPr>
                <w:rFonts w:hint="eastAsia"/>
                <w:color w:val="auto"/>
                <w:szCs w:val="24"/>
                <w:highlight w:val="none"/>
                <w:lang w:eastAsia="zh-CN"/>
              </w:rPr>
              <w:t>技术</w:t>
            </w:r>
          </w:p>
          <w:p>
            <w:pPr>
              <w:keepNext w:val="0"/>
              <w:keepLines w:val="0"/>
              <w:suppressLineNumbers w:val="0"/>
              <w:spacing w:before="0" w:beforeAutospacing="0" w:after="0" w:afterAutospacing="0" w:line="440" w:lineRule="exact"/>
              <w:ind w:left="0" w:right="0"/>
              <w:jc w:val="center"/>
              <w:rPr>
                <w:rFonts w:hint="eastAsia"/>
                <w:color w:val="auto"/>
                <w:szCs w:val="24"/>
                <w:highlight w:val="none"/>
              </w:rPr>
            </w:pPr>
            <w:r>
              <w:rPr>
                <w:rFonts w:hint="eastAsia"/>
                <w:color w:val="auto"/>
                <w:szCs w:val="24"/>
                <w:highlight w:val="none"/>
              </w:rPr>
              <w:t>评分</w:t>
            </w:r>
            <w:bookmarkEnd w:id="889"/>
            <w:r>
              <w:rPr>
                <w:rFonts w:hint="eastAsia"/>
                <w:color w:val="auto"/>
                <w:szCs w:val="24"/>
                <w:highlight w:val="none"/>
              </w:rPr>
              <w:t>标准</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监测技术方案</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center"/>
              <w:rPr>
                <w:rFonts w:hint="default" w:ascii="Times New Roman" w:hAnsi="Times New Roman"/>
                <w:color w:val="auto"/>
                <w:szCs w:val="24"/>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tc>
        <w:tc>
          <w:tcPr>
            <w:tcW w:w="59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（1）优：</w:t>
            </w:r>
            <w:r>
              <w:rPr>
                <w:rFonts w:hint="eastAsia" w:ascii="宋体" w:hAnsi="宋体" w:eastAsia="宋体" w:cs="宋体"/>
                <w:color w:val="auto"/>
                <w:sz w:val="21"/>
                <w:szCs w:val="21"/>
                <w:highlight w:val="none"/>
                <w:lang w:val="en-US" w:eastAsia="zh-CN"/>
              </w:rPr>
              <w:t>技术方案论述合理，内容</w:t>
            </w:r>
            <w:r>
              <w:rPr>
                <w:rFonts w:hint="eastAsia" w:ascii="宋体" w:hAnsi="宋体" w:cs="宋体"/>
                <w:color w:val="auto"/>
                <w:sz w:val="21"/>
                <w:szCs w:val="21"/>
                <w:highlight w:val="none"/>
                <w:lang w:val="en-US" w:eastAsia="zh-CN"/>
              </w:rPr>
              <w:t>完整</w:t>
            </w:r>
            <w:r>
              <w:rPr>
                <w:rFonts w:hint="eastAsia" w:ascii="宋体" w:hAnsi="宋体" w:eastAsia="宋体" w:cs="宋体"/>
                <w:color w:val="auto"/>
                <w:sz w:val="21"/>
                <w:szCs w:val="21"/>
                <w:highlight w:val="none"/>
                <w:lang w:val="en-US" w:eastAsia="zh-CN"/>
              </w:rPr>
              <w:t>详细，可实施性强</w:t>
            </w:r>
            <w:r>
              <w:rPr>
                <w:rFonts w:hint="eastAsia" w:ascii="宋体" w:hAnsi="宋体" w:cs="宋体"/>
                <w:color w:val="auto"/>
                <w:sz w:val="21"/>
                <w:szCs w:val="21"/>
                <w:highlight w:val="none"/>
                <w:lang w:val="en-US" w:eastAsia="zh-CN"/>
              </w:rPr>
              <w:t>，重难</w:t>
            </w:r>
            <w:r>
              <w:rPr>
                <w:rFonts w:hint="eastAsia" w:ascii="宋体" w:hAnsi="宋体" w:eastAsia="宋体" w:cs="宋体"/>
                <w:color w:val="auto"/>
                <w:sz w:val="21"/>
                <w:szCs w:val="21"/>
                <w:highlight w:val="none"/>
                <w:lang w:val="en-US" w:eastAsia="zh-CN"/>
              </w:rPr>
              <w:t>点</w:t>
            </w:r>
            <w:r>
              <w:rPr>
                <w:rFonts w:hint="eastAsia" w:ascii="宋体" w:hAnsi="宋体" w:cs="宋体"/>
                <w:color w:val="auto"/>
                <w:sz w:val="21"/>
                <w:szCs w:val="21"/>
                <w:highlight w:val="none"/>
                <w:lang w:val="en-US" w:eastAsia="zh-CN"/>
              </w:rPr>
              <w:t>分析到位</w:t>
            </w:r>
            <w:r>
              <w:rPr>
                <w:rFonts w:hint="eastAsia" w:ascii="宋体" w:hAnsi="宋体" w:eastAsia="宋体" w:cs="宋体"/>
                <w:color w:val="auto"/>
                <w:sz w:val="21"/>
                <w:szCs w:val="21"/>
                <w:highlight w:val="none"/>
                <w:lang w:val="en-US" w:eastAsia="zh-CN"/>
              </w:rPr>
              <w:t>，执行规范与标准完全符合项目需求，监测方法、频率、质量控制措施等描述清晰，得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ascii="宋体" w:hAnsi="宋体" w:cs="宋体"/>
                <w:color w:val="auto"/>
                <w:sz w:val="21"/>
                <w:szCs w:val="21"/>
                <w:highlight w:val="none"/>
                <w:lang w:val="en-US" w:eastAsia="zh-CN"/>
              </w:rPr>
            </w:pPr>
            <w:r>
              <w:rPr>
                <w:rFonts w:hint="eastAsia" w:ascii="宋体" w:hAnsi="宋体" w:cs="宋体"/>
                <w:color w:val="auto"/>
                <w:szCs w:val="21"/>
                <w:highlight w:val="none"/>
              </w:rPr>
              <w:t>（2）良：</w:t>
            </w:r>
            <w:r>
              <w:rPr>
                <w:rFonts w:hint="eastAsia" w:ascii="宋体" w:hAnsi="宋体" w:eastAsia="宋体" w:cs="宋体"/>
                <w:color w:val="auto"/>
                <w:sz w:val="21"/>
                <w:szCs w:val="21"/>
                <w:highlight w:val="none"/>
                <w:lang w:val="en-US" w:eastAsia="zh-CN"/>
              </w:rPr>
              <w:t>技术方案基本合理，内容较详细，可实施性强</w:t>
            </w:r>
            <w:r>
              <w:rPr>
                <w:rFonts w:hint="eastAsia" w:ascii="宋体" w:hAnsi="宋体" w:cs="宋体"/>
                <w:color w:val="auto"/>
                <w:sz w:val="21"/>
                <w:szCs w:val="21"/>
                <w:highlight w:val="none"/>
                <w:lang w:val="en-US" w:eastAsia="zh-CN"/>
              </w:rPr>
              <w:t>，有重难</w:t>
            </w:r>
            <w:r>
              <w:rPr>
                <w:rFonts w:hint="eastAsia" w:ascii="宋体" w:hAnsi="宋体" w:eastAsia="宋体" w:cs="宋体"/>
                <w:color w:val="auto"/>
                <w:sz w:val="21"/>
                <w:szCs w:val="21"/>
                <w:highlight w:val="none"/>
                <w:lang w:val="en-US" w:eastAsia="zh-CN"/>
              </w:rPr>
              <w:t>点</w:t>
            </w:r>
            <w:r>
              <w:rPr>
                <w:rFonts w:hint="eastAsia" w:ascii="宋体" w:hAnsi="宋体" w:cs="宋体"/>
                <w:color w:val="auto"/>
                <w:sz w:val="21"/>
                <w:szCs w:val="21"/>
                <w:highlight w:val="none"/>
                <w:lang w:val="en-US" w:eastAsia="zh-CN"/>
              </w:rPr>
              <w:t>分析</w:t>
            </w:r>
            <w:r>
              <w:rPr>
                <w:rFonts w:hint="eastAsia" w:ascii="宋体" w:hAnsi="宋体" w:eastAsia="宋体" w:cs="宋体"/>
                <w:color w:val="auto"/>
                <w:sz w:val="21"/>
                <w:szCs w:val="21"/>
                <w:highlight w:val="none"/>
                <w:lang w:val="en-US" w:eastAsia="zh-CN"/>
              </w:rPr>
              <w:t>，执行规范与标准符合项目需求，监测方法、频率、质量控制措施等描述清晰，得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pPr>
              <w:pStyle w:val="52"/>
              <w:keepNext w:val="0"/>
              <w:keepLines w:val="0"/>
              <w:suppressLineNumbers w:val="0"/>
              <w:spacing w:before="0" w:beforeAutospacing="0" w:after="0" w:afterAutospacing="0"/>
              <w:ind w:left="0" w:leftChars="0" w:right="0" w:firstLine="0" w:firstLineChars="0"/>
              <w:rPr>
                <w:rFonts w:hint="eastAsia"/>
                <w:color w:val="auto"/>
                <w:highlight w:val="none"/>
                <w:lang w:val="en-US" w:eastAsia="zh-CN"/>
              </w:rPr>
            </w:pPr>
            <w:r>
              <w:rPr>
                <w:rFonts w:hint="eastAsia" w:ascii="宋体" w:hAnsi="宋体" w:cs="宋体"/>
                <w:color w:val="auto"/>
                <w:szCs w:val="21"/>
                <w:highlight w:val="none"/>
              </w:rPr>
              <w:t>（</w:t>
            </w:r>
            <w:r>
              <w:rPr>
                <w:rFonts w:hint="eastAsia" w:cs="宋体"/>
                <w:color w:val="auto"/>
                <w:szCs w:val="21"/>
                <w:highlight w:val="none"/>
                <w:lang w:val="en-US" w:eastAsia="zh-CN"/>
              </w:rPr>
              <w:t>3</w:t>
            </w:r>
            <w:r>
              <w:rPr>
                <w:rFonts w:hint="eastAsia" w:ascii="宋体" w:hAnsi="宋体" w:cs="宋体"/>
                <w:color w:val="auto"/>
                <w:szCs w:val="21"/>
                <w:highlight w:val="none"/>
              </w:rPr>
              <w:t>）</w:t>
            </w:r>
            <w:r>
              <w:rPr>
                <w:rFonts w:hint="eastAsia"/>
                <w:color w:val="auto"/>
                <w:highlight w:val="none"/>
                <w:lang w:val="en-US" w:eastAsia="zh-CN"/>
              </w:rPr>
              <w:t>一般</w:t>
            </w:r>
            <w:r>
              <w:rPr>
                <w:rFonts w:hint="eastAsia" w:ascii="宋体" w:hAnsi="宋体" w:cs="宋体"/>
                <w:color w:val="auto"/>
                <w:szCs w:val="21"/>
                <w:highlight w:val="none"/>
              </w:rPr>
              <w:t>：</w:t>
            </w:r>
            <w:r>
              <w:rPr>
                <w:rFonts w:hint="eastAsia" w:ascii="宋体" w:hAnsi="宋体" w:eastAsia="宋体" w:cs="宋体"/>
                <w:color w:val="auto"/>
                <w:sz w:val="21"/>
                <w:szCs w:val="21"/>
                <w:highlight w:val="none"/>
                <w:lang w:val="en-US" w:eastAsia="zh-CN"/>
              </w:rPr>
              <w:t>技术方案较合理，内容不够详细，可实施性不强</w:t>
            </w:r>
            <w:r>
              <w:rPr>
                <w:rFonts w:hint="eastAsia" w:ascii="宋体" w:hAnsi="宋体" w:cs="宋体"/>
                <w:color w:val="auto"/>
                <w:sz w:val="21"/>
                <w:szCs w:val="21"/>
                <w:highlight w:val="none"/>
                <w:lang w:val="en-US" w:eastAsia="zh-CN"/>
              </w:rPr>
              <w:t>，重难</w:t>
            </w:r>
            <w:r>
              <w:rPr>
                <w:rFonts w:hint="eastAsia" w:ascii="宋体" w:hAnsi="宋体" w:eastAsia="宋体" w:cs="宋体"/>
                <w:color w:val="auto"/>
                <w:sz w:val="21"/>
                <w:szCs w:val="21"/>
                <w:highlight w:val="none"/>
                <w:lang w:val="en-US" w:eastAsia="zh-CN"/>
              </w:rPr>
              <w:t>点</w:t>
            </w:r>
            <w:r>
              <w:rPr>
                <w:rFonts w:hint="eastAsia" w:ascii="宋体" w:hAnsi="宋体" w:cs="宋体"/>
                <w:color w:val="auto"/>
                <w:sz w:val="21"/>
                <w:szCs w:val="21"/>
                <w:highlight w:val="none"/>
                <w:lang w:val="en-US" w:eastAsia="zh-CN"/>
              </w:rPr>
              <w:t>分析不全</w:t>
            </w:r>
            <w:r>
              <w:rPr>
                <w:rFonts w:hint="eastAsia" w:ascii="宋体" w:hAnsi="宋体" w:eastAsia="宋体" w:cs="宋体"/>
                <w:color w:val="auto"/>
                <w:sz w:val="21"/>
                <w:szCs w:val="21"/>
                <w:highlight w:val="none"/>
                <w:lang w:val="en-US" w:eastAsia="zh-CN"/>
              </w:rPr>
              <w:t>，执行规范与标准基本符合项目需求，监测方法、频率、质量控制措施等描述不清晰，得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color w:val="auto"/>
                <w:szCs w:val="24"/>
                <w:highlight w:val="none"/>
              </w:rPr>
            </w:pPr>
            <w:r>
              <w:rPr>
                <w:rFonts w:hint="eastAsia" w:ascii="宋体" w:hAnsi="宋体" w:cs="宋体"/>
                <w:color w:val="auto"/>
                <w:sz w:val="21"/>
                <w:szCs w:val="21"/>
                <w:highlight w:val="none"/>
                <w:lang w:val="en-US" w:eastAsia="zh-CN"/>
              </w:rPr>
              <w:t>（4）</w:t>
            </w:r>
            <w:r>
              <w:rPr>
                <w:rFonts w:hint="eastAsia"/>
                <w:color w:val="auto"/>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p>
        </w:tc>
        <w:tc>
          <w:tcPr>
            <w:tcW w:w="106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color w:val="auto"/>
                <w:szCs w:val="24"/>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仪器设备</w:t>
            </w:r>
            <w:r>
              <w:rPr>
                <w:rFonts w:hint="eastAsia" w:ascii="宋体" w:hAnsi="宋体" w:cs="宋体"/>
                <w:color w:val="auto"/>
                <w:sz w:val="21"/>
                <w:szCs w:val="21"/>
                <w:highlight w:val="none"/>
                <w:lang w:val="en-US" w:eastAsia="zh-CN"/>
              </w:rPr>
              <w:t>配备</w:t>
            </w:r>
          </w:p>
          <w:p>
            <w:pPr>
              <w:pStyle w:val="52"/>
              <w:keepNext w:val="0"/>
              <w:keepLines w:val="0"/>
              <w:suppressLineNumbers w:val="0"/>
              <w:spacing w:before="0" w:beforeAutospacing="0" w:after="0" w:afterAutospacing="0"/>
              <w:ind w:left="0" w:right="0"/>
              <w:rPr>
                <w:rFonts w:hint="default"/>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tc>
        <w:tc>
          <w:tcPr>
            <w:tcW w:w="59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color w:val="auto"/>
                <w:highlight w:val="none"/>
                <w:lang w:val="en-US" w:eastAsia="zh-CN"/>
              </w:rPr>
            </w:pPr>
            <w:r>
              <w:rPr>
                <w:rFonts w:hint="eastAsia" w:ascii="宋体" w:hAnsi="宋体" w:cs="宋体"/>
                <w:color w:val="auto"/>
                <w:sz w:val="21"/>
                <w:szCs w:val="21"/>
                <w:highlight w:val="none"/>
                <w:lang w:val="en-US" w:eastAsia="zh-CN"/>
              </w:rPr>
              <w:t>（1）</w:t>
            </w:r>
            <w:r>
              <w:rPr>
                <w:rFonts w:hint="eastAsia"/>
                <w:color w:val="auto"/>
                <w:highlight w:val="none"/>
              </w:rPr>
              <w:t>设备齐全</w:t>
            </w:r>
            <w:r>
              <w:rPr>
                <w:rFonts w:hint="eastAsia"/>
                <w:color w:val="auto"/>
                <w:highlight w:val="none"/>
                <w:lang w:eastAsia="zh-CN"/>
              </w:rPr>
              <w:t>，优于用户需求书中设备要求</w:t>
            </w:r>
            <w:r>
              <w:rPr>
                <w:rFonts w:hint="eastAsia"/>
                <w:color w:val="auto"/>
                <w:highlight w:val="none"/>
              </w:rPr>
              <w:t>，满足监测和工期需要，年检合格</w:t>
            </w:r>
            <w:r>
              <w:rPr>
                <w:rFonts w:hint="eastAsia"/>
                <w:color w:val="auto"/>
                <w:highlight w:val="none"/>
                <w:lang w:eastAsia="zh-CN"/>
              </w:rPr>
              <w:t>，</w:t>
            </w:r>
            <w:r>
              <w:rPr>
                <w:rFonts w:hint="eastAsia"/>
                <w:color w:val="auto"/>
                <w:highlight w:val="none"/>
              </w:rPr>
              <w:t>得</w:t>
            </w:r>
            <w:r>
              <w:rPr>
                <w:rFonts w:hint="eastAsia"/>
                <w:color w:val="auto"/>
                <w:highlight w:val="none"/>
                <w:lang w:val="en-US" w:eastAsia="zh-CN"/>
              </w:rPr>
              <w:t>4</w:t>
            </w:r>
            <w:r>
              <w:rPr>
                <w:rFonts w:hint="eastAsia"/>
                <w:color w:val="auto"/>
                <w:highlight w:val="none"/>
              </w:rPr>
              <w:t>分</w:t>
            </w:r>
            <w:r>
              <w:rPr>
                <w:rFonts w:hint="eastAsia"/>
                <w:color w:val="auto"/>
                <w:highlight w:val="none"/>
                <w:lang w:val="en-US" w:eastAsia="zh-CN"/>
              </w:rPr>
              <w:t>；</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color w:val="auto"/>
                <w:highlight w:val="none"/>
                <w:lang w:val="en-US" w:eastAsia="zh-CN"/>
              </w:rPr>
            </w:pPr>
            <w:r>
              <w:rPr>
                <w:rFonts w:hint="eastAsia" w:ascii="宋体" w:hAnsi="宋体" w:cs="宋体"/>
                <w:color w:val="auto"/>
                <w:sz w:val="21"/>
                <w:szCs w:val="21"/>
                <w:highlight w:val="none"/>
                <w:lang w:val="en-US" w:eastAsia="zh-CN"/>
              </w:rPr>
              <w:t>（2）</w:t>
            </w:r>
            <w:r>
              <w:rPr>
                <w:rFonts w:hint="eastAsia"/>
                <w:color w:val="auto"/>
                <w:highlight w:val="none"/>
              </w:rPr>
              <w:t>设备齐全，</w:t>
            </w:r>
            <w:r>
              <w:rPr>
                <w:rFonts w:hint="eastAsia"/>
                <w:color w:val="auto"/>
                <w:highlight w:val="none"/>
                <w:lang w:eastAsia="zh-CN"/>
              </w:rPr>
              <w:t>基本</w:t>
            </w:r>
            <w:r>
              <w:rPr>
                <w:rFonts w:hint="eastAsia"/>
                <w:color w:val="auto"/>
                <w:highlight w:val="none"/>
              </w:rPr>
              <w:t>满足监测和工期需要</w:t>
            </w:r>
            <w:r>
              <w:rPr>
                <w:rFonts w:hint="eastAsia"/>
                <w:color w:val="auto"/>
                <w:highlight w:val="none"/>
                <w:lang w:eastAsia="zh-CN"/>
              </w:rPr>
              <w:t>，</w:t>
            </w:r>
            <w:r>
              <w:rPr>
                <w:rFonts w:hint="eastAsia"/>
                <w:color w:val="auto"/>
                <w:highlight w:val="none"/>
              </w:rPr>
              <w:t>设备年检合格，得</w:t>
            </w:r>
            <w:r>
              <w:rPr>
                <w:rFonts w:hint="eastAsia"/>
                <w:color w:val="auto"/>
                <w:highlight w:val="none"/>
                <w:lang w:val="en-US" w:eastAsia="zh-CN"/>
              </w:rPr>
              <w:t>2</w:t>
            </w:r>
            <w:r>
              <w:rPr>
                <w:rFonts w:hint="eastAsia"/>
                <w:color w:val="auto"/>
                <w:highlight w:val="none"/>
              </w:rPr>
              <w:t>分</w:t>
            </w:r>
            <w:r>
              <w:rPr>
                <w:rFonts w:hint="eastAsia"/>
                <w:color w:val="auto"/>
                <w:highlight w:val="none"/>
                <w:lang w:val="en-US" w:eastAsia="zh-CN"/>
              </w:rPr>
              <w:t>；</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color w:val="auto"/>
                <w:highlight w:val="none"/>
                <w:lang w:val="en-US" w:eastAsia="zh-CN"/>
              </w:rPr>
            </w:pPr>
            <w:r>
              <w:rPr>
                <w:rFonts w:hint="eastAsia" w:ascii="宋体" w:hAnsi="宋体" w:cs="宋体"/>
                <w:color w:val="auto"/>
                <w:sz w:val="21"/>
                <w:szCs w:val="21"/>
                <w:highlight w:val="none"/>
                <w:lang w:val="en-US" w:eastAsia="zh-CN"/>
              </w:rPr>
              <w:t>（3）</w:t>
            </w:r>
            <w:r>
              <w:rPr>
                <w:rFonts w:hint="eastAsia"/>
                <w:color w:val="auto"/>
                <w:highlight w:val="none"/>
                <w:lang w:val="en-US" w:eastAsia="zh-CN"/>
              </w:rPr>
              <w:t>其余不得分。</w:t>
            </w:r>
          </w:p>
          <w:p>
            <w:pPr>
              <w:pStyle w:val="52"/>
              <w:keepNext w:val="0"/>
              <w:keepLines w:val="0"/>
              <w:suppressLineNumbers w:val="0"/>
              <w:spacing w:before="0" w:beforeAutospacing="0" w:after="0" w:afterAutospacing="0"/>
              <w:ind w:left="0" w:leftChars="0" w:right="0" w:firstLine="0" w:firstLineChars="0"/>
              <w:rPr>
                <w:rFonts w:hint="default"/>
                <w:color w:val="auto"/>
                <w:highlight w:val="none"/>
                <w:lang w:val="en-US"/>
              </w:rPr>
            </w:pPr>
            <w:r>
              <w:rPr>
                <w:rFonts w:hint="eastAsia"/>
                <w:color w:val="auto"/>
                <w:highlight w:val="none"/>
                <w:lang w:val="en-US" w:eastAsia="zh-CN"/>
              </w:rPr>
              <w:t>注</w:t>
            </w:r>
            <w:r>
              <w:rPr>
                <w:rFonts w:hint="eastAsia"/>
                <w:b w:val="0"/>
                <w:bCs w:val="0"/>
                <w:color w:val="auto"/>
                <w:highlight w:val="none"/>
                <w:lang w:val="en-US" w:eastAsia="zh-CN"/>
              </w:rPr>
              <w:t>：</w:t>
            </w:r>
            <w:r>
              <w:rPr>
                <w:rFonts w:hint="eastAsia" w:ascii="宋体" w:hAnsi="宋体" w:cs="宋体"/>
                <w:b w:val="0"/>
                <w:bCs w:val="0"/>
                <w:color w:val="auto"/>
                <w:szCs w:val="21"/>
                <w:highlight w:val="none"/>
              </w:rPr>
              <w:t>须提供仪器检定（校准）证书</w:t>
            </w:r>
            <w:r>
              <w:rPr>
                <w:rFonts w:hint="eastAsia" w:cs="宋体"/>
                <w:b w:val="0"/>
                <w:bCs w:val="0"/>
                <w:color w:val="auto"/>
                <w:szCs w:val="21"/>
                <w:highlight w:val="none"/>
                <w:lang w:val="en-US" w:eastAsia="zh-CN"/>
              </w:rPr>
              <w:t>和仪器购买发票或租赁合同</w:t>
            </w:r>
            <w:r>
              <w:rPr>
                <w:rFonts w:hint="eastAsia" w:ascii="宋体" w:hAnsi="宋体" w:cs="宋体"/>
                <w:b w:val="0"/>
                <w:bCs w:val="0"/>
                <w:color w:val="auto"/>
                <w:szCs w:val="21"/>
                <w:highlight w:val="none"/>
              </w:rPr>
              <w:t>等有效证明资料清晰扫描件，</w:t>
            </w:r>
            <w:r>
              <w:rPr>
                <w:rFonts w:hint="eastAsia" w:ascii="宋体" w:hAnsi="宋体" w:cs="宋体"/>
                <w:b w:val="0"/>
                <w:bCs w:val="0"/>
                <w:color w:val="auto"/>
                <w:szCs w:val="21"/>
                <w:highlight w:val="none"/>
                <w:lang w:val="en-US" w:eastAsia="zh-CN"/>
              </w:rPr>
              <w:t>若</w:t>
            </w:r>
            <w:r>
              <w:rPr>
                <w:rFonts w:hint="eastAsia" w:cs="宋体"/>
                <w:b w:val="0"/>
                <w:bCs w:val="0"/>
                <w:color w:val="auto"/>
                <w:szCs w:val="21"/>
                <w:highlight w:val="none"/>
                <w:lang w:val="en-US" w:eastAsia="zh-CN"/>
              </w:rPr>
              <w:t>为</w:t>
            </w:r>
            <w:r>
              <w:rPr>
                <w:rFonts w:hint="eastAsia" w:ascii="宋体" w:hAnsi="宋体" w:cs="宋体"/>
                <w:b w:val="0"/>
                <w:bCs w:val="0"/>
                <w:color w:val="auto"/>
                <w:szCs w:val="21"/>
                <w:highlight w:val="none"/>
                <w:lang w:val="en-US" w:eastAsia="zh-CN"/>
              </w:rPr>
              <w:t>自有设备</w:t>
            </w:r>
            <w:r>
              <w:rPr>
                <w:rFonts w:hint="eastAsia" w:ascii="宋体" w:hAnsi="宋体" w:cs="宋体"/>
                <w:b w:val="0"/>
                <w:bCs w:val="0"/>
                <w:color w:val="auto"/>
                <w:szCs w:val="21"/>
                <w:highlight w:val="none"/>
              </w:rPr>
              <w:t>须提交设备购置发票的清晰扫描件</w:t>
            </w:r>
            <w:r>
              <w:rPr>
                <w:rFonts w:hint="eastAsia" w:cs="宋体"/>
                <w:b w:val="0"/>
                <w:bCs w:val="0"/>
                <w:color w:val="auto"/>
                <w:szCs w:val="21"/>
                <w:highlight w:val="none"/>
                <w:lang w:eastAsia="zh-CN"/>
              </w:rPr>
              <w:t>，</w:t>
            </w:r>
            <w:r>
              <w:rPr>
                <w:rFonts w:hint="eastAsia" w:cs="宋体"/>
                <w:b w:val="0"/>
                <w:bCs w:val="0"/>
                <w:color w:val="auto"/>
                <w:szCs w:val="21"/>
                <w:highlight w:val="none"/>
                <w:lang w:val="en-US" w:eastAsia="zh-CN"/>
              </w:rPr>
              <w:t>若为租赁设备</w:t>
            </w:r>
            <w:r>
              <w:rPr>
                <w:rFonts w:hint="eastAsia" w:ascii="宋体" w:hAnsi="宋体" w:cs="宋体"/>
                <w:b w:val="0"/>
                <w:bCs w:val="0"/>
                <w:color w:val="auto"/>
                <w:szCs w:val="21"/>
                <w:highlight w:val="none"/>
              </w:rPr>
              <w:t>须提</w:t>
            </w:r>
            <w:r>
              <w:rPr>
                <w:rFonts w:hint="eastAsia" w:ascii="宋体" w:hAnsi="宋体" w:cs="宋体"/>
                <w:b w:val="0"/>
                <w:bCs w:val="0"/>
                <w:color w:val="auto"/>
                <w:szCs w:val="21"/>
                <w:highlight w:val="none"/>
                <w:lang w:val="en-US" w:eastAsia="zh-CN"/>
              </w:rPr>
              <w:t>交</w:t>
            </w:r>
            <w:r>
              <w:rPr>
                <w:rFonts w:hint="eastAsia" w:cs="宋体"/>
                <w:b w:val="0"/>
                <w:bCs w:val="0"/>
                <w:color w:val="auto"/>
                <w:szCs w:val="21"/>
                <w:highlight w:val="none"/>
                <w:lang w:val="en-US" w:eastAsia="zh-CN"/>
              </w:rPr>
              <w:t>租赁合同扫描件</w:t>
            </w:r>
            <w:r>
              <w:rPr>
                <w:rFonts w:hint="eastAsia" w:ascii="宋体" w:hAnsi="宋体" w:cs="宋体"/>
                <w:b w:val="0"/>
                <w:bCs w:val="0"/>
                <w:color w:val="auto"/>
                <w:szCs w:val="21"/>
                <w:highlight w:val="none"/>
                <w:lang w:eastAsia="zh-CN"/>
              </w:rPr>
              <w:t>，</w:t>
            </w:r>
            <w:r>
              <w:rPr>
                <w:rFonts w:hint="eastAsia" w:ascii="宋体" w:hAnsi="宋体" w:cs="宋体"/>
                <w:b w:val="0"/>
                <w:bCs w:val="0"/>
                <w:color w:val="auto"/>
                <w:sz w:val="21"/>
                <w:szCs w:val="21"/>
                <w:highlight w:val="none"/>
                <w:lang w:val="en-US" w:eastAsia="zh-CN"/>
              </w:rPr>
              <w:t>并加盖投标人公章，</w:t>
            </w:r>
            <w:r>
              <w:rPr>
                <w:rFonts w:hint="eastAsia" w:ascii="宋体" w:hAnsi="宋体" w:cs="宋体"/>
                <w:b w:val="0"/>
                <w:bCs w:val="0"/>
                <w:color w:val="auto"/>
                <w:szCs w:val="21"/>
                <w:highlight w:val="none"/>
              </w:rPr>
              <w:t>否则不计分。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p>
        </w:tc>
        <w:tc>
          <w:tcPr>
            <w:tcW w:w="106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color w:val="auto"/>
                <w:szCs w:val="24"/>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应急预案</w:t>
            </w:r>
          </w:p>
          <w:p>
            <w:pPr>
              <w:pStyle w:val="52"/>
              <w:keepNext w:val="0"/>
              <w:keepLines w:val="0"/>
              <w:suppressLineNumbers w:val="0"/>
              <w:spacing w:before="0" w:beforeAutospacing="0" w:after="0" w:afterAutospacing="0"/>
              <w:ind w:left="0" w:right="0"/>
              <w:rPr>
                <w:rFonts w:hint="default"/>
                <w:color w:val="auto"/>
                <w:highlight w:val="none"/>
              </w:rPr>
            </w:pP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tc>
        <w:tc>
          <w:tcPr>
            <w:tcW w:w="59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（1）优：</w:t>
            </w:r>
            <w:r>
              <w:rPr>
                <w:rFonts w:hint="eastAsia" w:ascii="宋体" w:hAnsi="宋体" w:eastAsia="宋体" w:cs="宋体"/>
                <w:color w:val="auto"/>
                <w:sz w:val="21"/>
                <w:szCs w:val="21"/>
                <w:highlight w:val="none"/>
                <w:lang w:val="en-US" w:eastAsia="zh-CN"/>
              </w:rPr>
              <w:t>应急预案详细、可操作性强，能够有效应对各类突发情况，预警机制完善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信息反馈流程清晰</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良</w:t>
            </w:r>
            <w:r>
              <w:rPr>
                <w:rFonts w:hint="eastAsia" w:ascii="宋体" w:hAnsi="宋体" w:cs="宋体"/>
                <w:color w:val="auto"/>
                <w:szCs w:val="21"/>
                <w:highlight w:val="none"/>
              </w:rPr>
              <w:t>：</w:t>
            </w:r>
            <w:r>
              <w:rPr>
                <w:rFonts w:hint="eastAsia" w:ascii="宋体" w:hAnsi="宋体" w:eastAsia="宋体" w:cs="宋体"/>
                <w:color w:val="auto"/>
                <w:sz w:val="21"/>
                <w:szCs w:val="21"/>
                <w:highlight w:val="none"/>
                <w:lang w:val="en-US" w:eastAsia="zh-CN"/>
              </w:rPr>
              <w:t>应急预案基本可行，但部分细节不够完善，预警机制符合要求</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但信息反馈流程不够清晰</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color w:val="auto"/>
                <w:highlight w:val="none"/>
                <w:lang w:val="en-US" w:eastAsia="zh-CN"/>
              </w:rPr>
              <w:t>一般</w:t>
            </w:r>
            <w:r>
              <w:rPr>
                <w:rFonts w:hint="eastAsia" w:ascii="宋体" w:hAnsi="宋体" w:cs="宋体"/>
                <w:color w:val="auto"/>
                <w:szCs w:val="21"/>
                <w:highlight w:val="none"/>
              </w:rPr>
              <w:t>：</w:t>
            </w:r>
            <w:r>
              <w:rPr>
                <w:rFonts w:hint="eastAsia" w:ascii="宋体" w:hAnsi="宋体" w:eastAsia="宋体" w:cs="宋体"/>
                <w:color w:val="auto"/>
                <w:sz w:val="21"/>
                <w:szCs w:val="21"/>
                <w:highlight w:val="none"/>
                <w:lang w:val="en-US" w:eastAsia="zh-CN"/>
              </w:rPr>
              <w:t>应急预案可行性一般，细节不够完善，预警机制基本符合要求</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信息反馈流程不清晰</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color w:val="auto"/>
                <w:szCs w:val="24"/>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color w:val="auto"/>
                <w:szCs w:val="21"/>
                <w:highlight w:val="none"/>
              </w:rPr>
              <w:t>未提供对应方案不得分</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p>
        </w:tc>
        <w:tc>
          <w:tcPr>
            <w:tcW w:w="106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color w:val="auto"/>
                <w:szCs w:val="24"/>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项目进度计划</w:t>
            </w:r>
          </w:p>
          <w:p>
            <w:pPr>
              <w:pStyle w:val="52"/>
              <w:keepNext w:val="0"/>
              <w:keepLines w:val="0"/>
              <w:suppressLineNumbers w:val="0"/>
              <w:spacing w:before="0" w:beforeAutospacing="0" w:after="0" w:afterAutospacing="0"/>
              <w:ind w:left="0" w:right="0"/>
              <w:rPr>
                <w:rFonts w:hint="eastAsia"/>
                <w:color w:val="auto"/>
                <w:highlight w:val="none"/>
                <w:lang w:val="en-US" w:eastAsia="zh-CN"/>
              </w:rPr>
            </w:pP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default" w:ascii="Times New Roman" w:hAnsi="Times New Roman"/>
                <w:color w:val="auto"/>
                <w:szCs w:val="24"/>
                <w:highlight w:val="none"/>
              </w:rPr>
            </w:pPr>
          </w:p>
        </w:tc>
        <w:tc>
          <w:tcPr>
            <w:tcW w:w="59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color w:val="auto"/>
                <w:highlight w:val="none"/>
                <w:lang w:val="en-US" w:eastAsia="zh-CN"/>
              </w:rPr>
            </w:pPr>
            <w:r>
              <w:rPr>
                <w:rFonts w:hint="eastAsia"/>
                <w:color w:val="auto"/>
                <w:highlight w:val="none"/>
              </w:rPr>
              <w:t>（1）优：</w:t>
            </w:r>
            <w:r>
              <w:rPr>
                <w:rFonts w:hint="eastAsia"/>
                <w:color w:val="auto"/>
                <w:highlight w:val="none"/>
                <w:lang w:val="en-US" w:eastAsia="zh-CN"/>
              </w:rPr>
              <w:t>项目进度计划完整，保证项目如期完成措施完善，投入的人员、物质充足，人员资质及经验、能力水平高，得3分；</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良</w:t>
            </w:r>
            <w:r>
              <w:rPr>
                <w:rFonts w:hint="eastAsia"/>
                <w:color w:val="auto"/>
                <w:highlight w:val="none"/>
              </w:rPr>
              <w:t>：</w:t>
            </w:r>
            <w:r>
              <w:rPr>
                <w:rFonts w:hint="eastAsia"/>
                <w:color w:val="auto"/>
                <w:highlight w:val="none"/>
                <w:lang w:val="en-US" w:eastAsia="zh-CN"/>
              </w:rPr>
              <w:t>项目进度计划较完整，保证项目如期完成措施较完善，投入的人员、物质较充足，人员资质及经验、能力水平较高，得2分；</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一般</w:t>
            </w:r>
            <w:r>
              <w:rPr>
                <w:rFonts w:hint="eastAsia"/>
                <w:color w:val="auto"/>
                <w:highlight w:val="none"/>
              </w:rPr>
              <w:t>：</w:t>
            </w:r>
            <w:r>
              <w:rPr>
                <w:rFonts w:hint="eastAsia"/>
                <w:color w:val="auto"/>
                <w:highlight w:val="none"/>
                <w:lang w:val="en-US" w:eastAsia="zh-CN"/>
              </w:rPr>
              <w:t>项目进度计划不完整，保证项目如期完成措施不完善，投入的人员、物质不充足，人员资质及经验、能力水平低，得1分。</w:t>
            </w:r>
          </w:p>
          <w:p>
            <w:pPr>
              <w:pStyle w:val="14"/>
              <w:keepNext w:val="0"/>
              <w:keepLines w:val="0"/>
              <w:suppressLineNumbers w:val="0"/>
              <w:spacing w:beforeAutospacing="0" w:after="0" w:afterAutospacing="0"/>
              <w:ind w:left="0" w:right="0"/>
              <w:rPr>
                <w:rFonts w:hint="eastAsia" w:eastAsia="宋体"/>
                <w:color w:val="auto"/>
                <w:highlight w:val="none"/>
                <w:lang w:eastAsia="zh-CN"/>
              </w:rPr>
            </w:pPr>
            <w:r>
              <w:rPr>
                <w:rFonts w:hint="eastAsia" w:ascii="Times New Roman" w:hAnsi="Times New Roman" w:eastAsia="宋体" w:cs="Times New Roman"/>
                <w:color w:val="auto"/>
                <w:kern w:val="2"/>
                <w:sz w:val="21"/>
                <w:szCs w:val="22"/>
                <w:highlight w:val="none"/>
                <w:lang w:val="en-US" w:eastAsia="zh-CN" w:bidi="ar-SA"/>
              </w:rPr>
              <w:t>（4）未提供不得分。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p>
        </w:tc>
        <w:tc>
          <w:tcPr>
            <w:tcW w:w="106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color w:val="auto"/>
                <w:szCs w:val="24"/>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default" w:ascii="Times New Roman" w:hAnsi="Times New Roman"/>
                <w:color w:val="auto"/>
                <w:szCs w:val="24"/>
                <w:highlight w:val="none"/>
              </w:rPr>
            </w:pPr>
            <w:r>
              <w:rPr>
                <w:rFonts w:hint="eastAsia" w:ascii="宋体" w:hAnsi="宋体" w:eastAsia="宋体" w:cs="宋体"/>
                <w:color w:val="auto"/>
                <w:sz w:val="21"/>
                <w:szCs w:val="21"/>
                <w:highlight w:val="none"/>
              </w:rPr>
              <w:t>拟投入</w:t>
            </w:r>
            <w:r>
              <w:rPr>
                <w:rFonts w:hint="eastAsia" w:ascii="宋体" w:hAnsi="宋体" w:eastAsia="宋体" w:cs="宋体"/>
                <w:color w:val="auto"/>
                <w:sz w:val="21"/>
                <w:szCs w:val="21"/>
                <w:highlight w:val="none"/>
                <w:lang w:val="en-US" w:eastAsia="zh-CN"/>
              </w:rPr>
              <w:t>管理</w:t>
            </w:r>
            <w:r>
              <w:rPr>
                <w:rFonts w:hint="eastAsia" w:ascii="宋体" w:hAnsi="宋体" w:eastAsia="宋体" w:cs="宋体"/>
                <w:color w:val="auto"/>
                <w:sz w:val="21"/>
                <w:szCs w:val="21"/>
                <w:highlight w:val="none"/>
              </w:rPr>
              <w:t>人员情况</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分）</w:t>
            </w:r>
          </w:p>
        </w:tc>
        <w:tc>
          <w:tcPr>
            <w:tcW w:w="592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0" w:leftChars="0" w:right="0" w:right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对投标人拟投入管理人员情况进行评分：</w:t>
            </w:r>
          </w:p>
          <w:p>
            <w:pPr>
              <w:pStyle w:val="60"/>
              <w:keepNext w:val="0"/>
              <w:keepLines w:val="0"/>
              <w:numPr>
                <w:ilvl w:val="0"/>
                <w:numId w:val="0"/>
              </w:numPr>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Cs w:val="21"/>
                <w:highlight w:val="none"/>
              </w:rPr>
              <w:t>项目负责人</w:t>
            </w:r>
            <w:r>
              <w:rPr>
                <w:rFonts w:hint="eastAsia" w:ascii="宋体" w:hAnsi="宋体" w:eastAsia="宋体" w:cs="宋体"/>
                <w:color w:val="auto"/>
                <w:szCs w:val="21"/>
                <w:highlight w:val="none"/>
                <w:lang w:val="en-US" w:eastAsia="zh-CN"/>
              </w:rPr>
              <w:t>具有工程监测类</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负责人</w:t>
            </w:r>
            <w:r>
              <w:rPr>
                <w:rFonts w:hint="eastAsia" w:ascii="宋体" w:hAnsi="宋体" w:eastAsia="宋体" w:cs="宋体"/>
                <w:color w:val="auto"/>
                <w:szCs w:val="21"/>
                <w:highlight w:val="none"/>
                <w:lang w:val="en-US" w:eastAsia="zh-CN"/>
              </w:rPr>
              <w:t>业绩</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个</w:t>
            </w:r>
            <w:r>
              <w:rPr>
                <w:rFonts w:hint="eastAsia" w:ascii="宋体" w:hAnsi="宋体" w:eastAsia="宋体" w:cs="宋体"/>
                <w:color w:val="auto"/>
                <w:szCs w:val="21"/>
                <w:highlight w:val="none"/>
              </w:rPr>
              <w:t>及以上的，得2分；2~4</w:t>
            </w:r>
            <w:r>
              <w:rPr>
                <w:rFonts w:hint="eastAsia" w:ascii="宋体" w:hAnsi="宋体" w:eastAsia="宋体" w:cs="宋体"/>
                <w:color w:val="auto"/>
                <w:szCs w:val="21"/>
                <w:highlight w:val="none"/>
                <w:lang w:val="en-US" w:eastAsia="zh-CN"/>
              </w:rPr>
              <w:t>个的</w:t>
            </w:r>
            <w:r>
              <w:rPr>
                <w:rFonts w:hint="eastAsia" w:ascii="宋体" w:hAnsi="宋体" w:eastAsia="宋体" w:cs="宋体"/>
                <w:color w:val="auto"/>
                <w:szCs w:val="21"/>
                <w:highlight w:val="none"/>
              </w:rPr>
              <w:t>，得1分；其他情况得0分；本小项最高得2分。</w:t>
            </w:r>
          </w:p>
          <w:p>
            <w:pPr>
              <w:pStyle w:val="60"/>
              <w:keepNext w:val="0"/>
              <w:keepLines w:val="0"/>
              <w:numPr>
                <w:ilvl w:val="0"/>
                <w:numId w:val="0"/>
              </w:numPr>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Cs w:val="21"/>
                <w:highlight w:val="none"/>
              </w:rPr>
              <w:t>技术负责人</w:t>
            </w:r>
            <w:r>
              <w:rPr>
                <w:rFonts w:hint="eastAsia" w:ascii="宋体" w:hAnsi="宋体" w:eastAsia="宋体" w:cs="宋体"/>
                <w:color w:val="auto"/>
                <w:szCs w:val="21"/>
                <w:highlight w:val="none"/>
                <w:lang w:val="en-US" w:eastAsia="zh-CN"/>
              </w:rPr>
              <w:t>具有工程监测类</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负责人</w:t>
            </w:r>
            <w:r>
              <w:rPr>
                <w:rFonts w:hint="eastAsia" w:ascii="宋体" w:hAnsi="宋体" w:eastAsia="宋体" w:cs="宋体"/>
                <w:color w:val="auto"/>
                <w:szCs w:val="21"/>
                <w:highlight w:val="none"/>
                <w:lang w:val="en-US" w:eastAsia="zh-CN"/>
              </w:rPr>
              <w:t>业绩3个</w:t>
            </w:r>
            <w:r>
              <w:rPr>
                <w:rFonts w:hint="eastAsia" w:ascii="宋体" w:hAnsi="宋体" w:eastAsia="宋体" w:cs="宋体"/>
                <w:color w:val="auto"/>
                <w:szCs w:val="21"/>
                <w:highlight w:val="none"/>
              </w:rPr>
              <w:t>及以上的，得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2个的</w:t>
            </w:r>
            <w:r>
              <w:rPr>
                <w:rFonts w:hint="eastAsia" w:ascii="宋体" w:hAnsi="宋体" w:eastAsia="宋体" w:cs="宋体"/>
                <w:color w:val="auto"/>
                <w:szCs w:val="21"/>
                <w:highlight w:val="none"/>
              </w:rPr>
              <w:t>，得1分；其他情况得0分；本小项最高得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（3）岩土工程师具备岩土类专业高级（</w:t>
            </w:r>
            <w:r>
              <w:rPr>
                <w:rFonts w:hint="eastAsia" w:ascii="宋体" w:hAnsi="宋体" w:cs="宋体"/>
                <w:color w:val="auto"/>
                <w:sz w:val="21"/>
                <w:szCs w:val="21"/>
                <w:highlight w:val="none"/>
                <w:lang w:val="en-US" w:eastAsia="zh-CN"/>
              </w:rPr>
              <w:t>副高</w:t>
            </w:r>
            <w:r>
              <w:rPr>
                <w:rFonts w:hint="eastAsia" w:ascii="宋体" w:hAnsi="宋体" w:eastAsia="宋体" w:cs="宋体"/>
                <w:color w:val="auto"/>
                <w:sz w:val="21"/>
                <w:szCs w:val="21"/>
                <w:highlight w:val="none"/>
                <w:lang w:val="en-US" w:eastAsia="zh-CN"/>
              </w:rPr>
              <w:t>或以上）职称的，得1分，本小项最高得1分。</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（4）测量工程师具备测量类专业高级（</w:t>
            </w:r>
            <w:r>
              <w:rPr>
                <w:rFonts w:hint="eastAsia" w:ascii="宋体" w:hAnsi="宋体" w:cs="宋体"/>
                <w:color w:val="auto"/>
                <w:sz w:val="21"/>
                <w:szCs w:val="21"/>
                <w:highlight w:val="none"/>
                <w:lang w:val="en-US" w:eastAsia="zh-CN"/>
              </w:rPr>
              <w:t>副高</w:t>
            </w:r>
            <w:r>
              <w:rPr>
                <w:rFonts w:hint="eastAsia" w:ascii="宋体" w:hAnsi="宋体" w:eastAsia="宋体" w:cs="宋体"/>
                <w:color w:val="auto"/>
                <w:sz w:val="21"/>
                <w:szCs w:val="21"/>
                <w:highlight w:val="none"/>
                <w:lang w:val="en-US" w:eastAsia="zh-CN"/>
              </w:rPr>
              <w:t>或以上）职称的，每提供1个得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分，本小项最高得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0" w:leftChars="0" w:right="0" w:right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①</w:t>
            </w:r>
            <w:r>
              <w:rPr>
                <w:rFonts w:hint="eastAsia" w:ascii="宋体" w:hAnsi="宋体" w:eastAsia="宋体" w:cs="宋体"/>
                <w:color w:val="auto"/>
                <w:szCs w:val="21"/>
                <w:highlight w:val="none"/>
              </w:rPr>
              <w:t>本项最高得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rPr>
              <w:t>。</w:t>
            </w:r>
            <w:r>
              <w:rPr>
                <w:rFonts w:hint="eastAsia" w:ascii="宋体" w:hAnsi="宋体" w:eastAsia="宋体" w:cs="宋体"/>
                <w:color w:val="auto"/>
                <w:kern w:val="0"/>
                <w:sz w:val="21"/>
                <w:szCs w:val="21"/>
                <w:highlight w:val="none"/>
                <w:lang w:val="en-US" w:eastAsia="zh-CN" w:bidi="ar"/>
              </w:rPr>
              <w:t>同一人不重复计分</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②</w:t>
            </w:r>
            <w:r>
              <w:rPr>
                <w:rFonts w:hint="eastAsia" w:ascii="宋体" w:hAnsi="宋体" w:eastAsia="宋体" w:cs="宋体"/>
                <w:color w:val="auto"/>
                <w:szCs w:val="21"/>
                <w:highlight w:val="none"/>
              </w:rPr>
              <w:t>项目负责人</w:t>
            </w:r>
            <w:r>
              <w:rPr>
                <w:rFonts w:hint="eastAsia" w:ascii="宋体" w:hAnsi="宋体" w:eastAsia="宋体" w:cs="宋体"/>
                <w:color w:val="auto"/>
                <w:szCs w:val="21"/>
                <w:highlight w:val="none"/>
                <w:lang w:val="en-US" w:eastAsia="zh-CN"/>
              </w:rPr>
              <w:t>业绩是指在项目中担任</w:t>
            </w:r>
            <w:r>
              <w:rPr>
                <w:rFonts w:hint="eastAsia" w:ascii="宋体" w:hAnsi="宋体" w:eastAsia="宋体" w:cs="宋体"/>
                <w:color w:val="auto"/>
                <w:szCs w:val="21"/>
                <w:highlight w:val="none"/>
              </w:rPr>
              <w:t>项目负责人</w:t>
            </w:r>
            <w:r>
              <w:rPr>
                <w:rFonts w:hint="eastAsia" w:ascii="宋体" w:hAnsi="宋体" w:eastAsia="宋体" w:cs="宋体"/>
                <w:color w:val="auto"/>
                <w:szCs w:val="21"/>
                <w:highlight w:val="none"/>
                <w:lang w:val="en-US" w:eastAsia="zh-CN"/>
              </w:rPr>
              <w:t>或项目经理。</w:t>
            </w:r>
            <w:r>
              <w:rPr>
                <w:rFonts w:hint="eastAsia" w:ascii="宋体" w:hAnsi="宋体" w:eastAsia="宋体" w:cs="宋体"/>
                <w:color w:val="auto"/>
                <w:sz w:val="21"/>
                <w:szCs w:val="21"/>
                <w:highlight w:val="none"/>
              </w:rPr>
              <w:t>③</w:t>
            </w:r>
            <w:r>
              <w:rPr>
                <w:rFonts w:hint="eastAsia" w:ascii="宋体" w:hAnsi="宋体" w:eastAsia="宋体" w:cs="宋体"/>
                <w:color w:val="auto"/>
                <w:szCs w:val="21"/>
                <w:highlight w:val="none"/>
                <w:lang w:val="en-US" w:eastAsia="zh-CN"/>
              </w:rPr>
              <w:t>技术负责人业绩是指在项目中担任</w:t>
            </w:r>
            <w:r>
              <w:rPr>
                <w:rFonts w:hint="eastAsia" w:ascii="宋体" w:hAnsi="宋体" w:eastAsia="宋体" w:cs="宋体"/>
                <w:color w:val="auto"/>
                <w:szCs w:val="21"/>
                <w:highlight w:val="none"/>
              </w:rPr>
              <w:t>项目负责人</w:t>
            </w:r>
            <w:r>
              <w:rPr>
                <w:rFonts w:hint="eastAsia" w:ascii="宋体" w:hAnsi="宋体" w:eastAsia="宋体" w:cs="宋体"/>
                <w:color w:val="auto"/>
                <w:szCs w:val="21"/>
                <w:highlight w:val="none"/>
                <w:lang w:val="en-US" w:eastAsia="zh-CN"/>
              </w:rPr>
              <w:t>或项目经理或技术负责人。</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0" w:leftChars="0" w:right="0" w:right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业绩须提供</w:t>
            </w:r>
            <w:r>
              <w:rPr>
                <w:rFonts w:hint="eastAsia" w:ascii="宋体" w:hAnsi="宋体" w:cs="宋体"/>
                <w:color w:val="auto"/>
                <w:kern w:val="0"/>
                <w:szCs w:val="21"/>
                <w:highlight w:val="none"/>
                <w:lang w:bidi="ar"/>
              </w:rPr>
              <w:t>中标通知书（或免招标的相关证明）</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合同</w:t>
            </w:r>
            <w:r>
              <w:rPr>
                <w:rFonts w:hint="eastAsia" w:ascii="宋体" w:hAnsi="宋体" w:cs="宋体"/>
                <w:color w:val="auto"/>
                <w:sz w:val="21"/>
                <w:szCs w:val="21"/>
                <w:highlight w:val="none"/>
                <w:lang w:val="en-US" w:eastAsia="zh-CN"/>
              </w:rPr>
              <w:t>关键页</w:t>
            </w:r>
            <w:r>
              <w:rPr>
                <w:rFonts w:hint="eastAsia" w:ascii="宋体" w:hAnsi="宋体" w:cs="宋体"/>
                <w:color w:val="auto"/>
                <w:kern w:val="0"/>
                <w:szCs w:val="21"/>
                <w:highlight w:val="none"/>
                <w:lang w:bidi="ar"/>
              </w:rPr>
              <w:t>（提供合同协议书等能反映主要内容和合同双方签字盖章页即可）</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能体现担任项目负责人或技术负责人的相关证明材料并加盖投标人公章；</w:t>
            </w:r>
            <w:r>
              <w:rPr>
                <w:rFonts w:hint="eastAsia" w:ascii="宋体" w:hAnsi="宋体" w:eastAsia="宋体" w:cs="宋体"/>
                <w:color w:val="auto"/>
                <w:sz w:val="21"/>
                <w:szCs w:val="21"/>
                <w:highlight w:val="none"/>
                <w:lang w:val="en-US" w:eastAsia="zh-CN"/>
              </w:rPr>
              <w:t>须提供相对应人员的职称证书等扫描件并加盖投标人公章，不提供不得分。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p>
        </w:tc>
        <w:tc>
          <w:tcPr>
            <w:tcW w:w="106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color w:val="auto"/>
                <w:szCs w:val="24"/>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default" w:ascii="Times New Roman" w:hAnsi="Times New Roman"/>
                <w:color w:val="auto"/>
                <w:szCs w:val="24"/>
                <w:highlight w:val="none"/>
              </w:rPr>
            </w:pPr>
            <w:r>
              <w:rPr>
                <w:rFonts w:hint="eastAsia" w:ascii="宋体" w:hAnsi="宋体" w:eastAsia="宋体" w:cs="宋体"/>
                <w:color w:val="auto"/>
                <w:sz w:val="21"/>
                <w:szCs w:val="21"/>
                <w:highlight w:val="none"/>
              </w:rPr>
              <w:t>拟投入</w:t>
            </w:r>
            <w:r>
              <w:rPr>
                <w:rFonts w:hint="eastAsia" w:ascii="宋体" w:hAnsi="宋体" w:cs="宋体"/>
                <w:color w:val="auto"/>
                <w:sz w:val="21"/>
                <w:szCs w:val="21"/>
                <w:highlight w:val="none"/>
                <w:lang w:val="en-US" w:eastAsia="zh-CN"/>
              </w:rPr>
              <w:t>项目其他</w:t>
            </w:r>
            <w:r>
              <w:rPr>
                <w:rFonts w:hint="eastAsia" w:ascii="宋体" w:hAnsi="宋体" w:eastAsia="宋体" w:cs="宋体"/>
                <w:color w:val="auto"/>
                <w:sz w:val="21"/>
                <w:szCs w:val="21"/>
                <w:highlight w:val="none"/>
              </w:rPr>
              <w:t>人员情况</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tc>
        <w:tc>
          <w:tcPr>
            <w:tcW w:w="592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0" w:leftChars="0" w:right="0" w:rightChars="0"/>
              <w:jc w:val="left"/>
              <w:rPr>
                <w:rFonts w:hint="default" w:ascii="宋体" w:hAnsi="宋体" w:eastAsia="宋体" w:cs="宋体"/>
                <w:color w:val="auto"/>
                <w:sz w:val="21"/>
                <w:szCs w:val="21"/>
                <w:highlight w:val="none"/>
                <w:lang w:val="en-US" w:eastAsia="zh-CN"/>
              </w:rPr>
            </w:pPr>
            <w:r>
              <w:rPr>
                <w:rFonts w:hint="eastAsia"/>
                <w:color w:val="auto"/>
                <w:highlight w:val="none"/>
                <w:lang w:val="en-US" w:eastAsia="zh-CN"/>
              </w:rPr>
              <w:t>对投标人在本项目投入的</w:t>
            </w:r>
            <w:r>
              <w:rPr>
                <w:rFonts w:hint="eastAsia" w:ascii="宋体" w:hAnsi="宋体" w:eastAsia="宋体" w:cs="宋体"/>
                <w:color w:val="auto"/>
                <w:sz w:val="21"/>
                <w:szCs w:val="21"/>
                <w:highlight w:val="none"/>
                <w:lang w:val="en-US" w:eastAsia="zh-CN"/>
              </w:rPr>
              <w:t>项目负责人、技术负责人、岩土工程师、测量工程师</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lang w:val="en-US" w:eastAsia="zh-CN"/>
              </w:rPr>
              <w:t>外，其他</w:t>
            </w:r>
            <w:r>
              <w:rPr>
                <w:rFonts w:hint="eastAsia" w:ascii="宋体" w:hAnsi="宋体" w:cs="宋体"/>
                <w:color w:val="auto"/>
                <w:sz w:val="21"/>
                <w:szCs w:val="21"/>
                <w:highlight w:val="none"/>
                <w:lang w:val="en-US" w:eastAsia="zh-CN"/>
              </w:rPr>
              <w:t>拟投入的</w:t>
            </w:r>
            <w:r>
              <w:rPr>
                <w:rFonts w:hint="eastAsia" w:ascii="宋体" w:hAnsi="宋体" w:eastAsia="宋体" w:cs="宋体"/>
                <w:color w:val="auto"/>
                <w:sz w:val="21"/>
                <w:szCs w:val="21"/>
                <w:highlight w:val="none"/>
                <w:lang w:val="en-US" w:eastAsia="zh-CN"/>
              </w:rPr>
              <w:t>人员</w:t>
            </w:r>
            <w:r>
              <w:rPr>
                <w:rFonts w:hint="eastAsia" w:ascii="宋体" w:hAnsi="宋体" w:cs="宋体"/>
                <w:color w:val="auto"/>
                <w:sz w:val="21"/>
                <w:szCs w:val="21"/>
                <w:highlight w:val="none"/>
                <w:lang w:val="en-US" w:eastAsia="zh-CN"/>
              </w:rPr>
              <w:t>进行评分：</w:t>
            </w:r>
          </w:p>
          <w:p>
            <w:pPr>
              <w:pStyle w:val="53"/>
              <w:keepNext w:val="0"/>
              <w:keepLines w:val="0"/>
              <w:numPr>
                <w:ilvl w:val="0"/>
                <w:numId w:val="0"/>
              </w:numPr>
              <w:suppressLineNumbers w:val="0"/>
              <w:spacing w:before="0" w:beforeAutospacing="0" w:after="0" w:afterAutospacing="0" w:line="440" w:lineRule="exact"/>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投标人在满足招标文件第五章委托人要求第五条第（二）项（2025年拟投入本项目的高级测量员12人）基础上，额外每提供1名高级测量员</w:t>
            </w:r>
            <w:r>
              <w:rPr>
                <w:rFonts w:hint="default" w:ascii="宋体" w:hAnsi="宋体" w:eastAsia="宋体" w:cs="宋体"/>
                <w:color w:val="auto"/>
                <w:sz w:val="24"/>
                <w:szCs w:val="24"/>
                <w:highlight w:val="none"/>
              </w:rPr>
              <w:t>（</w:t>
            </w:r>
            <w:r>
              <w:rPr>
                <w:rFonts w:hint="eastAsia" w:ascii="宋体" w:hAnsi="宋体" w:eastAsia="宋体" w:cs="宋体"/>
                <w:color w:val="auto"/>
                <w:szCs w:val="21"/>
                <w:highlight w:val="none"/>
              </w:rPr>
              <w:t>须具备</w:t>
            </w:r>
            <w:r>
              <w:rPr>
                <w:rFonts w:hint="eastAsia" w:ascii="宋体" w:hAnsi="宋体" w:eastAsia="宋体" w:cs="宋体"/>
                <w:i w:val="0"/>
                <w:iCs w:val="0"/>
                <w:caps w:val="0"/>
                <w:color w:val="auto"/>
                <w:spacing w:val="0"/>
                <w:sz w:val="21"/>
                <w:szCs w:val="21"/>
                <w:highlight w:val="none"/>
                <w:shd w:val="clear"/>
              </w:rPr>
              <w:t>国家职业资格</w:t>
            </w:r>
            <w:r>
              <w:rPr>
                <w:rFonts w:hint="eastAsia" w:ascii="宋体" w:hAnsi="宋体" w:cs="宋体"/>
                <w:i w:val="0"/>
                <w:iCs w:val="0"/>
                <w:caps w:val="0"/>
                <w:color w:val="auto"/>
                <w:spacing w:val="0"/>
                <w:sz w:val="21"/>
                <w:szCs w:val="21"/>
                <w:highlight w:val="none"/>
                <w:shd w:val="clear"/>
                <w:lang w:eastAsia="zh-CN"/>
              </w:rPr>
              <w:t>或职业技能等级</w:t>
            </w:r>
            <w:r>
              <w:rPr>
                <w:rFonts w:hint="eastAsia" w:ascii="宋体" w:hAnsi="宋体" w:cs="宋体"/>
                <w:i w:val="0"/>
                <w:iCs w:val="0"/>
                <w:caps w:val="0"/>
                <w:color w:val="auto"/>
                <w:spacing w:val="0"/>
                <w:sz w:val="21"/>
                <w:szCs w:val="21"/>
                <w:highlight w:val="none"/>
                <w:shd w:val="clear"/>
                <w:lang w:val="en-US" w:eastAsia="zh-CN"/>
              </w:rPr>
              <w:t>三级/</w:t>
            </w:r>
            <w:r>
              <w:rPr>
                <w:rFonts w:hint="eastAsia" w:ascii="宋体" w:hAnsi="宋体" w:eastAsia="宋体" w:cs="宋体"/>
                <w:color w:val="auto"/>
                <w:szCs w:val="21"/>
                <w:highlight w:val="none"/>
              </w:rPr>
              <w:t>高级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或以上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测量员证</w:t>
            </w:r>
            <w:r>
              <w:rPr>
                <w:rFonts w:hint="eastAsia" w:ascii="宋体" w:hAnsi="宋体" w:cs="宋体"/>
                <w:color w:val="auto"/>
                <w:szCs w:val="21"/>
                <w:highlight w:val="none"/>
                <w:lang w:val="en-US" w:eastAsia="zh-CN"/>
              </w:rPr>
              <w:t>或具备测量类专业助理工程师（或以上）证书</w:t>
            </w:r>
            <w:r>
              <w:rPr>
                <w:rFonts w:hint="default" w:ascii="宋体" w:hAnsi="宋体" w:eastAsia="宋体" w:cs="宋体"/>
                <w:color w:val="auto"/>
                <w:sz w:val="24"/>
                <w:szCs w:val="24"/>
                <w:highlight w:val="none"/>
              </w:rPr>
              <w:t>）</w:t>
            </w:r>
            <w:r>
              <w:rPr>
                <w:rFonts w:hint="eastAsia" w:ascii="宋体" w:hAnsi="宋体" w:eastAsia="宋体" w:cs="宋体"/>
                <w:color w:val="auto"/>
                <w:szCs w:val="21"/>
                <w:highlight w:val="none"/>
              </w:rPr>
              <w:t>得0.5分，本小项最高得</w:t>
            </w:r>
            <w:r>
              <w:rPr>
                <w:rFonts w:hint="default"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投标人拟投入本项目的测量人员具备从202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年1月1日以来在市级或以上主管部门或行业协会组织的测量/测绘比赛中获得奖项的，每人得0.5分，本小项最高得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分。（不同人员在同一项比赛获奖，只加0.5分）</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0" w:leftChars="0" w:right="0" w:rightChars="0"/>
              <w:jc w:val="left"/>
              <w:rPr>
                <w:rFonts w:hint="eastAsia"/>
                <w:color w:val="auto"/>
                <w:szCs w:val="24"/>
                <w:highlight w:val="none"/>
              </w:rPr>
            </w:pPr>
            <w:r>
              <w:rPr>
                <w:rFonts w:hint="eastAsia" w:ascii="宋体" w:hAnsi="宋体" w:eastAsia="宋体" w:cs="宋体"/>
                <w:color w:val="auto"/>
                <w:szCs w:val="21"/>
                <w:highlight w:val="none"/>
              </w:rPr>
              <w:t>注：</w:t>
            </w: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Cs w:val="21"/>
                <w:highlight w:val="none"/>
              </w:rPr>
              <w:t>本项最高得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Cs w:val="21"/>
                <w:highlight w:val="none"/>
              </w:rPr>
              <w:t>须提供相对应人员的相关证书扫描件并加盖公章，不提供不得分。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p>
        </w:tc>
        <w:tc>
          <w:tcPr>
            <w:tcW w:w="1064"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color w:val="auto"/>
                <w:szCs w:val="24"/>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应急响应</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default" w:ascii="Times New Roman" w:hAnsi="Times New Roman"/>
                <w:color w:val="auto"/>
                <w:szCs w:val="24"/>
                <w:highlight w:val="none"/>
              </w:rPr>
            </w:pPr>
          </w:p>
        </w:tc>
        <w:tc>
          <w:tcPr>
            <w:tcW w:w="592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58" w:lineRule="exact"/>
              <w:ind w:left="0" w:right="-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对</w:t>
            </w:r>
            <w:r>
              <w:rPr>
                <w:rFonts w:hint="eastAsia" w:ascii="宋体" w:hAnsi="宋体" w:cs="宋体"/>
                <w:color w:val="auto"/>
                <w:sz w:val="21"/>
                <w:szCs w:val="21"/>
                <w:highlight w:val="none"/>
                <w:lang w:eastAsia="zh-CN"/>
              </w:rPr>
              <w:t>投标人的</w:t>
            </w:r>
            <w:r>
              <w:rPr>
                <w:rFonts w:hint="eastAsia" w:ascii="宋体" w:hAnsi="宋体" w:eastAsia="宋体" w:cs="宋体"/>
                <w:color w:val="auto"/>
                <w:sz w:val="21"/>
                <w:szCs w:val="21"/>
                <w:highlight w:val="none"/>
              </w:rPr>
              <w:t>服务应急处理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响应时间</w:t>
            </w:r>
            <w:r>
              <w:rPr>
                <w:rFonts w:hint="eastAsia" w:ascii="宋体" w:hAnsi="宋体" w:cs="宋体"/>
                <w:color w:val="auto"/>
                <w:sz w:val="21"/>
                <w:szCs w:val="21"/>
                <w:highlight w:val="none"/>
                <w:lang w:eastAsia="zh-CN"/>
              </w:rPr>
              <w:t>（从接到采购人通知后，到达指定地点需要的时间）</w:t>
            </w:r>
            <w:r>
              <w:rPr>
                <w:rFonts w:hint="eastAsia" w:ascii="宋体" w:hAnsi="宋体" w:eastAsia="宋体" w:cs="宋体"/>
                <w:color w:val="auto"/>
                <w:sz w:val="21"/>
                <w:szCs w:val="21"/>
                <w:highlight w:val="none"/>
              </w:rPr>
              <w:t>进行评审。</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 w:val="21"/>
                <w:szCs w:val="21"/>
                <w:highlight w:val="none"/>
              </w:rPr>
              <w:t>响应时间≤4小时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rPr>
              <w:t>4小时&lt;响应时间≤8小时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得2分；</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rPr>
              <w:t>8小时&lt;响应时间≤12小时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得1分；</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rPr>
              <w:t>12小时&lt;响应时间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得0分。</w:t>
            </w:r>
          </w:p>
          <w:p>
            <w:pPr>
              <w:keepNext w:val="0"/>
              <w:keepLines w:val="0"/>
              <w:suppressLineNumbers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exact"/>
              <w:ind w:left="0" w:leftChars="0" w:right="0" w:rightChars="0"/>
              <w:jc w:val="left"/>
              <w:rPr>
                <w:rFonts w:hint="eastAsia"/>
                <w:color w:val="auto"/>
                <w:szCs w:val="24"/>
                <w:highlight w:val="none"/>
              </w:rPr>
            </w:pPr>
            <w:r>
              <w:rPr>
                <w:rFonts w:hint="eastAsia" w:ascii="宋体" w:hAnsi="宋体" w:eastAsia="宋体" w:cs="宋体"/>
                <w:color w:val="auto"/>
                <w:sz w:val="21"/>
                <w:szCs w:val="21"/>
                <w:highlight w:val="none"/>
                <w:lang w:val="en-US" w:eastAsia="zh-CN"/>
              </w:rPr>
              <w:t>注：</w:t>
            </w:r>
            <w:r>
              <w:rPr>
                <w:rFonts w:hint="eastAsia" w:ascii="宋体" w:hAnsi="宋体" w:cs="宋体"/>
                <w:color w:val="auto"/>
                <w:sz w:val="21"/>
                <w:szCs w:val="21"/>
                <w:highlight w:val="none"/>
                <w:lang w:val="en-US" w:eastAsia="zh-CN"/>
              </w:rPr>
              <w:t>提供承诺函，格式自拟</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不提供不得分</w:t>
            </w:r>
            <w:r>
              <w:rPr>
                <w:rFonts w:hint="eastAsia" w:ascii="宋体" w:hAnsi="宋体" w:eastAsia="宋体" w:cs="宋体"/>
                <w:color w:val="auto"/>
                <w:sz w:val="21"/>
                <w:szCs w:val="21"/>
                <w:highlight w:val="none"/>
              </w:rPr>
              <w:t>。承诺写入合同条款中，如不能响应按合同相关条款处罚。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default"/>
                <w:color w:val="auto"/>
                <w:szCs w:val="24"/>
                <w:highlight w:val="none"/>
              </w:rPr>
              <w:t>2.2.4</w:t>
            </w:r>
            <w:r>
              <w:rPr>
                <w:rFonts w:hint="eastAsia"/>
                <w:color w:val="auto"/>
                <w:szCs w:val="24"/>
                <w:highlight w:val="none"/>
              </w:rPr>
              <w:t>（</w:t>
            </w:r>
            <w:r>
              <w:rPr>
                <w:rFonts w:hint="default"/>
                <w:color w:val="auto"/>
                <w:szCs w:val="24"/>
                <w:highlight w:val="none"/>
              </w:rPr>
              <w:t>3</w:t>
            </w:r>
            <w:r>
              <w:rPr>
                <w:rFonts w:hint="eastAsia"/>
                <w:color w:val="auto"/>
                <w:szCs w:val="24"/>
                <w:highlight w:val="none"/>
              </w:rPr>
              <w:t>）</w:t>
            </w:r>
          </w:p>
        </w:tc>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color w:val="auto"/>
                <w:szCs w:val="24"/>
                <w:highlight w:val="none"/>
                <w:lang w:eastAsia="zh-CN"/>
              </w:rPr>
            </w:pPr>
            <w:r>
              <w:rPr>
                <w:rFonts w:hint="eastAsia"/>
                <w:color w:val="auto"/>
                <w:szCs w:val="24"/>
                <w:highlight w:val="none"/>
                <w:lang w:eastAsia="zh-CN"/>
              </w:rPr>
              <w:t>价格</w:t>
            </w:r>
          </w:p>
          <w:p>
            <w:pPr>
              <w:keepNext w:val="0"/>
              <w:keepLines w:val="0"/>
              <w:suppressLineNumbers w:val="0"/>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评分标准</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atLeast"/>
              <w:ind w:left="0" w:right="0"/>
              <w:jc w:val="center"/>
              <w:rPr>
                <w:rFonts w:hint="default"/>
                <w:color w:val="auto"/>
                <w:highlight w:val="none"/>
              </w:rPr>
            </w:pPr>
            <w:r>
              <w:rPr>
                <w:rFonts w:hint="eastAsia"/>
                <w:color w:val="auto"/>
                <w:highlight w:val="none"/>
              </w:rPr>
              <w:t>投标报价</w:t>
            </w:r>
          </w:p>
          <w:p>
            <w:pPr>
              <w:pStyle w:val="61"/>
              <w:keepNext w:val="0"/>
              <w:keepLines w:val="0"/>
              <w:widowControl/>
              <w:suppressLineNumbers w:val="0"/>
              <w:spacing w:before="0" w:beforeAutospacing="0" w:after="0" w:afterAutospacing="0"/>
              <w:ind w:left="0" w:right="0" w:firstLine="409" w:firstLineChars="195"/>
              <w:rPr>
                <w:rFonts w:hint="default"/>
                <w:color w:val="auto"/>
                <w:szCs w:val="20"/>
                <w:highlight w:val="none"/>
              </w:rPr>
            </w:pPr>
            <w:r>
              <w:rPr>
                <w:rFonts w:ascii="Times New Roman" w:hAnsi="Times New Roman"/>
                <w:color w:val="auto"/>
                <w:szCs w:val="24"/>
                <w:highlight w:val="none"/>
              </w:rPr>
              <w:t>（</w:t>
            </w:r>
            <w:r>
              <w:rPr>
                <w:rFonts w:hint="eastAsia" w:ascii="Times New Roman" w:hAnsi="Times New Roman"/>
                <w:color w:val="auto"/>
                <w:szCs w:val="24"/>
                <w:highlight w:val="none"/>
                <w:lang w:val="en-US" w:eastAsia="zh-CN"/>
              </w:rPr>
              <w:t>50</w:t>
            </w:r>
            <w:r>
              <w:rPr>
                <w:rFonts w:ascii="Times New Roman" w:hAnsi="Times New Roman"/>
                <w:color w:val="auto"/>
                <w:szCs w:val="24"/>
                <w:highlight w:val="none"/>
              </w:rPr>
              <w:t>分）</w:t>
            </w:r>
          </w:p>
        </w:tc>
        <w:tc>
          <w:tcPr>
            <w:tcW w:w="59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left"/>
              <w:rPr>
                <w:rFonts w:hint="default"/>
                <w:color w:val="auto"/>
                <w:szCs w:val="24"/>
                <w:highlight w:val="none"/>
              </w:rPr>
            </w:pPr>
            <w:r>
              <w:rPr>
                <w:rFonts w:hint="eastAsia"/>
                <w:color w:val="auto"/>
                <w:szCs w:val="24"/>
                <w:highlight w:val="none"/>
              </w:rPr>
              <w:t>当有效评标价等于评标基准价时得</w:t>
            </w:r>
            <w:r>
              <w:rPr>
                <w:rFonts w:hint="eastAsia"/>
                <w:color w:val="auto"/>
                <w:szCs w:val="24"/>
                <w:highlight w:val="none"/>
                <w:lang w:val="en-US" w:eastAsia="zh-CN"/>
              </w:rPr>
              <w:t>50</w:t>
            </w:r>
            <w:r>
              <w:rPr>
                <w:rFonts w:hint="eastAsia"/>
                <w:color w:val="auto"/>
                <w:szCs w:val="24"/>
                <w:highlight w:val="none"/>
              </w:rPr>
              <w:t>；当评标价与评标基准价差值与评标基准价的比值每上偏</w:t>
            </w:r>
            <w:r>
              <w:rPr>
                <w:rFonts w:hint="default"/>
                <w:color w:val="auto"/>
                <w:szCs w:val="24"/>
                <w:highlight w:val="none"/>
              </w:rPr>
              <w:t>1%</w:t>
            </w:r>
            <w:r>
              <w:rPr>
                <w:rFonts w:hint="eastAsia"/>
                <w:color w:val="auto"/>
                <w:szCs w:val="24"/>
                <w:highlight w:val="none"/>
              </w:rPr>
              <w:t>时扣</w:t>
            </w:r>
            <w:r>
              <w:rPr>
                <w:rFonts w:hint="default"/>
                <w:color w:val="auto"/>
                <w:szCs w:val="24"/>
                <w:highlight w:val="none"/>
              </w:rPr>
              <w:t>1</w:t>
            </w:r>
            <w:r>
              <w:rPr>
                <w:rFonts w:hint="eastAsia"/>
                <w:color w:val="auto"/>
                <w:szCs w:val="24"/>
                <w:highlight w:val="none"/>
              </w:rPr>
              <w:t>分，或下偏</w:t>
            </w:r>
            <w:r>
              <w:rPr>
                <w:rFonts w:hint="default"/>
                <w:color w:val="auto"/>
                <w:szCs w:val="24"/>
                <w:highlight w:val="none"/>
              </w:rPr>
              <w:t>1%</w:t>
            </w:r>
            <w:r>
              <w:rPr>
                <w:rFonts w:hint="eastAsia"/>
                <w:color w:val="auto"/>
                <w:szCs w:val="24"/>
                <w:highlight w:val="none"/>
              </w:rPr>
              <w:t>时扣</w:t>
            </w:r>
            <w:r>
              <w:rPr>
                <w:rFonts w:hint="default"/>
                <w:color w:val="auto"/>
                <w:szCs w:val="24"/>
                <w:highlight w:val="none"/>
              </w:rPr>
              <w:t>0.5</w:t>
            </w:r>
            <w:r>
              <w:rPr>
                <w:rFonts w:hint="eastAsia"/>
                <w:color w:val="auto"/>
                <w:szCs w:val="24"/>
                <w:highlight w:val="none"/>
              </w:rPr>
              <w:t>分，最多扣</w:t>
            </w:r>
            <w:r>
              <w:rPr>
                <w:rFonts w:hint="eastAsia"/>
                <w:color w:val="auto"/>
                <w:szCs w:val="24"/>
                <w:highlight w:val="none"/>
                <w:lang w:val="en-US" w:eastAsia="zh-CN"/>
              </w:rPr>
              <w:t>50</w:t>
            </w:r>
            <w:r>
              <w:rPr>
                <w:rFonts w:hint="eastAsia"/>
                <w:color w:val="auto"/>
                <w:szCs w:val="24"/>
                <w:highlight w:val="none"/>
              </w:rPr>
              <w:t>分。最终投标报价得分=</w:t>
            </w:r>
            <w:r>
              <w:rPr>
                <w:rFonts w:hint="eastAsia"/>
                <w:color w:val="auto"/>
                <w:szCs w:val="24"/>
                <w:highlight w:val="none"/>
                <w:lang w:val="en-US" w:eastAsia="zh-CN"/>
              </w:rPr>
              <w:t>50</w:t>
            </w:r>
            <w:r>
              <w:rPr>
                <w:rFonts w:hint="eastAsia"/>
                <w:color w:val="auto"/>
                <w:szCs w:val="24"/>
                <w:highlight w:val="none"/>
              </w:rPr>
              <w:t>-投标报价偏差扣分</w:t>
            </w:r>
          </w:p>
        </w:tc>
      </w:tr>
    </w:tbl>
    <w:p>
      <w:pPr>
        <w:spacing w:line="400" w:lineRule="exact"/>
        <w:rPr>
          <w:color w:val="auto"/>
          <w:szCs w:val="24"/>
          <w:highlight w:val="none"/>
        </w:rPr>
      </w:pPr>
      <w:r>
        <w:rPr>
          <w:rFonts w:hint="eastAsia" w:ascii="宋体" w:hAnsi="宋体" w:cs="Tahoma"/>
          <w:color w:val="auto"/>
          <w:szCs w:val="21"/>
          <w:highlight w:val="none"/>
        </w:rPr>
        <w:t>备注：</w:t>
      </w:r>
      <w:r>
        <w:rPr>
          <w:color w:val="auto"/>
          <w:szCs w:val="24"/>
          <w:highlight w:val="none"/>
        </w:rPr>
        <w:t xml:space="preserve"> </w:t>
      </w:r>
    </w:p>
    <w:p>
      <w:pPr>
        <w:spacing w:line="440" w:lineRule="exact"/>
        <w:ind w:firstLine="420" w:firstLineChars="200"/>
        <w:jc w:val="left"/>
        <w:rPr>
          <w:color w:val="auto"/>
          <w:szCs w:val="24"/>
          <w:highlight w:val="none"/>
        </w:rPr>
      </w:pPr>
      <w:r>
        <w:rPr>
          <w:color w:val="auto"/>
          <w:szCs w:val="24"/>
          <w:highlight w:val="none"/>
        </w:rPr>
        <w:t>1</w:t>
      </w:r>
      <w:r>
        <w:rPr>
          <w:rFonts w:hint="eastAsia"/>
          <w:color w:val="auto"/>
          <w:szCs w:val="24"/>
          <w:highlight w:val="none"/>
        </w:rPr>
        <w:t>、评标办法正文与《评标审的补充说明详细评审的评分办法前附表》描述存在不一致之处，以《评标办法前附表》为准。</w:t>
      </w:r>
    </w:p>
    <w:p>
      <w:pPr>
        <w:spacing w:line="440" w:lineRule="exact"/>
        <w:ind w:firstLine="420" w:firstLineChars="200"/>
        <w:jc w:val="left"/>
        <w:rPr>
          <w:color w:val="auto"/>
          <w:szCs w:val="24"/>
          <w:highlight w:val="none"/>
        </w:rPr>
      </w:pPr>
      <w:r>
        <w:rPr>
          <w:rFonts w:hint="eastAsia"/>
          <w:color w:val="auto"/>
          <w:szCs w:val="24"/>
          <w:highlight w:val="none"/>
        </w:rPr>
        <w:t>2、评分如出现小数点，则保留小数点后两位，第三位四舍五入。</w:t>
      </w:r>
    </w:p>
    <w:p>
      <w:pPr>
        <w:spacing w:line="440" w:lineRule="exact"/>
        <w:ind w:firstLine="420" w:firstLineChars="200"/>
        <w:jc w:val="left"/>
        <w:rPr>
          <w:color w:val="auto"/>
          <w:szCs w:val="24"/>
          <w:highlight w:val="none"/>
        </w:rPr>
      </w:pPr>
      <w:r>
        <w:rPr>
          <w:rFonts w:hint="eastAsia"/>
          <w:color w:val="auto"/>
          <w:szCs w:val="24"/>
          <w:highlight w:val="none"/>
        </w:rPr>
        <w:t>3、在评标打分期间，评标委员会成员需各自独立评审，未经评标委员会组长同意不得相互讨论或交换意见，如有违反，须承担相应法律责任。</w:t>
      </w:r>
    </w:p>
    <w:p>
      <w:pPr>
        <w:spacing w:line="440" w:lineRule="exact"/>
        <w:ind w:firstLine="420" w:firstLineChars="200"/>
        <w:jc w:val="left"/>
        <w:rPr>
          <w:color w:val="auto"/>
          <w:szCs w:val="24"/>
          <w:highlight w:val="none"/>
        </w:rPr>
      </w:pPr>
      <w:r>
        <w:rPr>
          <w:rFonts w:hint="eastAsia"/>
          <w:color w:val="auto"/>
          <w:szCs w:val="24"/>
          <w:highlight w:val="none"/>
        </w:rPr>
        <w:t>4、投标人的总得分为各评委的评分去掉一个最高分和一个最低分后计取的算术平均分（分数出现小数点时，保留小数点后二位，第三位小数四舍五入）。</w:t>
      </w:r>
    </w:p>
    <w:p>
      <w:pPr>
        <w:spacing w:line="440" w:lineRule="exact"/>
        <w:ind w:firstLine="420" w:firstLineChars="200"/>
        <w:jc w:val="left"/>
        <w:rPr>
          <w:color w:val="auto"/>
          <w:szCs w:val="24"/>
          <w:highlight w:val="none"/>
        </w:rPr>
      </w:pPr>
      <w:r>
        <w:rPr>
          <w:rFonts w:hint="eastAsia"/>
          <w:color w:val="auto"/>
          <w:szCs w:val="24"/>
          <w:highlight w:val="none"/>
        </w:rPr>
        <w:t>5、人员有关要求：</w:t>
      </w:r>
    </w:p>
    <w:p>
      <w:pPr>
        <w:spacing w:line="440" w:lineRule="exact"/>
        <w:ind w:firstLine="420" w:firstLineChars="200"/>
        <w:jc w:val="left"/>
        <w:rPr>
          <w:color w:val="auto"/>
          <w:szCs w:val="24"/>
          <w:highlight w:val="none"/>
        </w:rPr>
      </w:pPr>
      <w:r>
        <w:rPr>
          <w:rFonts w:hint="eastAsia"/>
          <w:color w:val="auto"/>
          <w:szCs w:val="24"/>
          <w:highlight w:val="none"/>
        </w:rPr>
        <w:t>（1）投标表中人员岗位不能兼任。人员的职称专业均以“技术职称证书”所示专业为准，若“技术职称证书”未反映专业，则以“毕业证”所示专业为准；其他条件以相应证书为准。</w:t>
      </w:r>
    </w:p>
    <w:p>
      <w:pPr>
        <w:spacing w:line="440" w:lineRule="exact"/>
        <w:ind w:firstLine="420" w:firstLineChars="200"/>
        <w:jc w:val="left"/>
        <w:rPr>
          <w:color w:val="auto"/>
          <w:szCs w:val="24"/>
          <w:highlight w:val="none"/>
        </w:rPr>
      </w:pPr>
      <w:r>
        <w:rPr>
          <w:rFonts w:hint="eastAsia"/>
          <w:color w:val="auto"/>
          <w:szCs w:val="24"/>
          <w:highlight w:val="none"/>
        </w:rPr>
        <w:t>（2）专业认定以毕业证书专业或职称证书专业为准，投标人可以选择同时提供毕业证书和职称证书或仅提供职称证书或仅提供毕业证书。</w:t>
      </w:r>
    </w:p>
    <w:p>
      <w:pPr>
        <w:spacing w:line="440" w:lineRule="exact"/>
        <w:ind w:firstLine="420" w:firstLineChars="200"/>
        <w:jc w:val="left"/>
        <w:rPr>
          <w:rFonts w:hint="eastAsia"/>
          <w:color w:val="auto"/>
          <w:szCs w:val="24"/>
          <w:highlight w:val="none"/>
        </w:rPr>
      </w:pPr>
      <w:r>
        <w:rPr>
          <w:rFonts w:hint="eastAsia"/>
          <w:color w:val="auto"/>
          <w:szCs w:val="24"/>
          <w:highlight w:val="none"/>
        </w:rPr>
        <w:t>（3）</w:t>
      </w:r>
      <w:r>
        <w:rPr>
          <w:rFonts w:hint="eastAsia"/>
          <w:b/>
          <w:bCs/>
          <w:color w:val="auto"/>
          <w:szCs w:val="24"/>
          <w:highlight w:val="none"/>
        </w:rPr>
        <w:t>项目负责人、技术负责人及</w:t>
      </w:r>
      <w:r>
        <w:rPr>
          <w:rFonts w:hint="eastAsia" w:ascii="宋体" w:hAnsi="宋体" w:eastAsia="宋体" w:cs="宋体"/>
          <w:b/>
          <w:bCs/>
          <w:color w:val="auto"/>
          <w:sz w:val="21"/>
          <w:szCs w:val="21"/>
          <w:highlight w:val="none"/>
          <w:lang w:val="en-US" w:eastAsia="zh-CN"/>
        </w:rPr>
        <w:t>岩土工程师、测量工程师</w:t>
      </w:r>
      <w:r>
        <w:rPr>
          <w:rFonts w:hint="eastAsia"/>
          <w:color w:val="auto"/>
          <w:szCs w:val="24"/>
          <w:highlight w:val="none"/>
        </w:rPr>
        <w:t>：以提供的社保证明为准，</w:t>
      </w:r>
      <w:r>
        <w:rPr>
          <w:rFonts w:hint="eastAsia"/>
          <w:color w:val="auto"/>
          <w:szCs w:val="24"/>
          <w:highlight w:val="none"/>
          <w:lang w:val="en-US" w:eastAsia="zh-CN"/>
        </w:rPr>
        <w:t>须</w:t>
      </w:r>
      <w:r>
        <w:rPr>
          <w:rFonts w:hint="eastAsia"/>
          <w:b/>
          <w:bCs/>
          <w:color w:val="auto"/>
          <w:szCs w:val="24"/>
          <w:highlight w:val="none"/>
        </w:rPr>
        <w:t>提供投标人</w:t>
      </w:r>
      <w:r>
        <w:rPr>
          <w:rFonts w:hint="eastAsia"/>
          <w:b/>
          <w:bCs/>
          <w:color w:val="auto"/>
          <w:szCs w:val="24"/>
          <w:highlight w:val="none"/>
          <w:lang w:val="en-US" w:eastAsia="zh-CN"/>
        </w:rPr>
        <w:t>2025年2月-2025年7月</w:t>
      </w:r>
      <w:r>
        <w:rPr>
          <w:rFonts w:ascii="宋体" w:hAnsi="宋体" w:cs="Tahoma"/>
          <w:b/>
          <w:bCs/>
          <w:color w:val="auto"/>
          <w:szCs w:val="21"/>
          <w:highlight w:val="none"/>
        </w:rPr>
        <w:t>为上述拟派人员缴纳社保资金的有效的社保证明材料。</w:t>
      </w:r>
      <w:r>
        <w:rPr>
          <w:rFonts w:ascii="宋体" w:hAnsi="宋体" w:cs="Tahoma"/>
          <w:color w:val="auto"/>
          <w:szCs w:val="21"/>
          <w:highlight w:val="none"/>
        </w:rPr>
        <w:t>有效的社</w:t>
      </w:r>
      <w:r>
        <w:rPr>
          <w:rFonts w:hint="eastAsia"/>
          <w:color w:val="auto"/>
          <w:szCs w:val="24"/>
          <w:highlight w:val="none"/>
        </w:rPr>
        <w:t>保证明材料是指投标人（或其分支机构）所属当地社保管理部门出具的证明文件，或经投标人（或其分支机构）所属当地社保管理部门盖章确认的社保清单(含社保管理部门终端设备打印的社保证明文件)等。（投标人因所在地区社保查询的不同规定，如只能查询至查询日的上上月，不能提供规定期限内社保区间的社保证明的，投标人如提供了政府部门的社保管理相应文件，其所提供的社保可以按当地的文件要求相应顺推，否则，不予认可。</w:t>
      </w:r>
    </w:p>
    <w:p>
      <w:pPr>
        <w:spacing w:line="440" w:lineRule="exact"/>
        <w:ind w:firstLine="422" w:firstLineChars="200"/>
        <w:jc w:val="left"/>
        <w:rPr>
          <w:rFonts w:hint="eastAsia"/>
          <w:color w:val="auto"/>
          <w:szCs w:val="24"/>
          <w:highlight w:val="none"/>
        </w:rPr>
      </w:pPr>
      <w:r>
        <w:rPr>
          <w:rFonts w:hint="eastAsia"/>
          <w:b/>
          <w:bCs/>
          <w:color w:val="auto"/>
          <w:szCs w:val="24"/>
          <w:highlight w:val="none"/>
          <w:lang w:eastAsia="zh-CN"/>
        </w:rPr>
        <w:t>（</w:t>
      </w:r>
      <w:r>
        <w:rPr>
          <w:rFonts w:hint="eastAsia"/>
          <w:b/>
          <w:bCs/>
          <w:color w:val="auto"/>
          <w:szCs w:val="24"/>
          <w:highlight w:val="none"/>
          <w:lang w:val="en-US" w:eastAsia="zh-CN"/>
        </w:rPr>
        <w:t>4</w:t>
      </w:r>
      <w:r>
        <w:rPr>
          <w:rFonts w:hint="eastAsia"/>
          <w:b/>
          <w:bCs/>
          <w:color w:val="auto"/>
          <w:szCs w:val="24"/>
          <w:highlight w:val="none"/>
          <w:lang w:eastAsia="zh-CN"/>
        </w:rPr>
        <w:t>）</w:t>
      </w:r>
      <w:r>
        <w:rPr>
          <w:rFonts w:hint="eastAsia"/>
          <w:b/>
          <w:bCs/>
          <w:color w:val="auto"/>
          <w:szCs w:val="24"/>
          <w:highlight w:val="none"/>
          <w:lang w:val="en-US" w:eastAsia="zh-CN"/>
        </w:rPr>
        <w:t>测量员</w:t>
      </w:r>
      <w:r>
        <w:rPr>
          <w:rFonts w:hint="eastAsia"/>
          <w:color w:val="auto"/>
          <w:szCs w:val="24"/>
          <w:highlight w:val="none"/>
        </w:rPr>
        <w:t>：以提供的社保证明为准，</w:t>
      </w:r>
      <w:r>
        <w:rPr>
          <w:rFonts w:hint="eastAsia"/>
          <w:color w:val="auto"/>
          <w:szCs w:val="24"/>
          <w:highlight w:val="none"/>
          <w:lang w:val="en-US" w:eastAsia="zh-CN"/>
        </w:rPr>
        <w:t>须</w:t>
      </w:r>
      <w:r>
        <w:rPr>
          <w:rFonts w:hint="eastAsia"/>
          <w:b/>
          <w:bCs/>
          <w:color w:val="auto"/>
          <w:szCs w:val="24"/>
          <w:highlight w:val="none"/>
        </w:rPr>
        <w:t>提供投标人</w:t>
      </w:r>
      <w:r>
        <w:rPr>
          <w:rFonts w:hint="eastAsia"/>
          <w:b/>
          <w:bCs/>
          <w:color w:val="auto"/>
          <w:szCs w:val="24"/>
          <w:highlight w:val="none"/>
          <w:lang w:val="en-US" w:eastAsia="zh-CN"/>
        </w:rPr>
        <w:t>2025年2月-2025年7月</w:t>
      </w:r>
      <w:r>
        <w:rPr>
          <w:rFonts w:ascii="宋体" w:hAnsi="宋体" w:cs="Tahoma"/>
          <w:b/>
          <w:bCs/>
          <w:color w:val="auto"/>
          <w:szCs w:val="21"/>
          <w:highlight w:val="none"/>
        </w:rPr>
        <w:t>为上述拟派人员缴纳社保资金的有效的社保证明材料</w:t>
      </w:r>
      <w:r>
        <w:rPr>
          <w:rFonts w:hint="eastAsia" w:ascii="宋体" w:hAnsi="宋体" w:cs="Tahoma"/>
          <w:b/>
          <w:bCs/>
          <w:color w:val="auto"/>
          <w:szCs w:val="21"/>
          <w:highlight w:val="none"/>
          <w:lang w:eastAsia="zh-CN"/>
        </w:rPr>
        <w:t>（</w:t>
      </w:r>
      <w:r>
        <w:rPr>
          <w:rFonts w:hint="eastAsia"/>
          <w:b/>
          <w:bCs/>
          <w:color w:val="auto"/>
          <w:szCs w:val="24"/>
          <w:highlight w:val="none"/>
          <w:lang w:val="en-US" w:eastAsia="zh-CN"/>
        </w:rPr>
        <w:t>若为劳务派遣人员，需同时提供测量员与劳务派遣单位签订的</w:t>
      </w:r>
      <w:bookmarkStart w:id="890" w:name="OLE_LINK9"/>
      <w:r>
        <w:rPr>
          <w:rFonts w:hint="eastAsia"/>
          <w:b/>
          <w:bCs/>
          <w:color w:val="auto"/>
          <w:szCs w:val="24"/>
          <w:highlight w:val="none"/>
          <w:lang w:val="en-US" w:eastAsia="zh-CN"/>
        </w:rPr>
        <w:t>劳动合同</w:t>
      </w:r>
      <w:bookmarkEnd w:id="890"/>
      <w:r>
        <w:rPr>
          <w:rFonts w:hint="eastAsia"/>
          <w:b/>
          <w:bCs/>
          <w:color w:val="auto"/>
          <w:szCs w:val="24"/>
          <w:highlight w:val="none"/>
          <w:lang w:val="en-US" w:eastAsia="zh-CN"/>
        </w:rPr>
        <w:t>及由劳务派遣单位为其人员缴纳的社保</w:t>
      </w:r>
      <w:r>
        <w:rPr>
          <w:rFonts w:hint="eastAsia" w:ascii="宋体" w:hAnsi="宋体" w:cs="Tahoma"/>
          <w:b/>
          <w:bCs/>
          <w:color w:val="auto"/>
          <w:szCs w:val="21"/>
          <w:highlight w:val="none"/>
          <w:lang w:eastAsia="zh-CN"/>
        </w:rPr>
        <w:t>）</w:t>
      </w:r>
      <w:r>
        <w:rPr>
          <w:rFonts w:ascii="宋体" w:hAnsi="宋体" w:cs="Tahoma"/>
          <w:b/>
          <w:bCs/>
          <w:color w:val="auto"/>
          <w:szCs w:val="21"/>
          <w:highlight w:val="none"/>
        </w:rPr>
        <w:t>。</w:t>
      </w:r>
      <w:r>
        <w:rPr>
          <w:rFonts w:ascii="宋体" w:hAnsi="宋体" w:cs="Tahoma"/>
          <w:color w:val="auto"/>
          <w:szCs w:val="21"/>
          <w:highlight w:val="none"/>
        </w:rPr>
        <w:t>有效的社</w:t>
      </w:r>
      <w:r>
        <w:rPr>
          <w:rFonts w:hint="eastAsia"/>
          <w:color w:val="auto"/>
          <w:szCs w:val="24"/>
          <w:highlight w:val="none"/>
        </w:rPr>
        <w:t>保证明材料是指投标人（或其分支机构）所属当地社保管理部门出具的证明文件，或经投标人（或其分支机构）所属当地社保管理部门盖章确认的社保清单(含社保管理部门终端设备打印的社保证明文件)等。（投标人因所在地区社保查询的不同规定，如只能查询至查询日的上上月，不能提供规定期限内社保区间的社保证明的，投标人如提供了政府部门的社保管理相应文件，其所提供的社保可以按当地的文件要求相应顺推，否则，不予认可。</w:t>
      </w:r>
    </w:p>
    <w:p>
      <w:pPr>
        <w:spacing w:line="440" w:lineRule="exact"/>
        <w:ind w:firstLine="560" w:firstLineChars="200"/>
        <w:jc w:val="left"/>
        <w:rPr>
          <w:rFonts w:eastAsia="黑体"/>
          <w:color w:val="auto"/>
          <w:kern w:val="24"/>
          <w:sz w:val="28"/>
          <w:szCs w:val="20"/>
          <w:highlight w:val="none"/>
        </w:rPr>
      </w:pPr>
      <w:r>
        <w:rPr>
          <w:rFonts w:eastAsia="黑体"/>
          <w:color w:val="auto"/>
          <w:kern w:val="24"/>
          <w:sz w:val="28"/>
          <w:szCs w:val="20"/>
          <w:highlight w:val="none"/>
        </w:rPr>
        <w:br w:type="page"/>
      </w:r>
    </w:p>
    <w:p>
      <w:pPr>
        <w:keepNext/>
        <w:keepLines/>
        <w:adjustRightInd w:val="0"/>
        <w:spacing w:line="420" w:lineRule="exact"/>
        <w:textAlignment w:val="baseline"/>
        <w:outlineLvl w:val="1"/>
        <w:rPr>
          <w:rFonts w:eastAsia="黑体"/>
          <w:color w:val="auto"/>
          <w:kern w:val="0"/>
          <w:sz w:val="24"/>
          <w:szCs w:val="20"/>
          <w:highlight w:val="none"/>
        </w:rPr>
      </w:pPr>
      <w:bookmarkStart w:id="891" w:name="_Toc718234050"/>
      <w:bookmarkStart w:id="892" w:name="_Toc170804625"/>
      <w:bookmarkStart w:id="893" w:name="_Toc10381"/>
      <w:bookmarkStart w:id="894" w:name="_Toc4410"/>
      <w:bookmarkStart w:id="895" w:name="_Toc24799"/>
      <w:bookmarkStart w:id="896" w:name="_Toc2619"/>
      <w:bookmarkStart w:id="897" w:name="_Toc14441"/>
      <w:bookmarkStart w:id="898" w:name="_Toc23652"/>
      <w:bookmarkStart w:id="899" w:name="_Toc17617"/>
      <w:bookmarkStart w:id="900" w:name="_Toc30490"/>
      <w:bookmarkStart w:id="901" w:name="_Toc19626"/>
      <w:r>
        <w:rPr>
          <w:rFonts w:eastAsia="黑体"/>
          <w:color w:val="auto"/>
          <w:kern w:val="0"/>
          <w:sz w:val="24"/>
          <w:szCs w:val="20"/>
          <w:highlight w:val="none"/>
        </w:rPr>
        <w:t xml:space="preserve">1. </w:t>
      </w:r>
      <w:r>
        <w:rPr>
          <w:rFonts w:hint="eastAsia" w:eastAsia="黑体"/>
          <w:color w:val="auto"/>
          <w:kern w:val="0"/>
          <w:sz w:val="24"/>
          <w:szCs w:val="20"/>
          <w:highlight w:val="none"/>
        </w:rPr>
        <w:t>评标方法</w:t>
      </w:r>
      <w:bookmarkEnd w:id="891"/>
      <w:bookmarkEnd w:id="892"/>
      <w:bookmarkEnd w:id="893"/>
      <w:bookmarkEnd w:id="894"/>
      <w:bookmarkEnd w:id="895"/>
      <w:bookmarkEnd w:id="896"/>
      <w:bookmarkEnd w:id="897"/>
      <w:bookmarkEnd w:id="898"/>
      <w:bookmarkEnd w:id="899"/>
      <w:bookmarkEnd w:id="900"/>
      <w:bookmarkEnd w:id="901"/>
    </w:p>
    <w:p>
      <w:pPr>
        <w:spacing w:line="420" w:lineRule="exact"/>
        <w:ind w:firstLine="420" w:firstLineChars="200"/>
        <w:rPr>
          <w:color w:val="auto"/>
          <w:szCs w:val="24"/>
          <w:highlight w:val="none"/>
        </w:rPr>
      </w:pPr>
      <w:r>
        <w:rPr>
          <w:rFonts w:hint="eastAsia"/>
          <w:color w:val="auto"/>
          <w:szCs w:val="24"/>
          <w:highlight w:val="none"/>
        </w:rPr>
        <w:t>本次评标采用综合评估法。评标委员会对满足招标文件实质性要求的投标文件，按照本章第</w:t>
      </w:r>
      <w:r>
        <w:rPr>
          <w:color w:val="auto"/>
          <w:szCs w:val="24"/>
          <w:highlight w:val="none"/>
        </w:rPr>
        <w:t>2.2</w:t>
      </w:r>
      <w:r>
        <w:rPr>
          <w:rFonts w:hint="eastAsia"/>
          <w:color w:val="auto"/>
          <w:szCs w:val="24"/>
          <w:highlight w:val="none"/>
        </w:rPr>
        <w:t>款规定的评分标准进行打分，并按得分由高到低顺序推荐中标候选人，或根据招标人授权直接确定中标人，但投标报价低于其成本的除外。综合评分相等时，以详细评审中</w:t>
      </w:r>
      <w:r>
        <w:rPr>
          <w:rFonts w:hint="eastAsia"/>
          <w:color w:val="auto"/>
          <w:szCs w:val="24"/>
          <w:highlight w:val="none"/>
          <w:lang w:val="en-US" w:eastAsia="zh-CN"/>
        </w:rPr>
        <w:t>技术</w:t>
      </w:r>
      <w:r>
        <w:rPr>
          <w:rFonts w:hint="eastAsia"/>
          <w:color w:val="auto"/>
          <w:szCs w:val="24"/>
          <w:highlight w:val="none"/>
        </w:rPr>
        <w:t>得分高的排前；</w:t>
      </w:r>
      <w:r>
        <w:rPr>
          <w:rFonts w:hint="eastAsia"/>
          <w:color w:val="auto"/>
          <w:szCs w:val="24"/>
          <w:highlight w:val="none"/>
          <w:lang w:val="en-US" w:eastAsia="zh-CN"/>
        </w:rPr>
        <w:t>若技术得分也相同的</w:t>
      </w:r>
      <w:r>
        <w:rPr>
          <w:rFonts w:hint="eastAsia"/>
          <w:color w:val="auto"/>
          <w:szCs w:val="24"/>
          <w:highlight w:val="none"/>
        </w:rPr>
        <w:t>，</w:t>
      </w:r>
      <w:r>
        <w:rPr>
          <w:rFonts w:hint="eastAsia"/>
          <w:color w:val="auto"/>
          <w:szCs w:val="24"/>
          <w:highlight w:val="none"/>
          <w:lang w:val="en-US" w:eastAsia="zh-CN"/>
        </w:rPr>
        <w:t>以</w:t>
      </w:r>
      <w:r>
        <w:rPr>
          <w:rFonts w:hint="eastAsia" w:ascii="宋体" w:hAnsi="宋体"/>
          <w:color w:val="auto"/>
          <w:sz w:val="21"/>
          <w:szCs w:val="21"/>
          <w:highlight w:val="none"/>
        </w:rPr>
        <w:t>评标价低</w:t>
      </w:r>
      <w:r>
        <w:rPr>
          <w:rFonts w:ascii="宋体" w:hAnsi="宋体"/>
          <w:color w:val="auto"/>
          <w:sz w:val="21"/>
          <w:szCs w:val="21"/>
          <w:highlight w:val="none"/>
        </w:rPr>
        <w:t>的</w:t>
      </w:r>
      <w:r>
        <w:rPr>
          <w:rFonts w:hint="eastAsia" w:ascii="宋体" w:hAnsi="宋体"/>
          <w:color w:val="auto"/>
          <w:sz w:val="21"/>
          <w:szCs w:val="21"/>
          <w:highlight w:val="none"/>
          <w:lang w:val="en-US" w:eastAsia="zh-CN"/>
        </w:rPr>
        <w:t>排前</w:t>
      </w:r>
      <w:r>
        <w:rPr>
          <w:rFonts w:hint="eastAsia"/>
          <w:color w:val="auto"/>
          <w:szCs w:val="24"/>
          <w:highlight w:val="none"/>
        </w:rPr>
        <w:t>；如果</w:t>
      </w:r>
      <w:r>
        <w:rPr>
          <w:rFonts w:hint="eastAsia"/>
          <w:color w:val="auto"/>
          <w:szCs w:val="24"/>
          <w:highlight w:val="none"/>
          <w:lang w:val="en-US" w:eastAsia="zh-CN"/>
        </w:rPr>
        <w:t>评标价</w:t>
      </w:r>
      <w:r>
        <w:rPr>
          <w:rFonts w:hint="eastAsia"/>
          <w:color w:val="auto"/>
          <w:szCs w:val="24"/>
          <w:highlight w:val="none"/>
        </w:rPr>
        <w:t>也相</w:t>
      </w:r>
      <w:r>
        <w:rPr>
          <w:rFonts w:hint="eastAsia"/>
          <w:color w:val="auto"/>
          <w:szCs w:val="24"/>
          <w:highlight w:val="none"/>
          <w:lang w:val="en-US" w:eastAsia="zh-CN"/>
        </w:rPr>
        <w:t>同</w:t>
      </w:r>
      <w:r>
        <w:rPr>
          <w:rFonts w:hint="eastAsia"/>
          <w:color w:val="auto"/>
          <w:szCs w:val="24"/>
          <w:highlight w:val="none"/>
        </w:rPr>
        <w:t>，按照评标办法前附表的规定确定中标候选人顺序。</w:t>
      </w:r>
    </w:p>
    <w:p>
      <w:pPr>
        <w:spacing w:line="360" w:lineRule="auto"/>
        <w:ind w:firstLine="420" w:firstLineChars="200"/>
        <w:rPr>
          <w:color w:val="auto"/>
          <w:szCs w:val="24"/>
          <w:highlight w:val="none"/>
        </w:rPr>
      </w:pPr>
    </w:p>
    <w:p>
      <w:pPr>
        <w:keepNext/>
        <w:keepLines/>
        <w:adjustRightInd w:val="0"/>
        <w:spacing w:before="240" w:after="120" w:line="20" w:lineRule="exact"/>
        <w:textAlignment w:val="baseline"/>
        <w:outlineLvl w:val="1"/>
        <w:rPr>
          <w:rFonts w:eastAsia="黑体"/>
          <w:color w:val="auto"/>
          <w:kern w:val="0"/>
          <w:sz w:val="24"/>
          <w:szCs w:val="20"/>
          <w:highlight w:val="none"/>
        </w:rPr>
      </w:pPr>
      <w:bookmarkStart w:id="902" w:name="_Toc24433"/>
      <w:bookmarkStart w:id="903" w:name="_Toc354098563"/>
      <w:bookmarkStart w:id="904" w:name="_Toc6700"/>
      <w:bookmarkStart w:id="905" w:name="_Toc5501"/>
      <w:bookmarkStart w:id="906" w:name="_Toc2609"/>
      <w:bookmarkStart w:id="907" w:name="_Toc18582"/>
      <w:bookmarkStart w:id="908" w:name="_Toc7544"/>
      <w:bookmarkStart w:id="909" w:name="_Toc170804626"/>
      <w:bookmarkStart w:id="910" w:name="_Toc18681"/>
      <w:bookmarkStart w:id="911" w:name="_Toc16882"/>
      <w:bookmarkStart w:id="912" w:name="_Toc27741"/>
      <w:r>
        <w:rPr>
          <w:rFonts w:eastAsia="黑体"/>
          <w:color w:val="auto"/>
          <w:kern w:val="0"/>
          <w:sz w:val="24"/>
          <w:szCs w:val="20"/>
          <w:highlight w:val="none"/>
        </w:rPr>
        <w:t xml:space="preserve">2. </w:t>
      </w:r>
      <w:r>
        <w:rPr>
          <w:rFonts w:hint="eastAsia" w:eastAsia="黑体"/>
          <w:color w:val="auto"/>
          <w:kern w:val="0"/>
          <w:sz w:val="24"/>
          <w:szCs w:val="20"/>
          <w:highlight w:val="none"/>
        </w:rPr>
        <w:t>评审标准</w:t>
      </w:r>
      <w:bookmarkEnd w:id="902"/>
      <w:bookmarkEnd w:id="903"/>
      <w:bookmarkEnd w:id="904"/>
      <w:bookmarkEnd w:id="905"/>
      <w:bookmarkEnd w:id="906"/>
      <w:bookmarkEnd w:id="907"/>
      <w:bookmarkEnd w:id="908"/>
      <w:bookmarkEnd w:id="909"/>
      <w:bookmarkEnd w:id="910"/>
      <w:bookmarkEnd w:id="911"/>
      <w:bookmarkEnd w:id="912"/>
    </w:p>
    <w:p>
      <w:pPr>
        <w:keepNext/>
        <w:keepLines/>
        <w:spacing w:before="260" w:after="260"/>
        <w:ind w:firstLine="137" w:firstLineChars="49"/>
        <w:outlineLvl w:val="2"/>
        <w:rPr>
          <w:rFonts w:ascii="黑体" w:eastAsia="黑体"/>
          <w:color w:val="auto"/>
          <w:sz w:val="28"/>
          <w:szCs w:val="20"/>
          <w:highlight w:val="none"/>
        </w:rPr>
      </w:pPr>
      <w:bookmarkStart w:id="913" w:name="_Toc170804627"/>
      <w:bookmarkStart w:id="914" w:name="_Toc7521"/>
      <w:bookmarkStart w:id="915" w:name="_Toc2608228"/>
      <w:bookmarkStart w:id="916" w:name="_Toc521"/>
      <w:bookmarkStart w:id="917" w:name="_Toc22317"/>
      <w:bookmarkStart w:id="918" w:name="_Toc11079"/>
      <w:bookmarkStart w:id="919" w:name="_Toc3159"/>
      <w:bookmarkStart w:id="920" w:name="_Toc7235"/>
      <w:bookmarkStart w:id="921" w:name="_Toc20723"/>
      <w:bookmarkStart w:id="922" w:name="_Toc7949"/>
      <w:bookmarkStart w:id="923" w:name="_Toc657362504"/>
      <w:bookmarkStart w:id="924" w:name="_Toc27918"/>
      <w:r>
        <w:rPr>
          <w:rFonts w:ascii="黑体" w:eastAsia="黑体"/>
          <w:color w:val="auto"/>
          <w:sz w:val="28"/>
          <w:szCs w:val="20"/>
          <w:highlight w:val="none"/>
        </w:rPr>
        <w:t xml:space="preserve">2.1 </w:t>
      </w:r>
      <w:r>
        <w:rPr>
          <w:rFonts w:hint="eastAsia" w:ascii="黑体" w:eastAsia="黑体"/>
          <w:color w:val="auto"/>
          <w:sz w:val="28"/>
          <w:szCs w:val="20"/>
          <w:highlight w:val="none"/>
        </w:rPr>
        <w:t>初步评审标准</w:t>
      </w:r>
      <w:bookmarkEnd w:id="913"/>
      <w:bookmarkEnd w:id="914"/>
      <w:bookmarkEnd w:id="915"/>
      <w:bookmarkEnd w:id="916"/>
      <w:bookmarkEnd w:id="917"/>
      <w:bookmarkEnd w:id="918"/>
      <w:bookmarkEnd w:id="919"/>
      <w:bookmarkEnd w:id="920"/>
      <w:bookmarkEnd w:id="921"/>
      <w:bookmarkEnd w:id="922"/>
      <w:bookmarkEnd w:id="923"/>
      <w:bookmarkEnd w:id="924"/>
    </w:p>
    <w:p>
      <w:pPr>
        <w:spacing w:line="400" w:lineRule="exact"/>
        <w:ind w:firstLine="420" w:firstLineChars="200"/>
        <w:rPr>
          <w:color w:val="auto"/>
          <w:szCs w:val="24"/>
          <w:highlight w:val="none"/>
        </w:rPr>
      </w:pPr>
      <w:r>
        <w:rPr>
          <w:color w:val="auto"/>
          <w:szCs w:val="24"/>
          <w:highlight w:val="none"/>
        </w:rPr>
        <w:t xml:space="preserve">2.1.1 </w:t>
      </w:r>
      <w:r>
        <w:rPr>
          <w:rFonts w:hint="eastAsia"/>
          <w:color w:val="auto"/>
          <w:szCs w:val="24"/>
          <w:highlight w:val="none"/>
        </w:rPr>
        <w:t>形式评审标准：见评标办法前附表。</w:t>
      </w:r>
    </w:p>
    <w:p>
      <w:pPr>
        <w:spacing w:line="400" w:lineRule="exact"/>
        <w:ind w:firstLine="420" w:firstLineChars="200"/>
        <w:rPr>
          <w:color w:val="auto"/>
          <w:szCs w:val="24"/>
          <w:highlight w:val="none"/>
        </w:rPr>
      </w:pPr>
      <w:r>
        <w:rPr>
          <w:color w:val="auto"/>
          <w:szCs w:val="24"/>
          <w:highlight w:val="none"/>
        </w:rPr>
        <w:t xml:space="preserve">2.1.2 </w:t>
      </w:r>
      <w:r>
        <w:rPr>
          <w:rFonts w:hint="eastAsia"/>
          <w:color w:val="auto"/>
          <w:szCs w:val="24"/>
          <w:highlight w:val="none"/>
        </w:rPr>
        <w:t>资格评审标准：见评标办法前附表。</w:t>
      </w:r>
    </w:p>
    <w:p>
      <w:pPr>
        <w:spacing w:line="400" w:lineRule="exact"/>
        <w:ind w:firstLine="420" w:firstLineChars="200"/>
        <w:rPr>
          <w:color w:val="auto"/>
          <w:szCs w:val="24"/>
          <w:highlight w:val="none"/>
        </w:rPr>
      </w:pPr>
      <w:r>
        <w:rPr>
          <w:color w:val="auto"/>
          <w:szCs w:val="24"/>
          <w:highlight w:val="none"/>
        </w:rPr>
        <w:t xml:space="preserve">2.1.3 </w:t>
      </w:r>
      <w:r>
        <w:rPr>
          <w:rFonts w:hint="eastAsia"/>
          <w:color w:val="auto"/>
          <w:szCs w:val="24"/>
          <w:highlight w:val="none"/>
        </w:rPr>
        <w:t>响应性评审标准：见评标办法前附表。</w:t>
      </w:r>
    </w:p>
    <w:p>
      <w:pPr>
        <w:keepNext/>
        <w:keepLines/>
        <w:spacing w:before="260" w:after="260"/>
        <w:ind w:firstLine="137" w:firstLineChars="49"/>
        <w:outlineLvl w:val="2"/>
        <w:rPr>
          <w:rFonts w:ascii="黑体" w:eastAsia="黑体"/>
          <w:color w:val="auto"/>
          <w:sz w:val="28"/>
          <w:szCs w:val="20"/>
          <w:highlight w:val="none"/>
        </w:rPr>
      </w:pPr>
      <w:bookmarkStart w:id="925" w:name="_Toc9071"/>
      <w:bookmarkStart w:id="926" w:name="_Toc20335"/>
      <w:bookmarkStart w:id="927" w:name="_Toc170804628"/>
      <w:bookmarkStart w:id="928" w:name="_Toc1635724560"/>
      <w:bookmarkStart w:id="929" w:name="_Toc2608229"/>
      <w:bookmarkStart w:id="930" w:name="_Toc12046"/>
      <w:bookmarkStart w:id="931" w:name="_Toc8626"/>
      <w:bookmarkStart w:id="932" w:name="_Toc18200"/>
      <w:bookmarkStart w:id="933" w:name="_Toc22510"/>
      <w:bookmarkStart w:id="934" w:name="_Toc26542"/>
      <w:bookmarkStart w:id="935" w:name="_Toc23781"/>
      <w:bookmarkStart w:id="936" w:name="_Toc3543"/>
      <w:r>
        <w:rPr>
          <w:rFonts w:ascii="黑体" w:eastAsia="黑体"/>
          <w:color w:val="auto"/>
          <w:sz w:val="28"/>
          <w:szCs w:val="20"/>
          <w:highlight w:val="none"/>
        </w:rPr>
        <w:t xml:space="preserve">2.2 </w:t>
      </w:r>
      <w:r>
        <w:rPr>
          <w:rFonts w:hint="eastAsia" w:ascii="黑体" w:eastAsia="黑体"/>
          <w:color w:val="auto"/>
          <w:sz w:val="28"/>
          <w:szCs w:val="20"/>
          <w:highlight w:val="none"/>
        </w:rPr>
        <w:t>分值构成与评分标准</w:t>
      </w:r>
      <w:bookmarkEnd w:id="925"/>
      <w:bookmarkEnd w:id="926"/>
      <w:bookmarkEnd w:id="927"/>
      <w:bookmarkEnd w:id="928"/>
      <w:bookmarkEnd w:id="929"/>
      <w:bookmarkEnd w:id="930"/>
      <w:bookmarkEnd w:id="931"/>
      <w:bookmarkEnd w:id="932"/>
      <w:bookmarkEnd w:id="933"/>
      <w:bookmarkEnd w:id="934"/>
      <w:bookmarkEnd w:id="935"/>
      <w:bookmarkEnd w:id="936"/>
    </w:p>
    <w:p>
      <w:pPr>
        <w:spacing w:line="400" w:lineRule="exact"/>
        <w:ind w:firstLine="420" w:firstLineChars="200"/>
        <w:rPr>
          <w:color w:val="auto"/>
          <w:szCs w:val="24"/>
          <w:highlight w:val="none"/>
        </w:rPr>
      </w:pPr>
      <w:r>
        <w:rPr>
          <w:color w:val="auto"/>
          <w:szCs w:val="24"/>
          <w:highlight w:val="none"/>
        </w:rPr>
        <w:t xml:space="preserve">2.2.1 </w:t>
      </w:r>
      <w:r>
        <w:rPr>
          <w:rFonts w:hint="eastAsia"/>
          <w:color w:val="auto"/>
          <w:szCs w:val="24"/>
          <w:highlight w:val="none"/>
        </w:rPr>
        <w:t>分值构成</w:t>
      </w:r>
    </w:p>
    <w:p>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w:t>
      </w:r>
      <w:r>
        <w:rPr>
          <w:rFonts w:hint="eastAsia"/>
          <w:color w:val="auto"/>
          <w:szCs w:val="24"/>
          <w:highlight w:val="none"/>
          <w:lang w:eastAsia="zh-CN"/>
        </w:rPr>
        <w:t>商务</w:t>
      </w:r>
      <w:r>
        <w:rPr>
          <w:rFonts w:hint="eastAsia"/>
          <w:color w:val="auto"/>
          <w:szCs w:val="24"/>
          <w:highlight w:val="none"/>
        </w:rPr>
        <w:t>部分：见评标办法前附表；</w:t>
      </w:r>
    </w:p>
    <w:p>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w:t>
      </w:r>
      <w:r>
        <w:rPr>
          <w:rFonts w:hint="eastAsia"/>
          <w:color w:val="auto"/>
          <w:szCs w:val="24"/>
          <w:highlight w:val="none"/>
          <w:lang w:eastAsia="zh-CN"/>
        </w:rPr>
        <w:t>技术</w:t>
      </w:r>
      <w:r>
        <w:rPr>
          <w:rFonts w:hint="eastAsia"/>
          <w:color w:val="auto"/>
          <w:szCs w:val="24"/>
          <w:highlight w:val="none"/>
        </w:rPr>
        <w:t>部分：见评标办法前附表；</w:t>
      </w:r>
    </w:p>
    <w:p>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3</w:t>
      </w:r>
      <w:r>
        <w:rPr>
          <w:rFonts w:hint="eastAsia"/>
          <w:color w:val="auto"/>
          <w:szCs w:val="24"/>
          <w:highlight w:val="none"/>
        </w:rPr>
        <w:t>）</w:t>
      </w:r>
      <w:r>
        <w:rPr>
          <w:rFonts w:hint="eastAsia"/>
          <w:color w:val="auto"/>
          <w:szCs w:val="24"/>
          <w:highlight w:val="none"/>
          <w:lang w:eastAsia="zh-CN"/>
        </w:rPr>
        <w:t>价格部分</w:t>
      </w:r>
      <w:r>
        <w:rPr>
          <w:rFonts w:hint="eastAsia"/>
          <w:color w:val="auto"/>
          <w:szCs w:val="24"/>
          <w:highlight w:val="none"/>
        </w:rPr>
        <w:t>：见评标办法前附表；</w:t>
      </w:r>
    </w:p>
    <w:p>
      <w:pPr>
        <w:spacing w:line="400" w:lineRule="exact"/>
        <w:ind w:firstLine="420" w:firstLineChars="200"/>
        <w:rPr>
          <w:color w:val="auto"/>
          <w:szCs w:val="24"/>
          <w:highlight w:val="none"/>
        </w:rPr>
      </w:pPr>
      <w:r>
        <w:rPr>
          <w:color w:val="auto"/>
          <w:szCs w:val="24"/>
          <w:highlight w:val="none"/>
        </w:rPr>
        <w:t xml:space="preserve">2.2.2 </w:t>
      </w:r>
      <w:r>
        <w:rPr>
          <w:rFonts w:hint="eastAsia"/>
          <w:color w:val="auto"/>
          <w:szCs w:val="24"/>
          <w:highlight w:val="none"/>
        </w:rPr>
        <w:t>评标基准价计算</w:t>
      </w:r>
    </w:p>
    <w:p>
      <w:pPr>
        <w:spacing w:line="400" w:lineRule="exact"/>
        <w:ind w:firstLine="420" w:firstLineChars="200"/>
        <w:rPr>
          <w:color w:val="auto"/>
          <w:szCs w:val="24"/>
          <w:highlight w:val="none"/>
        </w:rPr>
      </w:pPr>
      <w:r>
        <w:rPr>
          <w:rFonts w:hint="eastAsia"/>
          <w:color w:val="auto"/>
          <w:szCs w:val="24"/>
          <w:highlight w:val="none"/>
        </w:rPr>
        <w:t>评标基准价计算方法：见评标办法前附表。</w:t>
      </w:r>
    </w:p>
    <w:p>
      <w:pPr>
        <w:spacing w:line="400" w:lineRule="exact"/>
        <w:ind w:firstLine="420" w:firstLineChars="200"/>
        <w:rPr>
          <w:color w:val="auto"/>
          <w:szCs w:val="24"/>
          <w:highlight w:val="none"/>
        </w:rPr>
      </w:pPr>
      <w:r>
        <w:rPr>
          <w:color w:val="auto"/>
          <w:szCs w:val="24"/>
          <w:highlight w:val="none"/>
        </w:rPr>
        <w:t xml:space="preserve">2.2.3 </w:t>
      </w:r>
      <w:r>
        <w:rPr>
          <w:rFonts w:hint="eastAsia"/>
          <w:color w:val="auto"/>
          <w:szCs w:val="24"/>
          <w:highlight w:val="none"/>
        </w:rPr>
        <w:t>投标报价的偏差率计算</w:t>
      </w:r>
    </w:p>
    <w:p>
      <w:pPr>
        <w:spacing w:line="400" w:lineRule="exact"/>
        <w:ind w:firstLine="420" w:firstLineChars="200"/>
        <w:rPr>
          <w:color w:val="auto"/>
          <w:szCs w:val="24"/>
          <w:highlight w:val="none"/>
        </w:rPr>
      </w:pPr>
      <w:r>
        <w:rPr>
          <w:rFonts w:hint="eastAsia"/>
          <w:color w:val="auto"/>
          <w:szCs w:val="24"/>
          <w:highlight w:val="none"/>
        </w:rPr>
        <w:t>投标报价的偏差率计算公式：见评标办法前附表。</w:t>
      </w:r>
    </w:p>
    <w:p>
      <w:pPr>
        <w:spacing w:line="400" w:lineRule="exact"/>
        <w:ind w:firstLine="420" w:firstLineChars="200"/>
        <w:rPr>
          <w:color w:val="auto"/>
          <w:szCs w:val="24"/>
          <w:highlight w:val="none"/>
        </w:rPr>
      </w:pPr>
      <w:r>
        <w:rPr>
          <w:color w:val="auto"/>
          <w:szCs w:val="24"/>
          <w:highlight w:val="none"/>
        </w:rPr>
        <w:t xml:space="preserve">2.2.4 </w:t>
      </w:r>
      <w:r>
        <w:rPr>
          <w:rFonts w:hint="eastAsia"/>
          <w:color w:val="auto"/>
          <w:szCs w:val="24"/>
          <w:highlight w:val="none"/>
        </w:rPr>
        <w:t>评分标准</w:t>
      </w:r>
    </w:p>
    <w:p>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w:t>
      </w:r>
      <w:r>
        <w:rPr>
          <w:rFonts w:hint="eastAsia"/>
          <w:color w:val="auto"/>
          <w:szCs w:val="24"/>
          <w:highlight w:val="none"/>
          <w:lang w:eastAsia="zh-CN"/>
        </w:rPr>
        <w:t>商务</w:t>
      </w:r>
      <w:r>
        <w:rPr>
          <w:rFonts w:hint="eastAsia"/>
          <w:color w:val="auto"/>
          <w:szCs w:val="24"/>
          <w:highlight w:val="none"/>
        </w:rPr>
        <w:t>评分标准：见评标办法前附表；</w:t>
      </w:r>
    </w:p>
    <w:p>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w:t>
      </w:r>
      <w:r>
        <w:rPr>
          <w:rFonts w:hint="eastAsia"/>
          <w:color w:val="auto"/>
          <w:szCs w:val="24"/>
          <w:highlight w:val="none"/>
          <w:lang w:eastAsia="zh-CN"/>
        </w:rPr>
        <w:t>技术</w:t>
      </w:r>
      <w:r>
        <w:rPr>
          <w:rFonts w:hint="eastAsia"/>
          <w:color w:val="auto"/>
          <w:szCs w:val="24"/>
          <w:highlight w:val="none"/>
        </w:rPr>
        <w:t>评分标准：见评标办法前附表；</w:t>
      </w:r>
    </w:p>
    <w:p>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3</w:t>
      </w:r>
      <w:r>
        <w:rPr>
          <w:rFonts w:hint="eastAsia"/>
          <w:color w:val="auto"/>
          <w:szCs w:val="24"/>
          <w:highlight w:val="none"/>
        </w:rPr>
        <w:t>）</w:t>
      </w:r>
      <w:r>
        <w:rPr>
          <w:rFonts w:hint="eastAsia"/>
          <w:color w:val="auto"/>
          <w:szCs w:val="24"/>
          <w:highlight w:val="none"/>
          <w:lang w:eastAsia="zh-CN"/>
        </w:rPr>
        <w:t>价格</w:t>
      </w:r>
      <w:r>
        <w:rPr>
          <w:rFonts w:hint="eastAsia"/>
          <w:color w:val="auto"/>
          <w:szCs w:val="24"/>
          <w:highlight w:val="none"/>
        </w:rPr>
        <w:t>评分标准：见评标办法前附表；</w:t>
      </w:r>
    </w:p>
    <w:p>
      <w:pPr>
        <w:keepNext/>
        <w:keepLines/>
        <w:adjustRightInd w:val="0"/>
        <w:spacing w:before="240" w:after="120" w:line="20" w:lineRule="exact"/>
        <w:textAlignment w:val="baseline"/>
        <w:outlineLvl w:val="1"/>
        <w:rPr>
          <w:rFonts w:eastAsia="黑体"/>
          <w:color w:val="auto"/>
          <w:kern w:val="0"/>
          <w:sz w:val="24"/>
          <w:szCs w:val="20"/>
          <w:highlight w:val="none"/>
        </w:rPr>
      </w:pPr>
      <w:bookmarkStart w:id="937" w:name="_Toc5756"/>
      <w:bookmarkStart w:id="938" w:name="_Toc14563"/>
      <w:bookmarkStart w:id="939" w:name="_Toc11772"/>
      <w:bookmarkStart w:id="940" w:name="_Toc1370"/>
      <w:bookmarkStart w:id="941" w:name="_Toc8976"/>
      <w:bookmarkStart w:id="942" w:name="_Toc9892"/>
      <w:bookmarkStart w:id="943" w:name="_Toc1684514673"/>
      <w:bookmarkStart w:id="944" w:name="_Toc2145"/>
      <w:bookmarkStart w:id="945" w:name="_Toc170804629"/>
      <w:bookmarkStart w:id="946" w:name="_Toc32609"/>
      <w:bookmarkStart w:id="947" w:name="_Toc7278"/>
      <w:r>
        <w:rPr>
          <w:rFonts w:eastAsia="黑体"/>
          <w:color w:val="auto"/>
          <w:kern w:val="0"/>
          <w:sz w:val="24"/>
          <w:szCs w:val="20"/>
          <w:highlight w:val="none"/>
        </w:rPr>
        <w:t xml:space="preserve">3. </w:t>
      </w:r>
      <w:r>
        <w:rPr>
          <w:rFonts w:hint="eastAsia" w:eastAsia="黑体"/>
          <w:color w:val="auto"/>
          <w:kern w:val="0"/>
          <w:sz w:val="24"/>
          <w:szCs w:val="20"/>
          <w:highlight w:val="none"/>
        </w:rPr>
        <w:t>评标程序</w:t>
      </w:r>
      <w:bookmarkEnd w:id="937"/>
      <w:bookmarkEnd w:id="938"/>
      <w:bookmarkEnd w:id="939"/>
      <w:bookmarkEnd w:id="940"/>
      <w:bookmarkEnd w:id="941"/>
      <w:bookmarkEnd w:id="942"/>
      <w:bookmarkEnd w:id="943"/>
      <w:bookmarkEnd w:id="944"/>
      <w:bookmarkEnd w:id="945"/>
      <w:bookmarkEnd w:id="946"/>
      <w:bookmarkEnd w:id="947"/>
    </w:p>
    <w:p>
      <w:pPr>
        <w:keepNext/>
        <w:keepLines/>
        <w:spacing w:before="260" w:after="260"/>
        <w:ind w:firstLine="137" w:firstLineChars="49"/>
        <w:outlineLvl w:val="2"/>
        <w:rPr>
          <w:rFonts w:ascii="黑体" w:eastAsia="黑体"/>
          <w:color w:val="auto"/>
          <w:sz w:val="28"/>
          <w:szCs w:val="20"/>
          <w:highlight w:val="none"/>
        </w:rPr>
      </w:pPr>
      <w:bookmarkStart w:id="948" w:name="_Toc5319"/>
      <w:bookmarkStart w:id="949" w:name="_Toc14"/>
      <w:bookmarkStart w:id="950" w:name="_Toc3831"/>
      <w:bookmarkStart w:id="951" w:name="_Toc2608231"/>
      <w:bookmarkStart w:id="952" w:name="_Toc10821"/>
      <w:bookmarkStart w:id="953" w:name="_Toc1361190710"/>
      <w:bookmarkStart w:id="954" w:name="_Toc13080"/>
      <w:bookmarkStart w:id="955" w:name="_Toc25483"/>
      <w:bookmarkStart w:id="956" w:name="_Toc170804630"/>
      <w:bookmarkStart w:id="957" w:name="_Toc1005"/>
      <w:bookmarkStart w:id="958" w:name="_Toc10291"/>
      <w:bookmarkStart w:id="959" w:name="_Toc2445"/>
      <w:r>
        <w:rPr>
          <w:rFonts w:ascii="黑体" w:eastAsia="黑体"/>
          <w:color w:val="auto"/>
          <w:sz w:val="28"/>
          <w:szCs w:val="20"/>
          <w:highlight w:val="none"/>
        </w:rPr>
        <w:t xml:space="preserve">3.1 </w:t>
      </w:r>
      <w:r>
        <w:rPr>
          <w:rFonts w:hint="eastAsia" w:ascii="黑体" w:eastAsia="黑体"/>
          <w:color w:val="auto"/>
          <w:sz w:val="28"/>
          <w:szCs w:val="20"/>
          <w:highlight w:val="none"/>
        </w:rPr>
        <w:t>初步评审</w:t>
      </w:r>
      <w:bookmarkEnd w:id="948"/>
      <w:bookmarkEnd w:id="949"/>
      <w:bookmarkEnd w:id="950"/>
      <w:bookmarkEnd w:id="951"/>
      <w:bookmarkEnd w:id="952"/>
      <w:bookmarkEnd w:id="953"/>
      <w:bookmarkEnd w:id="954"/>
      <w:bookmarkEnd w:id="955"/>
      <w:bookmarkEnd w:id="956"/>
      <w:bookmarkEnd w:id="957"/>
      <w:bookmarkEnd w:id="958"/>
      <w:bookmarkEnd w:id="959"/>
    </w:p>
    <w:p>
      <w:pPr>
        <w:spacing w:line="400" w:lineRule="exact"/>
        <w:ind w:firstLine="420" w:firstLineChars="200"/>
        <w:rPr>
          <w:color w:val="auto"/>
          <w:szCs w:val="24"/>
          <w:highlight w:val="none"/>
        </w:rPr>
      </w:pPr>
      <w:r>
        <w:rPr>
          <w:color w:val="auto"/>
          <w:szCs w:val="24"/>
          <w:highlight w:val="none"/>
        </w:rPr>
        <w:t xml:space="preserve">3.1.1 </w:t>
      </w:r>
      <w:r>
        <w:rPr>
          <w:rFonts w:hint="eastAsia"/>
          <w:color w:val="auto"/>
          <w:szCs w:val="24"/>
          <w:highlight w:val="none"/>
        </w:rPr>
        <w:t>评标委员会可以要求投标人提交第二章</w:t>
      </w:r>
      <w:r>
        <w:rPr>
          <w:color w:val="auto"/>
          <w:szCs w:val="24"/>
          <w:highlight w:val="none"/>
        </w:rPr>
        <w:t>“</w:t>
      </w:r>
      <w:r>
        <w:rPr>
          <w:rFonts w:hint="eastAsia"/>
          <w:color w:val="auto"/>
          <w:szCs w:val="24"/>
          <w:highlight w:val="none"/>
        </w:rPr>
        <w:t>投标人须知</w:t>
      </w:r>
      <w:r>
        <w:rPr>
          <w:color w:val="auto"/>
          <w:szCs w:val="24"/>
          <w:highlight w:val="none"/>
        </w:rPr>
        <w:t>”</w:t>
      </w:r>
      <w:r>
        <w:rPr>
          <w:rFonts w:hint="eastAsia"/>
          <w:color w:val="auto"/>
          <w:szCs w:val="24"/>
          <w:highlight w:val="none"/>
        </w:rPr>
        <w:t>规定的有关证明和证件的原件，以便核验。评标委员会依据本章第</w:t>
      </w:r>
      <w:r>
        <w:rPr>
          <w:color w:val="auto"/>
          <w:szCs w:val="24"/>
          <w:highlight w:val="none"/>
        </w:rPr>
        <w:t>2.1</w:t>
      </w:r>
      <w:r>
        <w:rPr>
          <w:rFonts w:hint="eastAsia"/>
          <w:color w:val="auto"/>
          <w:szCs w:val="24"/>
          <w:highlight w:val="none"/>
        </w:rPr>
        <w:t>款规定的标准对投标文件进行初步评审。有一项不符合评审标准的，评标委员会应当否决其投标。</w:t>
      </w:r>
    </w:p>
    <w:p>
      <w:pPr>
        <w:spacing w:line="400" w:lineRule="exact"/>
        <w:ind w:firstLine="420" w:firstLineChars="200"/>
        <w:rPr>
          <w:color w:val="auto"/>
          <w:szCs w:val="24"/>
          <w:highlight w:val="none"/>
        </w:rPr>
      </w:pPr>
      <w:r>
        <w:rPr>
          <w:color w:val="auto"/>
          <w:szCs w:val="24"/>
          <w:highlight w:val="none"/>
        </w:rPr>
        <w:t xml:space="preserve">3.1.2 </w:t>
      </w:r>
      <w:r>
        <w:rPr>
          <w:rFonts w:hint="eastAsia"/>
          <w:color w:val="auto"/>
          <w:szCs w:val="24"/>
          <w:highlight w:val="none"/>
        </w:rPr>
        <w:t>投标人有以下情形之一的，评标委员会应当否决其投标：</w:t>
      </w:r>
    </w:p>
    <w:p>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）投标文件没有对招标文件的实质性要求和条件作出响应，或者对招标文件的偏差超出招标文件规定的偏差范围或最高项数；</w:t>
      </w:r>
    </w:p>
    <w:p>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）有串通投标、弄虚作假、行贿等违法行为。</w:t>
      </w:r>
    </w:p>
    <w:p>
      <w:pPr>
        <w:spacing w:line="400" w:lineRule="exact"/>
        <w:ind w:firstLine="420" w:firstLineChars="200"/>
        <w:rPr>
          <w:color w:val="auto"/>
          <w:szCs w:val="24"/>
          <w:highlight w:val="none"/>
        </w:rPr>
      </w:pPr>
      <w:r>
        <w:rPr>
          <w:color w:val="auto"/>
          <w:szCs w:val="24"/>
          <w:highlight w:val="none"/>
        </w:rPr>
        <w:t xml:space="preserve">3.1.3 </w:t>
      </w:r>
      <w:r>
        <w:rPr>
          <w:rFonts w:hint="eastAsia"/>
          <w:color w:val="auto"/>
          <w:szCs w:val="24"/>
          <w:highlight w:val="none"/>
        </w:rPr>
        <w:t>投标报价有算术错误及其他错误的，评标委员会按以下原则要求投标人对投标报价进行修正，并要求投标人书面澄清确认。投标人拒不澄清确认的，评标委员会应当否决其投标：</w:t>
      </w:r>
    </w:p>
    <w:p>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）投标文件中的大写金额与小写金额不一致的，以大写金额为准；</w:t>
      </w:r>
    </w:p>
    <w:p>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）总价金额与单价金额不一致的，以单价金额为准，但单价金额小数点有明显错误的除外。</w:t>
      </w:r>
    </w:p>
    <w:p>
      <w:pPr>
        <w:keepNext/>
        <w:keepLines/>
        <w:spacing w:before="260" w:after="260"/>
        <w:ind w:firstLine="137" w:firstLineChars="49"/>
        <w:outlineLvl w:val="2"/>
        <w:rPr>
          <w:rFonts w:ascii="黑体" w:eastAsia="黑体"/>
          <w:color w:val="auto"/>
          <w:sz w:val="28"/>
          <w:szCs w:val="20"/>
          <w:highlight w:val="none"/>
        </w:rPr>
      </w:pPr>
      <w:bookmarkStart w:id="960" w:name="_Toc12715"/>
      <w:bookmarkStart w:id="961" w:name="_Toc10133"/>
      <w:bookmarkStart w:id="962" w:name="_Toc20977"/>
      <w:bookmarkStart w:id="963" w:name="_Toc4253"/>
      <w:bookmarkStart w:id="964" w:name="_Toc3410"/>
      <w:bookmarkStart w:id="965" w:name="_Toc170804631"/>
      <w:bookmarkStart w:id="966" w:name="_Toc2608232"/>
      <w:bookmarkStart w:id="967" w:name="_Toc4981"/>
      <w:bookmarkStart w:id="968" w:name="_Toc388971479"/>
      <w:bookmarkStart w:id="969" w:name="_Toc27012"/>
      <w:bookmarkStart w:id="970" w:name="_Toc30398"/>
      <w:bookmarkStart w:id="971" w:name="_Toc22220"/>
      <w:r>
        <w:rPr>
          <w:rFonts w:ascii="黑体" w:eastAsia="黑体"/>
          <w:color w:val="auto"/>
          <w:sz w:val="28"/>
          <w:szCs w:val="20"/>
          <w:highlight w:val="none"/>
        </w:rPr>
        <w:t xml:space="preserve">3.2 </w:t>
      </w:r>
      <w:r>
        <w:rPr>
          <w:rFonts w:hint="eastAsia" w:ascii="黑体" w:eastAsia="黑体"/>
          <w:color w:val="auto"/>
          <w:sz w:val="28"/>
          <w:szCs w:val="20"/>
          <w:highlight w:val="none"/>
        </w:rPr>
        <w:t>详细评审</w:t>
      </w:r>
      <w:bookmarkEnd w:id="960"/>
      <w:bookmarkEnd w:id="961"/>
      <w:bookmarkEnd w:id="962"/>
      <w:bookmarkEnd w:id="963"/>
      <w:bookmarkEnd w:id="964"/>
      <w:bookmarkEnd w:id="965"/>
      <w:bookmarkEnd w:id="966"/>
      <w:bookmarkEnd w:id="967"/>
      <w:bookmarkEnd w:id="968"/>
      <w:bookmarkEnd w:id="969"/>
      <w:bookmarkEnd w:id="970"/>
      <w:bookmarkEnd w:id="971"/>
    </w:p>
    <w:p>
      <w:pPr>
        <w:spacing w:line="400" w:lineRule="exact"/>
        <w:ind w:firstLine="420" w:firstLineChars="200"/>
        <w:rPr>
          <w:color w:val="auto"/>
          <w:szCs w:val="24"/>
          <w:highlight w:val="none"/>
        </w:rPr>
      </w:pPr>
      <w:r>
        <w:rPr>
          <w:color w:val="auto"/>
          <w:szCs w:val="24"/>
          <w:highlight w:val="none"/>
        </w:rPr>
        <w:t xml:space="preserve">3.2.1 </w:t>
      </w:r>
      <w:r>
        <w:rPr>
          <w:rFonts w:hint="eastAsia"/>
          <w:color w:val="auto"/>
          <w:szCs w:val="24"/>
          <w:highlight w:val="none"/>
        </w:rPr>
        <w:t>评标委员会按本章第</w:t>
      </w:r>
      <w:r>
        <w:rPr>
          <w:color w:val="auto"/>
          <w:szCs w:val="24"/>
          <w:highlight w:val="none"/>
        </w:rPr>
        <w:t>2.2</w:t>
      </w:r>
      <w:r>
        <w:rPr>
          <w:rFonts w:hint="eastAsia"/>
          <w:color w:val="auto"/>
          <w:szCs w:val="24"/>
          <w:highlight w:val="none"/>
        </w:rPr>
        <w:t>款规定的量化因素和分值进行打分，并计算出综合评估得分。</w:t>
      </w:r>
    </w:p>
    <w:p>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）按本章第</w:t>
      </w:r>
      <w:r>
        <w:rPr>
          <w:color w:val="auto"/>
          <w:szCs w:val="24"/>
          <w:highlight w:val="none"/>
        </w:rPr>
        <w:t>2.2.4</w:t>
      </w:r>
      <w:r>
        <w:rPr>
          <w:rFonts w:hint="eastAsia"/>
          <w:color w:val="auto"/>
          <w:szCs w:val="24"/>
          <w:highlight w:val="none"/>
        </w:rPr>
        <w:t>（</w:t>
      </w:r>
      <w:r>
        <w:rPr>
          <w:color w:val="auto"/>
          <w:szCs w:val="24"/>
          <w:highlight w:val="none"/>
        </w:rPr>
        <w:t>1</w:t>
      </w:r>
      <w:r>
        <w:rPr>
          <w:rFonts w:hint="eastAsia"/>
          <w:color w:val="auto"/>
          <w:szCs w:val="24"/>
          <w:highlight w:val="none"/>
        </w:rPr>
        <w:t>）目规定的评审因素和分值对</w:t>
      </w:r>
      <w:r>
        <w:rPr>
          <w:rFonts w:hint="eastAsia"/>
          <w:color w:val="auto"/>
          <w:szCs w:val="24"/>
          <w:highlight w:val="none"/>
          <w:lang w:eastAsia="zh-CN"/>
        </w:rPr>
        <w:t>商务</w:t>
      </w:r>
      <w:r>
        <w:rPr>
          <w:rFonts w:hint="eastAsia"/>
          <w:color w:val="auto"/>
          <w:szCs w:val="24"/>
          <w:highlight w:val="none"/>
        </w:rPr>
        <w:t>部分计算出得分</w:t>
      </w:r>
      <w:r>
        <w:rPr>
          <w:color w:val="auto"/>
          <w:szCs w:val="24"/>
          <w:highlight w:val="none"/>
        </w:rPr>
        <w:t>A</w:t>
      </w:r>
      <w:r>
        <w:rPr>
          <w:rFonts w:hint="eastAsia"/>
          <w:color w:val="auto"/>
          <w:szCs w:val="24"/>
          <w:highlight w:val="none"/>
        </w:rPr>
        <w:t>；</w:t>
      </w:r>
    </w:p>
    <w:p>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）按本章第</w:t>
      </w:r>
      <w:r>
        <w:rPr>
          <w:color w:val="auto"/>
          <w:szCs w:val="24"/>
          <w:highlight w:val="none"/>
        </w:rPr>
        <w:t>2.2.4</w:t>
      </w:r>
      <w:r>
        <w:rPr>
          <w:rFonts w:hint="eastAsia"/>
          <w:color w:val="auto"/>
          <w:szCs w:val="24"/>
          <w:highlight w:val="none"/>
        </w:rPr>
        <w:t>（</w:t>
      </w:r>
      <w:r>
        <w:rPr>
          <w:color w:val="auto"/>
          <w:szCs w:val="24"/>
          <w:highlight w:val="none"/>
        </w:rPr>
        <w:t>2</w:t>
      </w:r>
      <w:r>
        <w:rPr>
          <w:rFonts w:hint="eastAsia"/>
          <w:color w:val="auto"/>
          <w:szCs w:val="24"/>
          <w:highlight w:val="none"/>
        </w:rPr>
        <w:t>）目规定的评审因素和分值对</w:t>
      </w:r>
      <w:r>
        <w:rPr>
          <w:rFonts w:hint="eastAsia"/>
          <w:color w:val="auto"/>
          <w:szCs w:val="24"/>
          <w:highlight w:val="none"/>
          <w:lang w:eastAsia="zh-CN"/>
        </w:rPr>
        <w:t>技术</w:t>
      </w:r>
      <w:r>
        <w:rPr>
          <w:rFonts w:hint="eastAsia"/>
          <w:color w:val="auto"/>
          <w:szCs w:val="24"/>
          <w:highlight w:val="none"/>
        </w:rPr>
        <w:t>部分计算出得分</w:t>
      </w:r>
      <w:r>
        <w:rPr>
          <w:color w:val="auto"/>
          <w:szCs w:val="24"/>
          <w:highlight w:val="none"/>
        </w:rPr>
        <w:t>B</w:t>
      </w:r>
      <w:r>
        <w:rPr>
          <w:rFonts w:hint="eastAsia"/>
          <w:color w:val="auto"/>
          <w:szCs w:val="24"/>
          <w:highlight w:val="none"/>
        </w:rPr>
        <w:t>；</w:t>
      </w:r>
    </w:p>
    <w:p>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3</w:t>
      </w:r>
      <w:r>
        <w:rPr>
          <w:rFonts w:hint="eastAsia"/>
          <w:color w:val="auto"/>
          <w:szCs w:val="24"/>
          <w:highlight w:val="none"/>
        </w:rPr>
        <w:t>）按本章第</w:t>
      </w:r>
      <w:r>
        <w:rPr>
          <w:color w:val="auto"/>
          <w:szCs w:val="24"/>
          <w:highlight w:val="none"/>
        </w:rPr>
        <w:t>2.2.4</w:t>
      </w:r>
      <w:r>
        <w:rPr>
          <w:rFonts w:hint="eastAsia"/>
          <w:color w:val="auto"/>
          <w:szCs w:val="24"/>
          <w:highlight w:val="none"/>
        </w:rPr>
        <w:t>（</w:t>
      </w:r>
      <w:r>
        <w:rPr>
          <w:color w:val="auto"/>
          <w:szCs w:val="24"/>
          <w:highlight w:val="none"/>
        </w:rPr>
        <w:t>3</w:t>
      </w:r>
      <w:r>
        <w:rPr>
          <w:rFonts w:hint="eastAsia"/>
          <w:color w:val="auto"/>
          <w:szCs w:val="24"/>
          <w:highlight w:val="none"/>
        </w:rPr>
        <w:t>）目规定的评审因素和分值对</w:t>
      </w:r>
      <w:r>
        <w:rPr>
          <w:rFonts w:hint="eastAsia"/>
          <w:color w:val="auto"/>
          <w:szCs w:val="24"/>
          <w:highlight w:val="none"/>
          <w:lang w:eastAsia="zh-CN"/>
        </w:rPr>
        <w:t>价格部分</w:t>
      </w:r>
      <w:r>
        <w:rPr>
          <w:rFonts w:hint="eastAsia"/>
          <w:color w:val="auto"/>
          <w:szCs w:val="24"/>
          <w:highlight w:val="none"/>
        </w:rPr>
        <w:t>计算出得分</w:t>
      </w:r>
      <w:r>
        <w:rPr>
          <w:color w:val="auto"/>
          <w:szCs w:val="24"/>
          <w:highlight w:val="none"/>
        </w:rPr>
        <w:t>C</w:t>
      </w:r>
      <w:r>
        <w:rPr>
          <w:rFonts w:hint="eastAsia"/>
          <w:color w:val="auto"/>
          <w:szCs w:val="24"/>
          <w:highlight w:val="none"/>
        </w:rPr>
        <w:t>；</w:t>
      </w:r>
    </w:p>
    <w:p>
      <w:pPr>
        <w:spacing w:line="400" w:lineRule="exact"/>
        <w:ind w:firstLine="420" w:firstLineChars="200"/>
        <w:rPr>
          <w:color w:val="auto"/>
          <w:szCs w:val="24"/>
          <w:highlight w:val="none"/>
        </w:rPr>
      </w:pPr>
      <w:r>
        <w:rPr>
          <w:color w:val="auto"/>
          <w:szCs w:val="24"/>
          <w:highlight w:val="none"/>
        </w:rPr>
        <w:t xml:space="preserve">3.2.2 </w:t>
      </w:r>
      <w:r>
        <w:rPr>
          <w:rFonts w:hint="eastAsia"/>
          <w:color w:val="auto"/>
          <w:szCs w:val="24"/>
          <w:highlight w:val="none"/>
        </w:rPr>
        <w:t>评分分值计算保留小数点后两位，小数点后第三位</w:t>
      </w:r>
      <w:r>
        <w:rPr>
          <w:color w:val="auto"/>
          <w:szCs w:val="24"/>
          <w:highlight w:val="none"/>
        </w:rPr>
        <w:t>“</w:t>
      </w:r>
      <w:r>
        <w:rPr>
          <w:rFonts w:hint="eastAsia"/>
          <w:color w:val="auto"/>
          <w:szCs w:val="24"/>
          <w:highlight w:val="none"/>
        </w:rPr>
        <w:t>四舍五入</w:t>
      </w:r>
      <w:r>
        <w:rPr>
          <w:color w:val="auto"/>
          <w:szCs w:val="24"/>
          <w:highlight w:val="none"/>
        </w:rPr>
        <w:t>”</w:t>
      </w:r>
      <w:r>
        <w:rPr>
          <w:rFonts w:hint="eastAsia"/>
          <w:color w:val="auto"/>
          <w:szCs w:val="24"/>
          <w:highlight w:val="none"/>
        </w:rPr>
        <w:t>。</w:t>
      </w:r>
    </w:p>
    <w:p>
      <w:pPr>
        <w:spacing w:line="400" w:lineRule="exact"/>
        <w:ind w:firstLine="420" w:firstLineChars="200"/>
        <w:rPr>
          <w:color w:val="auto"/>
          <w:szCs w:val="24"/>
          <w:highlight w:val="none"/>
        </w:rPr>
      </w:pPr>
      <w:r>
        <w:rPr>
          <w:color w:val="auto"/>
          <w:szCs w:val="24"/>
          <w:highlight w:val="none"/>
        </w:rPr>
        <w:t xml:space="preserve">3.2.3 </w:t>
      </w:r>
      <w:r>
        <w:rPr>
          <w:rFonts w:hint="eastAsia"/>
          <w:color w:val="auto"/>
          <w:szCs w:val="24"/>
          <w:highlight w:val="none"/>
        </w:rPr>
        <w:t>投标人得分</w:t>
      </w:r>
      <w:r>
        <w:rPr>
          <w:color w:val="auto"/>
          <w:szCs w:val="24"/>
          <w:highlight w:val="none"/>
        </w:rPr>
        <w:t>=A+B+C</w:t>
      </w:r>
      <w:r>
        <w:rPr>
          <w:rFonts w:hint="eastAsia"/>
          <w:color w:val="auto"/>
          <w:szCs w:val="24"/>
          <w:highlight w:val="none"/>
        </w:rPr>
        <w:t>。</w:t>
      </w:r>
    </w:p>
    <w:p>
      <w:pPr>
        <w:spacing w:line="400" w:lineRule="exact"/>
        <w:ind w:firstLine="420" w:firstLineChars="200"/>
        <w:rPr>
          <w:color w:val="auto"/>
          <w:szCs w:val="24"/>
          <w:highlight w:val="none"/>
        </w:rPr>
      </w:pPr>
      <w:r>
        <w:rPr>
          <w:color w:val="auto"/>
          <w:szCs w:val="24"/>
          <w:highlight w:val="none"/>
        </w:rPr>
        <w:t xml:space="preserve">3.2.4 </w:t>
      </w:r>
      <w:r>
        <w:rPr>
          <w:rFonts w:hint="eastAsia"/>
          <w:color w:val="auto"/>
          <w:szCs w:val="24"/>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keepLines/>
        <w:spacing w:before="260" w:after="260"/>
        <w:ind w:firstLine="137" w:firstLineChars="49"/>
        <w:outlineLvl w:val="2"/>
        <w:rPr>
          <w:rFonts w:ascii="黑体" w:eastAsia="黑体"/>
          <w:color w:val="auto"/>
          <w:sz w:val="28"/>
          <w:szCs w:val="20"/>
          <w:highlight w:val="none"/>
        </w:rPr>
      </w:pPr>
      <w:bookmarkStart w:id="972" w:name="_Toc29534"/>
      <w:bookmarkStart w:id="973" w:name="_Toc12487"/>
      <w:bookmarkStart w:id="974" w:name="_Toc12493"/>
      <w:bookmarkStart w:id="975" w:name="_Toc170804632"/>
      <w:bookmarkStart w:id="976" w:name="_Toc503426085"/>
      <w:bookmarkStart w:id="977" w:name="_Toc30831"/>
      <w:bookmarkStart w:id="978" w:name="_Toc28627"/>
      <w:bookmarkStart w:id="979" w:name="_Toc31352"/>
      <w:bookmarkStart w:id="980" w:name="_Toc9210"/>
      <w:bookmarkStart w:id="981" w:name="_Toc2608233"/>
      <w:bookmarkStart w:id="982" w:name="_Toc22617"/>
      <w:bookmarkStart w:id="983" w:name="_Toc20410"/>
      <w:r>
        <w:rPr>
          <w:rFonts w:ascii="黑体" w:eastAsia="黑体"/>
          <w:color w:val="auto"/>
          <w:sz w:val="28"/>
          <w:szCs w:val="20"/>
          <w:highlight w:val="none"/>
        </w:rPr>
        <w:t xml:space="preserve">3.3 </w:t>
      </w:r>
      <w:r>
        <w:rPr>
          <w:rFonts w:hint="eastAsia" w:ascii="黑体" w:eastAsia="黑体"/>
          <w:color w:val="auto"/>
          <w:sz w:val="28"/>
          <w:szCs w:val="20"/>
          <w:highlight w:val="none"/>
        </w:rPr>
        <w:t>投标文件的澄清</w:t>
      </w:r>
      <w:bookmarkEnd w:id="972"/>
      <w:bookmarkEnd w:id="973"/>
      <w:bookmarkEnd w:id="974"/>
      <w:bookmarkEnd w:id="975"/>
      <w:bookmarkEnd w:id="976"/>
      <w:bookmarkEnd w:id="977"/>
      <w:bookmarkEnd w:id="978"/>
      <w:bookmarkEnd w:id="979"/>
      <w:bookmarkEnd w:id="980"/>
      <w:bookmarkEnd w:id="981"/>
      <w:bookmarkEnd w:id="982"/>
      <w:bookmarkEnd w:id="983"/>
    </w:p>
    <w:p>
      <w:pPr>
        <w:spacing w:line="400" w:lineRule="exact"/>
        <w:ind w:firstLine="420" w:firstLineChars="200"/>
        <w:rPr>
          <w:color w:val="auto"/>
          <w:szCs w:val="24"/>
          <w:highlight w:val="none"/>
        </w:rPr>
      </w:pPr>
      <w:r>
        <w:rPr>
          <w:color w:val="auto"/>
          <w:szCs w:val="24"/>
          <w:highlight w:val="none"/>
        </w:rPr>
        <w:t xml:space="preserve">3.3.1 </w:t>
      </w:r>
      <w:r>
        <w:rPr>
          <w:rFonts w:hint="eastAsia"/>
          <w:color w:val="auto"/>
          <w:szCs w:val="24"/>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color w:val="auto"/>
          <w:szCs w:val="24"/>
          <w:highlight w:val="none"/>
        </w:rPr>
      </w:pPr>
      <w:r>
        <w:rPr>
          <w:color w:val="auto"/>
          <w:szCs w:val="24"/>
          <w:highlight w:val="none"/>
        </w:rPr>
        <w:t xml:space="preserve">3.3.2 </w:t>
      </w:r>
      <w:r>
        <w:rPr>
          <w:rFonts w:hint="eastAsia"/>
          <w:color w:val="auto"/>
          <w:szCs w:val="24"/>
          <w:highlight w:val="none"/>
        </w:rPr>
        <w:t>澄清、说明或补正不得超出投标文件的范围且不得改变投标文件的实质性内容，并构成投标文件的组成部分。</w:t>
      </w:r>
    </w:p>
    <w:p>
      <w:pPr>
        <w:spacing w:line="400" w:lineRule="exact"/>
        <w:ind w:firstLine="420" w:firstLineChars="200"/>
        <w:rPr>
          <w:color w:val="auto"/>
          <w:szCs w:val="24"/>
          <w:highlight w:val="none"/>
        </w:rPr>
      </w:pPr>
      <w:r>
        <w:rPr>
          <w:color w:val="auto"/>
          <w:szCs w:val="24"/>
          <w:highlight w:val="none"/>
        </w:rPr>
        <w:t xml:space="preserve">3.3.3 </w:t>
      </w:r>
      <w:r>
        <w:rPr>
          <w:rFonts w:hint="eastAsia"/>
          <w:color w:val="auto"/>
          <w:szCs w:val="24"/>
          <w:highlight w:val="none"/>
        </w:rPr>
        <w:t>评标委员会对投标人提交的澄清、说明或补正有疑问的，可以要求投标人进一步澄清、说明或补正，直至满足评标委员会的要求。</w:t>
      </w:r>
    </w:p>
    <w:p>
      <w:pPr>
        <w:keepNext/>
        <w:keepLines/>
        <w:spacing w:before="260" w:after="260"/>
        <w:ind w:firstLine="137" w:firstLineChars="49"/>
        <w:outlineLvl w:val="2"/>
        <w:rPr>
          <w:rFonts w:ascii="黑体" w:eastAsia="黑体"/>
          <w:color w:val="auto"/>
          <w:sz w:val="28"/>
          <w:szCs w:val="20"/>
          <w:highlight w:val="none"/>
        </w:rPr>
      </w:pPr>
      <w:bookmarkStart w:id="984" w:name="_Toc9263"/>
      <w:bookmarkStart w:id="985" w:name="_Toc3321"/>
      <w:bookmarkStart w:id="986" w:name="_Toc21997"/>
      <w:bookmarkStart w:id="987" w:name="_Toc2144125062"/>
      <w:bookmarkStart w:id="988" w:name="_Toc15168"/>
      <w:bookmarkStart w:id="989" w:name="_Toc19743"/>
      <w:bookmarkStart w:id="990" w:name="_Toc11377"/>
      <w:bookmarkStart w:id="991" w:name="_Toc170804633"/>
      <w:bookmarkStart w:id="992" w:name="_Toc8907"/>
      <w:bookmarkStart w:id="993" w:name="_Toc30065"/>
      <w:bookmarkStart w:id="994" w:name="_Toc30345"/>
      <w:bookmarkStart w:id="995" w:name="_Toc2608234"/>
      <w:r>
        <w:rPr>
          <w:rFonts w:ascii="黑体" w:eastAsia="黑体"/>
          <w:color w:val="auto"/>
          <w:sz w:val="28"/>
          <w:szCs w:val="20"/>
          <w:highlight w:val="none"/>
        </w:rPr>
        <w:t xml:space="preserve">3.4 </w:t>
      </w:r>
      <w:r>
        <w:rPr>
          <w:rFonts w:hint="eastAsia" w:ascii="黑体" w:eastAsia="黑体"/>
          <w:color w:val="auto"/>
          <w:sz w:val="28"/>
          <w:szCs w:val="20"/>
          <w:highlight w:val="none"/>
        </w:rPr>
        <w:t>评标结果</w:t>
      </w:r>
      <w:bookmarkEnd w:id="984"/>
      <w:bookmarkEnd w:id="985"/>
      <w:bookmarkEnd w:id="986"/>
      <w:bookmarkEnd w:id="987"/>
      <w:bookmarkEnd w:id="988"/>
      <w:bookmarkEnd w:id="989"/>
      <w:bookmarkEnd w:id="990"/>
      <w:bookmarkEnd w:id="991"/>
      <w:bookmarkEnd w:id="992"/>
      <w:bookmarkEnd w:id="993"/>
      <w:bookmarkEnd w:id="994"/>
      <w:bookmarkEnd w:id="995"/>
    </w:p>
    <w:p>
      <w:pPr>
        <w:spacing w:line="400" w:lineRule="exact"/>
        <w:ind w:firstLine="420" w:firstLineChars="200"/>
        <w:rPr>
          <w:color w:val="auto"/>
          <w:szCs w:val="24"/>
          <w:highlight w:val="none"/>
        </w:rPr>
      </w:pPr>
      <w:r>
        <w:rPr>
          <w:color w:val="auto"/>
          <w:szCs w:val="24"/>
          <w:highlight w:val="none"/>
        </w:rPr>
        <w:t xml:space="preserve">3.4.1 </w:t>
      </w:r>
      <w:r>
        <w:rPr>
          <w:rFonts w:hint="eastAsia"/>
          <w:color w:val="auto"/>
          <w:szCs w:val="24"/>
          <w:highlight w:val="none"/>
        </w:rPr>
        <w:t>除第二章</w:t>
      </w:r>
      <w:r>
        <w:rPr>
          <w:color w:val="auto"/>
          <w:szCs w:val="24"/>
          <w:highlight w:val="none"/>
        </w:rPr>
        <w:t>“</w:t>
      </w:r>
      <w:r>
        <w:rPr>
          <w:rFonts w:hint="eastAsia"/>
          <w:color w:val="auto"/>
          <w:szCs w:val="24"/>
          <w:highlight w:val="none"/>
        </w:rPr>
        <w:t>投标人须知</w:t>
      </w:r>
      <w:r>
        <w:rPr>
          <w:color w:val="auto"/>
          <w:szCs w:val="24"/>
          <w:highlight w:val="none"/>
        </w:rPr>
        <w:t>”</w:t>
      </w:r>
      <w:r>
        <w:rPr>
          <w:rFonts w:hint="eastAsia"/>
          <w:color w:val="auto"/>
          <w:szCs w:val="24"/>
          <w:highlight w:val="none"/>
        </w:rPr>
        <w:t>前附表授权直接确定中标人外，评标委员会按照得分由高到低的顺序推荐中标候选人，并标明排序。</w:t>
      </w:r>
    </w:p>
    <w:p>
      <w:pPr>
        <w:spacing w:line="400" w:lineRule="exact"/>
        <w:ind w:firstLine="420" w:firstLineChars="200"/>
        <w:rPr>
          <w:color w:val="auto"/>
          <w:szCs w:val="24"/>
          <w:highlight w:val="none"/>
        </w:rPr>
      </w:pPr>
      <w:r>
        <w:rPr>
          <w:color w:val="auto"/>
          <w:szCs w:val="24"/>
          <w:highlight w:val="none"/>
        </w:rPr>
        <w:t xml:space="preserve">3.4.2 </w:t>
      </w:r>
      <w:r>
        <w:rPr>
          <w:rFonts w:hint="eastAsia"/>
          <w:color w:val="auto"/>
          <w:szCs w:val="24"/>
          <w:highlight w:val="none"/>
        </w:rPr>
        <w:t>评标委员会完成评标后，应当向招标人提交书面评标报告和中标候选人名单。</w:t>
      </w:r>
    </w:p>
    <w:p>
      <w:pPr>
        <w:rPr>
          <w:color w:val="auto"/>
          <w:szCs w:val="24"/>
          <w:highlight w:val="none"/>
        </w:rPr>
      </w:pPr>
      <w:r>
        <w:rPr>
          <w:rFonts w:hint="eastAsia"/>
          <w:color w:val="auto"/>
          <w:szCs w:val="24"/>
          <w:highlight w:val="none"/>
        </w:rPr>
        <w:br w:type="page"/>
      </w:r>
    </w:p>
    <w:p>
      <w:pPr>
        <w:keepNext/>
        <w:keepLines/>
        <w:numPr>
          <w:ilvl w:val="255"/>
          <w:numId w:val="0"/>
        </w:numPr>
        <w:adjustRightInd w:val="0"/>
        <w:spacing w:line="420" w:lineRule="exact"/>
        <w:jc w:val="center"/>
        <w:textAlignment w:val="baseline"/>
        <w:outlineLvl w:val="0"/>
        <w:rPr>
          <w:rFonts w:eastAsia="黑体"/>
          <w:color w:val="auto"/>
          <w:kern w:val="24"/>
          <w:sz w:val="28"/>
          <w:szCs w:val="20"/>
          <w:highlight w:val="none"/>
        </w:rPr>
      </w:pPr>
      <w:bookmarkStart w:id="996" w:name="_Toc27843"/>
      <w:bookmarkStart w:id="997" w:name="_Toc13149"/>
      <w:bookmarkStart w:id="998" w:name="_Toc170804634"/>
      <w:bookmarkStart w:id="999" w:name="_Toc18422"/>
      <w:bookmarkStart w:id="1000" w:name="_Toc14728"/>
      <w:bookmarkStart w:id="1001" w:name="_Toc9310"/>
      <w:bookmarkStart w:id="1002" w:name="_Toc16653"/>
      <w:bookmarkStart w:id="1003" w:name="_Toc8014"/>
      <w:bookmarkStart w:id="1004" w:name="_Toc18972"/>
      <w:bookmarkStart w:id="1005" w:name="_Toc1534320374"/>
      <w:bookmarkStart w:id="1006" w:name="_Toc12629"/>
      <w:r>
        <w:rPr>
          <w:rFonts w:hint="eastAsia" w:eastAsia="黑体"/>
          <w:color w:val="auto"/>
          <w:kern w:val="24"/>
          <w:sz w:val="28"/>
          <w:szCs w:val="20"/>
          <w:highlight w:val="none"/>
        </w:rPr>
        <w:t>第四章合同条款及附件</w:t>
      </w:r>
      <w:bookmarkEnd w:id="996"/>
      <w:bookmarkEnd w:id="997"/>
      <w:bookmarkEnd w:id="998"/>
      <w:bookmarkEnd w:id="999"/>
      <w:bookmarkEnd w:id="1000"/>
      <w:bookmarkEnd w:id="1001"/>
      <w:bookmarkEnd w:id="1002"/>
      <w:bookmarkEnd w:id="1003"/>
      <w:bookmarkEnd w:id="1004"/>
      <w:bookmarkEnd w:id="1005"/>
      <w:bookmarkEnd w:id="1006"/>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p>
    <w:p>
      <w:pPr>
        <w:pStyle w:val="26"/>
        <w:rPr>
          <w:rFonts w:eastAsia="黑体"/>
          <w:color w:val="auto"/>
          <w:kern w:val="24"/>
          <w:sz w:val="28"/>
          <w:szCs w:val="20"/>
          <w:highlight w:val="none"/>
        </w:rPr>
      </w:pPr>
      <w:r>
        <w:rPr>
          <w:rFonts w:eastAsia="黑体"/>
          <w:color w:val="auto"/>
          <w:kern w:val="24"/>
          <w:sz w:val="28"/>
          <w:szCs w:val="20"/>
          <w:highlight w:val="none"/>
        </w:rPr>
        <w:br w:type="page"/>
      </w:r>
    </w:p>
    <w:p>
      <w:pPr>
        <w:snapToGrid w:val="0"/>
        <w:spacing w:line="360" w:lineRule="auto"/>
        <w:jc w:val="center"/>
        <w:rPr>
          <w:rFonts w:ascii="宋体" w:hAnsi="宋体"/>
          <w:b/>
          <w:bCs/>
          <w:color w:val="auto"/>
          <w:sz w:val="48"/>
          <w:szCs w:val="48"/>
          <w:highlight w:val="none"/>
        </w:rPr>
      </w:pPr>
      <w:r>
        <w:rPr>
          <w:rFonts w:hint="eastAsia" w:ascii="宋体" w:hAnsi="宋体"/>
          <w:b/>
          <w:bCs/>
          <w:color w:val="auto"/>
          <w:sz w:val="48"/>
          <w:szCs w:val="48"/>
          <w:highlight w:val="none"/>
        </w:rPr>
        <w:t>东莞市轨道交通1号线一期工程</w:t>
      </w:r>
    </w:p>
    <w:p>
      <w:pPr>
        <w:snapToGrid w:val="0"/>
        <w:spacing w:line="360" w:lineRule="auto"/>
        <w:jc w:val="center"/>
        <w:rPr>
          <w:rFonts w:ascii="宋体" w:hAnsi="宋体"/>
          <w:b/>
          <w:color w:val="auto"/>
          <w:sz w:val="31"/>
          <w:szCs w:val="18"/>
          <w:highlight w:val="none"/>
        </w:rPr>
      </w:pPr>
      <w:bookmarkStart w:id="1007" w:name="_Toc9220"/>
      <w:bookmarkStart w:id="1008" w:name="_Toc17909"/>
      <w:bookmarkStart w:id="1009" w:name="_Toc26581"/>
      <w:bookmarkStart w:id="1010" w:name="_Toc22595"/>
      <w:bookmarkStart w:id="1011" w:name="_Toc23179"/>
      <w:bookmarkStart w:id="1012" w:name="_Toc31631"/>
      <w:r>
        <w:rPr>
          <w:rFonts w:hint="eastAsia" w:ascii="宋体" w:hAnsi="宋体"/>
          <w:b/>
          <w:bCs/>
          <w:color w:val="auto"/>
          <w:sz w:val="48"/>
          <w:szCs w:val="48"/>
          <w:highlight w:val="none"/>
        </w:rPr>
        <w:t>2025-2026年结构变形监测项目</w:t>
      </w:r>
      <w:bookmarkEnd w:id="1007"/>
      <w:bookmarkEnd w:id="1008"/>
      <w:bookmarkEnd w:id="1009"/>
      <w:bookmarkEnd w:id="1010"/>
      <w:bookmarkEnd w:id="1011"/>
      <w:bookmarkEnd w:id="1012"/>
    </w:p>
    <w:p>
      <w:pPr>
        <w:snapToGrid w:val="0"/>
        <w:spacing w:line="360" w:lineRule="auto"/>
        <w:ind w:firstLine="921" w:firstLineChars="296"/>
        <w:jc w:val="left"/>
        <w:rPr>
          <w:rFonts w:ascii="宋体" w:hAnsi="宋体"/>
          <w:b/>
          <w:color w:val="auto"/>
          <w:sz w:val="31"/>
          <w:szCs w:val="18"/>
          <w:highlight w:val="none"/>
        </w:rPr>
      </w:pPr>
    </w:p>
    <w:p>
      <w:pPr>
        <w:snapToGrid w:val="0"/>
        <w:spacing w:line="360" w:lineRule="auto"/>
        <w:ind w:firstLine="921" w:firstLineChars="296"/>
        <w:jc w:val="left"/>
        <w:rPr>
          <w:rFonts w:ascii="宋体" w:hAnsi="宋体"/>
          <w:b/>
          <w:color w:val="auto"/>
          <w:sz w:val="31"/>
          <w:szCs w:val="18"/>
          <w:highlight w:val="none"/>
        </w:rPr>
      </w:pPr>
    </w:p>
    <w:p>
      <w:pPr>
        <w:snapToGrid w:val="0"/>
        <w:spacing w:line="360" w:lineRule="auto"/>
        <w:ind w:firstLine="921" w:firstLineChars="296"/>
        <w:jc w:val="left"/>
        <w:rPr>
          <w:rFonts w:ascii="宋体" w:hAnsi="宋体"/>
          <w:b/>
          <w:color w:val="auto"/>
          <w:sz w:val="31"/>
          <w:szCs w:val="18"/>
          <w:highlight w:val="none"/>
        </w:rPr>
      </w:pPr>
    </w:p>
    <w:p>
      <w:pPr>
        <w:tabs>
          <w:tab w:val="left" w:pos="6015"/>
        </w:tabs>
        <w:spacing w:after="312" w:afterLines="100"/>
        <w:jc w:val="center"/>
        <w:rPr>
          <w:rFonts w:ascii="宋体" w:hAnsi="宋体"/>
          <w:b/>
          <w:bCs/>
          <w:color w:val="auto"/>
          <w:spacing w:val="20"/>
          <w:sz w:val="52"/>
          <w:szCs w:val="52"/>
          <w:highlight w:val="none"/>
        </w:rPr>
      </w:pPr>
      <w:r>
        <w:rPr>
          <w:rFonts w:hint="eastAsia" w:ascii="宋体" w:hAnsi="宋体"/>
          <w:b/>
          <w:bCs/>
          <w:color w:val="auto"/>
          <w:spacing w:val="20"/>
          <w:sz w:val="52"/>
          <w:szCs w:val="52"/>
          <w:highlight w:val="none"/>
        </w:rPr>
        <w:t>合同</w:t>
      </w:r>
      <w:r>
        <w:rPr>
          <w:rFonts w:ascii="宋体" w:hAnsi="宋体"/>
          <w:b/>
          <w:bCs/>
          <w:color w:val="auto"/>
          <w:spacing w:val="20"/>
          <w:sz w:val="52"/>
          <w:szCs w:val="52"/>
          <w:highlight w:val="none"/>
        </w:rPr>
        <w:t>文件</w:t>
      </w:r>
    </w:p>
    <w:p>
      <w:pPr>
        <w:tabs>
          <w:tab w:val="left" w:pos="6015"/>
        </w:tabs>
        <w:spacing w:after="312" w:afterLines="100"/>
        <w:jc w:val="center"/>
        <w:rPr>
          <w:rFonts w:ascii="宋体" w:hAnsi="宋体" w:cs="宋体"/>
          <w:color w:val="auto"/>
          <w:sz w:val="32"/>
          <w:szCs w:val="32"/>
          <w:highlight w:val="none"/>
        </w:rPr>
      </w:pPr>
      <w:r>
        <w:rPr>
          <w:rFonts w:hint="eastAsia" w:ascii="宋体" w:hAnsi="宋体" w:cs="宋体"/>
          <w:color w:val="auto"/>
          <w:sz w:val="32"/>
          <w:szCs w:val="32"/>
          <w:highlight w:val="none"/>
        </w:rPr>
        <w:t>合同编号：</w:t>
      </w:r>
    </w:p>
    <w:p>
      <w:pPr>
        <w:pStyle w:val="5"/>
        <w:rPr>
          <w:color w:val="auto"/>
          <w:highlight w:val="none"/>
        </w:rPr>
      </w:pPr>
    </w:p>
    <w:p>
      <w:pPr>
        <w:pStyle w:val="21"/>
        <w:rPr>
          <w:color w:val="auto"/>
          <w:highlight w:val="none"/>
        </w:rPr>
      </w:pPr>
    </w:p>
    <w:p>
      <w:pPr>
        <w:spacing w:line="480" w:lineRule="exact"/>
        <w:ind w:left="420"/>
        <w:jc w:val="center"/>
        <w:rPr>
          <w:rFonts w:ascii="宋体" w:hAnsi="宋体" w:cs="宋体"/>
          <w:color w:val="auto"/>
          <w:sz w:val="28"/>
          <w:szCs w:val="28"/>
          <w:highlight w:val="none"/>
        </w:rPr>
      </w:pPr>
    </w:p>
    <w:p>
      <w:pPr>
        <w:spacing w:line="480" w:lineRule="exact"/>
        <w:ind w:left="420"/>
        <w:jc w:val="center"/>
        <w:rPr>
          <w:rFonts w:ascii="宋体" w:hAnsi="宋体" w:cs="宋体"/>
          <w:color w:val="auto"/>
          <w:sz w:val="28"/>
          <w:szCs w:val="28"/>
          <w:highlight w:val="none"/>
        </w:rPr>
      </w:pPr>
    </w:p>
    <w:p>
      <w:pPr>
        <w:pStyle w:val="40"/>
        <w:ind w:firstLine="0" w:firstLineChars="0"/>
        <w:rPr>
          <w:rFonts w:ascii="宋体" w:hAnsi="宋体" w:cs="宋体"/>
          <w:color w:val="auto"/>
          <w:szCs w:val="28"/>
          <w:highlight w:val="none"/>
        </w:rPr>
      </w:pPr>
    </w:p>
    <w:p>
      <w:pPr>
        <w:spacing w:line="480" w:lineRule="exact"/>
        <w:jc w:val="center"/>
        <w:rPr>
          <w:rFonts w:ascii="宋体" w:hAnsi="宋体" w:cs="宋体"/>
          <w:b/>
          <w:color w:val="auto"/>
          <w:sz w:val="28"/>
          <w:szCs w:val="28"/>
          <w:highlight w:val="none"/>
        </w:rPr>
      </w:pPr>
    </w:p>
    <w:p>
      <w:pPr>
        <w:spacing w:line="360" w:lineRule="auto"/>
        <w:jc w:val="center"/>
        <w:rPr>
          <w:b/>
          <w:color w:val="auto"/>
          <w:sz w:val="72"/>
          <w:szCs w:val="72"/>
          <w:highlight w:val="none"/>
        </w:rPr>
      </w:pPr>
    </w:p>
    <w:p>
      <w:pPr>
        <w:pStyle w:val="52"/>
        <w:rPr>
          <w:color w:val="auto"/>
          <w:highlight w:val="none"/>
        </w:rPr>
      </w:pPr>
    </w:p>
    <w:p>
      <w:pPr>
        <w:pStyle w:val="17"/>
        <w:rPr>
          <w:color w:val="auto"/>
          <w:highlight w:val="none"/>
        </w:rPr>
      </w:pPr>
    </w:p>
    <w:p>
      <w:pPr>
        <w:spacing w:line="360" w:lineRule="auto"/>
        <w:ind w:firstLine="360" w:firstLineChars="100"/>
        <w:rPr>
          <w:rFonts w:ascii="黑体" w:eastAsia="黑体"/>
          <w:iCs/>
          <w:snapToGrid w:val="0"/>
          <w:color w:val="auto"/>
          <w:kern w:val="0"/>
          <w:sz w:val="36"/>
          <w:szCs w:val="36"/>
          <w:highlight w:val="none"/>
        </w:rPr>
      </w:pPr>
      <w:bookmarkStart w:id="1013" w:name="_Toc11298"/>
      <w:bookmarkStart w:id="1014" w:name="_Toc30327"/>
      <w:bookmarkStart w:id="1015" w:name="_Toc26941"/>
      <w:bookmarkStart w:id="1016" w:name="_Toc6105"/>
      <w:bookmarkStart w:id="1017" w:name="_Toc2503"/>
      <w:r>
        <w:rPr>
          <w:rFonts w:hint="eastAsia" w:ascii="黑体" w:eastAsia="黑体"/>
          <w:iCs/>
          <w:snapToGrid w:val="0"/>
          <w:color w:val="auto"/>
          <w:kern w:val="0"/>
          <w:sz w:val="36"/>
          <w:szCs w:val="36"/>
          <w:highlight w:val="none"/>
        </w:rPr>
        <w:t>甲   方：东莞市轨道一号线建设发展有限公司</w:t>
      </w:r>
      <w:bookmarkEnd w:id="1013"/>
      <w:bookmarkEnd w:id="1014"/>
      <w:bookmarkEnd w:id="1015"/>
      <w:bookmarkEnd w:id="1016"/>
      <w:bookmarkEnd w:id="1017"/>
    </w:p>
    <w:p>
      <w:pPr>
        <w:spacing w:line="360" w:lineRule="auto"/>
        <w:ind w:firstLine="360" w:firstLineChars="100"/>
        <w:rPr>
          <w:rFonts w:ascii="黑体" w:hAnsi="宋体" w:eastAsia="黑体"/>
          <w:color w:val="auto"/>
          <w:sz w:val="36"/>
          <w:szCs w:val="36"/>
          <w:highlight w:val="none"/>
        </w:rPr>
      </w:pPr>
      <w:r>
        <w:rPr>
          <w:rFonts w:hint="eastAsia" w:ascii="黑体" w:eastAsia="黑体"/>
          <w:iCs/>
          <w:snapToGrid w:val="0"/>
          <w:color w:val="auto"/>
          <w:kern w:val="0"/>
          <w:sz w:val="36"/>
          <w:szCs w:val="36"/>
          <w:highlight w:val="none"/>
        </w:rPr>
        <w:t>乙   方：</w:t>
      </w:r>
    </w:p>
    <w:p>
      <w:pPr>
        <w:spacing w:line="480" w:lineRule="exact"/>
        <w:ind w:firstLine="560" w:firstLineChars="200"/>
        <w:jc w:val="center"/>
        <w:rPr>
          <w:rFonts w:ascii="宋体" w:hAnsi="宋体" w:cs="宋体"/>
          <w:bCs/>
          <w:color w:val="auto"/>
          <w:sz w:val="28"/>
          <w:szCs w:val="28"/>
          <w:highlight w:val="none"/>
        </w:rPr>
      </w:pPr>
    </w:p>
    <w:p>
      <w:pPr>
        <w:spacing w:line="480" w:lineRule="exact"/>
        <w:ind w:firstLine="560" w:firstLineChars="200"/>
        <w:jc w:val="center"/>
        <w:rPr>
          <w:rFonts w:ascii="宋体" w:hAnsi="宋体" w:cs="宋体"/>
          <w:bCs/>
          <w:color w:val="auto"/>
          <w:sz w:val="28"/>
          <w:szCs w:val="28"/>
          <w:highlight w:val="none"/>
        </w:rPr>
      </w:pPr>
    </w:p>
    <w:p>
      <w:pPr>
        <w:spacing w:line="360" w:lineRule="auto"/>
        <w:jc w:val="center"/>
        <w:rPr>
          <w:rFonts w:ascii="黑体" w:eastAsia="黑体"/>
          <w:bCs/>
          <w:snapToGrid w:val="0"/>
          <w:color w:val="auto"/>
          <w:kern w:val="0"/>
          <w:sz w:val="36"/>
          <w:szCs w:val="36"/>
          <w:highlight w:val="none"/>
        </w:rPr>
      </w:pPr>
      <w:r>
        <w:rPr>
          <w:rFonts w:hint="eastAsia" w:ascii="黑体" w:eastAsia="黑体"/>
          <w:bCs/>
          <w:snapToGrid w:val="0"/>
          <w:color w:val="auto"/>
          <w:kern w:val="0"/>
          <w:sz w:val="36"/>
          <w:szCs w:val="36"/>
          <w:highlight w:val="none"/>
        </w:rPr>
        <w:t>日期：   年  月  日</w:t>
      </w:r>
    </w:p>
    <w:p>
      <w:pPr>
        <w:spacing w:line="240" w:lineRule="auto"/>
        <w:ind w:firstLine="0" w:firstLineChars="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br w:type="page"/>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根据</w:t>
      </w:r>
      <w:r>
        <w:rPr>
          <w:rFonts w:hint="eastAsia" w:ascii="宋体" w:hAnsi="宋体" w:cs="宋体"/>
          <w:color w:val="auto"/>
          <w:kern w:val="0"/>
          <w:sz w:val="24"/>
          <w:szCs w:val="24"/>
          <w:highlight w:val="none"/>
          <w:u w:val="single"/>
          <w:lang w:bidi="ar"/>
        </w:rPr>
        <w:t>东莞市轨道交通1号线一期工程2025-2026年结构变形监测项目</w:t>
      </w:r>
      <w:r>
        <w:rPr>
          <w:rFonts w:hint="eastAsia" w:ascii="宋体" w:hAnsi="宋体" w:cs="宋体"/>
          <w:color w:val="auto"/>
          <w:kern w:val="0"/>
          <w:sz w:val="24"/>
          <w:szCs w:val="24"/>
          <w:highlight w:val="none"/>
          <w:lang w:bidi="ar"/>
        </w:rPr>
        <w:t>的招标结果，根据</w:t>
      </w:r>
      <w:r>
        <w:rPr>
          <w:rFonts w:hint="eastAsia" w:ascii="宋体" w:hAnsi="宋体" w:cs="宋体"/>
          <w:color w:val="auto"/>
          <w:spacing w:val="2"/>
          <w:kern w:val="0"/>
          <w:sz w:val="24"/>
          <w:szCs w:val="24"/>
          <w:highlight w:val="none"/>
          <w:lang w:bidi="ar"/>
        </w:rPr>
        <w:t>《中华人民</w:t>
      </w:r>
      <w:r>
        <w:rPr>
          <w:rFonts w:hint="eastAsia" w:ascii="宋体" w:hAnsi="宋体" w:cs="宋体"/>
          <w:color w:val="auto"/>
          <w:spacing w:val="5"/>
          <w:kern w:val="0"/>
          <w:sz w:val="24"/>
          <w:szCs w:val="24"/>
          <w:highlight w:val="none"/>
          <w:lang w:bidi="ar"/>
        </w:rPr>
        <w:t>共</w:t>
      </w:r>
      <w:r>
        <w:rPr>
          <w:rFonts w:hint="eastAsia" w:ascii="宋体" w:hAnsi="宋体" w:cs="宋体"/>
          <w:color w:val="auto"/>
          <w:spacing w:val="2"/>
          <w:kern w:val="0"/>
          <w:sz w:val="24"/>
          <w:szCs w:val="24"/>
          <w:highlight w:val="none"/>
          <w:lang w:bidi="ar"/>
        </w:rPr>
        <w:t>和国民法典》等有关</w:t>
      </w:r>
      <w:r>
        <w:rPr>
          <w:rFonts w:hint="eastAsia" w:ascii="宋体" w:hAnsi="宋体" w:cs="宋体"/>
          <w:color w:val="auto"/>
          <w:spacing w:val="5"/>
          <w:kern w:val="0"/>
          <w:sz w:val="24"/>
          <w:szCs w:val="24"/>
          <w:highlight w:val="none"/>
          <w:lang w:bidi="ar"/>
        </w:rPr>
        <w:t>法</w:t>
      </w:r>
      <w:r>
        <w:rPr>
          <w:rFonts w:hint="eastAsia" w:ascii="宋体" w:hAnsi="宋体" w:cs="宋体"/>
          <w:color w:val="auto"/>
          <w:spacing w:val="2"/>
          <w:kern w:val="0"/>
          <w:sz w:val="24"/>
          <w:szCs w:val="24"/>
          <w:highlight w:val="none"/>
          <w:lang w:bidi="ar"/>
        </w:rPr>
        <w:t>律法规规定，结合本项</w:t>
      </w:r>
      <w:r>
        <w:rPr>
          <w:rFonts w:hint="eastAsia" w:ascii="宋体" w:hAnsi="宋体" w:cs="宋体"/>
          <w:color w:val="auto"/>
          <w:spacing w:val="5"/>
          <w:kern w:val="0"/>
          <w:sz w:val="24"/>
          <w:szCs w:val="24"/>
          <w:highlight w:val="none"/>
          <w:lang w:bidi="ar"/>
        </w:rPr>
        <w:t>目</w:t>
      </w:r>
      <w:r>
        <w:rPr>
          <w:rFonts w:hint="eastAsia" w:ascii="宋体" w:hAnsi="宋体" w:cs="宋体"/>
          <w:color w:val="auto"/>
          <w:spacing w:val="2"/>
          <w:kern w:val="0"/>
          <w:sz w:val="24"/>
          <w:szCs w:val="24"/>
          <w:highlight w:val="none"/>
          <w:lang w:bidi="ar"/>
        </w:rPr>
        <w:t>具体情况，经双方</w:t>
      </w:r>
      <w:r>
        <w:rPr>
          <w:rFonts w:hint="eastAsia" w:ascii="宋体" w:hAnsi="宋体" w:cs="宋体"/>
          <w:color w:val="auto"/>
          <w:kern w:val="0"/>
          <w:sz w:val="24"/>
          <w:szCs w:val="24"/>
          <w:highlight w:val="none"/>
          <w:lang w:bidi="ar"/>
        </w:rPr>
        <w:t>协商一致，签订本合同，以资共同遵守。</w:t>
      </w:r>
    </w:p>
    <w:p>
      <w:pPr>
        <w:keepNext/>
        <w:keepLines/>
        <w:widowControl/>
        <w:autoSpaceDE w:val="0"/>
        <w:spacing w:before="40" w:after="40" w:line="360" w:lineRule="auto"/>
        <w:ind w:firstLine="482" w:firstLineChars="200"/>
        <w:jc w:val="left"/>
        <w:rPr>
          <w:rFonts w:ascii="宋体" w:hAnsi="宋体" w:cs="宋体"/>
          <w:b/>
          <w:bCs/>
          <w:color w:val="auto"/>
          <w:kern w:val="44"/>
          <w:sz w:val="24"/>
          <w:szCs w:val="24"/>
          <w:highlight w:val="none"/>
        </w:rPr>
      </w:pPr>
      <w:bookmarkStart w:id="1018" w:name="_Toc28147"/>
      <w:bookmarkStart w:id="1019" w:name="_Toc18842"/>
      <w:bookmarkStart w:id="1020" w:name="_Toc7174"/>
      <w:bookmarkStart w:id="1021" w:name="_Toc20016"/>
      <w:bookmarkStart w:id="1022" w:name="_Toc27159"/>
      <w:bookmarkStart w:id="1023" w:name="_Toc5274"/>
      <w:bookmarkStart w:id="1024" w:name="_Toc27010"/>
      <w:bookmarkStart w:id="1025" w:name="_Toc30317"/>
      <w:bookmarkStart w:id="1026" w:name="_Toc4881"/>
      <w:bookmarkStart w:id="1027" w:name="_Toc15045"/>
      <w:bookmarkStart w:id="1028" w:name="_Toc29017"/>
      <w:bookmarkStart w:id="1029" w:name="_Toc10299"/>
      <w:bookmarkStart w:id="1030" w:name="_Toc27878"/>
      <w:bookmarkStart w:id="1031" w:name="_Toc31276"/>
      <w:bookmarkStart w:id="1032" w:name="_Toc10634"/>
      <w:bookmarkStart w:id="1033" w:name="_Toc4864"/>
      <w:bookmarkStart w:id="1034" w:name="_Toc7933"/>
      <w:r>
        <w:rPr>
          <w:rFonts w:hint="eastAsia" w:ascii="宋体" w:hAnsi="宋体" w:cs="宋体"/>
          <w:b/>
          <w:bCs/>
          <w:color w:val="auto"/>
          <w:kern w:val="44"/>
          <w:sz w:val="24"/>
          <w:szCs w:val="24"/>
          <w:highlight w:val="none"/>
        </w:rPr>
        <w:t>一、合同文件构成</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r>
        <w:rPr>
          <w:rFonts w:hint="eastAsia" w:ascii="宋体" w:hAnsi="宋体" w:cs="宋体"/>
          <w:b/>
          <w:bCs/>
          <w:color w:val="auto"/>
          <w:kern w:val="44"/>
          <w:sz w:val="24"/>
          <w:szCs w:val="24"/>
          <w:highlight w:val="none"/>
        </w:rPr>
        <w:t xml:space="preserve"> </w:t>
      </w:r>
    </w:p>
    <w:p>
      <w:pPr>
        <w:widowControl/>
        <w:spacing w:before="33" w:line="360" w:lineRule="auto"/>
        <w:ind w:left="480" w:right="2158"/>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本合同与下列文件一起构成合同文件：</w:t>
      </w:r>
    </w:p>
    <w:p>
      <w:pPr>
        <w:widowControl/>
        <w:spacing w:before="30" w:line="360" w:lineRule="auto"/>
        <w:ind w:right="-20"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1.本合同补充合同（如有）；</w:t>
      </w:r>
    </w:p>
    <w:p>
      <w:pPr>
        <w:widowControl/>
        <w:spacing w:line="360" w:lineRule="auto"/>
        <w:ind w:right="3718"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 xml:space="preserve">2.本合同专用合同条款及其附件（如有）； </w:t>
      </w:r>
    </w:p>
    <w:p>
      <w:pPr>
        <w:widowControl/>
        <w:spacing w:line="360" w:lineRule="auto"/>
        <w:ind w:right="-20"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3.本合同通用合同条款（如有）；</w:t>
      </w:r>
    </w:p>
    <w:p>
      <w:pPr>
        <w:widowControl/>
        <w:spacing w:line="360" w:lineRule="auto"/>
        <w:ind w:right="3718"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4.中标通知书；</w:t>
      </w:r>
    </w:p>
    <w:p>
      <w:pPr>
        <w:widowControl/>
        <w:spacing w:before="34" w:line="360" w:lineRule="auto"/>
        <w:ind w:right="-20"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5.投标函及其附录；</w:t>
      </w:r>
    </w:p>
    <w:p>
      <w:pPr>
        <w:widowControl/>
        <w:spacing w:before="34" w:line="360" w:lineRule="auto"/>
        <w:ind w:right="-20"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6.已标价工程量清单或预算书；</w:t>
      </w:r>
    </w:p>
    <w:p>
      <w:pPr>
        <w:widowControl/>
        <w:spacing w:line="360" w:lineRule="auto"/>
        <w:ind w:right="-20"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7.其他合同文件。</w:t>
      </w:r>
    </w:p>
    <w:p>
      <w:pPr>
        <w:keepNext/>
        <w:keepLines/>
        <w:widowControl/>
        <w:autoSpaceDE w:val="0"/>
        <w:spacing w:before="40" w:after="40" w:line="360" w:lineRule="auto"/>
        <w:ind w:firstLine="482" w:firstLineChars="200"/>
        <w:jc w:val="left"/>
        <w:rPr>
          <w:rFonts w:ascii="宋体" w:hAnsi="宋体" w:cs="宋体"/>
          <w:b/>
          <w:bCs/>
          <w:color w:val="auto"/>
          <w:kern w:val="44"/>
          <w:sz w:val="24"/>
          <w:szCs w:val="24"/>
          <w:highlight w:val="none"/>
        </w:rPr>
      </w:pPr>
      <w:bookmarkStart w:id="1035" w:name="_Toc11327"/>
      <w:bookmarkStart w:id="1036" w:name="_Toc20980"/>
      <w:bookmarkStart w:id="1037" w:name="_Toc21695"/>
      <w:bookmarkStart w:id="1038" w:name="_Toc12949"/>
      <w:bookmarkStart w:id="1039" w:name="_Toc768"/>
      <w:bookmarkStart w:id="1040" w:name="_Toc28573"/>
      <w:bookmarkStart w:id="1041" w:name="_Toc9440"/>
      <w:bookmarkStart w:id="1042" w:name="_Toc13840"/>
      <w:bookmarkStart w:id="1043" w:name="_Toc22626"/>
      <w:bookmarkStart w:id="1044" w:name="_Toc16754"/>
      <w:bookmarkStart w:id="1045" w:name="_Toc532"/>
      <w:bookmarkStart w:id="1046" w:name="_Toc5840"/>
      <w:bookmarkStart w:id="1047" w:name="_Toc23948"/>
      <w:bookmarkStart w:id="1048" w:name="_Toc15195"/>
      <w:bookmarkStart w:id="1049" w:name="_Toc490"/>
      <w:bookmarkStart w:id="1050" w:name="_Toc7836"/>
      <w:r>
        <w:rPr>
          <w:rFonts w:hint="eastAsia" w:ascii="宋体" w:hAnsi="宋体" w:cs="宋体"/>
          <w:b/>
          <w:bCs/>
          <w:color w:val="auto"/>
          <w:kern w:val="44"/>
          <w:sz w:val="24"/>
          <w:szCs w:val="24"/>
          <w:highlight w:val="none"/>
        </w:rPr>
        <w:t>二、合同金额</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r>
        <w:rPr>
          <w:rFonts w:hint="eastAsia" w:ascii="宋体" w:hAnsi="宋体" w:cs="宋体"/>
          <w:b/>
          <w:bCs/>
          <w:color w:val="auto"/>
          <w:kern w:val="44"/>
          <w:sz w:val="24"/>
          <w:szCs w:val="24"/>
          <w:highlight w:val="none"/>
        </w:rPr>
        <w:t xml:space="preserve"> </w:t>
      </w:r>
    </w:p>
    <w:p>
      <w:pPr>
        <w:widowControl/>
        <w:spacing w:line="360" w:lineRule="auto"/>
        <w:ind w:right="24" w:firstLine="480" w:firstLineChars="200"/>
        <w:jc w:val="left"/>
        <w:rPr>
          <w:rFonts w:ascii="宋体" w:hAnsi="宋体" w:cs="宋体"/>
          <w:color w:val="auto"/>
          <w:spacing w:val="-5"/>
          <w:kern w:val="0"/>
          <w:sz w:val="24"/>
          <w:szCs w:val="24"/>
          <w:highlight w:val="none"/>
        </w:rPr>
      </w:pPr>
      <w:r>
        <w:rPr>
          <w:rFonts w:hint="eastAsia" w:ascii="宋体" w:hAnsi="宋体" w:cs="宋体"/>
          <w:color w:val="auto"/>
          <w:kern w:val="0"/>
          <w:sz w:val="24"/>
          <w:szCs w:val="24"/>
          <w:highlight w:val="none"/>
          <w:lang w:bidi="ar"/>
        </w:rPr>
        <w:t>合同暂定价</w:t>
      </w:r>
      <w:r>
        <w:rPr>
          <w:rFonts w:hint="eastAsia" w:ascii="宋体" w:hAnsi="宋体" w:cs="宋体"/>
          <w:color w:val="auto"/>
          <w:spacing w:val="-5"/>
          <w:kern w:val="0"/>
          <w:sz w:val="24"/>
          <w:szCs w:val="24"/>
          <w:highlight w:val="none"/>
          <w:lang w:bidi="ar"/>
        </w:rPr>
        <w:t>为人民币</w:t>
      </w:r>
      <w:r>
        <w:rPr>
          <w:rFonts w:hint="eastAsia" w:ascii="宋体" w:hAnsi="宋体" w:cs="宋体"/>
          <w:color w:val="auto"/>
          <w:kern w:val="0"/>
          <w:sz w:val="24"/>
          <w:szCs w:val="24"/>
          <w:highlight w:val="none"/>
          <w:lang w:bidi="ar"/>
        </w:rPr>
        <w:t>（大写</w:t>
      </w:r>
      <w:r>
        <w:rPr>
          <w:rFonts w:hint="eastAsia" w:ascii="宋体" w:hAnsi="宋体" w:cs="宋体"/>
          <w:color w:val="auto"/>
          <w:spacing w:val="-7"/>
          <w:kern w:val="0"/>
          <w:sz w:val="24"/>
          <w:szCs w:val="24"/>
          <w:highlight w:val="none"/>
          <w:lang w:bidi="ar"/>
        </w:rPr>
        <w:t>）</w:t>
      </w:r>
      <w:r>
        <w:rPr>
          <w:rFonts w:hint="eastAsia" w:ascii="宋体" w:hAnsi="宋体" w:cs="宋体"/>
          <w:color w:val="auto"/>
          <w:spacing w:val="-5"/>
          <w:kern w:val="0"/>
          <w:sz w:val="24"/>
          <w:szCs w:val="24"/>
          <w:highlight w:val="none"/>
          <w:lang w:bidi="ar"/>
        </w:rPr>
        <w:t>：</w:t>
      </w:r>
      <w:r>
        <w:rPr>
          <w:rFonts w:hint="eastAsia" w:ascii="宋体" w:hAnsi="宋体" w:cs="宋体"/>
          <w:color w:val="auto"/>
          <w:spacing w:val="-20"/>
          <w:kern w:val="0"/>
          <w:sz w:val="24"/>
          <w:szCs w:val="24"/>
          <w:highlight w:val="none"/>
          <w:u w:val="single" w:color="000000"/>
          <w:lang w:bidi="ar"/>
        </w:rPr>
        <w:t xml:space="preserve">                 </w:t>
      </w:r>
      <w:r>
        <w:rPr>
          <w:rFonts w:hint="eastAsia" w:ascii="宋体" w:hAnsi="宋体" w:cs="宋体"/>
          <w:color w:val="auto"/>
          <w:kern w:val="0"/>
          <w:sz w:val="24"/>
          <w:szCs w:val="24"/>
          <w:highlight w:val="none"/>
          <w:lang w:bidi="ar"/>
        </w:rPr>
        <w:t>（小写：¥</w:t>
      </w:r>
      <w:r>
        <w:rPr>
          <w:rFonts w:hint="eastAsia" w:ascii="宋体" w:hAnsi="宋体" w:cs="宋体"/>
          <w:color w:val="auto"/>
          <w:spacing w:val="-20"/>
          <w:kern w:val="0"/>
          <w:sz w:val="24"/>
          <w:szCs w:val="24"/>
          <w:highlight w:val="none"/>
          <w:u w:val="single" w:color="000000"/>
          <w:lang w:bidi="ar"/>
        </w:rPr>
        <w:t xml:space="preserve">             </w:t>
      </w:r>
      <w:r>
        <w:rPr>
          <w:rFonts w:hint="eastAsia" w:ascii="宋体" w:hAnsi="宋体" w:cs="宋体"/>
          <w:color w:val="auto"/>
          <w:kern w:val="0"/>
          <w:sz w:val="24"/>
          <w:szCs w:val="24"/>
          <w:highlight w:val="none"/>
          <w:lang w:bidi="ar"/>
        </w:rPr>
        <w:t>元</w:t>
      </w:r>
      <w:r>
        <w:rPr>
          <w:rFonts w:hint="eastAsia" w:ascii="宋体" w:hAnsi="宋体" w:cs="宋体"/>
          <w:color w:val="auto"/>
          <w:spacing w:val="-5"/>
          <w:kern w:val="0"/>
          <w:sz w:val="24"/>
          <w:szCs w:val="24"/>
          <w:highlight w:val="none"/>
          <w:lang w:bidi="ar"/>
        </w:rPr>
        <w:t>），不含税金额为人民币</w:t>
      </w:r>
      <w:r>
        <w:rPr>
          <w:rFonts w:hint="eastAsia" w:ascii="宋体" w:hAnsi="宋体" w:cs="宋体"/>
          <w:color w:val="auto"/>
          <w:kern w:val="0"/>
          <w:sz w:val="24"/>
          <w:szCs w:val="24"/>
          <w:highlight w:val="none"/>
          <w:lang w:bidi="ar"/>
        </w:rPr>
        <w:t>（大写</w:t>
      </w:r>
      <w:r>
        <w:rPr>
          <w:rFonts w:hint="eastAsia" w:ascii="宋体" w:hAnsi="宋体" w:cs="宋体"/>
          <w:color w:val="auto"/>
          <w:spacing w:val="-7"/>
          <w:kern w:val="0"/>
          <w:sz w:val="24"/>
          <w:szCs w:val="24"/>
          <w:highlight w:val="none"/>
          <w:lang w:bidi="ar"/>
        </w:rPr>
        <w:t>）</w:t>
      </w:r>
      <w:r>
        <w:rPr>
          <w:rFonts w:hint="eastAsia" w:ascii="宋体" w:hAnsi="宋体" w:cs="宋体"/>
          <w:color w:val="auto"/>
          <w:spacing w:val="-5"/>
          <w:kern w:val="0"/>
          <w:sz w:val="24"/>
          <w:szCs w:val="24"/>
          <w:highlight w:val="none"/>
          <w:lang w:bidi="ar"/>
        </w:rPr>
        <w:t>：</w:t>
      </w:r>
      <w:r>
        <w:rPr>
          <w:rFonts w:hint="eastAsia" w:ascii="宋体" w:hAnsi="宋体" w:cs="宋体"/>
          <w:color w:val="auto"/>
          <w:spacing w:val="-20"/>
          <w:kern w:val="0"/>
          <w:sz w:val="24"/>
          <w:szCs w:val="24"/>
          <w:highlight w:val="none"/>
          <w:u w:val="single" w:color="000000"/>
          <w:lang w:bidi="ar"/>
        </w:rPr>
        <w:t xml:space="preserve">                 </w:t>
      </w:r>
      <w:r>
        <w:rPr>
          <w:rFonts w:hint="eastAsia" w:ascii="宋体" w:hAnsi="宋体" w:cs="宋体"/>
          <w:color w:val="auto"/>
          <w:kern w:val="0"/>
          <w:sz w:val="24"/>
          <w:szCs w:val="24"/>
          <w:highlight w:val="none"/>
          <w:lang w:bidi="ar"/>
        </w:rPr>
        <w:t>（小写：¥</w:t>
      </w:r>
      <w:r>
        <w:rPr>
          <w:rFonts w:hint="eastAsia" w:ascii="宋体" w:hAnsi="宋体" w:cs="宋体"/>
          <w:color w:val="auto"/>
          <w:spacing w:val="-20"/>
          <w:kern w:val="0"/>
          <w:sz w:val="24"/>
          <w:szCs w:val="24"/>
          <w:highlight w:val="none"/>
          <w:u w:val="single" w:color="000000"/>
          <w:lang w:bidi="ar"/>
        </w:rPr>
        <w:t xml:space="preserve">             </w:t>
      </w:r>
      <w:r>
        <w:rPr>
          <w:rFonts w:hint="eastAsia" w:ascii="宋体" w:hAnsi="宋体" w:cs="宋体"/>
          <w:color w:val="auto"/>
          <w:kern w:val="0"/>
          <w:sz w:val="24"/>
          <w:szCs w:val="24"/>
          <w:highlight w:val="none"/>
          <w:lang w:bidi="ar"/>
        </w:rPr>
        <w:t>元</w:t>
      </w:r>
      <w:r>
        <w:rPr>
          <w:rFonts w:hint="eastAsia" w:ascii="宋体" w:hAnsi="宋体" w:cs="宋体"/>
          <w:color w:val="auto"/>
          <w:spacing w:val="-5"/>
          <w:kern w:val="0"/>
          <w:sz w:val="24"/>
          <w:szCs w:val="24"/>
          <w:highlight w:val="none"/>
          <w:lang w:bidi="ar"/>
        </w:rPr>
        <w:t>），税额为人民币人民币</w:t>
      </w:r>
      <w:r>
        <w:rPr>
          <w:rFonts w:hint="eastAsia" w:ascii="宋体" w:hAnsi="宋体" w:cs="宋体"/>
          <w:color w:val="auto"/>
          <w:kern w:val="0"/>
          <w:sz w:val="24"/>
          <w:szCs w:val="24"/>
          <w:highlight w:val="none"/>
          <w:lang w:bidi="ar"/>
        </w:rPr>
        <w:t>（大写</w:t>
      </w:r>
      <w:r>
        <w:rPr>
          <w:rFonts w:hint="eastAsia" w:ascii="宋体" w:hAnsi="宋体" w:cs="宋体"/>
          <w:color w:val="auto"/>
          <w:spacing w:val="-7"/>
          <w:kern w:val="0"/>
          <w:sz w:val="24"/>
          <w:szCs w:val="24"/>
          <w:highlight w:val="none"/>
          <w:lang w:bidi="ar"/>
        </w:rPr>
        <w:t>）</w:t>
      </w:r>
      <w:r>
        <w:rPr>
          <w:rFonts w:hint="eastAsia" w:ascii="宋体" w:hAnsi="宋体" w:cs="宋体"/>
          <w:color w:val="auto"/>
          <w:spacing w:val="-5"/>
          <w:kern w:val="0"/>
          <w:sz w:val="24"/>
          <w:szCs w:val="24"/>
          <w:highlight w:val="none"/>
          <w:lang w:bidi="ar"/>
        </w:rPr>
        <w:t>：</w:t>
      </w:r>
      <w:r>
        <w:rPr>
          <w:rFonts w:hint="eastAsia" w:ascii="宋体" w:hAnsi="宋体" w:cs="宋体"/>
          <w:color w:val="auto"/>
          <w:spacing w:val="-20"/>
          <w:kern w:val="0"/>
          <w:sz w:val="24"/>
          <w:szCs w:val="24"/>
          <w:highlight w:val="none"/>
          <w:u w:val="single" w:color="000000"/>
          <w:lang w:bidi="ar"/>
        </w:rPr>
        <w:t xml:space="preserve">                 </w:t>
      </w:r>
      <w:r>
        <w:rPr>
          <w:rFonts w:hint="eastAsia" w:ascii="宋体" w:hAnsi="宋体" w:cs="宋体"/>
          <w:color w:val="auto"/>
          <w:kern w:val="0"/>
          <w:sz w:val="24"/>
          <w:szCs w:val="24"/>
          <w:highlight w:val="none"/>
          <w:lang w:bidi="ar"/>
        </w:rPr>
        <w:t>（小写：¥</w:t>
      </w:r>
      <w:r>
        <w:rPr>
          <w:rFonts w:hint="eastAsia" w:ascii="宋体" w:hAnsi="宋体" w:cs="宋体"/>
          <w:color w:val="auto"/>
          <w:spacing w:val="-20"/>
          <w:kern w:val="0"/>
          <w:sz w:val="24"/>
          <w:szCs w:val="24"/>
          <w:highlight w:val="none"/>
          <w:u w:val="single" w:color="000000"/>
          <w:lang w:bidi="ar"/>
        </w:rPr>
        <w:t xml:space="preserve">             </w:t>
      </w:r>
      <w:r>
        <w:rPr>
          <w:rFonts w:hint="eastAsia" w:ascii="宋体" w:hAnsi="宋体" w:cs="宋体"/>
          <w:color w:val="auto"/>
          <w:kern w:val="0"/>
          <w:sz w:val="24"/>
          <w:szCs w:val="24"/>
          <w:highlight w:val="none"/>
          <w:lang w:bidi="ar"/>
        </w:rPr>
        <w:t>元</w:t>
      </w:r>
      <w:r>
        <w:rPr>
          <w:rFonts w:hint="eastAsia" w:ascii="宋体" w:hAnsi="宋体" w:cs="宋体"/>
          <w:color w:val="auto"/>
          <w:spacing w:val="-5"/>
          <w:kern w:val="0"/>
          <w:sz w:val="24"/>
          <w:szCs w:val="24"/>
          <w:highlight w:val="none"/>
          <w:lang w:bidi="ar"/>
        </w:rPr>
        <w:t>）</w:t>
      </w:r>
      <w:r>
        <w:rPr>
          <w:rFonts w:hint="eastAsia" w:ascii="宋体" w:hAnsi="宋体" w:cs="宋体"/>
          <w:color w:val="auto"/>
          <w:spacing w:val="-5"/>
          <w:kern w:val="0"/>
          <w:sz w:val="24"/>
          <w:szCs w:val="24"/>
          <w:highlight w:val="none"/>
          <w:lang w:eastAsia="zh-CN" w:bidi="ar"/>
        </w:rPr>
        <w:t>。</w:t>
      </w:r>
      <w:r>
        <w:rPr>
          <w:rFonts w:hint="eastAsia" w:ascii="宋体" w:hAnsi="宋体" w:cs="宋体"/>
          <w:color w:val="auto"/>
          <w:spacing w:val="-5"/>
          <w:kern w:val="0"/>
          <w:sz w:val="24"/>
          <w:szCs w:val="24"/>
          <w:highlight w:val="none"/>
          <w:lang w:val="en-US" w:eastAsia="zh-CN" w:bidi="ar"/>
        </w:rPr>
        <w:t>最终费用以经发包人批准的勘察方案和现场确认的实际勘察工作量，若勘察方案未经发包人批准或勘察工作量未经发包人确认的，将不予计量和支付</w:t>
      </w:r>
      <w:r>
        <w:rPr>
          <w:rFonts w:hint="eastAsia" w:ascii="宋体" w:hAnsi="宋体" w:cs="宋体"/>
          <w:color w:val="auto"/>
          <w:spacing w:val="-5"/>
          <w:kern w:val="0"/>
          <w:sz w:val="24"/>
          <w:szCs w:val="24"/>
          <w:highlight w:val="none"/>
          <w:lang w:bidi="ar"/>
        </w:rPr>
        <w:t>。</w:t>
      </w:r>
    </w:p>
    <w:p>
      <w:pPr>
        <w:widowControl/>
        <w:spacing w:line="360" w:lineRule="auto"/>
        <w:ind w:right="24" w:firstLine="460" w:firstLineChars="200"/>
        <w:jc w:val="left"/>
        <w:rPr>
          <w:rFonts w:ascii="宋体" w:hAnsi="宋体" w:cs="宋体"/>
          <w:color w:val="auto"/>
          <w:spacing w:val="-5"/>
          <w:kern w:val="0"/>
          <w:sz w:val="24"/>
          <w:szCs w:val="24"/>
          <w:highlight w:val="none"/>
        </w:rPr>
      </w:pPr>
      <w:r>
        <w:rPr>
          <w:rFonts w:hint="eastAsia" w:ascii="宋体" w:hAnsi="宋体" w:cs="宋体"/>
          <w:color w:val="auto"/>
          <w:spacing w:val="-5"/>
          <w:kern w:val="0"/>
          <w:sz w:val="24"/>
          <w:szCs w:val="24"/>
          <w:highlight w:val="none"/>
          <w:lang w:bidi="ar"/>
        </w:rPr>
        <w:t>价款和发票以不含税价为准，在合同执行中由于税务机关调整税率的，相应调整税额。结算以综合单价和核定的实际工程量计算出的总价为准，包含人工工资、社保及保险、加班费、材料及辅材费、设备</w:t>
      </w:r>
      <w:r>
        <w:rPr>
          <w:rFonts w:hint="eastAsia" w:ascii="宋体" w:hAnsi="宋体" w:cs="宋体"/>
          <w:color w:val="auto"/>
          <w:spacing w:val="-5"/>
          <w:kern w:val="0"/>
          <w:sz w:val="24"/>
          <w:szCs w:val="24"/>
          <w:highlight w:val="none"/>
          <w:lang w:val="en-US" w:eastAsia="zh-CN" w:bidi="ar"/>
        </w:rPr>
        <w:t>费</w:t>
      </w:r>
      <w:r>
        <w:rPr>
          <w:rFonts w:hint="eastAsia" w:ascii="宋体" w:hAnsi="宋体" w:cs="宋体"/>
          <w:color w:val="auto"/>
          <w:spacing w:val="-5"/>
          <w:kern w:val="0"/>
          <w:sz w:val="24"/>
          <w:szCs w:val="24"/>
          <w:highlight w:val="none"/>
          <w:lang w:bidi="ar"/>
        </w:rPr>
        <w:t>、</w:t>
      </w:r>
      <w:r>
        <w:rPr>
          <w:rFonts w:hint="eastAsia" w:ascii="宋体" w:hAnsi="宋体" w:cs="宋体"/>
          <w:color w:val="auto"/>
          <w:spacing w:val="-5"/>
          <w:kern w:val="0"/>
          <w:sz w:val="24"/>
          <w:szCs w:val="24"/>
          <w:highlight w:val="none"/>
          <w:lang w:val="en-US" w:eastAsia="zh-CN" w:bidi="ar"/>
        </w:rPr>
        <w:t>专家费、</w:t>
      </w:r>
      <w:r>
        <w:rPr>
          <w:rFonts w:hint="eastAsia" w:ascii="宋体" w:hAnsi="宋体" w:cs="宋体"/>
          <w:color w:val="auto"/>
          <w:spacing w:val="-5"/>
          <w:kern w:val="0"/>
          <w:sz w:val="24"/>
          <w:szCs w:val="24"/>
          <w:highlight w:val="none"/>
          <w:lang w:bidi="ar"/>
        </w:rPr>
        <w:t>税金、措施费等与本项目相关的其它一切可预见及不可预见费用。</w:t>
      </w:r>
      <w:r>
        <w:rPr>
          <w:rFonts w:hint="eastAsia" w:ascii="宋体" w:hAnsi="宋体" w:cs="宋体"/>
          <w:color w:val="auto"/>
          <w:kern w:val="0"/>
          <w:sz w:val="24"/>
          <w:szCs w:val="24"/>
          <w:highlight w:val="none"/>
          <w:lang w:bidi="ar"/>
        </w:rPr>
        <w:t xml:space="preserve"> </w:t>
      </w:r>
    </w:p>
    <w:p>
      <w:pPr>
        <w:keepNext/>
        <w:keepLines/>
        <w:widowControl/>
        <w:autoSpaceDE w:val="0"/>
        <w:spacing w:before="40" w:after="40" w:line="360" w:lineRule="auto"/>
        <w:ind w:firstLine="482" w:firstLineChars="200"/>
        <w:jc w:val="left"/>
        <w:rPr>
          <w:rFonts w:ascii="宋体" w:hAnsi="宋体" w:cs="宋体"/>
          <w:b/>
          <w:bCs/>
          <w:color w:val="auto"/>
          <w:kern w:val="44"/>
          <w:sz w:val="24"/>
          <w:szCs w:val="24"/>
          <w:highlight w:val="none"/>
        </w:rPr>
      </w:pPr>
      <w:bookmarkStart w:id="1051" w:name="_Toc14256"/>
      <w:bookmarkStart w:id="1052" w:name="_Toc7253"/>
      <w:bookmarkStart w:id="1053" w:name="_Toc3319"/>
      <w:bookmarkStart w:id="1054" w:name="_Toc8344"/>
      <w:bookmarkStart w:id="1055" w:name="_Toc8613"/>
      <w:bookmarkStart w:id="1056" w:name="_Toc31837"/>
      <w:bookmarkStart w:id="1057" w:name="_Toc21143"/>
      <w:bookmarkStart w:id="1058" w:name="_Toc6491"/>
      <w:bookmarkStart w:id="1059" w:name="_Toc25472"/>
      <w:bookmarkStart w:id="1060" w:name="_Toc14071"/>
      <w:bookmarkStart w:id="1061" w:name="_Toc32183"/>
      <w:bookmarkStart w:id="1062" w:name="_Toc10043"/>
      <w:bookmarkStart w:id="1063" w:name="_Toc6133"/>
      <w:bookmarkStart w:id="1064" w:name="_Toc16377"/>
      <w:bookmarkStart w:id="1065" w:name="_Toc14012"/>
      <w:bookmarkStart w:id="1066" w:name="_Toc6345"/>
      <w:bookmarkStart w:id="1067" w:name="_Toc20911"/>
      <w:r>
        <w:rPr>
          <w:rFonts w:hint="eastAsia" w:ascii="宋体" w:hAnsi="宋体" w:cs="宋体"/>
          <w:b/>
          <w:bCs/>
          <w:color w:val="auto"/>
          <w:kern w:val="44"/>
          <w:sz w:val="24"/>
          <w:szCs w:val="24"/>
          <w:highlight w:val="none"/>
        </w:rPr>
        <w:t>三、项目工期</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pPr>
        <w:widowControl/>
        <w:spacing w:line="360" w:lineRule="auto"/>
        <w:ind w:right="24" w:firstLine="460" w:firstLineChars="200"/>
        <w:jc w:val="left"/>
        <w:rPr>
          <w:rFonts w:ascii="宋体" w:hAnsi="宋体" w:cs="宋体"/>
          <w:color w:val="auto"/>
          <w:spacing w:val="-5"/>
          <w:kern w:val="0"/>
          <w:sz w:val="24"/>
          <w:szCs w:val="24"/>
          <w:highlight w:val="none"/>
        </w:rPr>
      </w:pPr>
      <w:r>
        <w:rPr>
          <w:rFonts w:hint="eastAsia" w:ascii="宋体" w:hAnsi="宋体" w:cs="宋体"/>
          <w:color w:val="auto"/>
          <w:spacing w:val="-5"/>
          <w:kern w:val="0"/>
          <w:sz w:val="24"/>
          <w:szCs w:val="24"/>
          <w:highlight w:val="none"/>
          <w:lang w:bidi="ar"/>
        </w:rPr>
        <w:t>本合同期限：自合同生效之日起至2026年12月31日，具体开工时间以甲方通知为准。</w:t>
      </w:r>
    </w:p>
    <w:p>
      <w:pPr>
        <w:keepNext/>
        <w:keepLines/>
        <w:widowControl/>
        <w:autoSpaceDE w:val="0"/>
        <w:spacing w:before="40" w:after="40" w:line="360" w:lineRule="auto"/>
        <w:ind w:firstLine="482" w:firstLineChars="200"/>
        <w:jc w:val="left"/>
        <w:rPr>
          <w:rFonts w:ascii="宋体" w:hAnsi="宋体" w:cs="宋体"/>
          <w:b/>
          <w:bCs/>
          <w:color w:val="auto"/>
          <w:kern w:val="44"/>
          <w:sz w:val="24"/>
          <w:szCs w:val="24"/>
          <w:highlight w:val="none"/>
        </w:rPr>
      </w:pPr>
      <w:bookmarkStart w:id="1068" w:name="_Toc30800"/>
      <w:bookmarkStart w:id="1069" w:name="_Toc26"/>
      <w:bookmarkStart w:id="1070" w:name="_Toc5306"/>
      <w:bookmarkStart w:id="1071" w:name="_Toc25932"/>
      <w:bookmarkStart w:id="1072" w:name="_Toc1420"/>
      <w:bookmarkStart w:id="1073" w:name="_Toc9726"/>
      <w:bookmarkStart w:id="1074" w:name="_Toc988"/>
      <w:bookmarkStart w:id="1075" w:name="_Toc32378"/>
      <w:bookmarkStart w:id="1076" w:name="_Toc18298"/>
      <w:bookmarkStart w:id="1077" w:name="_Toc21904"/>
      <w:bookmarkStart w:id="1078" w:name="_Toc19285"/>
      <w:bookmarkStart w:id="1079" w:name="_Toc4142"/>
      <w:bookmarkStart w:id="1080" w:name="_Toc8368"/>
      <w:bookmarkStart w:id="1081" w:name="_Toc13873"/>
      <w:bookmarkStart w:id="1082" w:name="_Toc10391"/>
      <w:r>
        <w:rPr>
          <w:rFonts w:hint="eastAsia" w:ascii="宋体" w:hAnsi="宋体" w:cs="宋体"/>
          <w:b/>
          <w:bCs/>
          <w:color w:val="auto"/>
          <w:kern w:val="44"/>
          <w:sz w:val="24"/>
          <w:szCs w:val="24"/>
          <w:highlight w:val="none"/>
        </w:rPr>
        <w:t>四、项目内容及要求</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pPr>
        <w:widowControl/>
        <w:spacing w:line="480" w:lineRule="exact"/>
        <w:ind w:firstLine="480"/>
        <w:jc w:val="left"/>
        <w:rPr>
          <w:rFonts w:ascii="宋体" w:hAnsi="宋体" w:cs="宋体"/>
          <w:color w:val="auto"/>
          <w:kern w:val="0"/>
          <w:sz w:val="24"/>
          <w:szCs w:val="24"/>
          <w:highlight w:val="none"/>
        </w:rPr>
      </w:pPr>
      <w:bookmarkStart w:id="1083" w:name="_Toc2612200"/>
      <w:bookmarkEnd w:id="1083"/>
      <w:bookmarkStart w:id="1084" w:name="_Toc415665088"/>
      <w:bookmarkEnd w:id="1084"/>
      <w:bookmarkStart w:id="1085" w:name="_Toc415664487"/>
      <w:r>
        <w:rPr>
          <w:rFonts w:hint="eastAsia" w:ascii="宋体" w:hAnsi="宋体" w:cs="宋体"/>
          <w:color w:val="auto"/>
          <w:kern w:val="0"/>
          <w:sz w:val="24"/>
          <w:szCs w:val="24"/>
          <w:highlight w:val="none"/>
          <w:lang w:bidi="ar"/>
        </w:rPr>
        <w:t>详见招标文件第五章《委托人要求》。</w:t>
      </w:r>
      <w:bookmarkEnd w:id="1085"/>
    </w:p>
    <w:p>
      <w:pPr>
        <w:keepNext/>
        <w:keepLines/>
        <w:widowControl/>
        <w:autoSpaceDE w:val="0"/>
        <w:spacing w:before="40" w:after="40" w:line="360" w:lineRule="auto"/>
        <w:ind w:firstLine="482" w:firstLineChars="200"/>
        <w:jc w:val="left"/>
        <w:rPr>
          <w:rFonts w:ascii="宋体" w:hAnsi="宋体" w:cs="宋体"/>
          <w:b/>
          <w:bCs/>
          <w:color w:val="auto"/>
          <w:kern w:val="44"/>
          <w:sz w:val="24"/>
          <w:szCs w:val="24"/>
          <w:highlight w:val="none"/>
        </w:rPr>
      </w:pPr>
      <w:bookmarkStart w:id="1086" w:name="_Toc26779"/>
      <w:bookmarkStart w:id="1087" w:name="_Toc32219"/>
      <w:bookmarkStart w:id="1088" w:name="_Toc30212"/>
      <w:bookmarkStart w:id="1089" w:name="_Toc11375"/>
      <w:bookmarkStart w:id="1090" w:name="_Toc428"/>
      <w:bookmarkStart w:id="1091" w:name="_Toc8990"/>
      <w:bookmarkStart w:id="1092" w:name="_Toc6558"/>
      <w:bookmarkStart w:id="1093" w:name="_Toc14247"/>
      <w:bookmarkStart w:id="1094" w:name="_Toc15749"/>
      <w:bookmarkStart w:id="1095" w:name="_Toc27022"/>
      <w:bookmarkStart w:id="1096" w:name="_Toc24336"/>
      <w:bookmarkStart w:id="1097" w:name="_Toc20302"/>
      <w:bookmarkStart w:id="1098" w:name="_Toc16862"/>
      <w:bookmarkStart w:id="1099" w:name="_Toc4114"/>
      <w:bookmarkStart w:id="1100" w:name="_Toc625"/>
      <w:bookmarkStart w:id="1101" w:name="_Toc24840"/>
      <w:bookmarkStart w:id="1102" w:name="_Toc19019"/>
      <w:r>
        <w:rPr>
          <w:rFonts w:hint="eastAsia" w:ascii="宋体" w:hAnsi="宋体" w:cs="宋体"/>
          <w:b/>
          <w:bCs/>
          <w:color w:val="auto"/>
          <w:kern w:val="44"/>
          <w:sz w:val="24"/>
          <w:szCs w:val="24"/>
          <w:highlight w:val="none"/>
        </w:rPr>
        <w:t>五、工程量清单</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tbl>
      <w:tblPr>
        <w:tblStyle w:val="41"/>
        <w:tblW w:w="8672" w:type="dxa"/>
        <w:jc w:val="center"/>
        <w:tblLayout w:type="fixed"/>
        <w:tblCellMar>
          <w:top w:w="0" w:type="dxa"/>
          <w:left w:w="108" w:type="dxa"/>
          <w:bottom w:w="0" w:type="dxa"/>
          <w:right w:w="108" w:type="dxa"/>
        </w:tblCellMar>
      </w:tblPr>
      <w:tblGrid>
        <w:gridCol w:w="1101"/>
        <w:gridCol w:w="1387"/>
        <w:gridCol w:w="1182"/>
        <w:gridCol w:w="581"/>
        <w:gridCol w:w="1006"/>
        <w:gridCol w:w="831"/>
        <w:gridCol w:w="870"/>
        <w:gridCol w:w="1714"/>
      </w:tblGrid>
      <w:tr>
        <w:tblPrEx>
          <w:tblCellMar>
            <w:top w:w="0" w:type="dxa"/>
            <w:left w:w="108" w:type="dxa"/>
            <w:bottom w:w="0" w:type="dxa"/>
            <w:right w:w="108" w:type="dxa"/>
          </w:tblCellMar>
        </w:tblPrEx>
        <w:trPr>
          <w:trHeight w:val="23" w:hRule="atLeast"/>
          <w:jc w:val="center"/>
        </w:trPr>
        <w:tc>
          <w:tcPr>
            <w:tcW w:w="3670" w:type="dxa"/>
            <w:gridSpan w:val="3"/>
            <w:tcBorders>
              <w:top w:val="single" w:color="auto" w:sz="4" w:space="0"/>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Cs w:val="21"/>
                <w:highlight w:val="none"/>
              </w:rPr>
            </w:pPr>
            <w:bookmarkStart w:id="1103" w:name="_Toc19721"/>
            <w:bookmarkStart w:id="1104" w:name="_Toc32080"/>
            <w:bookmarkStart w:id="1105" w:name="_Toc30381"/>
            <w:bookmarkStart w:id="1106" w:name="_Toc6639"/>
            <w:bookmarkStart w:id="1107" w:name="_Toc24953"/>
            <w:bookmarkStart w:id="1108" w:name="_Toc23744"/>
            <w:bookmarkStart w:id="1109" w:name="_Toc26764"/>
            <w:r>
              <w:rPr>
                <w:rFonts w:hint="eastAsia" w:ascii="宋体" w:hAnsi="宋体" w:cs="宋体"/>
                <w:b/>
                <w:bCs/>
                <w:color w:val="auto"/>
                <w:kern w:val="0"/>
                <w:szCs w:val="21"/>
                <w:highlight w:val="none"/>
                <w:lang w:bidi="ar"/>
              </w:rPr>
              <w:t>监测项目</w:t>
            </w:r>
          </w:p>
        </w:tc>
        <w:tc>
          <w:tcPr>
            <w:tcW w:w="581"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单位</w:t>
            </w:r>
          </w:p>
        </w:tc>
        <w:tc>
          <w:tcPr>
            <w:tcW w:w="1006"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Cs w:val="21"/>
                <w:highlight w:val="none"/>
              </w:rPr>
            </w:pPr>
            <w:r>
              <w:rPr>
                <w:rFonts w:hint="eastAsia" w:ascii="宋体" w:hAnsi="宋体" w:cs="宋体"/>
                <w:b/>
                <w:bCs/>
                <w:color w:val="auto"/>
                <w:kern w:val="0"/>
                <w:szCs w:val="21"/>
                <w:highlight w:val="none"/>
                <w:lang w:bidi="ar"/>
              </w:rPr>
              <w:t>监测点数量</w:t>
            </w:r>
          </w:p>
        </w:tc>
        <w:tc>
          <w:tcPr>
            <w:tcW w:w="831"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Cs w:val="21"/>
                <w:highlight w:val="none"/>
              </w:rPr>
            </w:pPr>
            <w:r>
              <w:rPr>
                <w:rFonts w:hint="eastAsia" w:ascii="宋体" w:hAnsi="宋体" w:cs="宋体"/>
                <w:b/>
                <w:bCs/>
                <w:color w:val="auto"/>
                <w:kern w:val="0"/>
                <w:szCs w:val="21"/>
                <w:highlight w:val="none"/>
                <w:lang w:bidi="ar"/>
              </w:rPr>
              <w:t>监测次数</w:t>
            </w:r>
          </w:p>
        </w:tc>
        <w:tc>
          <w:tcPr>
            <w:tcW w:w="870" w:type="dxa"/>
            <w:tcBorders>
              <w:top w:val="single" w:color="auto"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Cs w:val="21"/>
                <w:highlight w:val="none"/>
              </w:rPr>
            </w:pPr>
            <w:r>
              <w:rPr>
                <w:rFonts w:hint="eastAsia" w:ascii="宋体" w:hAnsi="宋体" w:cs="宋体"/>
                <w:b/>
                <w:bCs/>
                <w:color w:val="auto"/>
                <w:kern w:val="0"/>
                <w:szCs w:val="21"/>
                <w:highlight w:val="none"/>
                <w:lang w:bidi="ar"/>
              </w:rPr>
              <w:t>工程量</w:t>
            </w:r>
          </w:p>
        </w:tc>
        <w:tc>
          <w:tcPr>
            <w:tcW w:w="1714" w:type="dxa"/>
            <w:tcBorders>
              <w:top w:val="single" w:color="auto"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工作要求</w:t>
            </w:r>
          </w:p>
        </w:tc>
      </w:tr>
      <w:tr>
        <w:tblPrEx>
          <w:tblCellMar>
            <w:top w:w="0" w:type="dxa"/>
            <w:left w:w="108" w:type="dxa"/>
            <w:bottom w:w="0" w:type="dxa"/>
            <w:right w:w="108" w:type="dxa"/>
          </w:tblCellMar>
        </w:tblPrEx>
        <w:trPr>
          <w:trHeight w:val="23" w:hRule="atLeast"/>
          <w:jc w:val="center"/>
        </w:trPr>
        <w:tc>
          <w:tcPr>
            <w:tcW w:w="1101" w:type="dxa"/>
            <w:vMerge w:val="restart"/>
            <w:tcBorders>
              <w:top w:val="single" w:color="000000" w:sz="4" w:space="0"/>
              <w:left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隧道</w:t>
            </w:r>
          </w:p>
        </w:tc>
        <w:tc>
          <w:tcPr>
            <w:tcW w:w="13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车站、U型槽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（明挖法）</w:t>
            </w:r>
          </w:p>
        </w:tc>
        <w:tc>
          <w:tcPr>
            <w:tcW w:w="11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竖向位移</w:t>
            </w:r>
          </w:p>
        </w:tc>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点</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374</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6</w:t>
            </w:r>
          </w:p>
        </w:tc>
        <w:tc>
          <w:tcPr>
            <w:tcW w:w="87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2244</w:t>
            </w:r>
          </w:p>
        </w:tc>
        <w:tc>
          <w:tcPr>
            <w:tcW w:w="1714" w:type="dxa"/>
            <w:vMerge w:val="restart"/>
            <w:tcBorders>
              <w:top w:val="single" w:color="000000" w:sz="4" w:space="0"/>
              <w:left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bidi="ar"/>
              </w:rPr>
              <w:t>需布点并采集初始值</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监测3次）</w:t>
            </w:r>
          </w:p>
        </w:tc>
      </w:tr>
      <w:tr>
        <w:tblPrEx>
          <w:tblCellMar>
            <w:top w:w="0" w:type="dxa"/>
            <w:left w:w="108" w:type="dxa"/>
            <w:bottom w:w="0" w:type="dxa"/>
            <w:right w:w="108" w:type="dxa"/>
          </w:tblCellMar>
        </w:tblPrEx>
        <w:trPr>
          <w:trHeight w:val="23" w:hRule="atLeast"/>
          <w:jc w:val="center"/>
        </w:trPr>
        <w:tc>
          <w:tcPr>
            <w:tcW w:w="1101" w:type="dxa"/>
            <w:vMerge w:val="continue"/>
            <w:tcBorders>
              <w:left w:val="single" w:color="auto" w:sz="4" w:space="0"/>
              <w:right w:val="single" w:color="000000" w:sz="4" w:space="0"/>
            </w:tcBorders>
            <w:vAlign w:val="center"/>
          </w:tcPr>
          <w:p>
            <w:pPr>
              <w:pStyle w:val="52"/>
              <w:keepNext w:val="0"/>
              <w:keepLines w:val="0"/>
              <w:suppressLineNumbers w:val="0"/>
              <w:spacing w:before="0" w:beforeAutospacing="0" w:after="0" w:afterAutospacing="0"/>
              <w:ind w:left="0" w:right="0"/>
              <w:rPr>
                <w:rFonts w:hint="default"/>
                <w:color w:val="auto"/>
                <w:szCs w:val="21"/>
                <w:highlight w:val="none"/>
              </w:rPr>
            </w:pPr>
          </w:p>
        </w:tc>
        <w:tc>
          <w:tcPr>
            <w:tcW w:w="138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正线隧道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（盾构法）</w:t>
            </w:r>
          </w:p>
        </w:tc>
        <w:tc>
          <w:tcPr>
            <w:tcW w:w="11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竖向位移</w:t>
            </w:r>
          </w:p>
        </w:tc>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点</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 xml:space="preserve">1894 </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6</w:t>
            </w:r>
          </w:p>
        </w:tc>
        <w:tc>
          <w:tcPr>
            <w:tcW w:w="87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11364</w:t>
            </w:r>
          </w:p>
        </w:tc>
        <w:tc>
          <w:tcPr>
            <w:tcW w:w="1714" w:type="dxa"/>
            <w:vMerge w:val="continue"/>
            <w:tcBorders>
              <w:left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3" w:hRule="atLeast"/>
          <w:jc w:val="center"/>
        </w:trPr>
        <w:tc>
          <w:tcPr>
            <w:tcW w:w="1101" w:type="dxa"/>
            <w:vMerge w:val="continue"/>
            <w:tcBorders>
              <w:left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净空收敛</w:t>
            </w:r>
          </w:p>
        </w:tc>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断面</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 xml:space="preserve">1802 </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6</w:t>
            </w:r>
          </w:p>
        </w:tc>
        <w:tc>
          <w:tcPr>
            <w:tcW w:w="87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10812</w:t>
            </w:r>
          </w:p>
        </w:tc>
        <w:tc>
          <w:tcPr>
            <w:tcW w:w="1714" w:type="dxa"/>
            <w:vMerge w:val="continue"/>
            <w:tcBorders>
              <w:left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3" w:hRule="atLeast"/>
          <w:jc w:val="center"/>
        </w:trPr>
        <w:tc>
          <w:tcPr>
            <w:tcW w:w="1101" w:type="dxa"/>
            <w:vMerge w:val="continue"/>
            <w:tcBorders>
              <w:left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38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出入场线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（矿山法）</w:t>
            </w:r>
          </w:p>
        </w:tc>
        <w:tc>
          <w:tcPr>
            <w:tcW w:w="11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竖向位移</w:t>
            </w:r>
          </w:p>
        </w:tc>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点</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64</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6</w:t>
            </w:r>
          </w:p>
        </w:tc>
        <w:tc>
          <w:tcPr>
            <w:tcW w:w="87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384</w:t>
            </w:r>
          </w:p>
        </w:tc>
        <w:tc>
          <w:tcPr>
            <w:tcW w:w="1714" w:type="dxa"/>
            <w:vMerge w:val="continue"/>
            <w:tcBorders>
              <w:left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3" w:hRule="atLeast"/>
          <w:jc w:val="center"/>
        </w:trPr>
        <w:tc>
          <w:tcPr>
            <w:tcW w:w="1101" w:type="dxa"/>
            <w:vMerge w:val="continue"/>
            <w:tcBorders>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净空收敛</w:t>
            </w:r>
          </w:p>
        </w:tc>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断面</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30</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6</w:t>
            </w:r>
          </w:p>
        </w:tc>
        <w:tc>
          <w:tcPr>
            <w:tcW w:w="87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180</w:t>
            </w:r>
          </w:p>
        </w:tc>
        <w:tc>
          <w:tcPr>
            <w:tcW w:w="1714" w:type="dxa"/>
            <w:vMerge w:val="continue"/>
            <w:tcBorders>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3" w:hRule="atLeast"/>
          <w:jc w:val="center"/>
        </w:trPr>
        <w:tc>
          <w:tcPr>
            <w:tcW w:w="1101" w:type="dxa"/>
            <w:vMerge w:val="restart"/>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桥梁</w:t>
            </w:r>
          </w:p>
        </w:tc>
        <w:tc>
          <w:tcPr>
            <w:tcW w:w="256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墩台沉降</w:t>
            </w:r>
          </w:p>
        </w:tc>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点</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606</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3</w:t>
            </w:r>
          </w:p>
        </w:tc>
        <w:tc>
          <w:tcPr>
            <w:tcW w:w="87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1818</w:t>
            </w:r>
          </w:p>
        </w:tc>
        <w:tc>
          <w:tcPr>
            <w:tcW w:w="17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不需要布点（使用建设期监测点，并继承相关数据）</w:t>
            </w:r>
          </w:p>
        </w:tc>
      </w:tr>
      <w:tr>
        <w:tblPrEx>
          <w:tblCellMar>
            <w:top w:w="0" w:type="dxa"/>
            <w:left w:w="108" w:type="dxa"/>
            <w:bottom w:w="0" w:type="dxa"/>
            <w:right w:w="108" w:type="dxa"/>
          </w:tblCellMar>
        </w:tblPrEx>
        <w:trPr>
          <w:trHeight w:val="23" w:hRule="atLeast"/>
          <w:jc w:val="center"/>
        </w:trPr>
        <w:tc>
          <w:tcPr>
            <w:tcW w:w="1101" w:type="dxa"/>
            <w:vMerge w:val="continue"/>
            <w:tcBorders>
              <w:top w:val="single" w:color="000000" w:sz="4" w:space="0"/>
              <w:left w:val="single" w:color="auto"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梁体竖向与横向变形</w:t>
            </w:r>
          </w:p>
        </w:tc>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点</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2310</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6</w:t>
            </w:r>
          </w:p>
        </w:tc>
        <w:tc>
          <w:tcPr>
            <w:tcW w:w="87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13860</w:t>
            </w:r>
          </w:p>
        </w:tc>
        <w:tc>
          <w:tcPr>
            <w:tcW w:w="17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需布点并采集初始值</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监测3次）</w:t>
            </w:r>
          </w:p>
        </w:tc>
      </w:tr>
      <w:tr>
        <w:tblPrEx>
          <w:tblCellMar>
            <w:top w:w="0" w:type="dxa"/>
            <w:left w:w="108" w:type="dxa"/>
            <w:bottom w:w="0" w:type="dxa"/>
            <w:right w:w="108" w:type="dxa"/>
          </w:tblCellMar>
        </w:tblPrEx>
        <w:trPr>
          <w:trHeight w:val="23" w:hRule="atLeast"/>
          <w:jc w:val="center"/>
        </w:trPr>
        <w:tc>
          <w:tcPr>
            <w:tcW w:w="11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高架车站</w:t>
            </w:r>
          </w:p>
        </w:tc>
        <w:tc>
          <w:tcPr>
            <w:tcW w:w="256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沉降监测</w:t>
            </w:r>
          </w:p>
        </w:tc>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点</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36</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3</w:t>
            </w:r>
          </w:p>
        </w:tc>
        <w:tc>
          <w:tcPr>
            <w:tcW w:w="87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108</w:t>
            </w:r>
          </w:p>
        </w:tc>
        <w:tc>
          <w:tcPr>
            <w:tcW w:w="1714" w:type="dxa"/>
            <w:vMerge w:val="restart"/>
            <w:tcBorders>
              <w:top w:val="single" w:color="000000" w:sz="4" w:space="0"/>
              <w:left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不需要布点（使用建设期监测点，并继承相关数据）</w:t>
            </w:r>
          </w:p>
        </w:tc>
      </w:tr>
      <w:tr>
        <w:tblPrEx>
          <w:tblCellMar>
            <w:top w:w="0" w:type="dxa"/>
            <w:left w:w="108" w:type="dxa"/>
            <w:bottom w:w="0" w:type="dxa"/>
            <w:right w:w="108" w:type="dxa"/>
          </w:tblCellMar>
        </w:tblPrEx>
        <w:trPr>
          <w:trHeight w:val="23" w:hRule="atLeast"/>
          <w:jc w:val="center"/>
        </w:trPr>
        <w:tc>
          <w:tcPr>
            <w:tcW w:w="11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cs="宋体"/>
                <w:color w:val="auto"/>
                <w:kern w:val="0"/>
                <w:sz w:val="18"/>
                <w:szCs w:val="18"/>
                <w:highlight w:val="none"/>
                <w:lang w:bidi="ar"/>
              </w:rPr>
              <w:t>主所</w:t>
            </w:r>
          </w:p>
        </w:tc>
        <w:tc>
          <w:tcPr>
            <w:tcW w:w="256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cs="宋体"/>
                <w:color w:val="auto"/>
                <w:kern w:val="0"/>
                <w:sz w:val="18"/>
                <w:szCs w:val="18"/>
                <w:highlight w:val="none"/>
                <w:lang w:bidi="ar"/>
              </w:rPr>
              <w:t>沉降监测</w:t>
            </w:r>
          </w:p>
        </w:tc>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点</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cs="宋体"/>
                <w:color w:val="auto"/>
                <w:kern w:val="0"/>
                <w:sz w:val="18"/>
                <w:szCs w:val="18"/>
                <w:highlight w:val="none"/>
                <w:lang w:bidi="ar"/>
              </w:rPr>
              <w:t>20</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87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cs="宋体"/>
                <w:color w:val="auto"/>
                <w:kern w:val="0"/>
                <w:sz w:val="18"/>
                <w:szCs w:val="18"/>
                <w:highlight w:val="none"/>
                <w:lang w:bidi="ar"/>
              </w:rPr>
              <w:t>60</w:t>
            </w:r>
          </w:p>
        </w:tc>
        <w:tc>
          <w:tcPr>
            <w:tcW w:w="1714" w:type="dxa"/>
            <w:vMerge w:val="continue"/>
            <w:tcBorders>
              <w:left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kern w:val="0"/>
                <w:sz w:val="18"/>
                <w:szCs w:val="18"/>
                <w:highlight w:val="none"/>
                <w:lang w:bidi="ar"/>
              </w:rPr>
            </w:pPr>
          </w:p>
        </w:tc>
      </w:tr>
      <w:tr>
        <w:tblPrEx>
          <w:tblCellMar>
            <w:top w:w="0" w:type="dxa"/>
            <w:left w:w="108" w:type="dxa"/>
            <w:bottom w:w="0" w:type="dxa"/>
            <w:right w:w="108" w:type="dxa"/>
          </w:tblCellMar>
        </w:tblPrEx>
        <w:trPr>
          <w:trHeight w:val="23" w:hRule="atLeast"/>
          <w:jc w:val="center"/>
        </w:trPr>
        <w:tc>
          <w:tcPr>
            <w:tcW w:w="11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cs="宋体"/>
                <w:color w:val="auto"/>
                <w:kern w:val="0"/>
                <w:sz w:val="18"/>
                <w:szCs w:val="18"/>
                <w:highlight w:val="none"/>
                <w:lang w:bidi="ar"/>
              </w:rPr>
              <w:t>场段建筑</w:t>
            </w:r>
          </w:p>
        </w:tc>
        <w:tc>
          <w:tcPr>
            <w:tcW w:w="256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cs="宋体"/>
                <w:color w:val="auto"/>
                <w:kern w:val="0"/>
                <w:sz w:val="18"/>
                <w:szCs w:val="18"/>
                <w:highlight w:val="none"/>
                <w:lang w:bidi="ar"/>
              </w:rPr>
              <w:t>沉降监测</w:t>
            </w:r>
          </w:p>
        </w:tc>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点</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cs="宋体"/>
                <w:color w:val="auto"/>
                <w:kern w:val="0"/>
                <w:sz w:val="18"/>
                <w:szCs w:val="18"/>
                <w:highlight w:val="none"/>
                <w:lang w:bidi="ar"/>
              </w:rPr>
              <w:t>57</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87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cs="宋体"/>
                <w:color w:val="auto"/>
                <w:kern w:val="0"/>
                <w:sz w:val="18"/>
                <w:szCs w:val="18"/>
                <w:highlight w:val="none"/>
                <w:lang w:bidi="ar"/>
              </w:rPr>
              <w:t>171</w:t>
            </w:r>
          </w:p>
        </w:tc>
        <w:tc>
          <w:tcPr>
            <w:tcW w:w="1714" w:type="dxa"/>
            <w:vMerge w:val="continue"/>
            <w:tcBorders>
              <w:left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kern w:val="0"/>
                <w:sz w:val="18"/>
                <w:szCs w:val="18"/>
                <w:highlight w:val="none"/>
                <w:lang w:bidi="ar"/>
              </w:rPr>
            </w:pPr>
          </w:p>
        </w:tc>
      </w:tr>
      <w:tr>
        <w:tblPrEx>
          <w:tblCellMar>
            <w:top w:w="0" w:type="dxa"/>
            <w:left w:w="108" w:type="dxa"/>
            <w:bottom w:w="0" w:type="dxa"/>
            <w:right w:w="108" w:type="dxa"/>
          </w:tblCellMar>
        </w:tblPrEx>
        <w:trPr>
          <w:trHeight w:val="23" w:hRule="atLeast"/>
          <w:jc w:val="center"/>
        </w:trPr>
        <w:tc>
          <w:tcPr>
            <w:tcW w:w="1101"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cs="宋体"/>
                <w:color w:val="auto"/>
                <w:kern w:val="0"/>
                <w:sz w:val="18"/>
                <w:szCs w:val="18"/>
                <w:highlight w:val="none"/>
                <w:lang w:bidi="ar"/>
              </w:rPr>
              <w:t>边坡</w:t>
            </w:r>
          </w:p>
        </w:tc>
        <w:tc>
          <w:tcPr>
            <w:tcW w:w="2569" w:type="dxa"/>
            <w:gridSpan w:val="2"/>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cs="宋体"/>
                <w:color w:val="auto"/>
                <w:kern w:val="0"/>
                <w:sz w:val="18"/>
                <w:szCs w:val="18"/>
                <w:highlight w:val="none"/>
                <w:lang w:bidi="ar"/>
              </w:rPr>
              <w:t>竖向位移、水平位移监测</w:t>
            </w:r>
          </w:p>
        </w:tc>
        <w:tc>
          <w:tcPr>
            <w:tcW w:w="58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点</w:t>
            </w:r>
          </w:p>
        </w:tc>
        <w:tc>
          <w:tcPr>
            <w:tcW w:w="100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cs="宋体"/>
                <w:color w:val="auto"/>
                <w:kern w:val="0"/>
                <w:sz w:val="18"/>
                <w:szCs w:val="18"/>
                <w:highlight w:val="none"/>
                <w:lang w:bidi="ar"/>
              </w:rPr>
              <w:t>107</w:t>
            </w:r>
          </w:p>
        </w:tc>
        <w:tc>
          <w:tcPr>
            <w:tcW w:w="83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c>
          <w:tcPr>
            <w:tcW w:w="870" w:type="dxa"/>
            <w:tcBorders>
              <w:top w:val="single" w:color="000000" w:sz="4" w:space="0"/>
              <w:left w:val="single" w:color="000000"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cs="宋体"/>
                <w:color w:val="auto"/>
                <w:kern w:val="0"/>
                <w:sz w:val="18"/>
                <w:szCs w:val="18"/>
                <w:highlight w:val="none"/>
                <w:lang w:bidi="ar"/>
              </w:rPr>
              <w:t>963</w:t>
            </w:r>
          </w:p>
        </w:tc>
        <w:tc>
          <w:tcPr>
            <w:tcW w:w="1714" w:type="dxa"/>
            <w:vMerge w:val="continue"/>
            <w:tcBorders>
              <w:left w:val="single" w:color="000000"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kern w:val="0"/>
                <w:sz w:val="18"/>
                <w:szCs w:val="18"/>
                <w:highlight w:val="none"/>
                <w:lang w:bidi="ar"/>
              </w:rPr>
            </w:pPr>
          </w:p>
        </w:tc>
      </w:tr>
    </w:tbl>
    <w:p>
      <w:pPr>
        <w:widowControl/>
        <w:adjustRightInd w:val="0"/>
        <w:snapToGrid w:val="0"/>
        <w:spacing w:line="460" w:lineRule="exact"/>
        <w:ind w:firstLine="420" w:firstLineChars="200"/>
        <w:rPr>
          <w:rFonts w:ascii="宋体" w:hAnsi="宋体" w:cs="宋体"/>
          <w:color w:val="auto"/>
          <w:highlight w:val="none"/>
        </w:rPr>
      </w:pPr>
      <w:r>
        <w:rPr>
          <w:rFonts w:hint="eastAsia" w:ascii="宋体" w:hAnsi="宋体" w:cs="宋体"/>
          <w:color w:val="auto"/>
          <w:highlight w:val="none"/>
        </w:rPr>
        <w:t>注：工程量按实际发生计量。</w:t>
      </w:r>
    </w:p>
    <w:p>
      <w:pPr>
        <w:keepNext/>
        <w:keepLines/>
        <w:widowControl/>
        <w:autoSpaceDE w:val="0"/>
        <w:spacing w:before="40" w:after="40" w:line="360" w:lineRule="auto"/>
        <w:ind w:firstLine="482" w:firstLineChars="200"/>
        <w:jc w:val="left"/>
        <w:rPr>
          <w:rFonts w:ascii="宋体" w:hAnsi="宋体" w:cs="宋体"/>
          <w:b/>
          <w:bCs/>
          <w:color w:val="auto"/>
          <w:kern w:val="44"/>
          <w:sz w:val="24"/>
          <w:szCs w:val="24"/>
          <w:highlight w:val="none"/>
        </w:rPr>
      </w:pPr>
      <w:bookmarkStart w:id="1110" w:name="_Toc31483"/>
      <w:bookmarkStart w:id="1111" w:name="_Toc26983"/>
      <w:bookmarkStart w:id="1112" w:name="_Toc7801"/>
      <w:bookmarkStart w:id="1113" w:name="_Toc17685"/>
      <w:bookmarkStart w:id="1114" w:name="_Toc12040"/>
      <w:bookmarkStart w:id="1115" w:name="_Toc25561"/>
      <w:bookmarkStart w:id="1116" w:name="_Toc43"/>
      <w:bookmarkStart w:id="1117" w:name="_Toc6892"/>
      <w:bookmarkStart w:id="1118" w:name="_Toc4573"/>
      <w:bookmarkStart w:id="1119" w:name="_Toc6863"/>
      <w:r>
        <w:rPr>
          <w:rFonts w:hint="eastAsia" w:ascii="宋体" w:hAnsi="宋体" w:cs="宋体"/>
          <w:b/>
          <w:bCs/>
          <w:color w:val="auto"/>
          <w:kern w:val="44"/>
          <w:sz w:val="24"/>
          <w:szCs w:val="24"/>
          <w:highlight w:val="none"/>
        </w:rPr>
        <w:t>六、合同履约保证金</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p>
    <w:p>
      <w:pPr>
        <w:widowControl/>
        <w:spacing w:before="34" w:line="360" w:lineRule="auto"/>
        <w:ind w:right="-20"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1.关于履约保函：</w:t>
      </w:r>
    </w:p>
    <w:p>
      <w:pPr>
        <w:widowControl/>
        <w:spacing w:before="34" w:line="360" w:lineRule="auto"/>
        <w:ind w:right="-20"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乙方应在合同签订</w:t>
      </w:r>
      <w:r>
        <w:rPr>
          <w:rFonts w:hint="eastAsia" w:ascii="宋体" w:hAnsi="宋体" w:cs="宋体"/>
          <w:color w:val="auto"/>
          <w:kern w:val="0"/>
          <w:sz w:val="24"/>
          <w:szCs w:val="24"/>
          <w:highlight w:val="none"/>
          <w:lang w:eastAsia="zh-CN" w:bidi="ar"/>
        </w:rPr>
        <w:t>前</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0日内向甲方提交合同金额10%的履约保函。保函应由国有商业银行或股份制商业银行的支行或其他以上级别银行出具的无条件不可撤销的见索即付的履约保函，保函不得附加任何条件。</w:t>
      </w:r>
    </w:p>
    <w:p>
      <w:pPr>
        <w:widowControl/>
        <w:spacing w:before="34" w:line="360" w:lineRule="auto"/>
        <w:ind w:right="-20"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非东莞市行政区域内的银行出具的履约保函需经担保银行所在地公证机关公证并出具公证书。</w:t>
      </w:r>
    </w:p>
    <w:p>
      <w:pPr>
        <w:widowControl/>
        <w:spacing w:before="34" w:line="360" w:lineRule="auto"/>
        <w:ind w:right="-20"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3</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乙方也可以向甲方交纳同等数额的履约保证金作为履约保函。如果乙方提交履约保证金的，履约保证金应以乙方名义通过银行转账或电汇方式转入甲方指定的银行账户，不接受分公司、子公司汇款。无论以何种形式转入的履约保证金，担保期结束经乙方申请，一律以银行转账的方式无息退回到乙方原汇入账户。履约保证金应以存入甲方指定的银行账户为准。承包人将履约保证金缴纳银行回单作为履约保证金缴纳凭据加入合同附件</w:t>
      </w:r>
      <w:r>
        <w:rPr>
          <w:rFonts w:hint="eastAsia" w:ascii="宋体" w:hAnsi="宋体" w:cs="宋体"/>
          <w:color w:val="auto"/>
          <w:kern w:val="0"/>
          <w:sz w:val="24"/>
          <w:szCs w:val="24"/>
          <w:highlight w:val="none"/>
          <w:lang w:eastAsia="zh-CN" w:bidi="ar"/>
        </w:rPr>
        <w:t>。</w:t>
      </w:r>
    </w:p>
    <w:p>
      <w:pPr>
        <w:widowControl/>
        <w:spacing w:before="34" w:line="360" w:lineRule="auto"/>
        <w:ind w:right="-20"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甲方指定的履约保证金账号：</w:t>
      </w:r>
    </w:p>
    <w:p>
      <w:pPr>
        <w:widowControl/>
        <w:spacing w:before="34" w:line="360" w:lineRule="auto"/>
        <w:ind w:right="-20"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开户名称：东莞市轨道一号线建设发展有限公司</w:t>
      </w:r>
    </w:p>
    <w:p>
      <w:pPr>
        <w:widowControl/>
        <w:spacing w:before="34" w:line="360" w:lineRule="auto"/>
        <w:ind w:right="-20"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账    号：570000101822222</w:t>
      </w:r>
    </w:p>
    <w:p>
      <w:pPr>
        <w:widowControl/>
        <w:spacing w:before="34" w:line="360" w:lineRule="auto"/>
        <w:ind w:right="-20"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开户行：东莞银行股份有限公司中心区支行</w:t>
      </w:r>
    </w:p>
    <w:p>
      <w:pPr>
        <w:widowControl/>
        <w:spacing w:before="34" w:line="360" w:lineRule="auto"/>
        <w:ind w:right="-20"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履约保函的有效期及退还：在乙方根据合同进行检测直至成果验收合格通知发出并且发包人、承包人双方办理结算手续后28天内，履约保函将一直有效。在成果验收合格通知发出并且合同结算手续完成后28天内，甲方将根据乙方提起的退保函申请将履约保函退还给乙方。</w:t>
      </w:r>
    </w:p>
    <w:p>
      <w:pPr>
        <w:widowControl/>
        <w:spacing w:before="34" w:line="360" w:lineRule="auto"/>
        <w:ind w:right="-20"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3.如果乙方提交的履约保函的有效期届满时间先于招标文件、合同文件要求的，乙方应在原提交的履约保函有效期届满前15天内，无条件办理保函延期手续，否则视为乙方违约，</w:t>
      </w:r>
      <w:r>
        <w:rPr>
          <w:rFonts w:hint="eastAsia" w:ascii="宋体" w:hAnsi="宋体" w:cs="宋体"/>
          <w:color w:val="auto"/>
          <w:kern w:val="0"/>
          <w:sz w:val="24"/>
          <w:szCs w:val="24"/>
          <w:highlight w:val="none"/>
          <w:lang w:eastAsia="zh-CN" w:bidi="ar"/>
        </w:rPr>
        <w:t>乙方</w:t>
      </w:r>
      <w:r>
        <w:rPr>
          <w:rFonts w:hint="eastAsia" w:ascii="宋体" w:hAnsi="宋体" w:cs="宋体"/>
          <w:color w:val="auto"/>
          <w:kern w:val="0"/>
          <w:sz w:val="24"/>
          <w:szCs w:val="24"/>
          <w:highlight w:val="none"/>
          <w:lang w:bidi="ar"/>
        </w:rPr>
        <w:t>可在保函到期前将保函金额转为现金存入履约保证金专户。</w:t>
      </w:r>
    </w:p>
    <w:p>
      <w:pPr>
        <w:keepNext/>
        <w:keepLines/>
        <w:widowControl/>
        <w:autoSpaceDE w:val="0"/>
        <w:spacing w:before="40" w:after="40"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如发生法律规定或本合同中约定乙方应承担相应违约责任而涉及赔偿或支付违约金的，甲方有权直接在履约保证金中予以扣减（乙方需配合），乙方应在发生实际扣减后重新向甲方出具银行保函或以双方确认方式补足履约保证金。</w:t>
      </w:r>
      <w:bookmarkStart w:id="1120" w:name="_Toc10997"/>
      <w:bookmarkStart w:id="1121" w:name="_Toc15804"/>
      <w:bookmarkStart w:id="1122" w:name="_Toc363"/>
      <w:bookmarkStart w:id="1123" w:name="_Toc12568"/>
      <w:bookmarkStart w:id="1124" w:name="_Toc32444"/>
      <w:bookmarkStart w:id="1125" w:name="_Toc7317"/>
      <w:bookmarkStart w:id="1126" w:name="_Toc10388"/>
      <w:bookmarkStart w:id="1127" w:name="_Toc23636"/>
      <w:bookmarkStart w:id="1128" w:name="_Toc21814"/>
      <w:bookmarkStart w:id="1129" w:name="_Toc6003"/>
      <w:bookmarkStart w:id="1130" w:name="_Toc25222"/>
      <w:bookmarkStart w:id="1131" w:name="_Toc7050"/>
      <w:bookmarkStart w:id="1132" w:name="_Toc13501"/>
      <w:bookmarkStart w:id="1133" w:name="_Toc24421"/>
      <w:bookmarkStart w:id="1134" w:name="_Toc28485"/>
      <w:bookmarkStart w:id="1135" w:name="_Toc1320"/>
      <w:bookmarkStart w:id="1136" w:name="_Toc13826"/>
    </w:p>
    <w:p>
      <w:pPr>
        <w:keepNext/>
        <w:keepLines/>
        <w:widowControl/>
        <w:autoSpaceDE w:val="0"/>
        <w:spacing w:before="40" w:after="40" w:line="360" w:lineRule="auto"/>
        <w:ind w:firstLine="482" w:firstLineChars="200"/>
        <w:jc w:val="left"/>
        <w:rPr>
          <w:rFonts w:ascii="宋体" w:hAnsi="宋体" w:cs="宋体"/>
          <w:b/>
          <w:bCs/>
          <w:color w:val="auto"/>
          <w:kern w:val="44"/>
          <w:sz w:val="24"/>
          <w:szCs w:val="24"/>
          <w:highlight w:val="none"/>
        </w:rPr>
      </w:pPr>
      <w:r>
        <w:rPr>
          <w:rFonts w:hint="eastAsia" w:ascii="宋体" w:hAnsi="宋体" w:cs="宋体"/>
          <w:b/>
          <w:bCs/>
          <w:color w:val="auto"/>
          <w:kern w:val="44"/>
          <w:sz w:val="24"/>
          <w:szCs w:val="24"/>
          <w:highlight w:val="none"/>
        </w:rPr>
        <w:t>七、甲方的权利与义务</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p>
    <w:p>
      <w:pPr>
        <w:widowControl/>
        <w:spacing w:before="33" w:line="360" w:lineRule="auto"/>
        <w:ind w:right="418"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1.为监测工作提供必要的工作条件，包括现场监测所需的水、电接入点等。</w:t>
      </w:r>
    </w:p>
    <w:p>
      <w:pPr>
        <w:widowControl/>
        <w:spacing w:before="33" w:line="360" w:lineRule="auto"/>
        <w:ind w:right="418" w:firstLine="480" w:firstLineChars="200"/>
        <w:jc w:val="left"/>
        <w:rPr>
          <w:color w:val="auto"/>
          <w:highlight w:val="none"/>
        </w:rPr>
      </w:pPr>
      <w:r>
        <w:rPr>
          <w:rFonts w:hint="eastAsia" w:ascii="宋体" w:hAnsi="宋体" w:cs="宋体"/>
          <w:color w:val="auto"/>
          <w:kern w:val="0"/>
          <w:sz w:val="24"/>
          <w:szCs w:val="24"/>
          <w:highlight w:val="none"/>
          <w:lang w:bidi="ar"/>
        </w:rPr>
        <w:t>2.对质量、人员、仪器进行监督检查，对不符合要求的工作，有权要求乙方自费进行返工。</w:t>
      </w:r>
    </w:p>
    <w:p>
      <w:pPr>
        <w:widowControl/>
        <w:spacing w:before="33" w:line="360" w:lineRule="auto"/>
        <w:ind w:right="418"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3.按照本合同的付款方式向乙方支付服务费。</w:t>
      </w:r>
    </w:p>
    <w:p>
      <w:pPr>
        <w:widowControl/>
        <w:spacing w:before="33" w:line="360" w:lineRule="auto"/>
        <w:ind w:right="418"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4.组织对乙方编制的监测方案进行审查及监测成果进行验收。</w:t>
      </w:r>
    </w:p>
    <w:p>
      <w:pPr>
        <w:widowControl/>
        <w:spacing w:before="33" w:line="360" w:lineRule="auto"/>
        <w:ind w:right="418"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5.按照合同要求，享有本项目所有的监测成果。 </w:t>
      </w:r>
    </w:p>
    <w:p>
      <w:pPr>
        <w:widowControl/>
        <w:spacing w:before="33" w:line="360" w:lineRule="auto"/>
        <w:ind w:right="418"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6.合同期内对乙方的服务质量进行考评。</w:t>
      </w:r>
    </w:p>
    <w:p>
      <w:pPr>
        <w:widowControl/>
        <w:spacing w:before="33" w:line="360" w:lineRule="auto"/>
        <w:ind w:right="418"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7.有权对乙方的项目负责人和技术负责人进行工作考核，对于不称职或严重失职的监测人员，甲方有权要求更换。</w:t>
      </w:r>
    </w:p>
    <w:p>
      <w:pPr>
        <w:keepNext/>
        <w:keepLines/>
        <w:widowControl/>
        <w:autoSpaceDE w:val="0"/>
        <w:spacing w:before="40" w:after="40" w:line="360" w:lineRule="auto"/>
        <w:ind w:firstLine="482" w:firstLineChars="200"/>
        <w:jc w:val="left"/>
        <w:rPr>
          <w:rFonts w:ascii="宋体" w:hAnsi="宋体" w:cs="宋体"/>
          <w:b/>
          <w:bCs/>
          <w:color w:val="auto"/>
          <w:kern w:val="44"/>
          <w:sz w:val="24"/>
          <w:szCs w:val="24"/>
          <w:highlight w:val="none"/>
        </w:rPr>
      </w:pPr>
      <w:bookmarkStart w:id="1137" w:name="_Toc26885"/>
      <w:bookmarkStart w:id="1138" w:name="_Toc21550"/>
      <w:bookmarkStart w:id="1139" w:name="_Toc25853"/>
      <w:bookmarkStart w:id="1140" w:name="_Toc2168"/>
      <w:bookmarkStart w:id="1141" w:name="_Toc14436"/>
      <w:bookmarkStart w:id="1142" w:name="_Toc18877"/>
      <w:bookmarkStart w:id="1143" w:name="_Toc1672"/>
      <w:bookmarkStart w:id="1144" w:name="_Toc21071"/>
      <w:bookmarkStart w:id="1145" w:name="_Toc15527"/>
      <w:bookmarkStart w:id="1146" w:name="_Toc14049"/>
      <w:bookmarkStart w:id="1147" w:name="_Toc30469"/>
      <w:bookmarkStart w:id="1148" w:name="_Toc31066"/>
      <w:bookmarkStart w:id="1149" w:name="_Toc21181"/>
      <w:bookmarkStart w:id="1150" w:name="_Toc24777"/>
      <w:bookmarkStart w:id="1151" w:name="_Toc14215"/>
      <w:bookmarkStart w:id="1152" w:name="_Toc9932"/>
      <w:r>
        <w:rPr>
          <w:rFonts w:hint="eastAsia" w:ascii="宋体" w:hAnsi="宋体" w:cs="宋体"/>
          <w:b/>
          <w:bCs/>
          <w:color w:val="auto"/>
          <w:kern w:val="44"/>
          <w:sz w:val="24"/>
          <w:szCs w:val="24"/>
          <w:highlight w:val="none"/>
        </w:rPr>
        <w:t>八、乙方的权利和义务</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pPr>
        <w:widowControl/>
        <w:spacing w:line="360" w:lineRule="auto"/>
        <w:ind w:right="38"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1.服从甲方的管理，遵守轨道公司、一号线公司、运营管理中心等有关的规章制度。</w:t>
      </w:r>
    </w:p>
    <w:p>
      <w:pPr>
        <w:widowControl/>
        <w:spacing w:line="360" w:lineRule="auto"/>
        <w:ind w:right="38"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2.监测前按要求对基准点检核及监测点检查，不符合要求的点进行恢复。</w:t>
      </w:r>
    </w:p>
    <w:p>
      <w:pPr>
        <w:widowControl/>
        <w:spacing w:line="360" w:lineRule="auto"/>
        <w:ind w:right="38"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3.乙方应按国家技术规范、标准、规程和甲方的用户需求书、合同规定及监测方案的各项条款、技术要求进行监测，完成监测数据计算分析</w:t>
      </w:r>
      <w:r>
        <w:rPr>
          <w:rFonts w:hint="eastAsia" w:ascii="宋体" w:hAnsi="宋体" w:cs="宋体"/>
          <w:color w:val="auto"/>
          <w:spacing w:val="2"/>
          <w:kern w:val="0"/>
          <w:sz w:val="24"/>
          <w:szCs w:val="24"/>
          <w:highlight w:val="none"/>
          <w:lang w:bidi="ar"/>
        </w:rPr>
        <w:t>、</w:t>
      </w:r>
      <w:r>
        <w:rPr>
          <w:rFonts w:hint="eastAsia" w:ascii="宋体" w:hAnsi="宋体" w:cs="宋体"/>
          <w:color w:val="auto"/>
          <w:kern w:val="0"/>
          <w:sz w:val="24"/>
          <w:szCs w:val="24"/>
          <w:highlight w:val="none"/>
          <w:lang w:bidi="ar"/>
        </w:rPr>
        <w:t>资料</w:t>
      </w:r>
      <w:r>
        <w:rPr>
          <w:rFonts w:hint="eastAsia" w:ascii="宋体" w:hAnsi="宋体" w:cs="宋体"/>
          <w:color w:val="auto"/>
          <w:spacing w:val="2"/>
          <w:kern w:val="0"/>
          <w:sz w:val="24"/>
          <w:szCs w:val="24"/>
          <w:highlight w:val="none"/>
          <w:lang w:bidi="ar"/>
        </w:rPr>
        <w:t>整</w:t>
      </w:r>
      <w:r>
        <w:rPr>
          <w:rFonts w:hint="eastAsia" w:ascii="宋体" w:hAnsi="宋体" w:cs="宋体"/>
          <w:color w:val="auto"/>
          <w:kern w:val="0"/>
          <w:sz w:val="24"/>
          <w:szCs w:val="24"/>
          <w:highlight w:val="none"/>
          <w:lang w:bidi="ar"/>
        </w:rPr>
        <w:t>理</w:t>
      </w:r>
      <w:r>
        <w:rPr>
          <w:rFonts w:hint="eastAsia" w:ascii="宋体" w:hAnsi="宋体" w:cs="宋体"/>
          <w:color w:val="auto"/>
          <w:spacing w:val="2"/>
          <w:kern w:val="0"/>
          <w:sz w:val="24"/>
          <w:szCs w:val="24"/>
          <w:highlight w:val="none"/>
          <w:lang w:bidi="ar"/>
        </w:rPr>
        <w:t>及</w:t>
      </w:r>
      <w:r>
        <w:rPr>
          <w:rFonts w:hint="eastAsia" w:ascii="宋体" w:hAnsi="宋体" w:cs="宋体"/>
          <w:color w:val="auto"/>
          <w:kern w:val="0"/>
          <w:sz w:val="24"/>
          <w:szCs w:val="24"/>
          <w:highlight w:val="none"/>
          <w:lang w:bidi="ar"/>
        </w:rPr>
        <w:t>成果</w:t>
      </w:r>
      <w:r>
        <w:rPr>
          <w:rFonts w:hint="eastAsia" w:ascii="宋体" w:hAnsi="宋体" w:cs="宋体"/>
          <w:color w:val="auto"/>
          <w:spacing w:val="2"/>
          <w:kern w:val="0"/>
          <w:sz w:val="24"/>
          <w:szCs w:val="24"/>
          <w:highlight w:val="none"/>
          <w:lang w:bidi="ar"/>
        </w:rPr>
        <w:t>报</w:t>
      </w:r>
      <w:r>
        <w:rPr>
          <w:rFonts w:hint="eastAsia" w:ascii="宋体" w:hAnsi="宋体" w:cs="宋体"/>
          <w:color w:val="auto"/>
          <w:kern w:val="0"/>
          <w:sz w:val="24"/>
          <w:szCs w:val="24"/>
          <w:highlight w:val="none"/>
          <w:lang w:bidi="ar"/>
        </w:rPr>
        <w:t>告</w:t>
      </w:r>
      <w:r>
        <w:rPr>
          <w:rFonts w:hint="eastAsia" w:ascii="宋体" w:hAnsi="宋体" w:cs="宋体"/>
          <w:color w:val="auto"/>
          <w:spacing w:val="2"/>
          <w:kern w:val="0"/>
          <w:sz w:val="24"/>
          <w:szCs w:val="24"/>
          <w:highlight w:val="none"/>
          <w:lang w:bidi="ar"/>
        </w:rPr>
        <w:t>编</w:t>
      </w:r>
      <w:r>
        <w:rPr>
          <w:rFonts w:hint="eastAsia" w:ascii="宋体" w:hAnsi="宋体" w:cs="宋体"/>
          <w:color w:val="auto"/>
          <w:kern w:val="0"/>
          <w:sz w:val="24"/>
          <w:szCs w:val="24"/>
          <w:highlight w:val="none"/>
          <w:lang w:bidi="ar"/>
        </w:rPr>
        <w:t>写等</w:t>
      </w:r>
      <w:r>
        <w:rPr>
          <w:rFonts w:hint="eastAsia" w:ascii="宋体" w:hAnsi="宋体" w:cs="宋体"/>
          <w:color w:val="auto"/>
          <w:spacing w:val="2"/>
          <w:kern w:val="0"/>
          <w:sz w:val="24"/>
          <w:szCs w:val="24"/>
          <w:highlight w:val="none"/>
          <w:lang w:bidi="ar"/>
        </w:rPr>
        <w:t>工</w:t>
      </w:r>
      <w:r>
        <w:rPr>
          <w:rFonts w:hint="eastAsia" w:ascii="宋体" w:hAnsi="宋体" w:cs="宋体"/>
          <w:color w:val="auto"/>
          <w:kern w:val="0"/>
          <w:sz w:val="24"/>
          <w:szCs w:val="24"/>
          <w:highlight w:val="none"/>
          <w:lang w:bidi="ar"/>
        </w:rPr>
        <w:t>作。</w:t>
      </w:r>
    </w:p>
    <w:p>
      <w:pPr>
        <w:widowControl/>
        <w:spacing w:line="360" w:lineRule="auto"/>
        <w:ind w:right="38"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4.按本合同规定的时间提交质量合格的监测成果资料，并对其负责。由于乙方提供的监测成果资料质量不合格，乙方应负责无偿给予补充完善使其达到质量合格。</w:t>
      </w:r>
    </w:p>
    <w:p>
      <w:pPr>
        <w:widowControl/>
        <w:spacing w:line="360" w:lineRule="auto"/>
        <w:ind w:right="127"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5.确保顺利通过初期运营前安全评估，乙方应采取加人或加班等措施，在安全评估前（10月10日前）完成监测点埋设、初始值采集及第一次正式监测成果报告。</w:t>
      </w:r>
    </w:p>
    <w:p>
      <w:pPr>
        <w:widowControl/>
        <w:spacing w:line="360" w:lineRule="auto"/>
        <w:ind w:right="127"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6.项目完结后</w:t>
      </w:r>
      <w:r>
        <w:rPr>
          <w:rFonts w:hint="eastAsia" w:ascii="宋体" w:hAnsi="宋体" w:cs="宋体"/>
          <w:color w:val="auto"/>
          <w:spacing w:val="2"/>
          <w:kern w:val="0"/>
          <w:sz w:val="24"/>
          <w:szCs w:val="24"/>
          <w:highlight w:val="none"/>
          <w:lang w:bidi="ar"/>
        </w:rPr>
        <w:t>负责办理桩点及监测点移交</w:t>
      </w:r>
      <w:r>
        <w:rPr>
          <w:rFonts w:hint="eastAsia" w:ascii="宋体" w:hAnsi="宋体" w:cs="宋体"/>
          <w:color w:val="auto"/>
          <w:kern w:val="0"/>
          <w:sz w:val="24"/>
          <w:szCs w:val="24"/>
          <w:highlight w:val="none"/>
          <w:lang w:bidi="ar"/>
        </w:rPr>
        <w:t>。</w:t>
      </w:r>
    </w:p>
    <w:p>
      <w:pPr>
        <w:widowControl/>
        <w:spacing w:line="360" w:lineRule="auto"/>
        <w:ind w:right="127" w:firstLine="480" w:firstLineChars="200"/>
        <w:jc w:val="left"/>
        <w:rPr>
          <w:rFonts w:hint="default" w:eastAsia="宋体"/>
          <w:color w:val="auto"/>
          <w:highlight w:val="none"/>
          <w:lang w:val="en-US" w:eastAsia="zh-CN"/>
        </w:rPr>
      </w:pPr>
      <w:r>
        <w:rPr>
          <w:rFonts w:hint="eastAsia" w:cs="宋体"/>
          <w:color w:val="auto"/>
          <w:kern w:val="0"/>
          <w:sz w:val="24"/>
          <w:szCs w:val="24"/>
          <w:highlight w:val="none"/>
          <w:lang w:val="en-US" w:eastAsia="zh-CN" w:bidi="ar"/>
        </w:rPr>
        <w:t>7.合同期内如需进行应急抢险，乙方按投标承诺的响应的时间到达现场进行处置。</w:t>
      </w:r>
    </w:p>
    <w:p>
      <w:pPr>
        <w:keepNext/>
        <w:keepLines/>
        <w:widowControl/>
        <w:autoSpaceDE w:val="0"/>
        <w:spacing w:before="40" w:after="40" w:line="360" w:lineRule="auto"/>
        <w:ind w:firstLine="482" w:firstLineChars="200"/>
        <w:jc w:val="left"/>
        <w:rPr>
          <w:rFonts w:ascii="宋体" w:hAnsi="宋体" w:cs="宋体"/>
          <w:b/>
          <w:bCs/>
          <w:color w:val="auto"/>
          <w:kern w:val="44"/>
          <w:sz w:val="24"/>
          <w:szCs w:val="24"/>
          <w:highlight w:val="none"/>
        </w:rPr>
      </w:pPr>
      <w:bookmarkStart w:id="1153" w:name="_Toc12280"/>
      <w:bookmarkStart w:id="1154" w:name="_Toc10825"/>
      <w:bookmarkStart w:id="1155" w:name="_Toc25851"/>
      <w:bookmarkStart w:id="1156" w:name="_Toc13458"/>
      <w:bookmarkStart w:id="1157" w:name="_Toc23270"/>
      <w:bookmarkStart w:id="1158" w:name="_Toc18226"/>
      <w:bookmarkStart w:id="1159" w:name="_Toc27562"/>
      <w:bookmarkStart w:id="1160" w:name="_Toc7777"/>
      <w:bookmarkStart w:id="1161" w:name="_Toc11841"/>
      <w:bookmarkStart w:id="1162" w:name="_Toc1651"/>
      <w:bookmarkStart w:id="1163" w:name="_Toc10007"/>
      <w:bookmarkStart w:id="1164" w:name="_Toc23937"/>
      <w:bookmarkStart w:id="1165" w:name="_Toc11924"/>
      <w:bookmarkStart w:id="1166" w:name="_Toc20145"/>
      <w:bookmarkStart w:id="1167" w:name="_Toc4689"/>
      <w:bookmarkStart w:id="1168" w:name="_Toc28065"/>
      <w:bookmarkStart w:id="1169" w:name="_Toc15926"/>
      <w:r>
        <w:rPr>
          <w:rFonts w:hint="eastAsia" w:ascii="宋体" w:hAnsi="宋体" w:cs="宋体"/>
          <w:b/>
          <w:bCs/>
          <w:color w:val="auto"/>
          <w:kern w:val="44"/>
          <w:sz w:val="24"/>
          <w:szCs w:val="24"/>
          <w:highlight w:val="none"/>
        </w:rPr>
        <w:t>九、结算方式</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pPr>
        <w:widowControl/>
        <w:spacing w:line="360" w:lineRule="auto"/>
        <w:ind w:right="124"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1.合同有中标综合单价的，综合单价包干，以实际发生的工程量结合中标综合单价（已含下浮率）进行结算，即结算价=投标综合单价*实际发生工程量。</w:t>
      </w:r>
    </w:p>
    <w:p>
      <w:pPr>
        <w:widowControl/>
        <w:spacing w:line="360" w:lineRule="auto"/>
        <w:ind w:right="124"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2.在合同期间内，如需增加监测点、增大监测频率进行加密监测，则按甲方公司有关规章办理合同变更处理，其费用按中标单价乘以实际工程量进行支付。</w:t>
      </w:r>
    </w:p>
    <w:p>
      <w:pPr>
        <w:widowControl/>
        <w:spacing w:line="360" w:lineRule="auto"/>
        <w:ind w:right="124"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3.合同没</w:t>
      </w:r>
      <w:r>
        <w:rPr>
          <w:rFonts w:hint="eastAsia" w:ascii="宋体" w:hAnsi="宋体" w:cs="宋体"/>
          <w:color w:val="auto"/>
          <w:spacing w:val="2"/>
          <w:kern w:val="0"/>
          <w:sz w:val="24"/>
          <w:szCs w:val="24"/>
          <w:highlight w:val="none"/>
          <w:lang w:bidi="ar"/>
        </w:rPr>
        <w:t>有单价</w:t>
      </w:r>
      <w:r>
        <w:rPr>
          <w:rFonts w:hint="eastAsia" w:ascii="宋体" w:hAnsi="宋体" w:cs="宋体"/>
          <w:color w:val="auto"/>
          <w:spacing w:val="5"/>
          <w:kern w:val="0"/>
          <w:sz w:val="24"/>
          <w:szCs w:val="24"/>
          <w:highlight w:val="none"/>
          <w:lang w:bidi="ar"/>
        </w:rPr>
        <w:t>的</w:t>
      </w:r>
      <w:r>
        <w:rPr>
          <w:rFonts w:hint="eastAsia" w:ascii="宋体" w:hAnsi="宋体" w:cs="宋体"/>
          <w:color w:val="auto"/>
          <w:spacing w:val="2"/>
          <w:kern w:val="0"/>
          <w:sz w:val="24"/>
          <w:szCs w:val="24"/>
          <w:highlight w:val="none"/>
          <w:lang w:bidi="ar"/>
        </w:rPr>
        <w:t>新增监测项</w:t>
      </w:r>
      <w:r>
        <w:rPr>
          <w:rFonts w:hint="eastAsia" w:ascii="宋体" w:hAnsi="宋体" w:cs="宋体"/>
          <w:color w:val="auto"/>
          <w:kern w:val="0"/>
          <w:sz w:val="24"/>
          <w:szCs w:val="24"/>
          <w:highlight w:val="none"/>
          <w:lang w:bidi="ar"/>
        </w:rPr>
        <w:t>目，由乙方根据规范的收费标准先行下浮50%后再结合本项目投标下浮率报甲方，甲方结合实际发生工程量及投标下浮率通过审核或市场询价进行结算</w:t>
      </w:r>
      <w:r>
        <w:rPr>
          <w:rFonts w:hint="eastAsia" w:ascii="宋体" w:hAnsi="宋体" w:cs="宋体"/>
          <w:color w:val="auto"/>
          <w:spacing w:val="-22"/>
          <w:kern w:val="0"/>
          <w:sz w:val="24"/>
          <w:szCs w:val="24"/>
          <w:highlight w:val="none"/>
          <w:lang w:bidi="ar"/>
        </w:rPr>
        <w:t>，</w:t>
      </w:r>
      <w:r>
        <w:rPr>
          <w:rFonts w:hint="eastAsia" w:ascii="宋体" w:hAnsi="宋体" w:cs="宋体"/>
          <w:color w:val="auto"/>
          <w:kern w:val="0"/>
          <w:sz w:val="24"/>
          <w:szCs w:val="24"/>
          <w:highlight w:val="none"/>
          <w:lang w:bidi="ar"/>
        </w:rPr>
        <w:t>即结算价=收费标准单价*（1-50%）*（1-投标下浮率）*实际发生工程量。</w:t>
      </w:r>
    </w:p>
    <w:p>
      <w:pPr>
        <w:widowControl/>
        <w:spacing w:line="360" w:lineRule="auto"/>
        <w:ind w:right="124" w:firstLine="488" w:firstLineChars="200"/>
        <w:rPr>
          <w:rFonts w:ascii="宋体" w:hAnsi="宋体" w:cs="宋体"/>
          <w:color w:val="auto"/>
          <w:spacing w:val="2"/>
          <w:kern w:val="0"/>
          <w:sz w:val="24"/>
          <w:szCs w:val="24"/>
          <w:highlight w:val="none"/>
        </w:rPr>
      </w:pPr>
      <w:bookmarkStart w:id="1170" w:name="_Toc2928"/>
      <w:bookmarkStart w:id="1171" w:name="_Toc23370"/>
      <w:r>
        <w:rPr>
          <w:rFonts w:hint="eastAsia" w:ascii="宋体" w:hAnsi="宋体" w:cs="宋体"/>
          <w:color w:val="auto"/>
          <w:spacing w:val="2"/>
          <w:kern w:val="0"/>
          <w:sz w:val="24"/>
          <w:szCs w:val="24"/>
          <w:highlight w:val="none"/>
          <w:lang w:bidi="ar"/>
        </w:rPr>
        <w:t>4.最终结算金额以</w:t>
      </w:r>
      <w:r>
        <w:rPr>
          <w:rFonts w:hint="eastAsia" w:ascii="宋体" w:hAnsi="宋体" w:cs="宋体"/>
          <w:color w:val="auto"/>
          <w:spacing w:val="2"/>
          <w:kern w:val="0"/>
          <w:sz w:val="24"/>
          <w:szCs w:val="24"/>
          <w:highlight w:val="none"/>
          <w:lang w:val="en-US" w:eastAsia="zh-CN" w:bidi="ar"/>
        </w:rPr>
        <w:t>甲方和市财政等</w:t>
      </w:r>
      <w:r>
        <w:rPr>
          <w:rFonts w:hint="eastAsia" w:ascii="宋体" w:hAnsi="宋体" w:cs="宋体"/>
          <w:color w:val="auto"/>
          <w:spacing w:val="2"/>
          <w:kern w:val="0"/>
          <w:sz w:val="24"/>
          <w:szCs w:val="24"/>
          <w:highlight w:val="none"/>
          <w:lang w:bidi="ar"/>
        </w:rPr>
        <w:t>相关部门审定为准。</w:t>
      </w:r>
      <w:bookmarkEnd w:id="1170"/>
      <w:bookmarkEnd w:id="1171"/>
      <w:r>
        <w:rPr>
          <w:rFonts w:hint="eastAsia" w:ascii="宋体" w:hAnsi="宋体" w:cs="宋体"/>
          <w:color w:val="auto"/>
          <w:spacing w:val="2"/>
          <w:kern w:val="0"/>
          <w:sz w:val="24"/>
          <w:szCs w:val="24"/>
          <w:highlight w:val="none"/>
          <w:lang w:bidi="ar"/>
        </w:rPr>
        <w:t xml:space="preserve"> </w:t>
      </w:r>
    </w:p>
    <w:p>
      <w:pPr>
        <w:keepNext/>
        <w:keepLines/>
        <w:widowControl/>
        <w:autoSpaceDE w:val="0"/>
        <w:spacing w:before="40" w:after="40" w:line="360" w:lineRule="auto"/>
        <w:ind w:firstLine="482" w:firstLineChars="200"/>
        <w:jc w:val="left"/>
        <w:rPr>
          <w:rFonts w:ascii="宋体" w:hAnsi="宋体" w:cs="宋体"/>
          <w:b/>
          <w:bCs/>
          <w:color w:val="auto"/>
          <w:kern w:val="44"/>
          <w:sz w:val="24"/>
          <w:szCs w:val="24"/>
          <w:highlight w:val="none"/>
        </w:rPr>
      </w:pPr>
      <w:bookmarkStart w:id="1172" w:name="_Toc10614"/>
      <w:bookmarkStart w:id="1173" w:name="_Toc10866"/>
      <w:bookmarkStart w:id="1174" w:name="_Toc20456"/>
      <w:bookmarkStart w:id="1175" w:name="_Toc298"/>
      <w:bookmarkStart w:id="1176" w:name="_Toc32281"/>
      <w:bookmarkStart w:id="1177" w:name="_Toc4966"/>
      <w:bookmarkStart w:id="1178" w:name="_Toc28272"/>
      <w:bookmarkStart w:id="1179" w:name="_Toc27502"/>
      <w:bookmarkStart w:id="1180" w:name="_Toc12029"/>
      <w:bookmarkStart w:id="1181" w:name="_Toc32392"/>
      <w:bookmarkStart w:id="1182" w:name="_Toc6492"/>
      <w:bookmarkStart w:id="1183" w:name="_Toc9646"/>
      <w:bookmarkStart w:id="1184" w:name="_Toc13233"/>
      <w:bookmarkStart w:id="1185" w:name="_Toc8773"/>
      <w:bookmarkStart w:id="1186" w:name="_Toc19680"/>
      <w:bookmarkStart w:id="1187" w:name="_Toc17516"/>
      <w:bookmarkStart w:id="1188" w:name="_Toc20790"/>
      <w:bookmarkStart w:id="1189" w:name="OLE_LINK11"/>
      <w:r>
        <w:rPr>
          <w:rFonts w:hint="eastAsia" w:ascii="宋体" w:hAnsi="宋体" w:cs="宋体"/>
          <w:b/>
          <w:bCs/>
          <w:color w:val="auto"/>
          <w:kern w:val="44"/>
          <w:sz w:val="24"/>
          <w:szCs w:val="24"/>
          <w:highlight w:val="none"/>
        </w:rPr>
        <w:t>十、合同款支付</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pPr>
        <w:widowControl/>
        <w:spacing w:before="66" w:line="360" w:lineRule="auto"/>
        <w:ind w:right="124" w:firstLine="480" w:firstLineChars="200"/>
        <w:jc w:val="left"/>
        <w:rPr>
          <w:rFonts w:ascii="宋体" w:hAnsi="宋体" w:cs="宋体"/>
          <w:color w:val="auto"/>
          <w:kern w:val="0"/>
          <w:sz w:val="24"/>
          <w:szCs w:val="24"/>
          <w:highlight w:val="none"/>
        </w:rPr>
      </w:pPr>
      <w:bookmarkStart w:id="1190" w:name="_Toc19045"/>
      <w:bookmarkStart w:id="1191" w:name="_Toc24053"/>
      <w:r>
        <w:rPr>
          <w:rFonts w:hint="eastAsia" w:ascii="宋体" w:hAnsi="宋体" w:cs="宋体"/>
          <w:color w:val="auto"/>
          <w:kern w:val="0"/>
          <w:sz w:val="24"/>
          <w:szCs w:val="24"/>
          <w:highlight w:val="none"/>
          <w:lang w:bidi="ar"/>
        </w:rPr>
        <w:t>（一）支付方式</w:t>
      </w:r>
      <w:bookmarkEnd w:id="1190"/>
      <w:bookmarkEnd w:id="1191"/>
    </w:p>
    <w:p>
      <w:pPr>
        <w:widowControl/>
        <w:spacing w:before="66" w:line="360" w:lineRule="auto"/>
        <w:ind w:right="12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本项目款项以银行转账方式支付</w:t>
      </w:r>
      <w:r>
        <w:rPr>
          <w:rFonts w:hint="eastAsia" w:ascii="宋体" w:hAnsi="宋体" w:cs="宋体"/>
          <w:color w:val="auto"/>
          <w:spacing w:val="-43"/>
          <w:kern w:val="0"/>
          <w:sz w:val="24"/>
          <w:szCs w:val="24"/>
          <w:highlight w:val="none"/>
          <w:lang w:bidi="ar"/>
        </w:rPr>
        <w:t>，</w:t>
      </w:r>
      <w:r>
        <w:rPr>
          <w:rFonts w:hint="eastAsia" w:ascii="宋体" w:hAnsi="宋体" w:cs="宋体"/>
          <w:color w:val="auto"/>
          <w:kern w:val="0"/>
          <w:sz w:val="24"/>
          <w:szCs w:val="24"/>
          <w:highlight w:val="none"/>
          <w:lang w:bidi="ar"/>
        </w:rPr>
        <w:t>双方签订合同后</w:t>
      </w:r>
      <w:r>
        <w:rPr>
          <w:rFonts w:hint="eastAsia" w:ascii="宋体" w:hAnsi="宋体" w:cs="宋体"/>
          <w:color w:val="auto"/>
          <w:spacing w:val="-43"/>
          <w:kern w:val="0"/>
          <w:sz w:val="24"/>
          <w:szCs w:val="24"/>
          <w:highlight w:val="none"/>
          <w:lang w:bidi="ar"/>
        </w:rPr>
        <w:t>，</w:t>
      </w:r>
      <w:r>
        <w:rPr>
          <w:rFonts w:hint="eastAsia" w:ascii="宋体" w:hAnsi="宋体" w:cs="宋体"/>
          <w:color w:val="auto"/>
          <w:kern w:val="0"/>
          <w:sz w:val="24"/>
          <w:szCs w:val="24"/>
          <w:highlight w:val="none"/>
          <w:lang w:bidi="ar"/>
        </w:rPr>
        <w:t>乙方按如下付款方式开具完税发票向甲方申请付款。甲方分期向乙方支付服务费，服务费的具体支付方式如下：</w:t>
      </w:r>
    </w:p>
    <w:p>
      <w:pPr>
        <w:widowControl/>
        <w:spacing w:before="66" w:line="360" w:lineRule="auto"/>
        <w:ind w:right="124"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1.本项目分三期付进度款，每次支付按照完成的工作量的80%支付进度款。在过程中，支付至合同总价的80%为止。</w:t>
      </w:r>
    </w:p>
    <w:p>
      <w:pPr>
        <w:widowControl/>
        <w:spacing w:before="66" w:line="360" w:lineRule="auto"/>
        <w:ind w:right="124"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第一次付款：完成监测点埋设、初始值采集、第一次全线监测及开通初期运营前的监测内容。</w:t>
      </w:r>
    </w:p>
    <w:p>
      <w:pPr>
        <w:widowControl/>
        <w:spacing w:before="66" w:line="360" w:lineRule="auto"/>
        <w:ind w:right="124"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第二次付款：完成第二次全线监测及开通初期运营-2026年6月30日的监测内容。</w:t>
      </w:r>
    </w:p>
    <w:p>
      <w:pPr>
        <w:widowControl/>
        <w:spacing w:before="66" w:line="360" w:lineRule="auto"/>
        <w:ind w:right="124"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第三次付款：完成第三次全线监测及2026年7月1日-2026年12月31日的监测内容。</w:t>
      </w:r>
    </w:p>
    <w:p>
      <w:pPr>
        <w:widowControl/>
        <w:numPr>
          <w:ilvl w:val="-1"/>
          <w:numId w:val="0"/>
        </w:numPr>
        <w:spacing w:line="360" w:lineRule="auto"/>
        <w:ind w:left="-185" w:leftChars="-88" w:right="144" w:firstLine="720" w:firstLineChars="3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w:t>
      </w:r>
      <w:r>
        <w:rPr>
          <w:rFonts w:hint="eastAsia" w:ascii="宋体" w:hAnsi="宋体" w:cs="宋体"/>
          <w:color w:val="auto"/>
          <w:spacing w:val="2"/>
          <w:kern w:val="0"/>
          <w:sz w:val="24"/>
          <w:szCs w:val="24"/>
          <w:highlight w:val="none"/>
          <w:lang w:bidi="ar"/>
        </w:rPr>
        <w:t>乙方在全部</w:t>
      </w:r>
      <w:r>
        <w:rPr>
          <w:rFonts w:hint="eastAsia" w:ascii="宋体" w:hAnsi="宋体" w:cs="宋体"/>
          <w:color w:val="auto"/>
          <w:spacing w:val="5"/>
          <w:kern w:val="0"/>
          <w:sz w:val="24"/>
          <w:szCs w:val="24"/>
          <w:highlight w:val="none"/>
          <w:lang w:bidi="ar"/>
        </w:rPr>
        <w:t>监</w:t>
      </w:r>
      <w:r>
        <w:rPr>
          <w:rFonts w:hint="eastAsia" w:ascii="宋体" w:hAnsi="宋体" w:cs="宋体"/>
          <w:color w:val="auto"/>
          <w:spacing w:val="2"/>
          <w:kern w:val="0"/>
          <w:sz w:val="24"/>
          <w:szCs w:val="24"/>
          <w:highlight w:val="none"/>
          <w:lang w:bidi="ar"/>
        </w:rPr>
        <w:t>测工作完</w:t>
      </w:r>
      <w:r>
        <w:rPr>
          <w:rFonts w:hint="eastAsia" w:ascii="宋体" w:hAnsi="宋体" w:cs="宋体"/>
          <w:color w:val="auto"/>
          <w:spacing w:val="5"/>
          <w:kern w:val="0"/>
          <w:sz w:val="24"/>
          <w:szCs w:val="24"/>
          <w:highlight w:val="none"/>
          <w:lang w:bidi="ar"/>
        </w:rPr>
        <w:t>成</w:t>
      </w:r>
      <w:r>
        <w:rPr>
          <w:rFonts w:hint="eastAsia" w:ascii="宋体" w:hAnsi="宋体" w:cs="宋体"/>
          <w:color w:val="auto"/>
          <w:spacing w:val="2"/>
          <w:kern w:val="0"/>
          <w:sz w:val="24"/>
          <w:szCs w:val="24"/>
          <w:highlight w:val="none"/>
          <w:lang w:bidi="ar"/>
        </w:rPr>
        <w:t>后</w:t>
      </w:r>
      <w:r>
        <w:rPr>
          <w:rFonts w:hint="eastAsia" w:ascii="宋体" w:hAnsi="宋体" w:cs="宋体"/>
          <w:color w:val="auto"/>
          <w:kern w:val="0"/>
          <w:sz w:val="24"/>
          <w:szCs w:val="24"/>
          <w:highlight w:val="none"/>
          <w:lang w:bidi="ar"/>
        </w:rPr>
        <w:t>，</w:t>
      </w:r>
      <w:r>
        <w:rPr>
          <w:rFonts w:hint="eastAsia" w:ascii="宋体" w:hAnsi="宋体" w:cs="宋体"/>
          <w:color w:val="auto"/>
          <w:spacing w:val="2"/>
          <w:kern w:val="0"/>
          <w:sz w:val="24"/>
          <w:szCs w:val="24"/>
          <w:highlight w:val="none"/>
          <w:lang w:bidi="ar"/>
        </w:rPr>
        <w:t>乙方</w:t>
      </w:r>
      <w:r>
        <w:rPr>
          <w:rFonts w:hint="eastAsia" w:ascii="宋体" w:hAnsi="宋体" w:cs="宋体"/>
          <w:color w:val="auto"/>
          <w:spacing w:val="5"/>
          <w:kern w:val="0"/>
          <w:sz w:val="24"/>
          <w:szCs w:val="24"/>
          <w:highlight w:val="none"/>
          <w:lang w:bidi="ar"/>
        </w:rPr>
        <w:t>提</w:t>
      </w:r>
      <w:r>
        <w:rPr>
          <w:rFonts w:hint="eastAsia" w:ascii="宋体" w:hAnsi="宋体" w:cs="宋体"/>
          <w:color w:val="auto"/>
          <w:spacing w:val="2"/>
          <w:kern w:val="0"/>
          <w:sz w:val="24"/>
          <w:szCs w:val="24"/>
          <w:highlight w:val="none"/>
          <w:lang w:bidi="ar"/>
        </w:rPr>
        <w:t>交</w:t>
      </w:r>
      <w:r>
        <w:rPr>
          <w:rFonts w:hint="eastAsia" w:ascii="宋体" w:hAnsi="宋体" w:cs="宋体"/>
          <w:color w:val="auto"/>
          <w:kern w:val="0"/>
          <w:sz w:val="24"/>
          <w:szCs w:val="24"/>
          <w:highlight w:val="none"/>
          <w:lang w:bidi="ar"/>
        </w:rPr>
        <w:t>监测竣工报告，</w:t>
      </w:r>
      <w:r>
        <w:rPr>
          <w:rFonts w:hint="eastAsia" w:ascii="宋体" w:hAnsi="宋体" w:cs="宋体"/>
          <w:color w:val="auto"/>
          <w:kern w:val="0"/>
          <w:sz w:val="24"/>
          <w:szCs w:val="24"/>
          <w:highlight w:val="none"/>
          <w:lang w:val="en-US" w:eastAsia="zh-CN" w:bidi="ar"/>
        </w:rPr>
        <w:t>工程交工/竣工验收合格并甲乙双方办理结算后支付至结算价的95%</w:t>
      </w:r>
      <w:r>
        <w:rPr>
          <w:rFonts w:hint="eastAsia" w:ascii="宋体" w:hAnsi="宋体" w:cs="宋体"/>
          <w:color w:val="auto"/>
          <w:kern w:val="0"/>
          <w:sz w:val="24"/>
          <w:szCs w:val="24"/>
          <w:highlight w:val="none"/>
          <w:lang w:bidi="ar"/>
        </w:rPr>
        <w:t>。</w:t>
      </w:r>
    </w:p>
    <w:p>
      <w:pPr>
        <w:widowControl/>
        <w:numPr>
          <w:ilvl w:val="-1"/>
          <w:numId w:val="0"/>
        </w:numPr>
        <w:spacing w:line="360" w:lineRule="auto"/>
        <w:ind w:left="-185" w:leftChars="-88" w:right="144" w:firstLine="720" w:firstLineChars="3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3.质保期到期，经甲方确认后支付剩余结算总价的</w:t>
      </w:r>
      <w:r>
        <w:rPr>
          <w:rFonts w:hint="eastAsia" w:ascii="宋体" w:hAnsi="宋体" w:cs="宋体"/>
          <w:color w:val="auto"/>
          <w:kern w:val="0"/>
          <w:sz w:val="24"/>
          <w:szCs w:val="24"/>
          <w:highlight w:val="none"/>
          <w:lang w:eastAsia="zh-CN" w:bidi="ar"/>
        </w:rPr>
        <w:t>5%</w:t>
      </w:r>
      <w:r>
        <w:rPr>
          <w:rFonts w:hint="eastAsia" w:ascii="宋体" w:hAnsi="宋体" w:cs="宋体"/>
          <w:color w:val="auto"/>
          <w:kern w:val="0"/>
          <w:sz w:val="24"/>
          <w:szCs w:val="24"/>
          <w:highlight w:val="none"/>
          <w:lang w:bidi="ar"/>
        </w:rPr>
        <w:t>。</w:t>
      </w:r>
    </w:p>
    <w:p>
      <w:pPr>
        <w:widowControl/>
        <w:spacing w:line="360" w:lineRule="auto"/>
        <w:ind w:firstLine="480"/>
        <w:jc w:val="left"/>
        <w:rPr>
          <w:rFonts w:ascii="宋体" w:hAnsi="宋体" w:cs="宋体"/>
          <w:color w:val="auto"/>
          <w:kern w:val="0"/>
          <w:sz w:val="24"/>
          <w:szCs w:val="24"/>
          <w:highlight w:val="none"/>
        </w:rPr>
      </w:pPr>
      <w:bookmarkStart w:id="1192" w:name="_Toc15252"/>
      <w:bookmarkStart w:id="1193" w:name="_Toc17453"/>
      <w:r>
        <w:rPr>
          <w:rFonts w:hint="eastAsia" w:ascii="宋体" w:hAnsi="宋体" w:cs="宋体"/>
          <w:color w:val="auto"/>
          <w:kern w:val="0"/>
          <w:sz w:val="24"/>
          <w:szCs w:val="24"/>
          <w:highlight w:val="none"/>
          <w:lang w:bidi="ar"/>
        </w:rPr>
        <w:t>（二）支付条件</w:t>
      </w:r>
      <w:bookmarkEnd w:id="1192"/>
      <w:bookmarkEnd w:id="1193"/>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1.进度款支付</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甲方确认每期工程量完成并验收后，在甲方收到乙方支付申请并附下列单据，经甲方批准后45天内完成支付：</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1．乙方出具的本期工程款支付申请表原件；</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2．阶段验收报告原件；</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3．经甲方确认的本期工程量清单原件；</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4．按本次付款金额百分之一百（100</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）出具的增值税专用发票一份。</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2.结算</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乙方完成本项目所有内容并提交完工文件，经甲方完工验收，在甲方收到乙方支付申请并附下列单据，经甲方审定结算后60个工作日内，由甲方支付给乙方：</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1）乙方出具的</w:t>
      </w:r>
      <w:r>
        <w:rPr>
          <w:rFonts w:hint="eastAsia" w:ascii="宋体" w:hAnsi="宋体" w:cs="宋体"/>
          <w:color w:val="auto"/>
          <w:kern w:val="0"/>
          <w:sz w:val="24"/>
          <w:szCs w:val="24"/>
          <w:highlight w:val="none"/>
          <w:lang w:eastAsia="zh-CN" w:bidi="ar"/>
        </w:rPr>
        <w:t>剩余</w:t>
      </w:r>
      <w:r>
        <w:rPr>
          <w:rFonts w:hint="eastAsia" w:ascii="宋体" w:hAnsi="宋体" w:cs="宋体"/>
          <w:color w:val="auto"/>
          <w:kern w:val="0"/>
          <w:sz w:val="24"/>
          <w:szCs w:val="24"/>
          <w:highlight w:val="none"/>
          <w:lang w:bidi="ar"/>
        </w:rPr>
        <w:t>工程款支付申请表原件；</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2）项目完工验收报告原件；</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3）经甲方确认的全部工程量清单原件；</w:t>
      </w:r>
    </w:p>
    <w:p>
      <w:pPr>
        <w:widowControl/>
        <w:spacing w:line="360" w:lineRule="auto"/>
        <w:ind w:firstLine="48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4）按本次付款金额百分之一百（100</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）出具的增值税专用发票一份。</w:t>
      </w:r>
    </w:p>
    <w:p>
      <w:pPr>
        <w:widowControl/>
        <w:spacing w:line="360" w:lineRule="auto"/>
        <w:ind w:firstLine="48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质保期满付款</w:t>
      </w:r>
    </w:p>
    <w:p>
      <w:pPr>
        <w:widowControl/>
        <w:spacing w:line="360" w:lineRule="auto"/>
        <w:ind w:firstLine="480"/>
        <w:jc w:val="left"/>
        <w:rPr>
          <w:rFonts w:hint="default" w:ascii="宋体" w:hAnsi="宋体" w:cs="宋体"/>
          <w:color w:val="auto"/>
          <w:kern w:val="0"/>
          <w:sz w:val="24"/>
          <w:szCs w:val="24"/>
          <w:highlight w:val="none"/>
          <w:lang w:val="en-US" w:eastAsia="zh-CN" w:bidi="ar"/>
        </w:rPr>
      </w:pPr>
      <w:r>
        <w:rPr>
          <w:rFonts w:hint="default" w:ascii="宋体" w:hAnsi="宋体" w:cs="宋体"/>
          <w:color w:val="auto"/>
          <w:kern w:val="0"/>
          <w:sz w:val="24"/>
          <w:szCs w:val="24"/>
          <w:highlight w:val="none"/>
          <w:lang w:val="en-US" w:eastAsia="zh-CN" w:bidi="ar"/>
        </w:rPr>
        <w:t>本项目</w:t>
      </w:r>
      <w:r>
        <w:rPr>
          <w:rFonts w:hint="default" w:ascii="宋体" w:hAnsi="宋体" w:cs="宋体"/>
          <w:color w:val="auto"/>
          <w:kern w:val="0"/>
          <w:sz w:val="24"/>
          <w:szCs w:val="24"/>
          <w:highlight w:val="none"/>
          <w:lang w:bidi="ar"/>
        </w:rPr>
        <w:t>质保期1年，自甲方签发验收合格证书之日起算</w:t>
      </w:r>
      <w:r>
        <w:rPr>
          <w:rFonts w:hint="eastAsia" w:ascii="宋体" w:hAnsi="宋体" w:cs="宋体"/>
          <w:color w:val="auto"/>
          <w:kern w:val="0"/>
          <w:sz w:val="24"/>
          <w:szCs w:val="24"/>
          <w:highlight w:val="none"/>
          <w:lang w:eastAsia="zh-CN" w:bidi="ar"/>
        </w:rPr>
        <w:t>。</w:t>
      </w:r>
      <w:r>
        <w:rPr>
          <w:rFonts w:hint="default" w:ascii="宋体" w:hAnsi="宋体" w:cs="宋体"/>
          <w:color w:val="auto"/>
          <w:kern w:val="0"/>
          <w:sz w:val="24"/>
          <w:szCs w:val="24"/>
          <w:highlight w:val="none"/>
          <w:lang w:val="en-US" w:eastAsia="zh-CN" w:bidi="ar"/>
        </w:rPr>
        <w:t>质量保证金为合同结算总价的</w:t>
      </w:r>
      <w:r>
        <w:rPr>
          <w:rFonts w:hint="eastAsia" w:ascii="宋体" w:hAnsi="宋体" w:cs="宋体"/>
          <w:color w:val="auto"/>
          <w:kern w:val="0"/>
          <w:sz w:val="24"/>
          <w:szCs w:val="24"/>
          <w:highlight w:val="none"/>
          <w:lang w:val="en-US" w:eastAsia="zh-CN" w:bidi="ar"/>
        </w:rPr>
        <w:t>5</w:t>
      </w:r>
      <w:r>
        <w:rPr>
          <w:rFonts w:hint="default" w:ascii="宋体" w:hAnsi="宋体" w:cs="宋体"/>
          <w:color w:val="auto"/>
          <w:kern w:val="0"/>
          <w:sz w:val="24"/>
          <w:szCs w:val="24"/>
          <w:highlight w:val="none"/>
          <w:lang w:val="en-US" w:eastAsia="zh-CN" w:bidi="ar"/>
        </w:rPr>
        <w:t>%，在质保期满并通过最终验收后，甲方收到乙方支付请求并附下列单据，经甲方批准后支付质量保证金：</w:t>
      </w:r>
    </w:p>
    <w:p>
      <w:pPr>
        <w:widowControl/>
        <w:spacing w:line="360" w:lineRule="auto"/>
        <w:ind w:firstLine="480"/>
        <w:jc w:val="left"/>
        <w:rPr>
          <w:rFonts w:hint="default" w:ascii="宋体" w:hAnsi="宋体" w:cs="宋体"/>
          <w:color w:val="auto"/>
          <w:kern w:val="0"/>
          <w:sz w:val="24"/>
          <w:szCs w:val="24"/>
          <w:highlight w:val="none"/>
          <w:lang w:val="en-US" w:eastAsia="zh-CN" w:bidi="ar"/>
        </w:rPr>
      </w:pPr>
      <w:r>
        <w:rPr>
          <w:rFonts w:hint="default" w:ascii="宋体" w:hAnsi="宋体" w:cs="宋体"/>
          <w:color w:val="auto"/>
          <w:kern w:val="0"/>
          <w:sz w:val="24"/>
          <w:szCs w:val="24"/>
          <w:highlight w:val="none"/>
          <w:lang w:val="en-US" w:eastAsia="zh-CN" w:bidi="ar"/>
        </w:rPr>
        <w:t>1）乙方出具的本次工程款支付申请表原件；</w:t>
      </w:r>
    </w:p>
    <w:p>
      <w:pPr>
        <w:widowControl/>
        <w:spacing w:line="360" w:lineRule="auto"/>
        <w:ind w:firstLine="480"/>
        <w:jc w:val="left"/>
        <w:rPr>
          <w:rFonts w:hint="default" w:ascii="宋体" w:hAnsi="宋体" w:cs="宋体"/>
          <w:color w:val="auto"/>
          <w:kern w:val="0"/>
          <w:sz w:val="24"/>
          <w:szCs w:val="24"/>
          <w:highlight w:val="none"/>
          <w:lang w:val="en-US" w:eastAsia="zh-CN" w:bidi="ar"/>
        </w:rPr>
      </w:pPr>
      <w:r>
        <w:rPr>
          <w:rFonts w:hint="default" w:ascii="宋体" w:hAnsi="宋体" w:cs="宋体"/>
          <w:color w:val="auto"/>
          <w:kern w:val="0"/>
          <w:sz w:val="24"/>
          <w:szCs w:val="24"/>
          <w:highlight w:val="none"/>
          <w:lang w:val="en-US" w:eastAsia="zh-CN" w:bidi="ar"/>
        </w:rPr>
        <w:t>2）甲方签署的最终验收合格证书（正本一份、副本二份）；</w:t>
      </w:r>
    </w:p>
    <w:p>
      <w:pPr>
        <w:widowControl/>
        <w:spacing w:line="360" w:lineRule="auto"/>
        <w:ind w:firstLine="480"/>
        <w:jc w:val="left"/>
        <w:rPr>
          <w:rFonts w:hint="default" w:ascii="宋体" w:hAnsi="宋体" w:cs="宋体"/>
          <w:color w:val="auto"/>
          <w:kern w:val="0"/>
          <w:sz w:val="24"/>
          <w:szCs w:val="24"/>
          <w:highlight w:val="none"/>
          <w:lang w:val="en-US" w:eastAsia="zh-CN" w:bidi="ar"/>
        </w:rPr>
      </w:pPr>
      <w:r>
        <w:rPr>
          <w:rFonts w:hint="default" w:ascii="宋体" w:hAnsi="宋体" w:cs="宋体"/>
          <w:color w:val="auto"/>
          <w:kern w:val="0"/>
          <w:sz w:val="24"/>
          <w:szCs w:val="24"/>
          <w:highlight w:val="none"/>
          <w:lang w:val="en-US" w:eastAsia="zh-CN" w:bidi="ar"/>
        </w:rPr>
        <w:t>3）按本次付款金额百分之一百（100</w:t>
      </w:r>
      <w:r>
        <w:rPr>
          <w:rFonts w:hint="eastAsia" w:ascii="宋体" w:hAnsi="宋体" w:cs="宋体"/>
          <w:color w:val="auto"/>
          <w:kern w:val="0"/>
          <w:sz w:val="24"/>
          <w:szCs w:val="24"/>
          <w:highlight w:val="none"/>
          <w:lang w:val="en-US" w:eastAsia="zh-CN" w:bidi="ar"/>
        </w:rPr>
        <w:t>%</w:t>
      </w:r>
      <w:r>
        <w:rPr>
          <w:rFonts w:hint="default" w:ascii="宋体" w:hAnsi="宋体" w:cs="宋体"/>
          <w:color w:val="auto"/>
          <w:kern w:val="0"/>
          <w:sz w:val="24"/>
          <w:szCs w:val="24"/>
          <w:highlight w:val="none"/>
          <w:lang w:val="en-US" w:eastAsia="zh-CN" w:bidi="ar"/>
        </w:rPr>
        <w:t>）出具的增值税专用发票一份。</w:t>
      </w:r>
      <w:bookmarkEnd w:id="1189"/>
    </w:p>
    <w:p>
      <w:pPr>
        <w:widowControl/>
        <w:spacing w:line="360" w:lineRule="auto"/>
        <w:ind w:firstLine="480"/>
        <w:jc w:val="left"/>
        <w:rPr>
          <w:rFonts w:ascii="宋体" w:hAnsi="宋体" w:cs="宋体"/>
          <w:color w:val="auto"/>
          <w:kern w:val="0"/>
          <w:sz w:val="24"/>
          <w:szCs w:val="24"/>
          <w:highlight w:val="none"/>
        </w:rPr>
      </w:pPr>
      <w:bookmarkStart w:id="1194" w:name="_Toc9256"/>
      <w:bookmarkStart w:id="1195" w:name="_Toc23844"/>
      <w:r>
        <w:rPr>
          <w:rFonts w:hint="eastAsia" w:ascii="宋体" w:hAnsi="宋体" w:cs="宋体"/>
          <w:color w:val="auto"/>
          <w:kern w:val="0"/>
          <w:sz w:val="24"/>
          <w:szCs w:val="24"/>
          <w:highlight w:val="none"/>
          <w:lang w:bidi="ar"/>
        </w:rPr>
        <w:t>（三）涉税条款</w:t>
      </w:r>
      <w:bookmarkEnd w:id="1194"/>
      <w:bookmarkEnd w:id="1195"/>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1）甲方付款时，乙方需提供按照中国税法法律规定的开票时间、税率（或征收率）开具税务机关监制的增值税专用发票（如是用于个人消费或者集体福利性质等的是增值税普通发票），开票的付款方名称、业务内容、数量、单价等必须与合同约定一致。甲方的开票信息如下：</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名称：</w:t>
      </w:r>
      <w:r>
        <w:rPr>
          <w:rFonts w:hint="eastAsia" w:ascii="宋体" w:hAnsi="宋体" w:cs="宋体"/>
          <w:color w:val="auto"/>
          <w:kern w:val="0"/>
          <w:sz w:val="24"/>
          <w:szCs w:val="24"/>
          <w:highlight w:val="none"/>
          <w:u w:val="single"/>
          <w:lang w:bidi="ar"/>
        </w:rPr>
        <w:t xml:space="preserve">                      </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纳税人识别号：</w:t>
      </w:r>
      <w:r>
        <w:rPr>
          <w:rFonts w:hint="eastAsia" w:ascii="宋体" w:hAnsi="宋体" w:cs="宋体"/>
          <w:color w:val="auto"/>
          <w:kern w:val="0"/>
          <w:sz w:val="24"/>
          <w:szCs w:val="24"/>
          <w:highlight w:val="none"/>
          <w:u w:val="single"/>
          <w:lang w:bidi="ar"/>
        </w:rPr>
        <w:t xml:space="preserve">              </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地址、电话：</w:t>
      </w:r>
      <w:r>
        <w:rPr>
          <w:rFonts w:hint="eastAsia" w:ascii="宋体" w:hAnsi="宋体" w:cs="宋体"/>
          <w:color w:val="auto"/>
          <w:kern w:val="0"/>
          <w:sz w:val="24"/>
          <w:szCs w:val="24"/>
          <w:highlight w:val="none"/>
          <w:u w:val="single"/>
          <w:lang w:bidi="ar"/>
        </w:rPr>
        <w:t xml:space="preserve">                </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开户银行及账号：</w:t>
      </w:r>
      <w:r>
        <w:rPr>
          <w:rFonts w:hint="eastAsia" w:ascii="宋体" w:hAnsi="宋体" w:cs="宋体"/>
          <w:color w:val="auto"/>
          <w:kern w:val="0"/>
          <w:sz w:val="24"/>
          <w:szCs w:val="24"/>
          <w:highlight w:val="none"/>
          <w:u w:val="single"/>
          <w:lang w:bidi="ar"/>
        </w:rPr>
        <w:t xml:space="preserve">            </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2）由于乙方提供的增值税发票不符合税法法规规定或者开票有误的，甲方将有权拒收并要求重开。</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3）乙方提供的增值税专用发票时应书面签收，由于乙方未及时提交增值税专用发票，导致甲方未在税法法规规定的认证期内认证进项税额的，甲方将有权退票。</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4）如果发生按照税务规定应开具红字发票的情形，乙方将在双方确认后30日内向甲方开具符合税务规定的红字发票，开票后10日内送达甲方签收。</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5）如甲方发生被税务机关稽查、调查、质询等税务检查事项需乙方配合的，乙方应按照甲方要求予以配合。如乙方发生被税务机关稽查、调查、质询等税务检查事项涉及甲方业务的，应在知悉后3日内书面通知甲方。</w:t>
      </w:r>
    </w:p>
    <w:p>
      <w:pPr>
        <w:widowControl/>
        <w:spacing w:line="360" w:lineRule="auto"/>
        <w:ind w:firstLine="480"/>
        <w:jc w:val="left"/>
        <w:rPr>
          <w:rFonts w:ascii="宋体" w:hAnsi="宋体" w:cs="宋体"/>
          <w:color w:val="auto"/>
          <w:kern w:val="0"/>
          <w:sz w:val="24"/>
          <w:szCs w:val="24"/>
          <w:highlight w:val="none"/>
        </w:rPr>
      </w:pPr>
      <w:bookmarkStart w:id="1196" w:name="_Toc32461"/>
      <w:bookmarkStart w:id="1197" w:name="_Toc18243"/>
      <w:r>
        <w:rPr>
          <w:rFonts w:hint="eastAsia" w:ascii="宋体" w:hAnsi="宋体" w:cs="宋体"/>
          <w:color w:val="auto"/>
          <w:kern w:val="0"/>
          <w:sz w:val="24"/>
          <w:szCs w:val="24"/>
          <w:highlight w:val="none"/>
          <w:lang w:bidi="ar"/>
        </w:rPr>
        <w:t>（四）乙方及收款银行信息</w:t>
      </w:r>
      <w:bookmarkEnd w:id="1196"/>
      <w:bookmarkEnd w:id="1197"/>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单位名称：</w:t>
      </w:r>
      <w:r>
        <w:rPr>
          <w:rFonts w:hint="eastAsia" w:ascii="宋体" w:hAnsi="宋体" w:cs="宋体"/>
          <w:color w:val="auto"/>
          <w:kern w:val="0"/>
          <w:sz w:val="24"/>
          <w:szCs w:val="24"/>
          <w:highlight w:val="none"/>
          <w:u w:val="single"/>
          <w:lang w:bidi="ar"/>
        </w:rPr>
        <w:t xml:space="preserve">            </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单位地址：</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 xml:space="preserve">    </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邮编：</w:t>
      </w:r>
      <w:r>
        <w:rPr>
          <w:rFonts w:hint="eastAsia" w:ascii="宋体" w:hAnsi="宋体" w:cs="宋体"/>
          <w:color w:val="auto"/>
          <w:kern w:val="0"/>
          <w:sz w:val="24"/>
          <w:szCs w:val="24"/>
          <w:highlight w:val="none"/>
          <w:u w:val="single"/>
          <w:lang w:bidi="ar"/>
        </w:rPr>
        <w:t xml:space="preserve">            </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电话：</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 xml:space="preserve">               </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开户银行：</w:t>
      </w:r>
      <w:r>
        <w:rPr>
          <w:rFonts w:hint="eastAsia" w:ascii="宋体" w:hAnsi="宋体" w:cs="宋体"/>
          <w:color w:val="auto"/>
          <w:kern w:val="0"/>
          <w:sz w:val="24"/>
          <w:szCs w:val="24"/>
          <w:highlight w:val="none"/>
          <w:u w:val="single"/>
          <w:lang w:bidi="ar"/>
        </w:rPr>
        <w:t xml:space="preserve">            </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银行地址：</w:t>
      </w:r>
      <w:r>
        <w:rPr>
          <w:rFonts w:hint="eastAsia" w:ascii="宋体" w:hAnsi="宋体" w:cs="宋体"/>
          <w:color w:val="auto"/>
          <w:kern w:val="0"/>
          <w:sz w:val="24"/>
          <w:szCs w:val="24"/>
          <w:highlight w:val="none"/>
          <w:u w:val="single"/>
          <w:lang w:bidi="ar"/>
        </w:rPr>
        <w:t xml:space="preserve">            </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银行联系电话：</w:t>
      </w:r>
      <w:r>
        <w:rPr>
          <w:rFonts w:hint="eastAsia" w:ascii="宋体" w:hAnsi="宋体" w:cs="宋体"/>
          <w:color w:val="auto"/>
          <w:kern w:val="0"/>
          <w:sz w:val="24"/>
          <w:szCs w:val="24"/>
          <w:highlight w:val="none"/>
          <w:u w:val="single"/>
          <w:lang w:bidi="ar"/>
        </w:rPr>
        <w:t xml:space="preserve">            </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帐号：</w:t>
      </w:r>
      <w:r>
        <w:rPr>
          <w:rFonts w:hint="eastAsia" w:ascii="宋体" w:hAnsi="宋体" w:cs="宋体"/>
          <w:color w:val="auto"/>
          <w:kern w:val="0"/>
          <w:sz w:val="24"/>
          <w:szCs w:val="24"/>
          <w:highlight w:val="none"/>
          <w:u w:val="single"/>
          <w:lang w:bidi="ar"/>
        </w:rPr>
        <w:t xml:space="preserve">            </w:t>
      </w:r>
    </w:p>
    <w:p>
      <w:pPr>
        <w:widowControl/>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税号：</w:t>
      </w:r>
      <w:r>
        <w:rPr>
          <w:rFonts w:hint="eastAsia" w:ascii="宋体" w:hAnsi="宋体" w:cs="宋体"/>
          <w:color w:val="auto"/>
          <w:kern w:val="0"/>
          <w:sz w:val="24"/>
          <w:szCs w:val="24"/>
          <w:highlight w:val="none"/>
          <w:u w:val="single"/>
          <w:lang w:bidi="ar"/>
        </w:rPr>
        <w:t xml:space="preserve">            </w:t>
      </w:r>
    </w:p>
    <w:p>
      <w:pPr>
        <w:widowControl/>
        <w:spacing w:line="360" w:lineRule="auto"/>
        <w:ind w:firstLine="480"/>
        <w:jc w:val="left"/>
        <w:rPr>
          <w:rFonts w:ascii="宋体" w:hAnsi="宋体" w:cs="宋体"/>
          <w:color w:val="auto"/>
          <w:kern w:val="0"/>
          <w:sz w:val="24"/>
          <w:szCs w:val="24"/>
          <w:highlight w:val="none"/>
        </w:rPr>
      </w:pPr>
      <w:bookmarkStart w:id="1198" w:name="_Toc25603"/>
      <w:bookmarkStart w:id="1199" w:name="_Toc5564"/>
      <w:r>
        <w:rPr>
          <w:rFonts w:hint="eastAsia" w:ascii="宋体" w:hAnsi="宋体" w:cs="宋体"/>
          <w:color w:val="auto"/>
          <w:kern w:val="0"/>
          <w:sz w:val="24"/>
          <w:szCs w:val="24"/>
          <w:highlight w:val="none"/>
          <w:lang w:bidi="ar"/>
        </w:rPr>
        <w:t>（五）银行费用</w:t>
      </w:r>
      <w:bookmarkEnd w:id="1198"/>
      <w:bookmarkEnd w:id="1199"/>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在甲方银行发生的费用由业主承担，在乙方银行发生的费用由乙方承担。</w:t>
      </w:r>
    </w:p>
    <w:p>
      <w:pPr>
        <w:keepNext/>
        <w:keepLines/>
        <w:widowControl/>
        <w:autoSpaceDE w:val="0"/>
        <w:spacing w:before="40" w:after="40" w:line="360" w:lineRule="auto"/>
        <w:ind w:firstLine="482" w:firstLineChars="200"/>
        <w:jc w:val="left"/>
        <w:rPr>
          <w:rFonts w:ascii="宋体" w:hAnsi="宋体" w:cs="宋体"/>
          <w:b/>
          <w:bCs/>
          <w:color w:val="auto"/>
          <w:kern w:val="44"/>
          <w:sz w:val="24"/>
          <w:szCs w:val="24"/>
          <w:highlight w:val="none"/>
        </w:rPr>
      </w:pPr>
      <w:bookmarkStart w:id="1200" w:name="_Toc11900"/>
      <w:bookmarkStart w:id="1201" w:name="_Toc5716"/>
      <w:bookmarkStart w:id="1202" w:name="_Toc31989"/>
      <w:bookmarkStart w:id="1203" w:name="_Toc20319"/>
      <w:bookmarkStart w:id="1204" w:name="_Toc26570"/>
      <w:bookmarkStart w:id="1205" w:name="_Toc22532"/>
      <w:bookmarkStart w:id="1206" w:name="_Toc9145"/>
      <w:bookmarkStart w:id="1207" w:name="_Toc15724"/>
      <w:bookmarkStart w:id="1208" w:name="_Toc28763"/>
      <w:bookmarkStart w:id="1209" w:name="_Toc19965"/>
      <w:bookmarkStart w:id="1210" w:name="_Toc13047"/>
      <w:bookmarkStart w:id="1211" w:name="_Toc6437"/>
      <w:bookmarkStart w:id="1212" w:name="_Toc21637"/>
      <w:bookmarkStart w:id="1213" w:name="_Toc9576"/>
      <w:bookmarkStart w:id="1214" w:name="_Toc14239"/>
      <w:bookmarkStart w:id="1215" w:name="_Toc22880"/>
      <w:bookmarkStart w:id="1216" w:name="_Toc21375"/>
      <w:r>
        <w:rPr>
          <w:rFonts w:hint="eastAsia" w:ascii="宋体" w:hAnsi="宋体" w:cs="宋体"/>
          <w:b/>
          <w:bCs/>
          <w:color w:val="auto"/>
          <w:kern w:val="44"/>
          <w:sz w:val="24"/>
          <w:szCs w:val="24"/>
          <w:highlight w:val="none"/>
        </w:rPr>
        <w:t>十一、知识产权归属</w:t>
      </w:r>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甲方拥有原始数据以及处理后数据的所有权。</w:t>
      </w:r>
    </w:p>
    <w:p>
      <w:pPr>
        <w:keepNext/>
        <w:keepLines/>
        <w:widowControl/>
        <w:autoSpaceDE w:val="0"/>
        <w:spacing w:before="40" w:after="40" w:line="360" w:lineRule="auto"/>
        <w:ind w:firstLine="482" w:firstLineChars="200"/>
        <w:jc w:val="left"/>
        <w:rPr>
          <w:rFonts w:ascii="宋体" w:hAnsi="宋体" w:cs="宋体"/>
          <w:b/>
          <w:bCs/>
          <w:color w:val="auto"/>
          <w:kern w:val="44"/>
          <w:sz w:val="24"/>
          <w:szCs w:val="24"/>
          <w:highlight w:val="none"/>
        </w:rPr>
      </w:pPr>
      <w:bookmarkStart w:id="1217" w:name="_Toc4586"/>
      <w:bookmarkStart w:id="1218" w:name="_Toc29347"/>
      <w:bookmarkStart w:id="1219" w:name="_Toc6173"/>
      <w:bookmarkStart w:id="1220" w:name="_Toc13780"/>
      <w:bookmarkStart w:id="1221" w:name="_Toc29630"/>
      <w:bookmarkStart w:id="1222" w:name="_Toc2210"/>
      <w:bookmarkStart w:id="1223" w:name="_Toc29384"/>
      <w:bookmarkStart w:id="1224" w:name="_Toc32130"/>
      <w:bookmarkStart w:id="1225" w:name="_Toc3225"/>
      <w:bookmarkStart w:id="1226" w:name="_Toc22981"/>
      <w:bookmarkStart w:id="1227" w:name="_Toc16657"/>
      <w:bookmarkStart w:id="1228" w:name="_Toc6159"/>
      <w:bookmarkStart w:id="1229" w:name="_Toc24278"/>
      <w:bookmarkStart w:id="1230" w:name="_Toc9317"/>
      <w:bookmarkStart w:id="1231" w:name="_Toc32043"/>
      <w:bookmarkStart w:id="1232" w:name="_Toc2650"/>
      <w:bookmarkStart w:id="1233" w:name="_Toc27781"/>
      <w:r>
        <w:rPr>
          <w:rFonts w:hint="eastAsia" w:ascii="宋体" w:hAnsi="宋体" w:cs="宋体"/>
          <w:b/>
          <w:bCs/>
          <w:color w:val="auto"/>
          <w:kern w:val="44"/>
          <w:sz w:val="24"/>
          <w:szCs w:val="24"/>
          <w:highlight w:val="none"/>
        </w:rPr>
        <w:t>十二、保密</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pPr>
        <w:widowControl/>
        <w:spacing w:before="67" w:line="360" w:lineRule="auto"/>
        <w:ind w:right="147" w:firstLine="488" w:firstLineChars="200"/>
        <w:rPr>
          <w:rFonts w:ascii="宋体" w:hAnsi="宋体" w:cs="宋体"/>
          <w:color w:val="auto"/>
          <w:kern w:val="0"/>
          <w:sz w:val="24"/>
          <w:szCs w:val="24"/>
          <w:highlight w:val="none"/>
        </w:rPr>
      </w:pPr>
      <w:r>
        <w:rPr>
          <w:rFonts w:hint="eastAsia" w:ascii="宋体" w:hAnsi="宋体" w:cs="宋体"/>
          <w:color w:val="auto"/>
          <w:spacing w:val="2"/>
          <w:kern w:val="0"/>
          <w:sz w:val="24"/>
          <w:szCs w:val="24"/>
          <w:highlight w:val="none"/>
          <w:lang w:bidi="ar"/>
        </w:rPr>
        <w:t>乙方须</w:t>
      </w:r>
      <w:r>
        <w:rPr>
          <w:rFonts w:hint="eastAsia" w:ascii="宋体" w:hAnsi="宋体" w:cs="宋体"/>
          <w:color w:val="auto"/>
          <w:spacing w:val="5"/>
          <w:kern w:val="0"/>
          <w:sz w:val="24"/>
          <w:szCs w:val="24"/>
          <w:highlight w:val="none"/>
          <w:lang w:bidi="ar"/>
        </w:rPr>
        <w:t>对甲方提供的所有文件、资料或执行本合同产生的所有文件、信息和数据予以保密。</w:t>
      </w:r>
      <w:r>
        <w:rPr>
          <w:rFonts w:hint="eastAsia" w:ascii="宋体" w:hAnsi="宋体" w:cs="宋体"/>
          <w:color w:val="auto"/>
          <w:spacing w:val="2"/>
          <w:kern w:val="0"/>
          <w:sz w:val="24"/>
          <w:szCs w:val="24"/>
          <w:highlight w:val="none"/>
          <w:lang w:bidi="ar"/>
        </w:rPr>
        <w:t>未</w:t>
      </w:r>
      <w:r>
        <w:rPr>
          <w:rFonts w:hint="eastAsia" w:ascii="宋体" w:hAnsi="宋体" w:cs="宋体"/>
          <w:color w:val="auto"/>
          <w:kern w:val="0"/>
          <w:sz w:val="24"/>
          <w:szCs w:val="24"/>
          <w:highlight w:val="none"/>
          <w:lang w:bidi="ar"/>
        </w:rPr>
        <w:t>经甲方允许，不得使用或者以其它方式给任何第三方提供或披露本项目的相关信息或数据。</w:t>
      </w:r>
    </w:p>
    <w:p>
      <w:pPr>
        <w:keepNext/>
        <w:keepLines/>
        <w:widowControl/>
        <w:autoSpaceDE w:val="0"/>
        <w:spacing w:before="40" w:after="40" w:line="360" w:lineRule="auto"/>
        <w:ind w:firstLine="482" w:firstLineChars="200"/>
        <w:jc w:val="left"/>
        <w:rPr>
          <w:rFonts w:ascii="宋体" w:hAnsi="宋体" w:cs="宋体"/>
          <w:b/>
          <w:bCs/>
          <w:color w:val="auto"/>
          <w:kern w:val="44"/>
          <w:sz w:val="24"/>
          <w:szCs w:val="24"/>
          <w:highlight w:val="none"/>
        </w:rPr>
      </w:pPr>
      <w:bookmarkStart w:id="1234" w:name="_Toc16909"/>
      <w:bookmarkStart w:id="1235" w:name="_Toc14609"/>
      <w:bookmarkStart w:id="1236" w:name="_Toc11005"/>
      <w:bookmarkStart w:id="1237" w:name="_Toc8727"/>
      <w:bookmarkStart w:id="1238" w:name="_Toc3272"/>
      <w:bookmarkStart w:id="1239" w:name="_Toc1991"/>
      <w:bookmarkStart w:id="1240" w:name="_Toc20209"/>
      <w:bookmarkStart w:id="1241" w:name="_Toc18260"/>
      <w:bookmarkStart w:id="1242" w:name="_Toc24479"/>
      <w:bookmarkStart w:id="1243" w:name="_Toc6481"/>
      <w:bookmarkStart w:id="1244" w:name="_Toc29716"/>
      <w:bookmarkStart w:id="1245" w:name="_Toc16827"/>
      <w:bookmarkStart w:id="1246" w:name="_Toc26767"/>
      <w:bookmarkStart w:id="1247" w:name="_Toc21965"/>
      <w:bookmarkStart w:id="1248" w:name="_Toc22213"/>
      <w:bookmarkStart w:id="1249" w:name="_Toc23043"/>
      <w:bookmarkStart w:id="1250" w:name="_Toc512"/>
      <w:r>
        <w:rPr>
          <w:rFonts w:hint="eastAsia" w:ascii="宋体" w:hAnsi="宋体" w:cs="宋体"/>
          <w:b/>
          <w:bCs/>
          <w:color w:val="auto"/>
          <w:kern w:val="44"/>
          <w:sz w:val="24"/>
          <w:szCs w:val="24"/>
          <w:highlight w:val="none"/>
        </w:rPr>
        <w:t>十三、违约责任与赔偿损失</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pPr>
        <w:widowControl/>
        <w:spacing w:line="360" w:lineRule="auto"/>
        <w:ind w:left="126" w:right="2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1.乙方提供的服务不符合采购文件、报价文件或本合同规定的，甲方有权拒收，并且乙方须向甲方方支付本合同总价5%的违约金。</w:t>
      </w:r>
    </w:p>
    <w:p>
      <w:pPr>
        <w:widowControl/>
        <w:spacing w:line="360" w:lineRule="auto"/>
        <w:ind w:left="126" w:right="2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2.乙方未能按本合同规定的时间提供服务，从逾期之日起每日按本合同总价3%的数额向甲方支付违约金；逾期半个月以上的，甲方有权终止合同，由此造成的甲方经济损失由乙方承担。</w:t>
      </w:r>
    </w:p>
    <w:p>
      <w:pPr>
        <w:widowControl/>
        <w:spacing w:line="360" w:lineRule="auto"/>
        <w:ind w:left="126" w:right="24"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3.甲方无正当理由拒收接受服务，到期拒付服务款项的，甲方向乙方偿付本合同总的5%的违约金。甲方逾期付款，则每日按本合同总价的3‰向乙方偿付违约金。</w:t>
      </w:r>
    </w:p>
    <w:p>
      <w:pPr>
        <w:widowControl/>
        <w:spacing w:line="360" w:lineRule="auto"/>
        <w:ind w:left="126" w:right="24"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4.甲乙双方各自完成合同规定的责任和义务，合同自然终止。除前述解除合同的规定外，符合以下情形的，甲方有权解除合同并没收履约保证金：</w:t>
      </w:r>
    </w:p>
    <w:p>
      <w:pPr>
        <w:widowControl/>
        <w:spacing w:line="360" w:lineRule="auto"/>
        <w:ind w:left="126" w:right="24"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1)乙方明确表示或以自己的行为表明不履行主要合同义务的。</w:t>
      </w:r>
    </w:p>
    <w:p>
      <w:pPr>
        <w:widowControl/>
        <w:spacing w:line="360" w:lineRule="auto"/>
        <w:ind w:left="126" w:right="24"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2)乙方延迟履行合同主要义务，经催告后在合理期限内仍未履行的。</w:t>
      </w:r>
    </w:p>
    <w:p>
      <w:pPr>
        <w:widowControl/>
        <w:spacing w:line="360" w:lineRule="auto"/>
        <w:ind w:left="126" w:right="24"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3)有确切证据证明乙方经营状况严重恶化的，或转移财产、抽逃资金以逃避债务的，或丧失商业信誉的，或有丧失、可能丧失履行合同能力的其他情形的。</w:t>
      </w:r>
    </w:p>
    <w:p>
      <w:pPr>
        <w:widowControl/>
        <w:spacing w:line="360" w:lineRule="auto"/>
        <w:ind w:left="126" w:right="24"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4)由于乙方违约行为而导致该项行为的违约金金额达到合同金额。</w:t>
      </w:r>
    </w:p>
    <w:p>
      <w:pPr>
        <w:widowControl/>
        <w:spacing w:line="360" w:lineRule="auto"/>
        <w:ind w:left="126" w:right="24"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5)由于乙方未尽责任或违约，甲方发出整改通知书仍不按要求整改的，甲方有权终止合同，并没收乙方的履约保证金。</w:t>
      </w:r>
    </w:p>
    <w:p>
      <w:pPr>
        <w:widowControl/>
        <w:spacing w:line="360" w:lineRule="auto"/>
        <w:ind w:left="126" w:right="24"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5.其它违约责任按《中华人民共和国民法典》处理。</w:t>
      </w:r>
    </w:p>
    <w:p>
      <w:pPr>
        <w:widowControl/>
        <w:spacing w:line="360" w:lineRule="auto"/>
        <w:ind w:left="126" w:right="24"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6.服务质量考评</w:t>
      </w:r>
    </w:p>
    <w:p>
      <w:pPr>
        <w:widowControl/>
        <w:spacing w:line="360" w:lineRule="auto"/>
        <w:ind w:left="126" w:right="24" w:firstLine="480" w:firstLineChars="200"/>
        <w:jc w:val="left"/>
        <w:rPr>
          <w:color w:val="auto"/>
          <w:highlight w:val="none"/>
        </w:rPr>
      </w:pPr>
      <w:r>
        <w:rPr>
          <w:rFonts w:hint="eastAsia" w:ascii="宋体" w:hAnsi="宋体" w:cs="宋体"/>
          <w:color w:val="auto"/>
          <w:kern w:val="0"/>
          <w:sz w:val="24"/>
          <w:szCs w:val="24"/>
          <w:highlight w:val="none"/>
          <w:lang w:bidi="ar"/>
        </w:rPr>
        <w:t>每次开展全线监测，由甲方对乙方工作进行考评，考评内容及扣分、罚款内容见下表：</w:t>
      </w:r>
    </w:p>
    <w:tbl>
      <w:tblPr>
        <w:tblStyle w:val="41"/>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5404"/>
        <w:gridCol w:w="1183"/>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3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序号</w:t>
            </w:r>
          </w:p>
        </w:tc>
        <w:tc>
          <w:tcPr>
            <w:tcW w:w="5404"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考评内容</w:t>
            </w:r>
          </w:p>
        </w:tc>
        <w:tc>
          <w:tcPr>
            <w:tcW w:w="1183"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扣分</w:t>
            </w:r>
          </w:p>
        </w:tc>
        <w:tc>
          <w:tcPr>
            <w:tcW w:w="1452"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w:t>
            </w:r>
          </w:p>
        </w:tc>
        <w:tc>
          <w:tcPr>
            <w:tcW w:w="5404" w:type="dxa"/>
            <w:vAlign w:val="center"/>
          </w:tcPr>
          <w:p>
            <w:pPr>
              <w:keepNext w:val="0"/>
              <w:keepLines w:val="0"/>
              <w:suppressLineNumbers w:val="0"/>
              <w:spacing w:before="0" w:beforeAutospacing="0" w:after="93" w:afterLines="30" w:afterAutospacing="0"/>
              <w:ind w:left="0" w:right="0"/>
              <w:rPr>
                <w:rFonts w:hint="default" w:ascii="宋体" w:hAnsi="宋体"/>
                <w:color w:val="auto"/>
                <w:szCs w:val="21"/>
                <w:highlight w:val="none"/>
              </w:rPr>
            </w:pPr>
            <w:r>
              <w:rPr>
                <w:rFonts w:hint="eastAsia" w:ascii="宋体" w:hAnsi="宋体"/>
                <w:color w:val="auto"/>
                <w:szCs w:val="21"/>
                <w:highlight w:val="none"/>
              </w:rPr>
              <w:t>所用仪器设备不满足规范规定的精度要求，或未经检定，或未在检定有效期内使用</w:t>
            </w:r>
            <w:r>
              <w:rPr>
                <w:rFonts w:hint="eastAsia"/>
                <w:color w:val="auto"/>
                <w:kern w:val="0"/>
                <w:szCs w:val="21"/>
                <w:highlight w:val="none"/>
              </w:rPr>
              <w:t>。</w:t>
            </w:r>
          </w:p>
        </w:tc>
        <w:tc>
          <w:tcPr>
            <w:tcW w:w="1183"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3分/次</w:t>
            </w:r>
          </w:p>
        </w:tc>
        <w:tc>
          <w:tcPr>
            <w:tcW w:w="1452"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w:t>
            </w:r>
          </w:p>
        </w:tc>
        <w:tc>
          <w:tcPr>
            <w:tcW w:w="5404" w:type="dxa"/>
            <w:vAlign w:val="center"/>
          </w:tcPr>
          <w:p>
            <w:pPr>
              <w:keepNext w:val="0"/>
              <w:keepLines w:val="0"/>
              <w:suppressLineNumbers w:val="0"/>
              <w:spacing w:before="0" w:beforeAutospacing="0" w:after="93" w:afterLines="30" w:afterAutospacing="0"/>
              <w:ind w:left="0" w:right="0"/>
              <w:rPr>
                <w:rFonts w:hint="default"/>
                <w:color w:val="auto"/>
                <w:kern w:val="0"/>
                <w:szCs w:val="21"/>
                <w:highlight w:val="none"/>
              </w:rPr>
            </w:pPr>
            <w:r>
              <w:rPr>
                <w:rFonts w:hint="eastAsia"/>
                <w:color w:val="auto"/>
                <w:kern w:val="0"/>
                <w:szCs w:val="21"/>
                <w:highlight w:val="none"/>
              </w:rPr>
              <w:t>未办理请点手续私自开展作业。</w:t>
            </w:r>
          </w:p>
        </w:tc>
        <w:tc>
          <w:tcPr>
            <w:tcW w:w="1183"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3分/次</w:t>
            </w:r>
          </w:p>
        </w:tc>
        <w:tc>
          <w:tcPr>
            <w:tcW w:w="1452"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w:t>
            </w:r>
          </w:p>
        </w:tc>
        <w:tc>
          <w:tcPr>
            <w:tcW w:w="5404" w:type="dxa"/>
            <w:vAlign w:val="center"/>
          </w:tcPr>
          <w:p>
            <w:pPr>
              <w:keepNext w:val="0"/>
              <w:keepLines w:val="0"/>
              <w:suppressLineNumbers w:val="0"/>
              <w:spacing w:before="0" w:beforeAutospacing="0" w:after="93" w:afterLines="30" w:afterAutospacing="0"/>
              <w:ind w:left="0" w:right="0"/>
              <w:rPr>
                <w:rFonts w:hint="default"/>
                <w:color w:val="auto"/>
                <w:kern w:val="0"/>
                <w:szCs w:val="21"/>
                <w:highlight w:val="none"/>
              </w:rPr>
            </w:pPr>
            <w:r>
              <w:rPr>
                <w:rFonts w:hint="eastAsia"/>
                <w:color w:val="auto"/>
                <w:kern w:val="0"/>
                <w:szCs w:val="21"/>
                <w:highlight w:val="none"/>
              </w:rPr>
              <w:t>监测报告数据或结论存在错漏或虚假、</w:t>
            </w:r>
            <w:r>
              <w:rPr>
                <w:rFonts w:hint="eastAsia" w:ascii="宋体" w:hAnsi="宋体" w:cs="宋体"/>
                <w:color w:val="auto"/>
                <w:kern w:val="0"/>
                <w:szCs w:val="20"/>
                <w:highlight w:val="none"/>
              </w:rPr>
              <w:t>数据不真实</w:t>
            </w:r>
            <w:r>
              <w:rPr>
                <w:rFonts w:hint="eastAsia"/>
                <w:color w:val="auto"/>
                <w:kern w:val="0"/>
                <w:szCs w:val="21"/>
                <w:highlight w:val="none"/>
              </w:rPr>
              <w:t>。</w:t>
            </w:r>
          </w:p>
        </w:tc>
        <w:tc>
          <w:tcPr>
            <w:tcW w:w="1183"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2分/处</w:t>
            </w:r>
          </w:p>
        </w:tc>
        <w:tc>
          <w:tcPr>
            <w:tcW w:w="1452"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4</w:t>
            </w:r>
          </w:p>
        </w:tc>
        <w:tc>
          <w:tcPr>
            <w:tcW w:w="5404" w:type="dxa"/>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作业时未按规定穿戴劳保用品，做好自身防护。</w:t>
            </w:r>
          </w:p>
        </w:tc>
        <w:tc>
          <w:tcPr>
            <w:tcW w:w="1183"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2分/人次</w:t>
            </w:r>
          </w:p>
        </w:tc>
        <w:tc>
          <w:tcPr>
            <w:tcW w:w="1452"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500元/人次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5</w:t>
            </w:r>
          </w:p>
        </w:tc>
        <w:tc>
          <w:tcPr>
            <w:tcW w:w="5404" w:type="dxa"/>
            <w:vAlign w:val="center"/>
          </w:tcPr>
          <w:p>
            <w:pPr>
              <w:keepNext w:val="0"/>
              <w:keepLines w:val="0"/>
              <w:suppressLineNumbers w:val="0"/>
              <w:spacing w:before="0" w:beforeAutospacing="0" w:after="93" w:afterLines="30" w:afterAutospacing="0"/>
              <w:ind w:left="0" w:right="0"/>
              <w:rPr>
                <w:rFonts w:hint="default"/>
                <w:color w:val="auto"/>
                <w:kern w:val="0"/>
                <w:szCs w:val="21"/>
                <w:highlight w:val="none"/>
              </w:rPr>
            </w:pPr>
            <w:r>
              <w:rPr>
                <w:rFonts w:hint="eastAsia"/>
                <w:color w:val="auto"/>
                <w:kern w:val="0"/>
                <w:szCs w:val="21"/>
                <w:highlight w:val="none"/>
              </w:rPr>
              <w:t>未落实高空作业安全措施。</w:t>
            </w:r>
          </w:p>
        </w:tc>
        <w:tc>
          <w:tcPr>
            <w:tcW w:w="1183" w:type="dxa"/>
            <w:vAlign w:val="center"/>
          </w:tcPr>
          <w:p>
            <w:pPr>
              <w:keepNext w:val="0"/>
              <w:keepLines w:val="0"/>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szCs w:val="21"/>
                <w:highlight w:val="none"/>
              </w:rPr>
              <w:t>2分/人次</w:t>
            </w:r>
          </w:p>
        </w:tc>
        <w:tc>
          <w:tcPr>
            <w:tcW w:w="1452" w:type="dxa"/>
            <w:vAlign w:val="center"/>
          </w:tcPr>
          <w:p>
            <w:pPr>
              <w:keepNext w:val="0"/>
              <w:keepLines w:val="0"/>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szCs w:val="21"/>
                <w:highlight w:val="none"/>
              </w:rPr>
              <w:t>500元/人次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6</w:t>
            </w:r>
          </w:p>
        </w:tc>
        <w:tc>
          <w:tcPr>
            <w:tcW w:w="5404" w:type="dxa"/>
            <w:vAlign w:val="center"/>
          </w:tcPr>
          <w:p>
            <w:pPr>
              <w:keepNext w:val="0"/>
              <w:keepLines w:val="0"/>
              <w:suppressLineNumbers w:val="0"/>
              <w:spacing w:before="0" w:beforeAutospacing="0" w:after="93" w:afterLines="30" w:afterAutospacing="0"/>
              <w:ind w:left="0" w:right="0"/>
              <w:rPr>
                <w:rFonts w:hint="default"/>
                <w:color w:val="auto"/>
                <w:kern w:val="0"/>
                <w:szCs w:val="21"/>
                <w:highlight w:val="none"/>
              </w:rPr>
            </w:pPr>
            <w:r>
              <w:rPr>
                <w:rFonts w:hint="eastAsia"/>
                <w:color w:val="auto"/>
                <w:kern w:val="0"/>
                <w:szCs w:val="21"/>
                <w:highlight w:val="none"/>
              </w:rPr>
              <w:t>特种作业人员无证上岗。</w:t>
            </w:r>
          </w:p>
        </w:tc>
        <w:tc>
          <w:tcPr>
            <w:tcW w:w="1183"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3分/次</w:t>
            </w:r>
          </w:p>
        </w:tc>
        <w:tc>
          <w:tcPr>
            <w:tcW w:w="1452"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7</w:t>
            </w:r>
          </w:p>
        </w:tc>
        <w:tc>
          <w:tcPr>
            <w:tcW w:w="5404" w:type="dxa"/>
            <w:vAlign w:val="center"/>
          </w:tcPr>
          <w:p>
            <w:pPr>
              <w:keepNext w:val="0"/>
              <w:keepLines w:val="0"/>
              <w:suppressLineNumbers w:val="0"/>
              <w:spacing w:before="0" w:beforeAutospacing="0" w:after="93" w:afterLines="30" w:afterAutospacing="0"/>
              <w:ind w:left="0" w:right="0"/>
              <w:rPr>
                <w:rFonts w:hint="default"/>
                <w:color w:val="auto"/>
                <w:kern w:val="0"/>
                <w:szCs w:val="21"/>
                <w:highlight w:val="none"/>
              </w:rPr>
            </w:pPr>
            <w:r>
              <w:rPr>
                <w:rFonts w:hint="eastAsia"/>
                <w:color w:val="auto"/>
                <w:kern w:val="0"/>
                <w:szCs w:val="21"/>
                <w:highlight w:val="none"/>
              </w:rPr>
              <w:t>作业及管理人员在车站范围内吸烟。</w:t>
            </w:r>
          </w:p>
        </w:tc>
        <w:tc>
          <w:tcPr>
            <w:tcW w:w="1183"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2分/次</w:t>
            </w:r>
          </w:p>
        </w:tc>
        <w:tc>
          <w:tcPr>
            <w:tcW w:w="1452"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8</w:t>
            </w:r>
          </w:p>
        </w:tc>
        <w:tc>
          <w:tcPr>
            <w:tcW w:w="5404" w:type="dxa"/>
            <w:vAlign w:val="center"/>
          </w:tcPr>
          <w:p>
            <w:pPr>
              <w:keepNext w:val="0"/>
              <w:keepLines w:val="0"/>
              <w:suppressLineNumbers w:val="0"/>
              <w:spacing w:before="0" w:beforeAutospacing="0" w:after="93" w:afterLines="30" w:afterAutospacing="0"/>
              <w:ind w:left="0" w:right="0"/>
              <w:rPr>
                <w:rFonts w:hint="default"/>
                <w:color w:val="auto"/>
                <w:kern w:val="0"/>
                <w:szCs w:val="21"/>
                <w:highlight w:val="none"/>
              </w:rPr>
            </w:pPr>
            <w:r>
              <w:rPr>
                <w:rFonts w:hint="eastAsia" w:ascii="宋体" w:hAnsi="宋体"/>
                <w:color w:val="auto"/>
                <w:szCs w:val="21"/>
                <w:highlight w:val="none"/>
              </w:rPr>
              <w:t>违章作业或野蛮施工，不服从招标人属地管理</w:t>
            </w:r>
            <w:r>
              <w:rPr>
                <w:rFonts w:hint="eastAsia"/>
                <w:color w:val="auto"/>
                <w:kern w:val="0"/>
                <w:szCs w:val="21"/>
                <w:highlight w:val="none"/>
              </w:rPr>
              <w:t>。</w:t>
            </w:r>
          </w:p>
        </w:tc>
        <w:tc>
          <w:tcPr>
            <w:tcW w:w="1183"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5分/次</w:t>
            </w:r>
          </w:p>
        </w:tc>
        <w:tc>
          <w:tcPr>
            <w:tcW w:w="1452"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9</w:t>
            </w:r>
          </w:p>
        </w:tc>
        <w:tc>
          <w:tcPr>
            <w:tcW w:w="5404" w:type="dxa"/>
            <w:vAlign w:val="center"/>
          </w:tcPr>
          <w:p>
            <w:pPr>
              <w:keepNext w:val="0"/>
              <w:keepLines w:val="0"/>
              <w:suppressLineNumbers w:val="0"/>
              <w:spacing w:before="0" w:beforeAutospacing="0" w:after="93" w:afterLines="30" w:afterAutospacing="0"/>
              <w:ind w:left="0" w:right="0"/>
              <w:rPr>
                <w:rFonts w:hint="default"/>
                <w:color w:val="auto"/>
                <w:kern w:val="0"/>
                <w:szCs w:val="21"/>
                <w:highlight w:val="none"/>
              </w:rPr>
            </w:pPr>
            <w:r>
              <w:rPr>
                <w:rFonts w:hint="eastAsia" w:ascii="宋体" w:hAnsi="宋体"/>
                <w:color w:val="auto"/>
                <w:szCs w:val="21"/>
                <w:highlight w:val="none"/>
              </w:rPr>
              <w:t>未经招标人许可，私拉、乱接临时电气线路</w:t>
            </w:r>
            <w:r>
              <w:rPr>
                <w:rFonts w:hint="eastAsia"/>
                <w:color w:val="auto"/>
                <w:kern w:val="0"/>
                <w:szCs w:val="21"/>
                <w:highlight w:val="none"/>
              </w:rPr>
              <w:t>。</w:t>
            </w:r>
          </w:p>
        </w:tc>
        <w:tc>
          <w:tcPr>
            <w:tcW w:w="1183"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2分/次</w:t>
            </w:r>
          </w:p>
        </w:tc>
        <w:tc>
          <w:tcPr>
            <w:tcW w:w="1452"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10</w:t>
            </w:r>
          </w:p>
        </w:tc>
        <w:tc>
          <w:tcPr>
            <w:tcW w:w="5404" w:type="dxa"/>
            <w:vAlign w:val="center"/>
          </w:tcPr>
          <w:p>
            <w:pPr>
              <w:keepNext w:val="0"/>
              <w:keepLines w:val="0"/>
              <w:suppressLineNumbers w:val="0"/>
              <w:spacing w:before="0" w:beforeAutospacing="0" w:after="93" w:afterLines="30" w:afterAutospacing="0"/>
              <w:ind w:left="0" w:right="0"/>
              <w:rPr>
                <w:rFonts w:hint="default"/>
                <w:color w:val="auto"/>
                <w:kern w:val="0"/>
                <w:szCs w:val="21"/>
                <w:highlight w:val="none"/>
              </w:rPr>
            </w:pPr>
            <w:r>
              <w:rPr>
                <w:rFonts w:hint="eastAsia" w:ascii="宋体" w:hAnsi="宋体"/>
                <w:color w:val="auto"/>
                <w:szCs w:val="21"/>
                <w:highlight w:val="none"/>
              </w:rPr>
              <w:t>使用工作性能不合格或存在安全隐患的工器具</w:t>
            </w:r>
            <w:r>
              <w:rPr>
                <w:rFonts w:hint="eastAsia"/>
                <w:color w:val="auto"/>
                <w:kern w:val="0"/>
                <w:szCs w:val="21"/>
                <w:highlight w:val="none"/>
              </w:rPr>
              <w:t>。</w:t>
            </w:r>
          </w:p>
        </w:tc>
        <w:tc>
          <w:tcPr>
            <w:tcW w:w="1183"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2分/次</w:t>
            </w:r>
          </w:p>
        </w:tc>
        <w:tc>
          <w:tcPr>
            <w:tcW w:w="1452"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11</w:t>
            </w:r>
          </w:p>
        </w:tc>
        <w:tc>
          <w:tcPr>
            <w:tcW w:w="5404" w:type="dxa"/>
            <w:vAlign w:val="center"/>
          </w:tcPr>
          <w:p>
            <w:pPr>
              <w:keepNext w:val="0"/>
              <w:keepLines w:val="0"/>
              <w:suppressLineNumbers w:val="0"/>
              <w:spacing w:before="0" w:beforeAutospacing="0" w:after="93" w:afterLines="30" w:afterAutospacing="0"/>
              <w:ind w:left="0" w:right="0"/>
              <w:rPr>
                <w:rFonts w:hint="default"/>
                <w:color w:val="auto"/>
                <w:kern w:val="0"/>
                <w:szCs w:val="21"/>
                <w:highlight w:val="none"/>
              </w:rPr>
            </w:pPr>
            <w:r>
              <w:rPr>
                <w:rFonts w:hint="eastAsia"/>
                <w:color w:val="auto"/>
                <w:kern w:val="0"/>
                <w:szCs w:val="21"/>
                <w:highlight w:val="none"/>
              </w:rPr>
              <w:t>其他违反管理规定未造成实质性后果的。</w:t>
            </w:r>
          </w:p>
        </w:tc>
        <w:tc>
          <w:tcPr>
            <w:tcW w:w="1183"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2分/次</w:t>
            </w:r>
          </w:p>
        </w:tc>
        <w:tc>
          <w:tcPr>
            <w:tcW w:w="1452"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12</w:t>
            </w:r>
          </w:p>
        </w:tc>
        <w:tc>
          <w:tcPr>
            <w:tcW w:w="5404" w:type="dxa"/>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因投标人原因影响客运服务或行车，除按调查结果承接相应责任外。</w:t>
            </w:r>
          </w:p>
        </w:tc>
        <w:tc>
          <w:tcPr>
            <w:tcW w:w="1183"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10分/次</w:t>
            </w:r>
          </w:p>
        </w:tc>
        <w:tc>
          <w:tcPr>
            <w:tcW w:w="1452"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13</w:t>
            </w:r>
          </w:p>
        </w:tc>
        <w:tc>
          <w:tcPr>
            <w:tcW w:w="5404" w:type="dxa"/>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投标人</w:t>
            </w:r>
            <w:r>
              <w:rPr>
                <w:rFonts w:hint="eastAsia"/>
                <w:color w:val="auto"/>
                <w:kern w:val="0"/>
                <w:szCs w:val="21"/>
                <w:highlight w:val="none"/>
              </w:rPr>
              <w:t>原因造成采购人运营、设备实际损失的，由投标人负责原样恢复并按调查定责比例赔偿外</w:t>
            </w:r>
            <w:r>
              <w:rPr>
                <w:rFonts w:hint="eastAsia" w:ascii="宋体" w:hAnsi="宋体"/>
                <w:color w:val="auto"/>
                <w:szCs w:val="21"/>
                <w:highlight w:val="none"/>
              </w:rPr>
              <w:t>。</w:t>
            </w:r>
          </w:p>
        </w:tc>
        <w:tc>
          <w:tcPr>
            <w:tcW w:w="1183"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10分/次</w:t>
            </w:r>
          </w:p>
        </w:tc>
        <w:tc>
          <w:tcPr>
            <w:tcW w:w="1452"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14</w:t>
            </w:r>
          </w:p>
        </w:tc>
        <w:tc>
          <w:tcPr>
            <w:tcW w:w="5404" w:type="dxa"/>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4"/>
                <w:highlight w:val="none"/>
              </w:rPr>
              <w:t>监测预警发生时，未在规定时间内通知招标人。</w:t>
            </w:r>
          </w:p>
        </w:tc>
        <w:tc>
          <w:tcPr>
            <w:tcW w:w="1183" w:type="dxa"/>
            <w:vAlign w:val="center"/>
          </w:tcPr>
          <w:p>
            <w:pPr>
              <w:keepNext w:val="0"/>
              <w:keepLines w:val="0"/>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szCs w:val="21"/>
                <w:highlight w:val="none"/>
              </w:rPr>
              <w:t>5分/次</w:t>
            </w:r>
          </w:p>
        </w:tc>
        <w:tc>
          <w:tcPr>
            <w:tcW w:w="1452" w:type="dxa"/>
            <w:vAlign w:val="center"/>
          </w:tcPr>
          <w:p>
            <w:pPr>
              <w:keepNext w:val="0"/>
              <w:keepLines w:val="0"/>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szCs w:val="21"/>
                <w:highlight w:val="none"/>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15</w:t>
            </w:r>
          </w:p>
        </w:tc>
        <w:tc>
          <w:tcPr>
            <w:tcW w:w="5404" w:type="dxa"/>
            <w:vAlign w:val="center"/>
          </w:tcPr>
          <w:p>
            <w:pPr>
              <w:keepNext w:val="0"/>
              <w:keepLines w:val="0"/>
              <w:suppressLineNumbers w:val="0"/>
              <w:spacing w:before="0" w:beforeAutospacing="0" w:after="0" w:afterAutospacing="0"/>
              <w:ind w:left="0" w:right="0"/>
              <w:rPr>
                <w:rFonts w:hint="default" w:ascii="宋体" w:hAnsi="宋体" w:cs="宋体"/>
                <w:color w:val="auto"/>
                <w:szCs w:val="24"/>
                <w:highlight w:val="none"/>
              </w:rPr>
            </w:pPr>
            <w:r>
              <w:rPr>
                <w:rFonts w:hint="eastAsia" w:ascii="宋体" w:hAnsi="宋体" w:cs="宋体"/>
                <w:color w:val="auto"/>
                <w:szCs w:val="21"/>
                <w:highlight w:val="none"/>
              </w:rPr>
              <w:t>完成全线一次完整的监测，其持续时间不得超过2个月，特殊情况下不得超过3个月，每超过一天。</w:t>
            </w:r>
          </w:p>
        </w:tc>
        <w:tc>
          <w:tcPr>
            <w:tcW w:w="1183"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1分/天</w:t>
            </w:r>
          </w:p>
        </w:tc>
        <w:tc>
          <w:tcPr>
            <w:tcW w:w="1452"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16</w:t>
            </w:r>
          </w:p>
        </w:tc>
        <w:tc>
          <w:tcPr>
            <w:tcW w:w="5404" w:type="dxa"/>
            <w:vAlign w:val="center"/>
          </w:tcPr>
          <w:p>
            <w:pPr>
              <w:keepNext w:val="0"/>
              <w:keepLines w:val="0"/>
              <w:suppressLineNumbers w:val="0"/>
              <w:spacing w:before="0" w:beforeAutospacing="0" w:after="0" w:afterAutospacing="0"/>
              <w:ind w:left="0" w:right="0"/>
              <w:rPr>
                <w:rFonts w:hint="default" w:ascii="宋体" w:hAnsi="宋体" w:cs="宋体"/>
                <w:color w:val="auto"/>
                <w:szCs w:val="24"/>
                <w:highlight w:val="none"/>
              </w:rPr>
            </w:pPr>
            <w:r>
              <w:rPr>
                <w:rFonts w:hint="eastAsia" w:ascii="宋体" w:hAnsi="宋体" w:cs="宋体"/>
                <w:color w:val="auto"/>
                <w:kern w:val="0"/>
                <w:szCs w:val="21"/>
                <w:highlight w:val="none"/>
                <w:lang w:bidi="ar"/>
              </w:rPr>
              <w:t>监测结束30天内，提交完整的监测总结报告</w:t>
            </w:r>
            <w:r>
              <w:rPr>
                <w:rFonts w:hint="eastAsia" w:ascii="宋体" w:hAnsi="宋体" w:cs="宋体"/>
                <w:color w:val="auto"/>
                <w:szCs w:val="21"/>
                <w:highlight w:val="none"/>
              </w:rPr>
              <w:t>，每超过一天</w:t>
            </w:r>
            <w:r>
              <w:rPr>
                <w:rFonts w:hint="eastAsia" w:ascii="宋体" w:hAnsi="宋体" w:cs="宋体"/>
                <w:color w:val="auto"/>
                <w:kern w:val="0"/>
                <w:szCs w:val="21"/>
                <w:highlight w:val="none"/>
                <w:lang w:bidi="ar"/>
              </w:rPr>
              <w:t>。</w:t>
            </w:r>
          </w:p>
        </w:tc>
        <w:tc>
          <w:tcPr>
            <w:tcW w:w="1183" w:type="dxa"/>
            <w:vAlign w:val="center"/>
          </w:tcPr>
          <w:p>
            <w:pPr>
              <w:keepNext w:val="0"/>
              <w:keepLines w:val="0"/>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szCs w:val="21"/>
                <w:highlight w:val="none"/>
              </w:rPr>
              <w:t>1分/天</w:t>
            </w:r>
          </w:p>
        </w:tc>
        <w:tc>
          <w:tcPr>
            <w:tcW w:w="1452" w:type="dxa"/>
            <w:vAlign w:val="center"/>
          </w:tcPr>
          <w:p>
            <w:pPr>
              <w:keepNext w:val="0"/>
              <w:keepLines w:val="0"/>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szCs w:val="21"/>
                <w:highlight w:val="none"/>
              </w:rPr>
              <w:t>300元/天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17</w:t>
            </w:r>
          </w:p>
        </w:tc>
        <w:tc>
          <w:tcPr>
            <w:tcW w:w="5404" w:type="dxa"/>
            <w:vAlign w:val="center"/>
          </w:tcPr>
          <w:p>
            <w:pPr>
              <w:keepNext w:val="0"/>
              <w:keepLines w:val="0"/>
              <w:suppressLineNumbers w:val="0"/>
              <w:spacing w:before="0" w:beforeAutospacing="0" w:after="0" w:afterAutospacing="0"/>
              <w:ind w:left="0" w:right="0"/>
              <w:rPr>
                <w:rFonts w:hint="default" w:ascii="宋体" w:hAnsi="宋体" w:cs="宋体"/>
                <w:color w:val="auto"/>
                <w:kern w:val="0"/>
                <w:szCs w:val="21"/>
                <w:highlight w:val="none"/>
                <w:lang w:bidi="ar"/>
              </w:rPr>
            </w:pPr>
            <w:r>
              <w:rPr>
                <w:rFonts w:hint="eastAsia" w:ascii="宋体" w:hAnsi="宋体" w:cs="宋体"/>
                <w:color w:val="auto"/>
                <w:kern w:val="0"/>
                <w:szCs w:val="20"/>
                <w:highlight w:val="none"/>
              </w:rPr>
              <w:t>基准点的数量及标志不符合规范要求。</w:t>
            </w:r>
          </w:p>
        </w:tc>
        <w:tc>
          <w:tcPr>
            <w:tcW w:w="1183" w:type="dxa"/>
            <w:vAlign w:val="center"/>
          </w:tcPr>
          <w:p>
            <w:pPr>
              <w:keepNext w:val="0"/>
              <w:keepLines w:val="0"/>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szCs w:val="21"/>
                <w:highlight w:val="none"/>
              </w:rPr>
              <w:t>2分/次</w:t>
            </w:r>
          </w:p>
        </w:tc>
        <w:tc>
          <w:tcPr>
            <w:tcW w:w="1452" w:type="dxa"/>
            <w:vAlign w:val="center"/>
          </w:tcPr>
          <w:p>
            <w:pPr>
              <w:keepNext w:val="0"/>
              <w:keepLines w:val="0"/>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18</w:t>
            </w:r>
          </w:p>
        </w:tc>
        <w:tc>
          <w:tcPr>
            <w:tcW w:w="5404" w:type="dxa"/>
            <w:vAlign w:val="center"/>
          </w:tcPr>
          <w:p>
            <w:pPr>
              <w:keepNext w:val="0"/>
              <w:keepLines w:val="0"/>
              <w:suppressLineNumbers w:val="0"/>
              <w:spacing w:before="0" w:beforeAutospacing="0" w:after="0" w:afterAutospacing="0"/>
              <w:ind w:left="0" w:right="0"/>
              <w:rPr>
                <w:rFonts w:hint="default" w:ascii="宋体" w:hAnsi="宋体" w:cs="宋体"/>
                <w:color w:val="auto"/>
                <w:kern w:val="0"/>
                <w:szCs w:val="21"/>
                <w:highlight w:val="none"/>
                <w:lang w:bidi="ar"/>
              </w:rPr>
            </w:pPr>
            <w:r>
              <w:rPr>
                <w:rFonts w:hint="eastAsia" w:ascii="宋体" w:hAnsi="宋体" w:cs="宋体"/>
                <w:color w:val="auto"/>
                <w:kern w:val="0"/>
                <w:szCs w:val="20"/>
                <w:highlight w:val="none"/>
              </w:rPr>
              <w:t>观测成果精度不符合规范要求。</w:t>
            </w:r>
          </w:p>
        </w:tc>
        <w:tc>
          <w:tcPr>
            <w:tcW w:w="1183" w:type="dxa"/>
            <w:vAlign w:val="center"/>
          </w:tcPr>
          <w:p>
            <w:pPr>
              <w:keepNext w:val="0"/>
              <w:keepLines w:val="0"/>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szCs w:val="21"/>
                <w:highlight w:val="none"/>
              </w:rPr>
              <w:t>2分/次</w:t>
            </w:r>
          </w:p>
        </w:tc>
        <w:tc>
          <w:tcPr>
            <w:tcW w:w="1452" w:type="dxa"/>
            <w:vAlign w:val="center"/>
          </w:tcPr>
          <w:p>
            <w:pPr>
              <w:keepNext w:val="0"/>
              <w:keepLines w:val="0"/>
              <w:suppressLineNumbers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szCs w:val="21"/>
                <w:highlight w:val="none"/>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19</w:t>
            </w:r>
          </w:p>
        </w:tc>
        <w:tc>
          <w:tcPr>
            <w:tcW w:w="5404" w:type="dxa"/>
            <w:vAlign w:val="center"/>
          </w:tcPr>
          <w:p>
            <w:pPr>
              <w:keepNext w:val="0"/>
              <w:keepLines w:val="0"/>
              <w:suppressLineNumbers w:val="0"/>
              <w:spacing w:before="0" w:beforeAutospacing="0" w:after="0" w:afterAutospacing="0"/>
              <w:ind w:left="0" w:right="0"/>
              <w:rPr>
                <w:rFonts w:hint="default" w:ascii="宋体" w:hAnsi="宋体" w:cs="宋体"/>
                <w:color w:val="auto"/>
                <w:kern w:val="0"/>
                <w:szCs w:val="20"/>
                <w:highlight w:val="none"/>
              </w:rPr>
            </w:pPr>
            <w:r>
              <w:rPr>
                <w:rFonts w:hint="eastAsia" w:ascii="宋体" w:hAnsi="宋体" w:cs="宋体"/>
                <w:color w:val="auto"/>
                <w:kern w:val="0"/>
                <w:szCs w:val="20"/>
                <w:highlight w:val="none"/>
              </w:rPr>
              <w:t>项目实际投入人员与投标文件不符的。</w:t>
            </w:r>
          </w:p>
        </w:tc>
        <w:tc>
          <w:tcPr>
            <w:tcW w:w="1183"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3分/人次</w:t>
            </w:r>
          </w:p>
        </w:tc>
        <w:tc>
          <w:tcPr>
            <w:tcW w:w="1452"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5000元/人次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bookmarkStart w:id="1251" w:name="_Toc20188"/>
            <w:bookmarkStart w:id="1252" w:name="_Toc23815"/>
            <w:r>
              <w:rPr>
                <w:rFonts w:hint="eastAsia" w:ascii="宋体" w:hAnsi="宋体"/>
                <w:color w:val="auto"/>
                <w:szCs w:val="21"/>
                <w:highlight w:val="none"/>
              </w:rPr>
              <w:t>20</w:t>
            </w:r>
          </w:p>
        </w:tc>
        <w:tc>
          <w:tcPr>
            <w:tcW w:w="5404" w:type="dxa"/>
            <w:vAlign w:val="center"/>
          </w:tcPr>
          <w:p>
            <w:pPr>
              <w:keepNext w:val="0"/>
              <w:keepLines w:val="0"/>
              <w:suppressLineNumbers w:val="0"/>
              <w:spacing w:before="0" w:beforeAutospacing="0" w:after="0" w:afterAutospacing="0"/>
              <w:ind w:left="0" w:right="0"/>
              <w:rPr>
                <w:rFonts w:hint="default" w:ascii="宋体" w:hAnsi="宋体" w:cs="宋体"/>
                <w:color w:val="auto"/>
                <w:kern w:val="0"/>
                <w:szCs w:val="20"/>
                <w:highlight w:val="none"/>
              </w:rPr>
            </w:pPr>
            <w:r>
              <w:rPr>
                <w:rFonts w:hint="eastAsia" w:ascii="宋体" w:hAnsi="宋体" w:cs="宋体"/>
                <w:color w:val="auto"/>
                <w:kern w:val="0"/>
                <w:szCs w:val="20"/>
                <w:highlight w:val="none"/>
              </w:rPr>
              <w:t>操作水准仪、全站仪的测量人员，未持有高级测量员证或以上的。</w:t>
            </w:r>
          </w:p>
        </w:tc>
        <w:tc>
          <w:tcPr>
            <w:tcW w:w="1183"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2分/人次</w:t>
            </w:r>
          </w:p>
        </w:tc>
        <w:tc>
          <w:tcPr>
            <w:tcW w:w="1452"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2000元/人次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21</w:t>
            </w:r>
          </w:p>
        </w:tc>
        <w:tc>
          <w:tcPr>
            <w:tcW w:w="5404" w:type="dxa"/>
            <w:vAlign w:val="center"/>
          </w:tcPr>
          <w:p>
            <w:pPr>
              <w:keepNext w:val="0"/>
              <w:keepLines w:val="0"/>
              <w:suppressLineNumbers w:val="0"/>
              <w:spacing w:before="0" w:beforeAutospacing="0" w:after="0" w:afterAutospacing="0"/>
              <w:ind w:left="0" w:right="0"/>
              <w:rPr>
                <w:rFonts w:hint="default" w:ascii="宋体" w:hAnsi="宋体" w:cs="宋体"/>
                <w:color w:val="auto"/>
                <w:kern w:val="0"/>
                <w:szCs w:val="20"/>
                <w:highlight w:val="none"/>
              </w:rPr>
            </w:pPr>
            <w:r>
              <w:rPr>
                <w:rFonts w:hint="eastAsia" w:ascii="宋体" w:hAnsi="宋体" w:cs="宋体"/>
                <w:color w:val="auto"/>
                <w:kern w:val="0"/>
                <w:szCs w:val="20"/>
                <w:highlight w:val="none"/>
              </w:rPr>
              <w:t>未按投标时承诺的响应时间进行应急处理的。</w:t>
            </w:r>
          </w:p>
        </w:tc>
        <w:tc>
          <w:tcPr>
            <w:tcW w:w="1183"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3分/次</w:t>
            </w:r>
          </w:p>
        </w:tc>
        <w:tc>
          <w:tcPr>
            <w:tcW w:w="1452"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3000元/次</w:t>
            </w:r>
          </w:p>
        </w:tc>
      </w:tr>
    </w:tbl>
    <w:p>
      <w:pPr>
        <w:widowControl/>
        <w:spacing w:line="360" w:lineRule="auto"/>
        <w:ind w:left="126" w:right="24"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服务质量考评结果应用</w:t>
      </w:r>
      <w:bookmarkEnd w:id="1251"/>
      <w:bookmarkEnd w:id="1252"/>
      <w:r>
        <w:rPr>
          <w:rFonts w:hint="eastAsia" w:ascii="宋体" w:hAnsi="宋体" w:cs="宋体"/>
          <w:color w:val="auto"/>
          <w:kern w:val="0"/>
          <w:sz w:val="24"/>
          <w:szCs w:val="24"/>
          <w:highlight w:val="none"/>
          <w:lang w:bidi="ar"/>
        </w:rPr>
        <w:t xml:space="preserve"> ：</w:t>
      </w:r>
    </w:p>
    <w:p>
      <w:pPr>
        <w:widowControl/>
        <w:spacing w:line="360" w:lineRule="auto"/>
        <w:ind w:left="126" w:right="24"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1）基准分为满分100分。</w:t>
      </w:r>
    </w:p>
    <w:p>
      <w:pPr>
        <w:widowControl/>
        <w:spacing w:line="360" w:lineRule="auto"/>
        <w:ind w:left="126" w:right="24"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2）得分&gt;90分的，考核评价为优秀。</w:t>
      </w:r>
    </w:p>
    <w:p>
      <w:pPr>
        <w:widowControl/>
        <w:spacing w:line="360" w:lineRule="auto"/>
        <w:ind w:left="126" w:right="24"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3）90分≥得分&gt;80分的，则向投标人提出预警，投标人反馈书面整改措施。</w:t>
      </w:r>
    </w:p>
    <w:p>
      <w:pPr>
        <w:widowControl/>
        <w:spacing w:line="360" w:lineRule="auto"/>
        <w:ind w:left="126" w:right="24"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4）80分≥得分≥70分的，以80分为准，每低1分扣除合同总额的0.2% 。</w:t>
      </w:r>
    </w:p>
    <w:p>
      <w:pPr>
        <w:widowControl/>
        <w:spacing w:line="360" w:lineRule="auto"/>
        <w:ind w:left="126" w:right="24"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5）得分&lt;70分的，以70分为准，每低1分扣除合同总额的0.3% 。</w:t>
      </w:r>
    </w:p>
    <w:p>
      <w:pPr>
        <w:widowControl/>
        <w:spacing w:line="360" w:lineRule="auto"/>
        <w:ind w:left="126" w:right="24"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6）考核扣款在最近一期付款时进行扣减。</w:t>
      </w:r>
    </w:p>
    <w:p>
      <w:pPr>
        <w:keepNext/>
        <w:keepLines/>
        <w:widowControl/>
        <w:autoSpaceDE w:val="0"/>
        <w:spacing w:before="40" w:after="40" w:line="360" w:lineRule="auto"/>
        <w:ind w:firstLine="482" w:firstLineChars="200"/>
        <w:jc w:val="left"/>
        <w:rPr>
          <w:rFonts w:ascii="宋体" w:hAnsi="宋体" w:cs="宋体"/>
          <w:b/>
          <w:bCs/>
          <w:color w:val="auto"/>
          <w:kern w:val="44"/>
          <w:sz w:val="24"/>
          <w:szCs w:val="24"/>
          <w:highlight w:val="none"/>
        </w:rPr>
      </w:pPr>
      <w:bookmarkStart w:id="1253" w:name="_Toc8636"/>
      <w:bookmarkStart w:id="1254" w:name="_Toc28050"/>
      <w:bookmarkStart w:id="1255" w:name="_Toc31064"/>
      <w:bookmarkStart w:id="1256" w:name="_Toc8179"/>
      <w:bookmarkStart w:id="1257" w:name="_Toc3626"/>
      <w:bookmarkStart w:id="1258" w:name="_Toc372"/>
      <w:bookmarkStart w:id="1259" w:name="_Toc1409"/>
      <w:bookmarkStart w:id="1260" w:name="_Toc958"/>
      <w:bookmarkStart w:id="1261" w:name="_Toc8111"/>
      <w:bookmarkStart w:id="1262" w:name="_Toc25219"/>
      <w:bookmarkStart w:id="1263" w:name="_Toc19472"/>
      <w:bookmarkStart w:id="1264" w:name="_Toc5305"/>
      <w:bookmarkStart w:id="1265" w:name="_Toc10683"/>
      <w:bookmarkStart w:id="1266" w:name="_Toc2911"/>
      <w:bookmarkStart w:id="1267" w:name="_Toc29560"/>
      <w:bookmarkStart w:id="1268" w:name="_Toc7449"/>
      <w:bookmarkStart w:id="1269" w:name="_Toc16876"/>
      <w:r>
        <w:rPr>
          <w:rFonts w:hint="eastAsia" w:ascii="宋体" w:hAnsi="宋体" w:cs="宋体"/>
          <w:b/>
          <w:bCs/>
          <w:color w:val="auto"/>
          <w:kern w:val="44"/>
          <w:sz w:val="24"/>
          <w:szCs w:val="24"/>
          <w:highlight w:val="none"/>
        </w:rPr>
        <w:t>十四、合同争议的解决方式</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r>
        <w:rPr>
          <w:rFonts w:hint="eastAsia" w:ascii="宋体" w:hAnsi="宋体" w:cs="宋体"/>
          <w:b/>
          <w:bCs/>
          <w:color w:val="auto"/>
          <w:kern w:val="44"/>
          <w:sz w:val="24"/>
          <w:szCs w:val="24"/>
          <w:highlight w:val="none"/>
        </w:rPr>
        <w:t xml:space="preserve"> </w:t>
      </w:r>
    </w:p>
    <w:p>
      <w:pPr>
        <w:widowControl/>
        <w:spacing w:line="360" w:lineRule="auto"/>
        <w:ind w:left="126" w:right="24"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合同执行过程中发生的任何争议，如双方不能通过友好协商解决，则由甲方所在地人民法院管辖。</w:t>
      </w:r>
    </w:p>
    <w:p>
      <w:pPr>
        <w:keepNext/>
        <w:keepLines/>
        <w:widowControl/>
        <w:autoSpaceDE w:val="0"/>
        <w:spacing w:before="40" w:after="40" w:line="360" w:lineRule="auto"/>
        <w:ind w:firstLine="482" w:firstLineChars="200"/>
        <w:jc w:val="left"/>
        <w:rPr>
          <w:rFonts w:ascii="宋体" w:hAnsi="宋体" w:cs="宋体"/>
          <w:b/>
          <w:bCs/>
          <w:color w:val="auto"/>
          <w:kern w:val="44"/>
          <w:sz w:val="24"/>
          <w:szCs w:val="24"/>
          <w:highlight w:val="none"/>
        </w:rPr>
      </w:pPr>
      <w:bookmarkStart w:id="1270" w:name="_Toc7370"/>
      <w:bookmarkStart w:id="1271" w:name="_Toc19313"/>
      <w:bookmarkStart w:id="1272" w:name="_Toc9541"/>
      <w:bookmarkStart w:id="1273" w:name="_Toc30559"/>
      <w:bookmarkStart w:id="1274" w:name="_Toc8393"/>
      <w:bookmarkStart w:id="1275" w:name="_Toc32370"/>
      <w:bookmarkStart w:id="1276" w:name="_Toc31036"/>
      <w:bookmarkStart w:id="1277" w:name="_Toc1564"/>
      <w:bookmarkStart w:id="1278" w:name="_Toc6508"/>
      <w:bookmarkStart w:id="1279" w:name="_Toc8687"/>
      <w:bookmarkStart w:id="1280" w:name="_Toc24159"/>
      <w:bookmarkStart w:id="1281" w:name="_Toc4878"/>
      <w:bookmarkStart w:id="1282" w:name="_Toc17159"/>
      <w:bookmarkStart w:id="1283" w:name="_Toc16181"/>
      <w:bookmarkStart w:id="1284" w:name="_Toc22419"/>
      <w:bookmarkStart w:id="1285" w:name="_Toc25933"/>
      <w:bookmarkStart w:id="1286" w:name="_Toc21210"/>
      <w:r>
        <w:rPr>
          <w:rFonts w:hint="eastAsia" w:ascii="宋体" w:hAnsi="宋体" w:cs="宋体"/>
          <w:b/>
          <w:bCs/>
          <w:color w:val="auto"/>
          <w:kern w:val="44"/>
          <w:sz w:val="24"/>
          <w:szCs w:val="24"/>
          <w:highlight w:val="none"/>
        </w:rPr>
        <w:t>十五、不可抗力</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r>
        <w:rPr>
          <w:rFonts w:hint="eastAsia" w:ascii="宋体" w:hAnsi="宋体" w:cs="宋体"/>
          <w:b/>
          <w:bCs/>
          <w:color w:val="auto"/>
          <w:kern w:val="44"/>
          <w:sz w:val="24"/>
          <w:szCs w:val="24"/>
          <w:highlight w:val="none"/>
        </w:rPr>
        <w:t xml:space="preserve"> </w:t>
      </w:r>
    </w:p>
    <w:p>
      <w:pPr>
        <w:widowControl/>
        <w:spacing w:line="360" w:lineRule="auto"/>
        <w:ind w:left="126" w:right="24"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任何一方由于不可抗力原因不能履行合同时，应在不可抗力事件结束后一日内向对方通报，以减轻可能给对方造成的损失，在取得有关机构的不可抗力证明或双方谅解确认后，允许延期履行或修订合同，并根据情况可部分或全部免于承担违约责任。</w:t>
      </w:r>
    </w:p>
    <w:p>
      <w:pPr>
        <w:keepNext/>
        <w:keepLines/>
        <w:widowControl/>
        <w:autoSpaceDE w:val="0"/>
        <w:spacing w:before="40" w:after="40" w:line="360" w:lineRule="auto"/>
        <w:ind w:firstLine="482" w:firstLineChars="200"/>
        <w:jc w:val="left"/>
        <w:rPr>
          <w:rFonts w:ascii="宋体" w:hAnsi="宋体" w:cs="宋体"/>
          <w:b/>
          <w:bCs/>
          <w:color w:val="auto"/>
          <w:kern w:val="44"/>
          <w:sz w:val="24"/>
          <w:szCs w:val="24"/>
          <w:highlight w:val="none"/>
        </w:rPr>
      </w:pPr>
      <w:bookmarkStart w:id="1287" w:name="_Toc12108"/>
      <w:bookmarkStart w:id="1288" w:name="_Toc9988"/>
      <w:bookmarkStart w:id="1289" w:name="_Toc1427"/>
      <w:bookmarkStart w:id="1290" w:name="_Toc16982"/>
      <w:bookmarkStart w:id="1291" w:name="_Toc786"/>
      <w:bookmarkStart w:id="1292" w:name="_Toc13489"/>
      <w:bookmarkStart w:id="1293" w:name="_Toc29834"/>
      <w:bookmarkStart w:id="1294" w:name="_Toc5733"/>
      <w:bookmarkStart w:id="1295" w:name="_Toc11966"/>
      <w:bookmarkStart w:id="1296" w:name="_Toc22190"/>
      <w:bookmarkStart w:id="1297" w:name="_Toc26605"/>
      <w:bookmarkStart w:id="1298" w:name="_Toc6810"/>
      <w:bookmarkStart w:id="1299" w:name="_Toc24355"/>
      <w:bookmarkStart w:id="1300" w:name="_Toc22456"/>
      <w:bookmarkStart w:id="1301" w:name="_Toc32030"/>
      <w:bookmarkStart w:id="1302" w:name="_Toc1044"/>
      <w:r>
        <w:rPr>
          <w:rFonts w:hint="eastAsia" w:ascii="宋体" w:hAnsi="宋体" w:cs="宋体"/>
          <w:b/>
          <w:bCs/>
          <w:color w:val="auto"/>
          <w:kern w:val="44"/>
          <w:sz w:val="24"/>
          <w:szCs w:val="24"/>
          <w:highlight w:val="none"/>
        </w:rPr>
        <w:t>十六、税费</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r>
        <w:rPr>
          <w:rFonts w:hint="eastAsia" w:ascii="宋体" w:hAnsi="宋体" w:cs="宋体"/>
          <w:b/>
          <w:bCs/>
          <w:color w:val="auto"/>
          <w:kern w:val="44"/>
          <w:sz w:val="24"/>
          <w:szCs w:val="24"/>
          <w:highlight w:val="none"/>
        </w:rPr>
        <w:t xml:space="preserve"> </w:t>
      </w:r>
    </w:p>
    <w:p>
      <w:pPr>
        <w:widowControl/>
        <w:spacing w:before="62" w:line="360" w:lineRule="auto"/>
        <w:ind w:right="144"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 xml:space="preserve">在中国境内、外发生的与本合同执行有关的一切税费均由乙方负担。 </w:t>
      </w:r>
    </w:p>
    <w:p>
      <w:pPr>
        <w:keepNext/>
        <w:keepLines/>
        <w:widowControl/>
        <w:autoSpaceDE w:val="0"/>
        <w:spacing w:before="40" w:after="40" w:line="360" w:lineRule="auto"/>
        <w:ind w:firstLine="482" w:firstLineChars="200"/>
        <w:jc w:val="left"/>
        <w:rPr>
          <w:rFonts w:ascii="宋体" w:hAnsi="宋体" w:cs="宋体"/>
          <w:b/>
          <w:bCs/>
          <w:color w:val="auto"/>
          <w:kern w:val="44"/>
          <w:sz w:val="24"/>
          <w:szCs w:val="24"/>
          <w:highlight w:val="none"/>
        </w:rPr>
      </w:pPr>
      <w:bookmarkStart w:id="1303" w:name="_Toc25784"/>
      <w:bookmarkStart w:id="1304" w:name="_Toc30210"/>
      <w:bookmarkStart w:id="1305" w:name="_Toc17608"/>
      <w:bookmarkStart w:id="1306" w:name="_Toc27030"/>
      <w:bookmarkStart w:id="1307" w:name="_Toc4282"/>
      <w:bookmarkStart w:id="1308" w:name="_Toc25589"/>
      <w:bookmarkStart w:id="1309" w:name="_Toc1432"/>
      <w:bookmarkStart w:id="1310" w:name="_Toc13738"/>
      <w:bookmarkStart w:id="1311" w:name="_Toc21840"/>
      <w:bookmarkStart w:id="1312" w:name="_Toc22930"/>
      <w:bookmarkStart w:id="1313" w:name="_Toc1401"/>
      <w:bookmarkStart w:id="1314" w:name="_Toc25540"/>
      <w:bookmarkStart w:id="1315" w:name="_Toc5753"/>
      <w:bookmarkStart w:id="1316" w:name="_Toc1951"/>
      <w:bookmarkStart w:id="1317" w:name="_Toc10431"/>
      <w:bookmarkStart w:id="1318" w:name="_Toc17271"/>
      <w:bookmarkStart w:id="1319" w:name="_Toc10718"/>
      <w:r>
        <w:rPr>
          <w:rFonts w:hint="eastAsia" w:ascii="宋体" w:hAnsi="宋体" w:cs="宋体"/>
          <w:b/>
          <w:bCs/>
          <w:color w:val="auto"/>
          <w:kern w:val="44"/>
          <w:sz w:val="24"/>
          <w:szCs w:val="24"/>
          <w:highlight w:val="none"/>
        </w:rPr>
        <w:t>十七、合同生效</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p>
    <w:p>
      <w:pPr>
        <w:widowControl/>
        <w:spacing w:line="360" w:lineRule="auto"/>
        <w:ind w:left="105" w:leftChars="50" w:right="147"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本合同在甲、乙双方法人代表或其授权代表签字盖章后生效。</w:t>
      </w:r>
      <w:r>
        <w:rPr>
          <w:rFonts w:hint="eastAsia" w:ascii="宋体" w:hAnsi="宋体" w:cs="宋体"/>
          <w:color w:val="auto"/>
          <w:spacing w:val="2"/>
          <w:kern w:val="0"/>
          <w:sz w:val="24"/>
          <w:szCs w:val="24"/>
          <w:highlight w:val="none"/>
          <w:lang w:bidi="ar"/>
        </w:rPr>
        <w:t>本合同正本一式</w:t>
      </w:r>
      <w:r>
        <w:rPr>
          <w:rFonts w:hint="eastAsia" w:ascii="宋体" w:hAnsi="宋体" w:cs="宋体"/>
          <w:color w:val="auto"/>
          <w:spacing w:val="2"/>
          <w:kern w:val="0"/>
          <w:sz w:val="24"/>
          <w:szCs w:val="24"/>
          <w:highlight w:val="none"/>
          <w:u w:val="single"/>
          <w:lang w:bidi="ar"/>
        </w:rPr>
        <w:t>贰</w:t>
      </w:r>
      <w:r>
        <w:rPr>
          <w:rFonts w:hint="eastAsia" w:ascii="宋体" w:hAnsi="宋体" w:cs="宋体"/>
          <w:color w:val="auto"/>
          <w:spacing w:val="2"/>
          <w:kern w:val="0"/>
          <w:sz w:val="24"/>
          <w:szCs w:val="24"/>
          <w:highlight w:val="none"/>
          <w:lang w:bidi="ar"/>
        </w:rPr>
        <w:t>份，甲乙双方各执</w:t>
      </w:r>
      <w:r>
        <w:rPr>
          <w:rFonts w:hint="eastAsia" w:ascii="宋体" w:hAnsi="宋体" w:cs="宋体"/>
          <w:color w:val="auto"/>
          <w:spacing w:val="2"/>
          <w:kern w:val="0"/>
          <w:sz w:val="24"/>
          <w:szCs w:val="24"/>
          <w:highlight w:val="none"/>
          <w:u w:val="single"/>
          <w:lang w:bidi="ar"/>
        </w:rPr>
        <w:t>壹</w:t>
      </w:r>
      <w:r>
        <w:rPr>
          <w:rFonts w:hint="eastAsia" w:ascii="宋体" w:hAnsi="宋体" w:cs="宋体"/>
          <w:color w:val="auto"/>
          <w:spacing w:val="2"/>
          <w:kern w:val="0"/>
          <w:sz w:val="24"/>
          <w:szCs w:val="24"/>
          <w:highlight w:val="none"/>
          <w:lang w:bidi="ar"/>
        </w:rPr>
        <w:t>份；副本一式</w:t>
      </w:r>
      <w:r>
        <w:rPr>
          <w:rFonts w:hint="eastAsia" w:ascii="宋体" w:hAnsi="宋体" w:cs="宋体"/>
          <w:color w:val="auto"/>
          <w:spacing w:val="2"/>
          <w:kern w:val="0"/>
          <w:sz w:val="24"/>
          <w:szCs w:val="24"/>
          <w:highlight w:val="none"/>
          <w:u w:val="single"/>
          <w:lang w:bidi="ar"/>
        </w:rPr>
        <w:t>拾</w:t>
      </w:r>
      <w:r>
        <w:rPr>
          <w:rFonts w:hint="eastAsia" w:ascii="宋体" w:hAnsi="宋体" w:cs="宋体"/>
          <w:color w:val="auto"/>
          <w:spacing w:val="2"/>
          <w:kern w:val="0"/>
          <w:sz w:val="24"/>
          <w:szCs w:val="24"/>
          <w:highlight w:val="none"/>
          <w:lang w:bidi="ar"/>
        </w:rPr>
        <w:t>份，甲方执</w:t>
      </w:r>
      <w:r>
        <w:rPr>
          <w:rFonts w:hint="eastAsia" w:ascii="宋体" w:hAnsi="宋体" w:cs="宋体"/>
          <w:color w:val="auto"/>
          <w:spacing w:val="2"/>
          <w:kern w:val="0"/>
          <w:sz w:val="24"/>
          <w:szCs w:val="24"/>
          <w:highlight w:val="none"/>
          <w:u w:val="single"/>
          <w:lang w:bidi="ar"/>
        </w:rPr>
        <w:t>捌</w:t>
      </w:r>
      <w:r>
        <w:rPr>
          <w:rFonts w:hint="eastAsia" w:ascii="宋体" w:hAnsi="宋体" w:cs="宋体"/>
          <w:color w:val="auto"/>
          <w:spacing w:val="2"/>
          <w:kern w:val="0"/>
          <w:sz w:val="24"/>
          <w:szCs w:val="24"/>
          <w:highlight w:val="none"/>
          <w:lang w:bidi="ar"/>
        </w:rPr>
        <w:t>份，乙方执</w:t>
      </w:r>
      <w:r>
        <w:rPr>
          <w:rFonts w:hint="eastAsia" w:ascii="宋体" w:hAnsi="宋体" w:cs="宋体"/>
          <w:color w:val="auto"/>
          <w:spacing w:val="2"/>
          <w:kern w:val="0"/>
          <w:sz w:val="24"/>
          <w:szCs w:val="24"/>
          <w:highlight w:val="none"/>
          <w:u w:val="single"/>
          <w:lang w:bidi="ar"/>
        </w:rPr>
        <w:t>壹</w:t>
      </w:r>
      <w:r>
        <w:rPr>
          <w:rFonts w:hint="eastAsia" w:ascii="宋体" w:hAnsi="宋体" w:cs="宋体"/>
          <w:color w:val="auto"/>
          <w:spacing w:val="2"/>
          <w:kern w:val="0"/>
          <w:sz w:val="24"/>
          <w:szCs w:val="24"/>
          <w:highlight w:val="none"/>
          <w:lang w:bidi="ar"/>
        </w:rPr>
        <w:t>份，招标代理机</w:t>
      </w:r>
      <w:r>
        <w:rPr>
          <w:rFonts w:hint="eastAsia" w:ascii="宋体" w:hAnsi="宋体" w:cs="宋体"/>
          <w:color w:val="auto"/>
          <w:kern w:val="0"/>
          <w:sz w:val="24"/>
          <w:szCs w:val="24"/>
          <w:highlight w:val="none"/>
          <w:lang w:bidi="ar"/>
        </w:rPr>
        <w:t>构</w:t>
      </w:r>
      <w:r>
        <w:rPr>
          <w:rFonts w:hint="eastAsia" w:ascii="宋体" w:hAnsi="宋体" w:cs="宋体"/>
          <w:color w:val="auto"/>
          <w:spacing w:val="2"/>
          <w:kern w:val="0"/>
          <w:sz w:val="24"/>
          <w:szCs w:val="24"/>
          <w:highlight w:val="none"/>
          <w:lang w:bidi="ar"/>
        </w:rPr>
        <w:t>执</w:t>
      </w:r>
      <w:r>
        <w:rPr>
          <w:rFonts w:hint="eastAsia" w:ascii="宋体" w:hAnsi="宋体" w:cs="宋体"/>
          <w:color w:val="auto"/>
          <w:kern w:val="0"/>
          <w:sz w:val="24"/>
          <w:szCs w:val="24"/>
          <w:highlight w:val="none"/>
          <w:u w:val="single"/>
          <w:lang w:bidi="ar"/>
        </w:rPr>
        <w:t>壹</w:t>
      </w:r>
      <w:r>
        <w:rPr>
          <w:rFonts w:hint="eastAsia" w:ascii="宋体" w:hAnsi="宋体" w:cs="宋体"/>
          <w:color w:val="auto"/>
          <w:kern w:val="0"/>
          <w:sz w:val="24"/>
          <w:szCs w:val="24"/>
          <w:highlight w:val="none"/>
          <w:lang w:bidi="ar"/>
        </w:rPr>
        <w:t>份。本合同由乙方负责印制。</w:t>
      </w:r>
    </w:p>
    <w:p>
      <w:pPr>
        <w:keepNext/>
        <w:keepLines/>
        <w:widowControl/>
        <w:autoSpaceDE w:val="0"/>
        <w:spacing w:before="40" w:after="40" w:line="360" w:lineRule="auto"/>
        <w:ind w:firstLine="482" w:firstLineChars="200"/>
        <w:jc w:val="left"/>
        <w:rPr>
          <w:rFonts w:ascii="宋体" w:hAnsi="宋体" w:cs="宋体"/>
          <w:b/>
          <w:bCs/>
          <w:color w:val="auto"/>
          <w:kern w:val="44"/>
          <w:sz w:val="24"/>
          <w:szCs w:val="24"/>
          <w:highlight w:val="none"/>
        </w:rPr>
      </w:pPr>
      <w:bookmarkStart w:id="1320" w:name="_Toc31339"/>
      <w:bookmarkStart w:id="1321" w:name="_Toc5321"/>
      <w:bookmarkStart w:id="1322" w:name="_Toc28463"/>
      <w:bookmarkStart w:id="1323" w:name="_Toc26254"/>
      <w:bookmarkStart w:id="1324" w:name="_Toc9076"/>
      <w:bookmarkStart w:id="1325" w:name="_Toc30450"/>
      <w:bookmarkStart w:id="1326" w:name="_Toc7995"/>
      <w:bookmarkStart w:id="1327" w:name="_Toc9335"/>
      <w:bookmarkStart w:id="1328" w:name="_Toc17003"/>
      <w:bookmarkStart w:id="1329" w:name="_Toc14958"/>
      <w:bookmarkStart w:id="1330" w:name="_Toc26641"/>
      <w:bookmarkStart w:id="1331" w:name="_Toc4417"/>
      <w:bookmarkStart w:id="1332" w:name="_Toc6248"/>
      <w:bookmarkStart w:id="1333" w:name="_Toc2238"/>
      <w:bookmarkStart w:id="1334" w:name="_Toc30746"/>
      <w:bookmarkStart w:id="1335" w:name="_Toc13710"/>
      <w:bookmarkStart w:id="1336" w:name="_Toc20593"/>
      <w:r>
        <w:rPr>
          <w:rFonts w:hint="eastAsia" w:ascii="宋体" w:hAnsi="宋体" w:cs="宋体"/>
          <w:b/>
          <w:bCs/>
          <w:color w:val="auto"/>
          <w:kern w:val="44"/>
          <w:sz w:val="24"/>
          <w:szCs w:val="24"/>
          <w:highlight w:val="none"/>
        </w:rPr>
        <w:t>十八、其它</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pPr>
        <w:widowControl/>
        <w:spacing w:before="62" w:line="360" w:lineRule="auto"/>
        <w:ind w:left="126" w:right="144"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1.本合同所有附件</w:t>
      </w:r>
      <w:r>
        <w:rPr>
          <w:rFonts w:hint="eastAsia" w:ascii="宋体" w:hAnsi="宋体" w:cs="宋体"/>
          <w:color w:val="auto"/>
          <w:spacing w:val="-10"/>
          <w:kern w:val="0"/>
          <w:sz w:val="24"/>
          <w:szCs w:val="24"/>
          <w:highlight w:val="none"/>
          <w:lang w:bidi="ar"/>
        </w:rPr>
        <w:t>、</w:t>
      </w:r>
      <w:r>
        <w:rPr>
          <w:rFonts w:hint="eastAsia" w:ascii="宋体" w:hAnsi="宋体" w:cs="宋体"/>
          <w:color w:val="auto"/>
          <w:kern w:val="0"/>
          <w:sz w:val="24"/>
          <w:szCs w:val="24"/>
          <w:highlight w:val="none"/>
          <w:lang w:bidi="ar"/>
        </w:rPr>
        <w:t>采购文件</w:t>
      </w:r>
      <w:r>
        <w:rPr>
          <w:rFonts w:hint="eastAsia" w:ascii="宋体" w:hAnsi="宋体" w:cs="宋体"/>
          <w:color w:val="auto"/>
          <w:spacing w:val="-7"/>
          <w:kern w:val="0"/>
          <w:sz w:val="24"/>
          <w:szCs w:val="24"/>
          <w:highlight w:val="none"/>
          <w:lang w:bidi="ar"/>
        </w:rPr>
        <w:t>、</w:t>
      </w:r>
      <w:r>
        <w:rPr>
          <w:rFonts w:hint="eastAsia" w:ascii="宋体" w:hAnsi="宋体" w:cs="宋体"/>
          <w:color w:val="auto"/>
          <w:kern w:val="0"/>
          <w:sz w:val="24"/>
          <w:szCs w:val="24"/>
          <w:highlight w:val="none"/>
          <w:lang w:bidi="ar"/>
        </w:rPr>
        <w:t>投标文件、中标通知书均为合同的有效组成部分，与本合同具有同等法律效力。</w:t>
      </w:r>
    </w:p>
    <w:p>
      <w:pPr>
        <w:widowControl/>
        <w:spacing w:line="360" w:lineRule="auto"/>
        <w:ind w:left="126" w:right="144"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2.在执行本合同的过程中</w:t>
      </w:r>
      <w:r>
        <w:rPr>
          <w:rFonts w:hint="eastAsia" w:ascii="宋体" w:hAnsi="宋体" w:cs="宋体"/>
          <w:color w:val="auto"/>
          <w:spacing w:val="-10"/>
          <w:kern w:val="0"/>
          <w:sz w:val="24"/>
          <w:szCs w:val="24"/>
          <w:highlight w:val="none"/>
          <w:lang w:bidi="ar"/>
        </w:rPr>
        <w:t>，</w:t>
      </w:r>
      <w:r>
        <w:rPr>
          <w:rFonts w:hint="eastAsia" w:ascii="宋体" w:hAnsi="宋体" w:cs="宋体"/>
          <w:color w:val="auto"/>
          <w:kern w:val="0"/>
          <w:sz w:val="24"/>
          <w:szCs w:val="24"/>
          <w:highlight w:val="none"/>
          <w:lang w:bidi="ar"/>
        </w:rPr>
        <w:t>所有经双方签署确认的文件（包括会议纪要、补充协议、往来信函）即成为本合同的有效组成部分。</w:t>
      </w:r>
    </w:p>
    <w:p>
      <w:pPr>
        <w:widowControl/>
        <w:spacing w:line="360" w:lineRule="auto"/>
        <w:ind w:left="126" w:right="24"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3.如一方地址</w:t>
      </w:r>
      <w:r>
        <w:rPr>
          <w:rFonts w:hint="eastAsia" w:ascii="宋体" w:hAnsi="宋体" w:cs="宋体"/>
          <w:color w:val="auto"/>
          <w:spacing w:val="-36"/>
          <w:kern w:val="0"/>
          <w:sz w:val="24"/>
          <w:szCs w:val="24"/>
          <w:highlight w:val="none"/>
          <w:lang w:bidi="ar"/>
        </w:rPr>
        <w:t>、</w:t>
      </w:r>
      <w:r>
        <w:rPr>
          <w:rFonts w:hint="eastAsia" w:ascii="宋体" w:hAnsi="宋体" w:cs="宋体"/>
          <w:color w:val="auto"/>
          <w:kern w:val="0"/>
          <w:sz w:val="24"/>
          <w:szCs w:val="24"/>
          <w:highlight w:val="none"/>
          <w:lang w:bidi="ar"/>
        </w:rPr>
        <w:t>电话</w:t>
      </w:r>
      <w:r>
        <w:rPr>
          <w:rFonts w:hint="eastAsia" w:ascii="宋体" w:hAnsi="宋体" w:cs="宋体"/>
          <w:color w:val="auto"/>
          <w:spacing w:val="-38"/>
          <w:kern w:val="0"/>
          <w:sz w:val="24"/>
          <w:szCs w:val="24"/>
          <w:highlight w:val="none"/>
          <w:lang w:bidi="ar"/>
        </w:rPr>
        <w:t>、</w:t>
      </w:r>
      <w:r>
        <w:rPr>
          <w:rFonts w:hint="eastAsia" w:ascii="宋体" w:hAnsi="宋体" w:cs="宋体"/>
          <w:color w:val="auto"/>
          <w:kern w:val="0"/>
          <w:sz w:val="24"/>
          <w:szCs w:val="24"/>
          <w:highlight w:val="none"/>
          <w:lang w:bidi="ar"/>
        </w:rPr>
        <w:t>传真号码有变更</w:t>
      </w:r>
      <w:r>
        <w:rPr>
          <w:rFonts w:hint="eastAsia" w:ascii="宋体" w:hAnsi="宋体" w:cs="宋体"/>
          <w:color w:val="auto"/>
          <w:spacing w:val="-36"/>
          <w:kern w:val="0"/>
          <w:sz w:val="24"/>
          <w:szCs w:val="24"/>
          <w:highlight w:val="none"/>
          <w:lang w:bidi="ar"/>
        </w:rPr>
        <w:t>，</w:t>
      </w:r>
      <w:r>
        <w:rPr>
          <w:rFonts w:hint="eastAsia" w:ascii="宋体" w:hAnsi="宋体" w:cs="宋体"/>
          <w:color w:val="auto"/>
          <w:kern w:val="0"/>
          <w:sz w:val="24"/>
          <w:szCs w:val="24"/>
          <w:highlight w:val="none"/>
          <w:lang w:bidi="ar"/>
        </w:rPr>
        <w:t>应在变更当日内书面通知对方</w:t>
      </w:r>
      <w:r>
        <w:rPr>
          <w:rFonts w:hint="eastAsia" w:ascii="宋体" w:hAnsi="宋体" w:cs="宋体"/>
          <w:color w:val="auto"/>
          <w:spacing w:val="-36"/>
          <w:kern w:val="0"/>
          <w:sz w:val="24"/>
          <w:szCs w:val="24"/>
          <w:highlight w:val="none"/>
          <w:lang w:bidi="ar"/>
        </w:rPr>
        <w:t>，</w:t>
      </w:r>
      <w:r>
        <w:rPr>
          <w:rFonts w:hint="eastAsia" w:ascii="宋体" w:hAnsi="宋体" w:cs="宋体"/>
          <w:color w:val="auto"/>
          <w:kern w:val="0"/>
          <w:sz w:val="24"/>
          <w:szCs w:val="24"/>
          <w:highlight w:val="none"/>
          <w:lang w:bidi="ar"/>
        </w:rPr>
        <w:t>否则，应承担相应责任。</w:t>
      </w:r>
    </w:p>
    <w:p>
      <w:pPr>
        <w:widowControl/>
        <w:spacing w:line="360" w:lineRule="auto"/>
        <w:ind w:left="126" w:right="144"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4.除甲方事先书面同意外，乙方不得部分或全部转让其应履行的合同项下的义务。</w:t>
      </w:r>
    </w:p>
    <w:p>
      <w:pPr>
        <w:keepNext/>
        <w:keepLines/>
        <w:widowControl/>
        <w:autoSpaceDE w:val="0"/>
        <w:spacing w:before="40" w:after="40" w:line="360" w:lineRule="auto"/>
        <w:ind w:firstLine="482" w:firstLineChars="200"/>
        <w:jc w:val="left"/>
        <w:rPr>
          <w:rFonts w:ascii="宋体" w:hAnsi="宋体" w:cs="宋体"/>
          <w:b/>
          <w:bCs/>
          <w:color w:val="auto"/>
          <w:kern w:val="44"/>
          <w:sz w:val="24"/>
          <w:szCs w:val="24"/>
          <w:highlight w:val="none"/>
        </w:rPr>
      </w:pPr>
      <w:bookmarkStart w:id="1337" w:name="_Toc26076"/>
      <w:bookmarkStart w:id="1338" w:name="_Toc12828"/>
      <w:bookmarkStart w:id="1339" w:name="_Toc30482"/>
      <w:bookmarkStart w:id="1340" w:name="_Toc19886"/>
      <w:bookmarkStart w:id="1341" w:name="_Toc31375"/>
      <w:bookmarkStart w:id="1342" w:name="_Toc1374"/>
      <w:bookmarkStart w:id="1343" w:name="_Toc22845"/>
      <w:bookmarkStart w:id="1344" w:name="_Toc30520"/>
      <w:bookmarkStart w:id="1345" w:name="_Toc25559"/>
      <w:bookmarkStart w:id="1346" w:name="_Toc8077"/>
      <w:bookmarkStart w:id="1347" w:name="_Toc21457"/>
      <w:bookmarkStart w:id="1348" w:name="_Toc31639"/>
      <w:bookmarkStart w:id="1349" w:name="_Toc23777"/>
      <w:bookmarkStart w:id="1350" w:name="_Toc14216"/>
      <w:bookmarkStart w:id="1351" w:name="_Toc28529"/>
      <w:bookmarkStart w:id="1352" w:name="_Toc9248"/>
      <w:bookmarkStart w:id="1353" w:name="_Toc15737"/>
      <w:r>
        <w:rPr>
          <w:rFonts w:hint="eastAsia" w:ascii="宋体" w:hAnsi="宋体" w:cs="宋体"/>
          <w:b/>
          <w:bCs/>
          <w:color w:val="auto"/>
          <w:kern w:val="44"/>
          <w:sz w:val="24"/>
          <w:szCs w:val="24"/>
          <w:highlight w:val="none"/>
        </w:rPr>
        <w:t>十九、附件</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p>
    <w:p>
      <w:pPr>
        <w:widowControl/>
        <w:spacing w:line="360" w:lineRule="auto"/>
        <w:ind w:right="147" w:firstLine="480" w:firstLineChars="200"/>
        <w:jc w:val="left"/>
        <w:rPr>
          <w:rFonts w:ascii="宋体" w:hAnsi="宋体" w:cs="宋体"/>
          <w:color w:val="auto"/>
          <w:kern w:val="0"/>
          <w:sz w:val="24"/>
          <w:szCs w:val="24"/>
          <w:highlight w:val="none"/>
        </w:rPr>
      </w:pPr>
      <w:bookmarkStart w:id="1354" w:name="_Toc12355"/>
      <w:bookmarkStart w:id="1355" w:name="_Toc27205"/>
      <w:bookmarkStart w:id="1356" w:name="_Toc16345"/>
      <w:bookmarkStart w:id="1357" w:name="_Toc17585"/>
      <w:bookmarkStart w:id="1358" w:name="_Toc5546"/>
      <w:bookmarkStart w:id="1359" w:name="_Toc13166"/>
      <w:r>
        <w:rPr>
          <w:rFonts w:hint="eastAsia" w:ascii="宋体" w:hAnsi="宋体" w:cs="宋体"/>
          <w:color w:val="auto"/>
          <w:kern w:val="0"/>
          <w:sz w:val="24"/>
          <w:szCs w:val="24"/>
          <w:highlight w:val="none"/>
          <w:lang w:bidi="ar"/>
        </w:rPr>
        <w:t>附件1：中标通知书</w:t>
      </w:r>
      <w:bookmarkEnd w:id="1354"/>
      <w:bookmarkEnd w:id="1355"/>
      <w:bookmarkEnd w:id="1356"/>
      <w:bookmarkEnd w:id="1357"/>
      <w:bookmarkEnd w:id="1358"/>
      <w:bookmarkEnd w:id="1359"/>
    </w:p>
    <w:p>
      <w:pPr>
        <w:widowControl/>
        <w:spacing w:line="360" w:lineRule="auto"/>
        <w:ind w:right="147" w:firstLine="480" w:firstLineChars="200"/>
        <w:jc w:val="left"/>
        <w:rPr>
          <w:rFonts w:ascii="宋体" w:hAnsi="宋体" w:cs="宋体"/>
          <w:color w:val="auto"/>
          <w:kern w:val="0"/>
          <w:sz w:val="24"/>
          <w:szCs w:val="24"/>
          <w:highlight w:val="none"/>
          <w:lang w:bidi="ar"/>
        </w:rPr>
      </w:pPr>
      <w:bookmarkStart w:id="1360" w:name="_Toc9207"/>
      <w:bookmarkStart w:id="1361" w:name="_Toc26601"/>
      <w:bookmarkStart w:id="1362" w:name="_Toc7507"/>
      <w:bookmarkStart w:id="1363" w:name="_Toc4656"/>
      <w:bookmarkStart w:id="1364" w:name="_Toc8808"/>
      <w:r>
        <w:rPr>
          <w:rFonts w:hint="eastAsia" w:ascii="宋体" w:hAnsi="宋体" w:cs="宋体"/>
          <w:color w:val="auto"/>
          <w:kern w:val="0"/>
          <w:sz w:val="24"/>
          <w:szCs w:val="24"/>
          <w:highlight w:val="none"/>
          <w:lang w:bidi="ar"/>
        </w:rPr>
        <w:t>附件2：</w:t>
      </w:r>
      <w:bookmarkEnd w:id="1360"/>
      <w:bookmarkEnd w:id="1361"/>
      <w:bookmarkEnd w:id="1362"/>
      <w:bookmarkEnd w:id="1363"/>
      <w:bookmarkEnd w:id="1364"/>
      <w:r>
        <w:rPr>
          <w:rFonts w:hint="eastAsia" w:ascii="宋体" w:hAnsi="宋体" w:cs="宋体"/>
          <w:color w:val="auto"/>
          <w:kern w:val="0"/>
          <w:sz w:val="24"/>
          <w:szCs w:val="24"/>
          <w:highlight w:val="none"/>
          <w:lang w:bidi="ar"/>
        </w:rPr>
        <w:t>委托人要求</w:t>
      </w:r>
    </w:p>
    <w:p>
      <w:pPr>
        <w:widowControl/>
        <w:spacing w:line="360" w:lineRule="auto"/>
        <w:ind w:right="147" w:firstLine="480" w:firstLineChars="200"/>
        <w:jc w:val="left"/>
        <w:rPr>
          <w:rFonts w:ascii="宋体" w:hAnsi="宋体" w:cs="宋体"/>
          <w:color w:val="auto"/>
          <w:kern w:val="0"/>
          <w:sz w:val="24"/>
          <w:szCs w:val="24"/>
          <w:highlight w:val="none"/>
          <w:lang w:bidi="ar"/>
        </w:rPr>
      </w:pPr>
      <w:bookmarkStart w:id="1365" w:name="_Toc22261"/>
      <w:bookmarkStart w:id="1366" w:name="_Toc3530"/>
      <w:bookmarkStart w:id="1367" w:name="_Toc31162"/>
      <w:bookmarkStart w:id="1368" w:name="_Toc25578"/>
      <w:bookmarkStart w:id="1369" w:name="_Toc15229"/>
      <w:bookmarkStart w:id="1370" w:name="_Toc30798"/>
      <w:r>
        <w:rPr>
          <w:rFonts w:hint="eastAsia" w:ascii="宋体" w:hAnsi="宋体" w:cs="宋体"/>
          <w:color w:val="auto"/>
          <w:kern w:val="0"/>
          <w:sz w:val="24"/>
          <w:szCs w:val="24"/>
          <w:highlight w:val="none"/>
          <w:lang w:bidi="ar"/>
        </w:rPr>
        <w:t>附件3：履约保证金汇款凭证</w:t>
      </w:r>
      <w:bookmarkEnd w:id="1365"/>
      <w:bookmarkEnd w:id="1366"/>
      <w:bookmarkEnd w:id="1367"/>
      <w:bookmarkEnd w:id="1368"/>
      <w:bookmarkEnd w:id="1369"/>
      <w:bookmarkEnd w:id="1370"/>
    </w:p>
    <w:p>
      <w:pPr>
        <w:widowControl/>
        <w:spacing w:line="360" w:lineRule="auto"/>
        <w:ind w:right="147" w:firstLine="480" w:firstLineChars="200"/>
        <w:jc w:val="left"/>
        <w:rPr>
          <w:rFonts w:ascii="宋体" w:hAnsi="宋体" w:cs="宋体"/>
          <w:color w:val="auto"/>
          <w:kern w:val="0"/>
          <w:sz w:val="24"/>
          <w:szCs w:val="24"/>
          <w:highlight w:val="none"/>
          <w:lang w:bidi="ar"/>
        </w:rPr>
      </w:pPr>
      <w:bookmarkStart w:id="1371" w:name="_Toc24082"/>
      <w:bookmarkStart w:id="1372" w:name="_Toc23277"/>
      <w:bookmarkStart w:id="1373" w:name="_Toc3672"/>
      <w:bookmarkStart w:id="1374" w:name="_Toc7466"/>
      <w:bookmarkStart w:id="1375" w:name="_Toc7202"/>
      <w:bookmarkStart w:id="1376" w:name="_Toc9058"/>
      <w:r>
        <w:rPr>
          <w:rFonts w:hint="eastAsia" w:ascii="宋体" w:hAnsi="宋体" w:cs="宋体"/>
          <w:color w:val="auto"/>
          <w:kern w:val="0"/>
          <w:sz w:val="24"/>
          <w:szCs w:val="24"/>
          <w:highlight w:val="none"/>
          <w:lang w:bidi="ar"/>
        </w:rPr>
        <w:t>附件4：合同项目谈判会谈记录</w:t>
      </w:r>
      <w:bookmarkEnd w:id="1371"/>
      <w:bookmarkEnd w:id="1372"/>
      <w:bookmarkEnd w:id="1373"/>
      <w:bookmarkEnd w:id="1374"/>
      <w:bookmarkEnd w:id="1375"/>
      <w:bookmarkEnd w:id="1376"/>
    </w:p>
    <w:p>
      <w:pPr>
        <w:widowControl/>
        <w:spacing w:line="360" w:lineRule="auto"/>
        <w:ind w:right="147" w:firstLine="480" w:firstLineChars="200"/>
        <w:jc w:val="left"/>
        <w:rPr>
          <w:rFonts w:ascii="宋体" w:hAnsi="宋体" w:cs="宋体"/>
          <w:color w:val="auto"/>
          <w:kern w:val="0"/>
          <w:sz w:val="24"/>
          <w:szCs w:val="24"/>
          <w:highlight w:val="none"/>
          <w:lang w:bidi="ar"/>
        </w:rPr>
      </w:pPr>
      <w:bookmarkStart w:id="1377" w:name="_Toc709"/>
      <w:bookmarkStart w:id="1378" w:name="_Toc21817"/>
      <w:bookmarkStart w:id="1379" w:name="_Toc18066"/>
      <w:bookmarkStart w:id="1380" w:name="_Toc5240"/>
      <w:bookmarkStart w:id="1381" w:name="_Toc18010"/>
      <w:bookmarkStart w:id="1382" w:name="_Toc5036"/>
      <w:r>
        <w:rPr>
          <w:rFonts w:hint="eastAsia" w:ascii="宋体" w:hAnsi="宋体" w:cs="宋体"/>
          <w:color w:val="auto"/>
          <w:kern w:val="0"/>
          <w:sz w:val="24"/>
          <w:szCs w:val="24"/>
          <w:highlight w:val="none"/>
          <w:lang w:bidi="ar"/>
        </w:rPr>
        <w:t>附件5：营业执照复印件</w:t>
      </w:r>
      <w:bookmarkEnd w:id="1377"/>
      <w:bookmarkEnd w:id="1378"/>
      <w:bookmarkEnd w:id="1379"/>
      <w:bookmarkEnd w:id="1380"/>
      <w:bookmarkEnd w:id="1381"/>
      <w:bookmarkEnd w:id="1382"/>
    </w:p>
    <w:p>
      <w:pPr>
        <w:widowControl/>
        <w:spacing w:line="360" w:lineRule="auto"/>
        <w:ind w:right="147" w:firstLine="480" w:firstLineChars="200"/>
        <w:jc w:val="left"/>
        <w:rPr>
          <w:rFonts w:ascii="宋体" w:hAnsi="宋体" w:cs="宋体"/>
          <w:color w:val="auto"/>
          <w:kern w:val="0"/>
          <w:sz w:val="24"/>
          <w:szCs w:val="24"/>
          <w:highlight w:val="none"/>
          <w:lang w:bidi="ar"/>
        </w:rPr>
      </w:pPr>
      <w:bookmarkStart w:id="1383" w:name="_Toc1512"/>
      <w:bookmarkStart w:id="1384" w:name="_Toc19799"/>
      <w:bookmarkStart w:id="1385" w:name="_Toc12344"/>
      <w:bookmarkStart w:id="1386" w:name="_Toc3867"/>
      <w:bookmarkStart w:id="1387" w:name="_Toc27882"/>
      <w:bookmarkStart w:id="1388" w:name="_Toc11635"/>
      <w:r>
        <w:rPr>
          <w:rFonts w:hint="eastAsia" w:ascii="宋体" w:hAnsi="宋体" w:cs="宋体"/>
          <w:color w:val="auto"/>
          <w:kern w:val="0"/>
          <w:sz w:val="24"/>
          <w:szCs w:val="24"/>
          <w:highlight w:val="none"/>
          <w:lang w:bidi="ar"/>
        </w:rPr>
        <w:t>附件6：法定代表人证明书及身份证复印件</w:t>
      </w:r>
      <w:bookmarkEnd w:id="1383"/>
      <w:bookmarkEnd w:id="1384"/>
      <w:bookmarkEnd w:id="1385"/>
      <w:bookmarkEnd w:id="1386"/>
      <w:bookmarkEnd w:id="1387"/>
      <w:bookmarkEnd w:id="1388"/>
    </w:p>
    <w:p>
      <w:pPr>
        <w:widowControl/>
        <w:spacing w:line="360" w:lineRule="auto"/>
        <w:ind w:right="147" w:firstLine="480" w:firstLineChars="200"/>
        <w:jc w:val="left"/>
        <w:rPr>
          <w:rFonts w:ascii="宋体" w:hAnsi="宋体" w:cs="宋体"/>
          <w:color w:val="auto"/>
          <w:kern w:val="0"/>
          <w:sz w:val="24"/>
          <w:szCs w:val="24"/>
          <w:highlight w:val="none"/>
          <w:lang w:bidi="ar"/>
        </w:rPr>
      </w:pPr>
      <w:bookmarkStart w:id="1389" w:name="_Toc11751"/>
      <w:bookmarkStart w:id="1390" w:name="_Toc19025"/>
      <w:bookmarkStart w:id="1391" w:name="_Toc277"/>
      <w:bookmarkStart w:id="1392" w:name="_Toc29156"/>
      <w:bookmarkStart w:id="1393" w:name="_Toc21150"/>
      <w:bookmarkStart w:id="1394" w:name="_Toc26279"/>
      <w:r>
        <w:rPr>
          <w:rFonts w:hint="eastAsia" w:ascii="宋体" w:hAnsi="宋体" w:cs="宋体"/>
          <w:color w:val="auto"/>
          <w:kern w:val="0"/>
          <w:sz w:val="24"/>
          <w:szCs w:val="24"/>
          <w:highlight w:val="none"/>
          <w:lang w:bidi="ar"/>
        </w:rPr>
        <w:t>附件7：项目实施投入主要人员一览表</w:t>
      </w:r>
      <w:bookmarkEnd w:id="1389"/>
      <w:bookmarkEnd w:id="1390"/>
      <w:bookmarkEnd w:id="1391"/>
      <w:bookmarkEnd w:id="1392"/>
      <w:bookmarkEnd w:id="1393"/>
      <w:bookmarkEnd w:id="1394"/>
    </w:p>
    <w:p>
      <w:pPr>
        <w:widowControl/>
        <w:spacing w:line="360" w:lineRule="auto"/>
        <w:ind w:right="147" w:firstLine="480" w:firstLineChars="200"/>
        <w:jc w:val="left"/>
        <w:rPr>
          <w:rFonts w:ascii="宋体" w:hAnsi="宋体" w:cs="宋体"/>
          <w:color w:val="auto"/>
          <w:kern w:val="0"/>
          <w:sz w:val="24"/>
          <w:szCs w:val="24"/>
          <w:highlight w:val="none"/>
          <w:lang w:bidi="ar"/>
        </w:rPr>
      </w:pPr>
      <w:bookmarkStart w:id="1395" w:name="_Toc25579"/>
      <w:bookmarkStart w:id="1396" w:name="_Toc16013"/>
      <w:bookmarkStart w:id="1397" w:name="_Toc24092"/>
      <w:bookmarkStart w:id="1398" w:name="_Toc32755"/>
      <w:bookmarkStart w:id="1399" w:name="_Toc27680"/>
      <w:bookmarkStart w:id="1400" w:name="_Toc4951"/>
      <w:r>
        <w:rPr>
          <w:rFonts w:hint="eastAsia" w:ascii="宋体" w:hAnsi="宋体" w:cs="宋体"/>
          <w:color w:val="auto"/>
          <w:kern w:val="0"/>
          <w:sz w:val="24"/>
          <w:szCs w:val="24"/>
          <w:highlight w:val="none"/>
          <w:lang w:bidi="ar"/>
        </w:rPr>
        <w:t>附件8：项目实施投入主要设备一览表</w:t>
      </w:r>
      <w:bookmarkEnd w:id="1395"/>
      <w:bookmarkEnd w:id="1396"/>
      <w:bookmarkEnd w:id="1397"/>
      <w:bookmarkEnd w:id="1398"/>
      <w:bookmarkEnd w:id="1399"/>
      <w:bookmarkEnd w:id="1400"/>
    </w:p>
    <w:p>
      <w:pPr>
        <w:tabs>
          <w:tab w:val="left" w:pos="9072"/>
        </w:tabs>
        <w:wordWrap w:val="0"/>
        <w:spacing w:line="360" w:lineRule="auto"/>
        <w:jc w:val="right"/>
        <w:rPr>
          <w:rFonts w:ascii="宋体" w:hAnsi="宋体" w:eastAsia="仿宋_GB2312"/>
          <w:color w:val="auto"/>
          <w:sz w:val="28"/>
          <w:szCs w:val="28"/>
          <w:highlight w:val="none"/>
        </w:rPr>
        <w:sectPr>
          <w:footerReference r:id="rId3" w:type="default"/>
          <w:footerReference r:id="rId4" w:type="even"/>
          <w:endnotePr>
            <w:numFmt w:val="decimal"/>
          </w:endnotePr>
          <w:pgSz w:w="11907" w:h="16839"/>
          <w:pgMar w:top="1134" w:right="1134" w:bottom="1134" w:left="1134" w:header="851" w:footer="593" w:gutter="0"/>
          <w:pgNumType w:fmt="decimal" w:start="2"/>
          <w:cols w:space="720" w:num="1"/>
          <w:docGrid w:type="lines" w:linePitch="312" w:charSpace="0"/>
        </w:sectPr>
      </w:pPr>
    </w:p>
    <w:p>
      <w:pPr>
        <w:pStyle w:val="14"/>
        <w:rPr>
          <w:rFonts w:hint="eastAsia"/>
          <w:color w:val="auto"/>
          <w:highlight w:val="none"/>
          <w:lang w:val="en-US" w:eastAsia="zh-CN"/>
        </w:rPr>
      </w:pPr>
      <w:r>
        <w:rPr>
          <w:rFonts w:hint="eastAsia"/>
          <w:color w:val="auto"/>
          <w:highlight w:val="none"/>
          <w:lang w:val="en-US" w:eastAsia="zh-CN"/>
        </w:rPr>
        <w:t>附件：履约保函格式</w:t>
      </w:r>
    </w:p>
    <w:p>
      <w:pPr>
        <w:spacing w:line="4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履约保函</w:t>
      </w:r>
    </w:p>
    <w:p>
      <w:pPr>
        <w:tabs>
          <w:tab w:val="left" w:pos="824"/>
        </w:tabs>
        <w:spacing w:line="460" w:lineRule="exact"/>
        <w:ind w:firstLine="6300" w:firstLineChars="3000"/>
        <w:rPr>
          <w:rFonts w:hint="eastAsia" w:ascii="宋体" w:hAnsi="宋体" w:cs="宋体"/>
          <w:color w:val="auto"/>
          <w:highlight w:val="none"/>
        </w:rPr>
      </w:pPr>
      <w:r>
        <w:rPr>
          <w:rFonts w:hint="eastAsia" w:ascii="宋体" w:hAnsi="宋体" w:cs="宋体"/>
          <w:color w:val="auto"/>
          <w:highlight w:val="none"/>
        </w:rPr>
        <w:t>银行编号：</w:t>
      </w:r>
    </w:p>
    <w:p>
      <w:pPr>
        <w:spacing w:line="460" w:lineRule="exact"/>
        <w:contextualSpacing/>
        <w:rPr>
          <w:rFonts w:hint="eastAsia" w:ascii="宋体" w:hAnsi="宋体" w:cs="Courier New"/>
          <w:color w:val="auto"/>
          <w:sz w:val="24"/>
          <w:highlight w:val="none"/>
        </w:rPr>
      </w:pPr>
      <w:r>
        <w:rPr>
          <w:rFonts w:hint="eastAsia" w:ascii="宋体" w:hAnsi="宋体" w:cs="Courier New"/>
          <w:color w:val="auto"/>
          <w:sz w:val="24"/>
          <w:highlight w:val="none"/>
        </w:rPr>
        <w:t>致：</w:t>
      </w:r>
      <w:r>
        <w:rPr>
          <w:rFonts w:hint="eastAsia" w:ascii="宋体" w:hAnsi="宋体" w:cs="Courier New"/>
          <w:color w:val="auto"/>
          <w:sz w:val="24"/>
          <w:highlight w:val="none"/>
          <w:u w:val="single"/>
        </w:rPr>
        <w:t>东莞市轨道一号线建设发展有限公司</w:t>
      </w:r>
      <w:r>
        <w:rPr>
          <w:rFonts w:hint="eastAsia" w:ascii="宋体" w:hAnsi="宋体" w:cs="Courier New"/>
          <w:color w:val="auto"/>
          <w:sz w:val="24"/>
          <w:highlight w:val="none"/>
        </w:rPr>
        <w:t>（下称“受益人”）</w:t>
      </w:r>
    </w:p>
    <w:p>
      <w:pPr>
        <w:spacing w:line="460" w:lineRule="exact"/>
        <w:ind w:firstLine="480" w:firstLineChars="200"/>
        <w:contextualSpacing/>
        <w:rPr>
          <w:rFonts w:hint="eastAsia" w:ascii="宋体" w:hAnsi="宋体" w:cs="Courier New"/>
          <w:color w:val="auto"/>
          <w:sz w:val="24"/>
          <w:highlight w:val="none"/>
        </w:rPr>
      </w:pPr>
      <w:r>
        <w:rPr>
          <w:rFonts w:hint="eastAsia" w:ascii="宋体" w:hAnsi="宋体" w:cs="Courier New"/>
          <w:color w:val="auto"/>
          <w:sz w:val="24"/>
          <w:highlight w:val="none"/>
        </w:rPr>
        <w:t>鉴于</w:t>
      </w:r>
      <w:r>
        <w:rPr>
          <w:rFonts w:hint="eastAsia" w:ascii="宋体" w:hAnsi="宋体" w:cs="Courier New"/>
          <w:color w:val="auto"/>
          <w:sz w:val="24"/>
          <w:highlight w:val="none"/>
          <w:u w:val="single"/>
        </w:rPr>
        <w:t>（单位地址）</w:t>
      </w:r>
      <w:r>
        <w:rPr>
          <w:rFonts w:hint="eastAsia" w:ascii="宋体" w:hAnsi="宋体" w:cs="Courier New"/>
          <w:color w:val="auto"/>
          <w:sz w:val="24"/>
          <w:highlight w:val="none"/>
        </w:rPr>
        <w:t>的</w:t>
      </w:r>
      <w:r>
        <w:rPr>
          <w:rFonts w:hint="eastAsia" w:ascii="宋体" w:hAnsi="宋体" w:cs="Courier New"/>
          <w:color w:val="auto"/>
          <w:sz w:val="24"/>
          <w:highlight w:val="none"/>
          <w:u w:val="single"/>
        </w:rPr>
        <w:t>（中标单位名称）</w:t>
      </w:r>
      <w:r>
        <w:rPr>
          <w:rFonts w:hint="eastAsia" w:ascii="宋体" w:hAnsi="宋体" w:cs="Courier New"/>
          <w:color w:val="auto"/>
          <w:sz w:val="24"/>
          <w:highlight w:val="none"/>
        </w:rPr>
        <w:t>(下称“承包人”)，已成为贵公司</w:t>
      </w:r>
      <w:r>
        <w:rPr>
          <w:rFonts w:hint="eastAsia" w:ascii="宋体" w:hAnsi="宋体" w:cs="Courier New"/>
          <w:color w:val="auto"/>
          <w:sz w:val="24"/>
          <w:highlight w:val="none"/>
          <w:u w:val="single"/>
        </w:rPr>
        <w:t>（中标通知书项目名称）</w:t>
      </w:r>
      <w:r>
        <w:rPr>
          <w:rFonts w:hint="eastAsia" w:ascii="宋体" w:hAnsi="宋体" w:cs="Courier New"/>
          <w:color w:val="auto"/>
          <w:sz w:val="24"/>
          <w:highlight w:val="none"/>
        </w:rPr>
        <w:t>的中标人，保证按</w:t>
      </w:r>
      <w:r>
        <w:rPr>
          <w:rFonts w:hint="eastAsia" w:ascii="宋体" w:hAnsi="宋体" w:cs="Courier New"/>
          <w:color w:val="auto"/>
          <w:sz w:val="24"/>
          <w:highlight w:val="none"/>
          <w:u w:val="single"/>
        </w:rPr>
        <w:t>（中标通知书项目名称）</w:t>
      </w:r>
      <w:r>
        <w:rPr>
          <w:rFonts w:hint="eastAsia" w:ascii="宋体" w:hAnsi="宋体" w:cs="Courier New"/>
          <w:color w:val="auto"/>
          <w:sz w:val="24"/>
          <w:highlight w:val="none"/>
        </w:rPr>
        <w:t>中规定的合同条款履行义务。</w:t>
      </w:r>
    </w:p>
    <w:p>
      <w:pPr>
        <w:spacing w:line="460" w:lineRule="exact"/>
        <w:ind w:firstLine="480" w:firstLineChars="200"/>
        <w:contextualSpacing/>
        <w:rPr>
          <w:rFonts w:hint="eastAsia" w:ascii="宋体" w:hAnsi="宋体" w:cs="Courier New"/>
          <w:color w:val="auto"/>
          <w:sz w:val="24"/>
          <w:highlight w:val="none"/>
        </w:rPr>
      </w:pPr>
      <w:r>
        <w:rPr>
          <w:rFonts w:hint="eastAsia" w:ascii="宋体" w:hAnsi="宋体" w:cs="Courier New"/>
          <w:color w:val="auto"/>
          <w:sz w:val="24"/>
          <w:highlight w:val="none"/>
        </w:rPr>
        <w:t>根据</w:t>
      </w:r>
      <w:r>
        <w:rPr>
          <w:rFonts w:hint="eastAsia" w:ascii="宋体" w:hAnsi="宋体" w:cs="Courier New"/>
          <w:color w:val="auto"/>
          <w:sz w:val="24"/>
          <w:highlight w:val="none"/>
          <w:u w:val="single"/>
        </w:rPr>
        <w:t>（中标通知书项目名称）</w:t>
      </w:r>
      <w:r>
        <w:rPr>
          <w:rFonts w:hint="eastAsia" w:ascii="宋体" w:hAnsi="宋体" w:cs="Courier New"/>
          <w:color w:val="auto"/>
          <w:sz w:val="24"/>
          <w:highlight w:val="none"/>
        </w:rPr>
        <w:t>招标文件的规定，承包人应向受益人提供一份金额为中标总价的</w:t>
      </w:r>
      <w:r>
        <w:rPr>
          <w:rFonts w:hint="eastAsia" w:ascii="宋体" w:hAnsi="宋体" w:cs="Courier New"/>
          <w:color w:val="auto"/>
          <w:sz w:val="24"/>
          <w:highlight w:val="none"/>
          <w:u w:val="single"/>
        </w:rPr>
        <w:t xml:space="preserve">  %</w:t>
      </w:r>
      <w:r>
        <w:rPr>
          <w:rFonts w:hint="eastAsia" w:ascii="宋体" w:hAnsi="宋体" w:cs="Courier New"/>
          <w:color w:val="auto"/>
          <w:sz w:val="24"/>
          <w:highlight w:val="none"/>
        </w:rPr>
        <w:t>即人民币</w:t>
      </w:r>
      <w:r>
        <w:rPr>
          <w:rFonts w:hint="eastAsia" w:ascii="宋体" w:hAnsi="宋体" w:cs="Courier New"/>
          <w:color w:val="auto"/>
          <w:sz w:val="24"/>
          <w:highlight w:val="none"/>
          <w:u w:val="single"/>
        </w:rPr>
        <w:t>（大写）</w:t>
      </w:r>
      <w:r>
        <w:rPr>
          <w:rFonts w:hint="eastAsia" w:ascii="宋体" w:hAnsi="宋体" w:cs="Courier New"/>
          <w:color w:val="auto"/>
          <w:sz w:val="24"/>
          <w:highlight w:val="none"/>
        </w:rPr>
        <w:t>元（</w:t>
      </w:r>
      <w:r>
        <w:rPr>
          <w:rFonts w:hint="eastAsia" w:ascii="宋体" w:hAnsi="宋体" w:cs="Courier New"/>
          <w:color w:val="auto"/>
          <w:sz w:val="24"/>
          <w:highlight w:val="none"/>
          <w:u w:val="single"/>
        </w:rPr>
        <w:t>￥（小写）</w:t>
      </w:r>
      <w:r>
        <w:rPr>
          <w:rFonts w:hint="eastAsia" w:ascii="宋体" w:hAnsi="宋体" w:cs="Courier New"/>
          <w:color w:val="auto"/>
          <w:sz w:val="24"/>
          <w:highlight w:val="none"/>
        </w:rPr>
        <w:t>）的无条件、不可撤销、见索即付、独立的银行履约保函（下称“本保函”），作为承包人履行（</w:t>
      </w:r>
      <w:r>
        <w:rPr>
          <w:rFonts w:hint="eastAsia" w:ascii="宋体" w:hAnsi="宋体" w:cs="Courier New"/>
          <w:color w:val="auto"/>
          <w:sz w:val="24"/>
          <w:highlight w:val="none"/>
          <w:u w:val="single"/>
        </w:rPr>
        <w:t>中标通知书项目名称）</w:t>
      </w:r>
      <w:r>
        <w:rPr>
          <w:rFonts w:hint="eastAsia" w:ascii="宋体" w:hAnsi="宋体" w:cs="Courier New"/>
          <w:color w:val="auto"/>
          <w:sz w:val="24"/>
          <w:highlight w:val="none"/>
        </w:rPr>
        <w:t>合同的担保。</w:t>
      </w:r>
    </w:p>
    <w:p>
      <w:pPr>
        <w:autoSpaceDE w:val="0"/>
        <w:autoSpaceDN w:val="0"/>
        <w:adjustRightInd w:val="0"/>
        <w:spacing w:line="460" w:lineRule="exact"/>
        <w:ind w:firstLine="465" w:firstLineChars="194"/>
        <w:contextualSpacing/>
        <w:jc w:val="left"/>
        <w:rPr>
          <w:rFonts w:hint="eastAsia" w:ascii="宋体" w:hAnsi="宋体" w:cs="Courier New"/>
          <w:color w:val="auto"/>
          <w:sz w:val="24"/>
          <w:highlight w:val="none"/>
        </w:rPr>
      </w:pPr>
      <w:r>
        <w:rPr>
          <w:rFonts w:hint="eastAsia" w:ascii="宋体" w:hAnsi="宋体" w:cs="Courier New"/>
          <w:color w:val="auto"/>
          <w:sz w:val="24"/>
          <w:highlight w:val="none"/>
        </w:rPr>
        <w:t>注册于</w:t>
      </w:r>
      <w:r>
        <w:rPr>
          <w:rFonts w:hint="eastAsia" w:ascii="宋体" w:hAnsi="宋体" w:cs="Courier New"/>
          <w:color w:val="auto"/>
          <w:sz w:val="24"/>
          <w:highlight w:val="none"/>
          <w:u w:val="single"/>
        </w:rPr>
        <w:t xml:space="preserve"> (银行地址)</w:t>
      </w:r>
      <w:r>
        <w:rPr>
          <w:rFonts w:hint="eastAsia" w:ascii="宋体" w:hAnsi="宋体" w:cs="Courier New"/>
          <w:color w:val="auto"/>
          <w:sz w:val="24"/>
          <w:highlight w:val="none"/>
        </w:rPr>
        <w:t>的</w:t>
      </w:r>
      <w:r>
        <w:rPr>
          <w:rFonts w:hint="eastAsia" w:ascii="宋体" w:hAnsi="宋体" w:cs="Courier New"/>
          <w:color w:val="auto"/>
          <w:sz w:val="24"/>
          <w:highlight w:val="none"/>
          <w:u w:val="single"/>
        </w:rPr>
        <w:t>（银行名称）</w:t>
      </w:r>
      <w:r>
        <w:rPr>
          <w:rFonts w:hint="eastAsia" w:ascii="宋体" w:hAnsi="宋体" w:cs="Courier New"/>
          <w:color w:val="auto"/>
          <w:sz w:val="24"/>
          <w:highlight w:val="none"/>
        </w:rPr>
        <w:t>向受益人保证本行及其继承人和受让人在收到受益人第一次的表明承包人违约的书面通知后五个工作日内，无论承包人有何反对，无条件地、不可撤销地按该通知的规定，向受益人支付不超过</w:t>
      </w:r>
      <w:r>
        <w:rPr>
          <w:rFonts w:hint="eastAsia" w:ascii="宋体" w:hAnsi="宋体" w:cs="Courier New"/>
          <w:color w:val="auto"/>
          <w:kern w:val="0"/>
          <w:sz w:val="24"/>
          <w:highlight w:val="none"/>
        </w:rPr>
        <w:t>人民币</w:t>
      </w:r>
      <w:r>
        <w:rPr>
          <w:rFonts w:hint="eastAsia" w:ascii="宋体" w:hAnsi="宋体" w:cs="Courier New"/>
          <w:color w:val="auto"/>
          <w:kern w:val="0"/>
          <w:sz w:val="24"/>
          <w:highlight w:val="none"/>
          <w:u w:val="single"/>
        </w:rPr>
        <w:t>（大写）</w:t>
      </w:r>
      <w:r>
        <w:rPr>
          <w:rFonts w:hint="eastAsia" w:ascii="宋体" w:hAnsi="宋体" w:cs="Courier New"/>
          <w:color w:val="auto"/>
          <w:kern w:val="0"/>
          <w:sz w:val="24"/>
          <w:highlight w:val="none"/>
        </w:rPr>
        <w:t>元（</w:t>
      </w:r>
      <w:r>
        <w:rPr>
          <w:rFonts w:hint="eastAsia" w:ascii="宋体" w:hAnsi="宋体" w:cs="Courier New"/>
          <w:color w:val="auto"/>
          <w:kern w:val="0"/>
          <w:sz w:val="24"/>
          <w:highlight w:val="none"/>
          <w:u w:val="single"/>
        </w:rPr>
        <w:t>￥（小写）</w:t>
      </w:r>
      <w:r>
        <w:rPr>
          <w:rFonts w:hint="eastAsia" w:ascii="宋体" w:hAnsi="宋体" w:cs="Courier New"/>
          <w:color w:val="auto"/>
          <w:kern w:val="0"/>
          <w:sz w:val="24"/>
          <w:highlight w:val="none"/>
        </w:rPr>
        <w:t>）</w:t>
      </w:r>
      <w:r>
        <w:rPr>
          <w:rFonts w:hint="eastAsia" w:ascii="宋体" w:hAnsi="宋体" w:cs="Courier New"/>
          <w:color w:val="auto"/>
          <w:sz w:val="24"/>
          <w:highlight w:val="none"/>
        </w:rPr>
        <w:t>的金额</w:t>
      </w:r>
      <w:r>
        <w:rPr>
          <w:rFonts w:hint="eastAsia" w:ascii="宋体" w:hAnsi="宋体" w:cs="宋体"/>
          <w:color w:val="auto"/>
          <w:sz w:val="24"/>
          <w:highlight w:val="none"/>
        </w:rPr>
        <w:t>，无需受益人提供任何证明</w:t>
      </w:r>
      <w:r>
        <w:rPr>
          <w:rFonts w:hint="eastAsia" w:ascii="宋体" w:hAnsi="宋体" w:cs="Courier New"/>
          <w:color w:val="auto"/>
          <w:sz w:val="24"/>
          <w:highlight w:val="none"/>
        </w:rPr>
        <w:t>。</w:t>
      </w:r>
    </w:p>
    <w:p>
      <w:pPr>
        <w:spacing w:line="460" w:lineRule="exact"/>
        <w:ind w:firstLine="480" w:firstLineChars="200"/>
        <w:contextualSpacing/>
        <w:rPr>
          <w:rFonts w:hint="eastAsia" w:ascii="宋体" w:hAnsi="宋体" w:cs="Courier New"/>
          <w:color w:val="auto"/>
          <w:sz w:val="24"/>
          <w:highlight w:val="none"/>
        </w:rPr>
      </w:pPr>
      <w:r>
        <w:rPr>
          <w:rFonts w:hint="eastAsia" w:ascii="宋体" w:hAnsi="宋体" w:cs="Courier New"/>
          <w:color w:val="auto"/>
          <w:sz w:val="24"/>
          <w:highlight w:val="none"/>
        </w:rPr>
        <w:t>我方还同意，任何受益人与承包人之间可能对</w:t>
      </w:r>
      <w:r>
        <w:rPr>
          <w:rFonts w:hint="eastAsia" w:ascii="宋体" w:hAnsi="宋体" w:cs="Courier New"/>
          <w:color w:val="auto"/>
          <w:sz w:val="24"/>
          <w:highlight w:val="none"/>
          <w:u w:val="single"/>
        </w:rPr>
        <w:t>（中标通知书项目名称）</w:t>
      </w:r>
      <w:r>
        <w:rPr>
          <w:rFonts w:hint="eastAsia" w:ascii="宋体" w:hAnsi="宋体" w:cs="Courier New"/>
          <w:color w:val="auto"/>
          <w:sz w:val="24"/>
          <w:highlight w:val="none"/>
        </w:rPr>
        <w:t>合同条款的修改、变动或补充，都不能减少和免除我方按本保函所承担的责任。因此，有关上述修改、变动或补充无须通知我方。</w:t>
      </w:r>
    </w:p>
    <w:p>
      <w:pPr>
        <w:spacing w:line="460" w:lineRule="exact"/>
        <w:ind w:firstLine="480" w:firstLineChars="200"/>
        <w:contextualSpacing/>
        <w:rPr>
          <w:rFonts w:hint="eastAsia" w:ascii="宋体" w:hAnsi="宋体" w:cs="Courier New"/>
          <w:color w:val="auto"/>
          <w:sz w:val="24"/>
          <w:highlight w:val="none"/>
          <w:u w:val="single"/>
        </w:rPr>
      </w:pPr>
      <w:r>
        <w:rPr>
          <w:rFonts w:hint="eastAsia" w:ascii="宋体" w:hAnsi="宋体" w:cs="Courier New"/>
          <w:color w:val="auto"/>
          <w:sz w:val="24"/>
          <w:highlight w:val="none"/>
        </w:rPr>
        <w:t>本保函从签发之日起生效，直至</w:t>
      </w:r>
      <w:r>
        <w:rPr>
          <w:rFonts w:hint="eastAsia" w:ascii="宋体" w:hAnsi="宋体" w:cs="Courier New"/>
          <w:color w:val="auto"/>
          <w:kern w:val="0"/>
          <w:sz w:val="24"/>
          <w:highlight w:val="none"/>
        </w:rPr>
        <w:t>经相关主管部门按有关规定审核结算后30天内保持有效，但有效期最迟不超过</w:t>
      </w:r>
      <w:r>
        <w:rPr>
          <w:rFonts w:hint="eastAsia" w:ascii="宋体" w:hAnsi="宋体" w:cs="Courier New"/>
          <w:color w:val="auto"/>
          <w:kern w:val="0"/>
          <w:sz w:val="24"/>
          <w:highlight w:val="none"/>
          <w:u w:val="single"/>
        </w:rPr>
        <w:t xml:space="preserve">   </w:t>
      </w:r>
      <w:r>
        <w:rPr>
          <w:rFonts w:hint="eastAsia" w:ascii="宋体" w:hAnsi="宋体" w:cs="Courier New"/>
          <w:color w:val="auto"/>
          <w:kern w:val="0"/>
          <w:sz w:val="24"/>
          <w:highlight w:val="none"/>
        </w:rPr>
        <w:t>年</w:t>
      </w:r>
      <w:r>
        <w:rPr>
          <w:rFonts w:hint="eastAsia" w:ascii="宋体" w:hAnsi="宋体" w:cs="Courier New"/>
          <w:color w:val="auto"/>
          <w:kern w:val="0"/>
          <w:sz w:val="24"/>
          <w:highlight w:val="none"/>
          <w:u w:val="single"/>
        </w:rPr>
        <w:t xml:space="preserve">   </w:t>
      </w:r>
      <w:r>
        <w:rPr>
          <w:rFonts w:hint="eastAsia" w:ascii="宋体" w:hAnsi="宋体" w:cs="Courier New"/>
          <w:color w:val="auto"/>
          <w:kern w:val="0"/>
          <w:sz w:val="24"/>
          <w:highlight w:val="none"/>
        </w:rPr>
        <w:t>月</w:t>
      </w:r>
      <w:r>
        <w:rPr>
          <w:rFonts w:hint="eastAsia" w:ascii="宋体" w:hAnsi="宋体" w:cs="Courier New"/>
          <w:color w:val="auto"/>
          <w:kern w:val="0"/>
          <w:sz w:val="24"/>
          <w:highlight w:val="none"/>
          <w:u w:val="single"/>
        </w:rPr>
        <w:t xml:space="preserve">   </w:t>
      </w:r>
      <w:r>
        <w:rPr>
          <w:rFonts w:hint="eastAsia" w:ascii="宋体" w:hAnsi="宋体" w:cs="Courier New"/>
          <w:color w:val="auto"/>
          <w:kern w:val="0"/>
          <w:sz w:val="24"/>
          <w:highlight w:val="none"/>
        </w:rPr>
        <w:t>日。</w:t>
      </w:r>
    </w:p>
    <w:p>
      <w:pPr>
        <w:spacing w:line="460" w:lineRule="exact"/>
        <w:ind w:firstLine="3160" w:firstLineChars="1317"/>
        <w:contextualSpacing/>
        <w:rPr>
          <w:rFonts w:hint="eastAsia" w:ascii="宋体" w:hAnsi="宋体" w:cs="Courier New"/>
          <w:color w:val="auto"/>
          <w:sz w:val="24"/>
          <w:highlight w:val="none"/>
        </w:rPr>
      </w:pPr>
    </w:p>
    <w:p>
      <w:pPr>
        <w:spacing w:line="460" w:lineRule="exact"/>
        <w:ind w:firstLine="3160" w:firstLineChars="1317"/>
        <w:contextualSpacing/>
        <w:rPr>
          <w:rFonts w:hint="eastAsia" w:ascii="宋体" w:hAnsi="宋体" w:cs="Courier New"/>
          <w:color w:val="auto"/>
          <w:sz w:val="24"/>
          <w:highlight w:val="none"/>
        </w:rPr>
      </w:pPr>
      <w:r>
        <w:rPr>
          <w:rFonts w:hint="eastAsia" w:ascii="宋体" w:hAnsi="宋体" w:cs="Courier New"/>
          <w:color w:val="auto"/>
          <w:sz w:val="24"/>
          <w:highlight w:val="none"/>
        </w:rPr>
        <w:t>担 保 银行：</w:t>
      </w:r>
      <w:r>
        <w:rPr>
          <w:rFonts w:hint="eastAsia" w:ascii="宋体" w:hAnsi="宋体" w:cs="Courier New"/>
          <w:color w:val="auto"/>
          <w:sz w:val="24"/>
          <w:highlight w:val="none"/>
          <w:u w:val="single"/>
        </w:rPr>
        <w:t>（全称）</w:t>
      </w:r>
      <w:r>
        <w:rPr>
          <w:rFonts w:hint="eastAsia" w:ascii="宋体" w:hAnsi="宋体" w:cs="Courier New"/>
          <w:color w:val="auto"/>
          <w:sz w:val="24"/>
          <w:highlight w:val="none"/>
        </w:rPr>
        <w:t>（盖章）</w:t>
      </w:r>
    </w:p>
    <w:p>
      <w:pPr>
        <w:spacing w:line="460" w:lineRule="exact"/>
        <w:ind w:firstLine="3160" w:firstLineChars="1317"/>
        <w:contextualSpacing/>
        <w:rPr>
          <w:rFonts w:hint="eastAsia" w:ascii="宋体" w:hAnsi="宋体" w:cs="Courier New"/>
          <w:color w:val="auto"/>
          <w:sz w:val="24"/>
          <w:highlight w:val="none"/>
        </w:rPr>
      </w:pPr>
      <w:r>
        <w:rPr>
          <w:rFonts w:hint="eastAsia" w:ascii="宋体" w:hAnsi="宋体" w:cs="Courier New"/>
          <w:color w:val="auto"/>
          <w:sz w:val="24"/>
          <w:highlight w:val="none"/>
        </w:rPr>
        <w:t>法定代表人（或负责人）：（签名）</w:t>
      </w:r>
    </w:p>
    <w:p>
      <w:pPr>
        <w:spacing w:line="460" w:lineRule="exact"/>
        <w:ind w:firstLine="3160" w:firstLineChars="1317"/>
        <w:contextualSpacing/>
        <w:rPr>
          <w:rFonts w:hint="eastAsia" w:ascii="宋体" w:hAnsi="宋体" w:cs="Courier New"/>
          <w:color w:val="auto"/>
          <w:sz w:val="24"/>
          <w:highlight w:val="none"/>
        </w:rPr>
      </w:pPr>
      <w:r>
        <w:rPr>
          <w:rFonts w:hint="eastAsia" w:ascii="宋体" w:hAnsi="宋体" w:cs="Courier New"/>
          <w:color w:val="auto"/>
          <w:sz w:val="24"/>
          <w:highlight w:val="none"/>
        </w:rPr>
        <w:t>日     期：</w:t>
      </w:r>
      <w:r>
        <w:rPr>
          <w:rFonts w:hint="eastAsia" w:ascii="宋体" w:hAnsi="宋体" w:cs="Courier New"/>
          <w:color w:val="auto"/>
          <w:sz w:val="24"/>
          <w:highlight w:val="none"/>
          <w:lang w:val="en-US" w:eastAsia="zh-CN"/>
        </w:rPr>
        <w:t xml:space="preserve">    </w:t>
      </w:r>
      <w:r>
        <w:rPr>
          <w:rFonts w:hint="eastAsia" w:ascii="宋体" w:hAnsi="宋体" w:cs="Courier New"/>
          <w:color w:val="auto"/>
          <w:sz w:val="24"/>
          <w:highlight w:val="none"/>
        </w:rPr>
        <w:t>年</w:t>
      </w:r>
      <w:r>
        <w:rPr>
          <w:rFonts w:hint="eastAsia" w:ascii="宋体" w:hAnsi="宋体" w:cs="Courier New"/>
          <w:color w:val="auto"/>
          <w:sz w:val="24"/>
          <w:highlight w:val="none"/>
          <w:lang w:val="en-US" w:eastAsia="zh-CN"/>
        </w:rPr>
        <w:t xml:space="preserve">   </w:t>
      </w:r>
      <w:r>
        <w:rPr>
          <w:rFonts w:hint="eastAsia" w:ascii="宋体" w:hAnsi="宋体" w:cs="Courier New"/>
          <w:color w:val="auto"/>
          <w:sz w:val="24"/>
          <w:highlight w:val="none"/>
        </w:rPr>
        <w:t>月</w:t>
      </w:r>
      <w:r>
        <w:rPr>
          <w:rFonts w:hint="eastAsia" w:ascii="宋体" w:hAnsi="宋体" w:cs="Courier New"/>
          <w:color w:val="auto"/>
          <w:sz w:val="24"/>
          <w:highlight w:val="none"/>
          <w:lang w:val="en-US" w:eastAsia="zh-CN"/>
        </w:rPr>
        <w:t xml:space="preserve">    </w:t>
      </w:r>
      <w:r>
        <w:rPr>
          <w:rFonts w:hint="eastAsia" w:ascii="宋体" w:hAnsi="宋体" w:cs="Courier New"/>
          <w:color w:val="auto"/>
          <w:sz w:val="24"/>
          <w:highlight w:val="none"/>
        </w:rPr>
        <w:t>日</w:t>
      </w:r>
    </w:p>
    <w:p>
      <w:pPr>
        <w:spacing w:line="460" w:lineRule="exact"/>
        <w:ind w:firstLine="3160" w:firstLineChars="1317"/>
        <w:contextualSpacing/>
        <w:rPr>
          <w:rFonts w:hint="eastAsia" w:ascii="宋体" w:hAnsi="宋体" w:cs="Courier New"/>
          <w:color w:val="auto"/>
          <w:sz w:val="24"/>
          <w:highlight w:val="none"/>
        </w:rPr>
      </w:pPr>
      <w:r>
        <w:rPr>
          <w:rFonts w:hint="eastAsia" w:ascii="宋体" w:hAnsi="宋体" w:cs="Courier New"/>
          <w:color w:val="auto"/>
          <w:sz w:val="24"/>
          <w:highlight w:val="none"/>
        </w:rPr>
        <w:t>银行地址：</w:t>
      </w:r>
    </w:p>
    <w:p>
      <w:pPr>
        <w:spacing w:line="460" w:lineRule="exact"/>
        <w:ind w:firstLine="3160" w:firstLineChars="1317"/>
        <w:contextualSpacing/>
        <w:rPr>
          <w:rFonts w:hint="eastAsia" w:ascii="宋体" w:hAnsi="宋体" w:cs="Courier New"/>
          <w:color w:val="auto"/>
          <w:sz w:val="24"/>
          <w:highlight w:val="none"/>
        </w:rPr>
      </w:pPr>
      <w:r>
        <w:rPr>
          <w:rFonts w:hint="eastAsia" w:ascii="宋体" w:hAnsi="宋体" w:cs="Courier New"/>
          <w:color w:val="auto"/>
          <w:sz w:val="24"/>
          <w:highlight w:val="none"/>
        </w:rPr>
        <w:t>银行联系电话：</w:t>
      </w:r>
    </w:p>
    <w:p>
      <w:pPr>
        <w:pStyle w:val="5"/>
        <w:ind w:firstLine="480"/>
        <w:rPr>
          <w:rFonts w:hint="eastAsia" w:ascii="宋体" w:hAnsi="宋体" w:cs="Courier New"/>
          <w:color w:val="auto"/>
          <w:sz w:val="24"/>
          <w:highlight w:val="none"/>
        </w:rPr>
      </w:pPr>
    </w:p>
    <w:p>
      <w:pPr>
        <w:pStyle w:val="5"/>
        <w:ind w:firstLine="480"/>
        <w:rPr>
          <w:rFonts w:hint="eastAsia" w:ascii="宋体" w:hAnsi="宋体" w:cs="Courier New"/>
          <w:color w:val="auto"/>
          <w:sz w:val="24"/>
          <w:highlight w:val="none"/>
        </w:rPr>
      </w:pPr>
    </w:p>
    <w:p>
      <w:pPr>
        <w:spacing w:line="460" w:lineRule="exact"/>
        <w:contextualSpacing/>
        <w:rPr>
          <w:rFonts w:hint="eastAsia" w:ascii="宋体" w:hAnsi="宋体" w:cs="Courier New"/>
          <w:color w:val="auto"/>
          <w:sz w:val="24"/>
          <w:highlight w:val="none"/>
        </w:rPr>
      </w:pPr>
      <w:r>
        <w:rPr>
          <w:rFonts w:hint="eastAsia" w:ascii="宋体" w:hAnsi="宋体" w:cs="Courier New"/>
          <w:color w:val="auto"/>
          <w:sz w:val="24"/>
          <w:highlight w:val="none"/>
        </w:rPr>
        <w:t>备注：保函应由国有商业银行或股份制商业银行支行一级以上机构出具，非东莞市行政区域的银行出具的履约保函需担保银行所在地公证机关公证。</w:t>
      </w:r>
    </w:p>
    <w:p>
      <w:pPr>
        <w:pStyle w:val="5"/>
        <w:rPr>
          <w:color w:val="auto"/>
          <w:highlight w:val="none"/>
        </w:rPr>
      </w:pPr>
    </w:p>
    <w:p>
      <w:pPr>
        <w:pStyle w:val="5"/>
        <w:ind w:firstLine="562"/>
        <w:jc w:val="center"/>
        <w:rPr>
          <w:rFonts w:hint="eastAsia"/>
          <w:b/>
          <w:bCs/>
          <w:color w:val="auto"/>
          <w:sz w:val="28"/>
          <w:szCs w:val="28"/>
          <w:highlight w:val="none"/>
        </w:rPr>
      </w:pPr>
    </w:p>
    <w:p>
      <w:pPr>
        <w:pStyle w:val="5"/>
        <w:ind w:firstLine="562"/>
        <w:jc w:val="center"/>
        <w:rPr>
          <w:rFonts w:hint="eastAsia"/>
          <w:b/>
          <w:bCs/>
          <w:color w:val="auto"/>
          <w:sz w:val="28"/>
          <w:szCs w:val="28"/>
          <w:highlight w:val="none"/>
        </w:rPr>
      </w:pPr>
    </w:p>
    <w:p>
      <w:pPr>
        <w:pStyle w:val="5"/>
        <w:ind w:firstLine="562"/>
        <w:jc w:val="center"/>
        <w:rPr>
          <w:b/>
          <w:bCs/>
          <w:color w:val="auto"/>
          <w:sz w:val="28"/>
          <w:szCs w:val="28"/>
          <w:highlight w:val="none"/>
        </w:rPr>
      </w:pPr>
      <w:r>
        <w:rPr>
          <w:rFonts w:hint="eastAsia"/>
          <w:b/>
          <w:bCs/>
          <w:color w:val="auto"/>
          <w:sz w:val="28"/>
          <w:szCs w:val="28"/>
          <w:highlight w:val="none"/>
        </w:rPr>
        <w:t>承诺函（履约保函）</w:t>
      </w:r>
    </w:p>
    <w:p>
      <w:pPr>
        <w:pStyle w:val="5"/>
        <w:rPr>
          <w:color w:val="auto"/>
          <w:highlight w:val="none"/>
        </w:rPr>
      </w:pPr>
    </w:p>
    <w:p>
      <w:pPr>
        <w:pStyle w:val="5"/>
        <w:spacing w:line="360" w:lineRule="auto"/>
        <w:ind w:firstLine="480"/>
        <w:rPr>
          <w:rFonts w:hint="eastAsia" w:ascii="宋体" w:hAnsi="宋体" w:cs="Courier New"/>
          <w:color w:val="auto"/>
          <w:sz w:val="24"/>
          <w:szCs w:val="24"/>
          <w:highlight w:val="none"/>
          <w:lang w:val="zh-CN"/>
        </w:rPr>
      </w:pPr>
      <w:r>
        <w:rPr>
          <w:rFonts w:hint="eastAsia" w:ascii="宋体" w:hAnsi="宋体" w:cs="Courier New"/>
          <w:color w:val="auto"/>
          <w:sz w:val="24"/>
          <w:szCs w:val="24"/>
          <w:highlight w:val="none"/>
          <w:lang w:val="zh-CN"/>
        </w:rPr>
        <w:t>东莞市轨道一号线建设发展有限公司：</w:t>
      </w:r>
    </w:p>
    <w:p>
      <w:pPr>
        <w:pStyle w:val="5"/>
        <w:spacing w:line="360" w:lineRule="auto"/>
        <w:ind w:firstLine="480"/>
        <w:rPr>
          <w:rFonts w:hint="eastAsia" w:ascii="宋体" w:hAnsi="宋体" w:cs="Courier New"/>
          <w:color w:val="auto"/>
          <w:sz w:val="24"/>
          <w:szCs w:val="24"/>
          <w:highlight w:val="none"/>
          <w:lang w:val="zh-CN"/>
        </w:rPr>
      </w:pPr>
      <w:r>
        <w:rPr>
          <w:rFonts w:hint="eastAsia" w:ascii="宋体" w:hAnsi="宋体" w:cs="Courier New"/>
          <w:color w:val="auto"/>
          <w:sz w:val="24"/>
          <w:szCs w:val="24"/>
          <w:highlight w:val="none"/>
          <w:lang w:val="zh-CN"/>
        </w:rPr>
        <w:t>承包人公司名称（以下称“本公司”）现已中标贵司招标的（中标通知书项目名称），并拟签订正式合同。按合同规定，本公司需向贵司提供一份担保金额为人民币（大 写）元（￥ （小 写））的《履约保函》，有效期至  年  月  日。</w:t>
      </w:r>
    </w:p>
    <w:p>
      <w:pPr>
        <w:pStyle w:val="5"/>
        <w:spacing w:line="360" w:lineRule="auto"/>
        <w:ind w:firstLine="480"/>
        <w:rPr>
          <w:rFonts w:hint="eastAsia" w:ascii="宋体" w:hAnsi="宋体" w:cs="Courier New"/>
          <w:color w:val="auto"/>
          <w:sz w:val="24"/>
          <w:szCs w:val="24"/>
          <w:highlight w:val="none"/>
          <w:lang w:val="zh-CN"/>
        </w:rPr>
      </w:pPr>
      <w:r>
        <w:rPr>
          <w:rFonts w:hint="eastAsia" w:ascii="宋体" w:hAnsi="宋体" w:cs="Courier New"/>
          <w:color w:val="auto"/>
          <w:sz w:val="24"/>
          <w:szCs w:val="24"/>
          <w:highlight w:val="none"/>
          <w:lang w:val="zh-CN"/>
        </w:rPr>
        <w:t>现本公司的开户银行（银行名称）已经开具一份以贵司为受益人的《履约保函》，保函编号为（保函编号），保函有效期至  年  月  日。</w:t>
      </w:r>
    </w:p>
    <w:p>
      <w:pPr>
        <w:pStyle w:val="5"/>
        <w:spacing w:line="360" w:lineRule="auto"/>
        <w:ind w:firstLine="480"/>
        <w:rPr>
          <w:rFonts w:hint="eastAsia" w:ascii="宋体" w:hAnsi="宋体" w:cs="Courier New"/>
          <w:color w:val="auto"/>
          <w:sz w:val="24"/>
          <w:szCs w:val="24"/>
          <w:highlight w:val="none"/>
          <w:lang w:val="zh-CN"/>
        </w:rPr>
      </w:pPr>
      <w:r>
        <w:rPr>
          <w:rFonts w:hint="eastAsia" w:ascii="宋体" w:hAnsi="宋体" w:cs="Courier New"/>
          <w:color w:val="auto"/>
          <w:sz w:val="24"/>
          <w:szCs w:val="24"/>
          <w:highlight w:val="none"/>
          <w:lang w:val="zh-CN"/>
        </w:rPr>
        <w:t>本公司现向贵司郑重承诺，如上述保函到期日仍未到合同约定之日起并经相关主管部门按有关规定审核结算完毕后30天，本公司将在保函到期前15天，无条件延长保函有效期至合同规定的有效期期满，具体日期可按届时的工程进度经双方协商后确定。如未及时向贵司提供符合规定的履约保函，我司承担违约责任。</w:t>
      </w:r>
    </w:p>
    <w:p>
      <w:pPr>
        <w:pStyle w:val="5"/>
        <w:spacing w:line="360" w:lineRule="auto"/>
        <w:ind w:firstLine="480"/>
        <w:rPr>
          <w:rFonts w:hint="eastAsia" w:ascii="宋体" w:hAnsi="宋体" w:cs="Courier New"/>
          <w:color w:val="auto"/>
          <w:sz w:val="24"/>
          <w:szCs w:val="24"/>
          <w:highlight w:val="none"/>
          <w:lang w:val="zh-CN"/>
        </w:rPr>
      </w:pPr>
      <w:r>
        <w:rPr>
          <w:rFonts w:hint="eastAsia" w:ascii="宋体" w:hAnsi="宋体" w:cs="Courier New"/>
          <w:color w:val="auto"/>
          <w:sz w:val="24"/>
          <w:szCs w:val="24"/>
          <w:highlight w:val="none"/>
          <w:lang w:val="zh-CN"/>
        </w:rPr>
        <w:t>特此承诺。</w:t>
      </w:r>
    </w:p>
    <w:p>
      <w:pPr>
        <w:pStyle w:val="5"/>
        <w:rPr>
          <w:color w:val="auto"/>
          <w:highlight w:val="none"/>
        </w:rPr>
      </w:pPr>
    </w:p>
    <w:p>
      <w:pPr>
        <w:pStyle w:val="5"/>
        <w:rPr>
          <w:color w:val="auto"/>
          <w:highlight w:val="none"/>
        </w:rPr>
      </w:pPr>
    </w:p>
    <w:p>
      <w:pPr>
        <w:pStyle w:val="5"/>
        <w:rPr>
          <w:color w:val="auto"/>
          <w:highlight w:val="none"/>
        </w:rPr>
      </w:pPr>
    </w:p>
    <w:p>
      <w:pPr>
        <w:pStyle w:val="5"/>
        <w:ind w:firstLine="480"/>
        <w:rPr>
          <w:rFonts w:hint="eastAsia" w:ascii="宋体" w:hAnsi="宋体" w:cs="宋体"/>
          <w:color w:val="auto"/>
          <w:sz w:val="24"/>
          <w:szCs w:val="24"/>
          <w:highlight w:val="none"/>
        </w:rPr>
      </w:pPr>
    </w:p>
    <w:p>
      <w:pPr>
        <w:pStyle w:val="5"/>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公司名称：（公章） </w:t>
      </w:r>
    </w:p>
    <w:p>
      <w:pPr>
        <w:pStyle w:val="5"/>
        <w:ind w:firstLine="480"/>
        <w:rPr>
          <w:rFonts w:hint="eastAsia" w:ascii="宋体" w:hAnsi="宋体" w:cs="宋体"/>
          <w:color w:val="auto"/>
          <w:sz w:val="24"/>
          <w:szCs w:val="24"/>
          <w:highlight w:val="none"/>
        </w:rPr>
      </w:pPr>
    </w:p>
    <w:p>
      <w:pPr>
        <w:pStyle w:val="5"/>
        <w:ind w:firstLine="480"/>
        <w:rPr>
          <w:rFonts w:hint="eastAsia" w:ascii="宋体" w:hAnsi="宋体" w:cs="宋体"/>
          <w:color w:val="auto"/>
          <w:sz w:val="24"/>
          <w:szCs w:val="24"/>
          <w:highlight w:val="none"/>
        </w:rPr>
      </w:pPr>
    </w:p>
    <w:p>
      <w:pPr>
        <w:rPr>
          <w:rFonts w:hint="default"/>
          <w:color w:val="auto"/>
          <w:highlight w:val="none"/>
          <w:lang w:val="en-US"/>
        </w:rPr>
        <w:sectPr>
          <w:endnotePr>
            <w:numFmt w:val="decimal"/>
          </w:endnotePr>
          <w:pgSz w:w="11907" w:h="16839"/>
          <w:pgMar w:top="1134" w:right="1134" w:bottom="1134" w:left="1134" w:header="851" w:footer="593" w:gutter="0"/>
          <w:pgNumType w:fmt="decimal"/>
          <w:cols w:space="720" w:num="1"/>
          <w:docGrid w:type="lines" w:linePitch="312" w:charSpace="0"/>
        </w:sect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日期：</w:t>
      </w:r>
    </w:p>
    <w:p>
      <w:pPr>
        <w:keepNext/>
        <w:keepLines/>
        <w:adjustRightInd w:val="0"/>
        <w:spacing w:before="240" w:after="60"/>
        <w:jc w:val="center"/>
        <w:textAlignment w:val="baseline"/>
        <w:outlineLvl w:val="0"/>
        <w:rPr>
          <w:rFonts w:eastAsia="黑体"/>
          <w:color w:val="auto"/>
          <w:kern w:val="24"/>
          <w:sz w:val="28"/>
          <w:szCs w:val="20"/>
          <w:highlight w:val="none"/>
        </w:rPr>
      </w:pPr>
      <w:bookmarkStart w:id="1401" w:name="_Toc20943"/>
      <w:bookmarkStart w:id="1402" w:name="_Toc338892642"/>
      <w:bookmarkStart w:id="1403" w:name="_Toc15673"/>
      <w:bookmarkStart w:id="1404" w:name="_Toc582"/>
      <w:bookmarkStart w:id="1405" w:name="_Toc29281"/>
      <w:bookmarkStart w:id="1406" w:name="_Toc5725"/>
      <w:bookmarkStart w:id="1407" w:name="_Toc1057"/>
      <w:bookmarkStart w:id="1408" w:name="_Toc601"/>
      <w:bookmarkStart w:id="1409" w:name="_Toc17329"/>
      <w:bookmarkStart w:id="1410" w:name="_Toc25053"/>
      <w:bookmarkStart w:id="1411" w:name="_Toc17508"/>
      <w:bookmarkStart w:id="1412" w:name="_Toc170804649"/>
      <w:r>
        <w:rPr>
          <w:rFonts w:hint="eastAsia" w:eastAsia="黑体"/>
          <w:color w:val="auto"/>
          <w:kern w:val="24"/>
          <w:sz w:val="28"/>
          <w:szCs w:val="20"/>
          <w:highlight w:val="none"/>
        </w:rPr>
        <w:t>第二卷</w:t>
      </w:r>
      <w:bookmarkEnd w:id="1401"/>
      <w:bookmarkEnd w:id="1402"/>
      <w:bookmarkEnd w:id="1403"/>
      <w:bookmarkEnd w:id="1404"/>
      <w:bookmarkEnd w:id="1405"/>
      <w:bookmarkEnd w:id="1406"/>
      <w:bookmarkEnd w:id="1407"/>
      <w:bookmarkEnd w:id="1408"/>
      <w:bookmarkEnd w:id="1409"/>
      <w:bookmarkEnd w:id="1410"/>
      <w:bookmarkEnd w:id="1411"/>
      <w:bookmarkEnd w:id="1412"/>
      <w:bookmarkStart w:id="1413" w:name="_Toc170804650"/>
    </w:p>
    <w:p>
      <w:pPr>
        <w:keepNext/>
        <w:keepLines/>
        <w:adjustRightInd w:val="0"/>
        <w:spacing w:line="420" w:lineRule="exact"/>
        <w:jc w:val="center"/>
        <w:textAlignment w:val="baseline"/>
        <w:outlineLvl w:val="0"/>
        <w:rPr>
          <w:rFonts w:eastAsia="黑体"/>
          <w:color w:val="auto"/>
          <w:kern w:val="24"/>
          <w:sz w:val="28"/>
          <w:szCs w:val="20"/>
          <w:highlight w:val="none"/>
        </w:rPr>
      </w:pPr>
      <w:bookmarkStart w:id="1414" w:name="_Toc19614"/>
      <w:bookmarkStart w:id="1415" w:name="_Toc22919"/>
      <w:bookmarkStart w:id="1416" w:name="_Toc26937"/>
      <w:bookmarkStart w:id="1417" w:name="_Toc19935"/>
      <w:bookmarkStart w:id="1418" w:name="_Toc642002250"/>
      <w:bookmarkStart w:id="1419" w:name="_Toc29326"/>
      <w:bookmarkStart w:id="1420" w:name="_Toc22926"/>
      <w:bookmarkStart w:id="1421" w:name="_Toc31780"/>
      <w:bookmarkStart w:id="1422" w:name="_Toc6812"/>
      <w:bookmarkStart w:id="1423" w:name="_Toc27815"/>
      <w:r>
        <w:rPr>
          <w:rFonts w:hint="eastAsia" w:eastAsia="黑体"/>
          <w:color w:val="auto"/>
          <w:kern w:val="24"/>
          <w:sz w:val="28"/>
          <w:szCs w:val="20"/>
          <w:highlight w:val="none"/>
        </w:rPr>
        <w:t>第五章 委托人要求</w:t>
      </w:r>
      <w:bookmarkEnd w:id="1413"/>
      <w:bookmarkEnd w:id="1414"/>
      <w:bookmarkEnd w:id="1415"/>
      <w:bookmarkEnd w:id="1416"/>
      <w:bookmarkEnd w:id="1417"/>
      <w:bookmarkEnd w:id="1418"/>
      <w:bookmarkEnd w:id="1419"/>
      <w:bookmarkEnd w:id="1420"/>
      <w:bookmarkEnd w:id="1421"/>
      <w:bookmarkEnd w:id="1422"/>
      <w:bookmarkEnd w:id="1423"/>
    </w:p>
    <w:p>
      <w:pPr>
        <w:pStyle w:val="60"/>
        <w:numPr>
          <w:ilvl w:val="0"/>
          <w:numId w:val="3"/>
        </w:numPr>
        <w:spacing w:line="360" w:lineRule="auto"/>
        <w:ind w:left="0" w:firstLine="422"/>
        <w:outlineLvl w:val="0"/>
        <w:rPr>
          <w:b/>
          <w:bCs/>
          <w:color w:val="auto"/>
          <w:szCs w:val="21"/>
          <w:highlight w:val="none"/>
        </w:rPr>
        <w:sectPr>
          <w:endnotePr>
            <w:numFmt w:val="decimal"/>
          </w:endnotePr>
          <w:pgSz w:w="11907" w:h="16839"/>
          <w:pgMar w:top="1134" w:right="1134" w:bottom="1134" w:left="1134" w:header="851" w:footer="593" w:gutter="0"/>
          <w:pgNumType w:fmt="decimal"/>
          <w:cols w:space="720" w:num="1"/>
          <w:docGrid w:type="lines" w:linePitch="312" w:charSpace="0"/>
        </w:sectPr>
      </w:pPr>
      <w:bookmarkStart w:id="1424" w:name="_Toc170804651"/>
      <w:bookmarkStart w:id="1425" w:name="_Toc31438"/>
    </w:p>
    <w:p>
      <w:pPr>
        <w:pStyle w:val="2"/>
        <w:adjustRightInd w:val="0"/>
        <w:snapToGrid w:val="0"/>
        <w:spacing w:before="200" w:after="200" w:line="460" w:lineRule="exact"/>
        <w:ind w:firstLine="422"/>
        <w:rPr>
          <w:rFonts w:hint="eastAsia" w:asciiTheme="minorEastAsia" w:hAnsiTheme="minorEastAsia" w:eastAsiaTheme="minorEastAsia" w:cstheme="minorEastAsia"/>
          <w:color w:val="auto"/>
          <w:sz w:val="21"/>
          <w:szCs w:val="21"/>
          <w:highlight w:val="none"/>
        </w:rPr>
      </w:pPr>
      <w:bookmarkStart w:id="1426" w:name="_Toc1687"/>
      <w:bookmarkStart w:id="1427" w:name="_Toc10946"/>
      <w:bookmarkStart w:id="1428" w:name="_Toc1838"/>
      <w:bookmarkStart w:id="1429" w:name="_Toc5913"/>
      <w:bookmarkStart w:id="1430" w:name="_Toc6240"/>
      <w:bookmarkStart w:id="1431" w:name="_Toc2035677165"/>
      <w:bookmarkStart w:id="1432" w:name="_Toc503857324"/>
      <w:bookmarkStart w:id="1433" w:name="_Toc501110793"/>
      <w:bookmarkStart w:id="1434" w:name="_Toc2412"/>
      <w:bookmarkStart w:id="1435" w:name="_Toc18058"/>
      <w:r>
        <w:rPr>
          <w:rFonts w:hint="eastAsia" w:asciiTheme="minorEastAsia" w:hAnsiTheme="minorEastAsia" w:eastAsiaTheme="minorEastAsia" w:cstheme="minorEastAsia"/>
          <w:color w:val="auto"/>
          <w:sz w:val="21"/>
          <w:szCs w:val="21"/>
          <w:highlight w:val="none"/>
        </w:rPr>
        <w:t>一、项目名称</w:t>
      </w:r>
      <w:bookmarkEnd w:id="1426"/>
      <w:bookmarkEnd w:id="1427"/>
      <w:bookmarkEnd w:id="1428"/>
      <w:bookmarkEnd w:id="1429"/>
      <w:bookmarkEnd w:id="1430"/>
      <w:bookmarkEnd w:id="1431"/>
      <w:bookmarkEnd w:id="1432"/>
      <w:bookmarkEnd w:id="1433"/>
      <w:bookmarkEnd w:id="1434"/>
      <w:bookmarkEnd w:id="1435"/>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东莞市轨道交通1号线一期工程2025-2026年结构变形监测项目</w:t>
      </w:r>
    </w:p>
    <w:p>
      <w:pPr>
        <w:pStyle w:val="2"/>
        <w:numPr>
          <w:ilvl w:val="0"/>
          <w:numId w:val="4"/>
        </w:numPr>
        <w:adjustRightInd w:val="0"/>
        <w:snapToGrid w:val="0"/>
        <w:spacing w:before="200" w:after="200" w:line="460" w:lineRule="exact"/>
        <w:ind w:firstLine="422"/>
        <w:rPr>
          <w:rFonts w:hint="eastAsia" w:asciiTheme="minorEastAsia" w:hAnsiTheme="minorEastAsia" w:eastAsiaTheme="minorEastAsia" w:cstheme="minorEastAsia"/>
          <w:color w:val="auto"/>
          <w:sz w:val="21"/>
          <w:szCs w:val="21"/>
          <w:highlight w:val="none"/>
        </w:rPr>
      </w:pPr>
      <w:bookmarkStart w:id="1436" w:name="_Toc11004"/>
      <w:bookmarkStart w:id="1437" w:name="_Toc6963"/>
      <w:bookmarkStart w:id="1438" w:name="_Toc2064131798"/>
      <w:bookmarkStart w:id="1439" w:name="_Toc16451"/>
      <w:bookmarkStart w:id="1440" w:name="_Toc1252"/>
      <w:bookmarkStart w:id="1441" w:name="_Toc31692"/>
      <w:bookmarkStart w:id="1442" w:name="_Toc16430"/>
      <w:bookmarkStart w:id="1443" w:name="_Toc7031"/>
      <w:bookmarkStart w:id="1444" w:name="_Toc503857325"/>
      <w:bookmarkStart w:id="1445" w:name="_Toc501110794"/>
      <w:r>
        <w:rPr>
          <w:rFonts w:hint="eastAsia" w:asciiTheme="minorEastAsia" w:hAnsiTheme="minorEastAsia" w:eastAsiaTheme="minorEastAsia" w:cstheme="minorEastAsia"/>
          <w:color w:val="auto"/>
          <w:sz w:val="21"/>
          <w:szCs w:val="21"/>
          <w:highlight w:val="none"/>
        </w:rPr>
        <w:t>编制依据</w:t>
      </w:r>
      <w:bookmarkEnd w:id="1436"/>
      <w:bookmarkEnd w:id="1437"/>
      <w:bookmarkEnd w:id="1438"/>
      <w:bookmarkEnd w:id="1439"/>
      <w:bookmarkEnd w:id="1440"/>
      <w:bookmarkEnd w:id="1441"/>
      <w:bookmarkEnd w:id="1442"/>
      <w:bookmarkEnd w:id="1443"/>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1.《城市轨道交通设施设备运行维护管理办法》（交运规〔2024〕9号）</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2.《城市轨道交通初期运营前安全评估规范》（交办运〔2023〕56号）</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3.《城市轨道交通设施运营监测技术规范 第3部分：隧道》（GB/T 39559.3-2020）</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4.《城市轨道交通设施运营监测技术规范 第2部分：桥梁》（GB/T 39559.2-2020）</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5.《城市轨道交通工程测量规范》（GB/T 50308-2017）</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6.《城市轨道交通工程监测技术规范》（GB 50911）</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7.《工程测量通用规范》（GB 55018）</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8.《工程测量标准》（GB 50026）</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9.《建筑变形测量规范》（JGJ 8）</w:t>
      </w:r>
    </w:p>
    <w:p>
      <w:pPr>
        <w:adjustRightInd w:val="0"/>
        <w:snapToGrid w:val="0"/>
        <w:spacing w:line="46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10.《建筑边坡工程技术规范》（GB 50330-2013）</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11.《东莞市城市轨道交通运营管理办法》（东莞市人民政府令第157号）</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12.《1号线建筑结构变形监测技术规程（试行）》YG1-JG-GJ-04</w:t>
      </w:r>
    </w:p>
    <w:p>
      <w:pPr>
        <w:pStyle w:val="2"/>
        <w:adjustRightInd w:val="0"/>
        <w:snapToGrid w:val="0"/>
        <w:spacing w:before="200" w:after="200" w:line="460" w:lineRule="exact"/>
        <w:ind w:firstLine="422"/>
        <w:rPr>
          <w:rFonts w:hint="eastAsia" w:asciiTheme="minorEastAsia" w:hAnsiTheme="minorEastAsia" w:eastAsiaTheme="minorEastAsia" w:cstheme="minorEastAsia"/>
          <w:color w:val="auto"/>
          <w:sz w:val="21"/>
          <w:szCs w:val="21"/>
          <w:highlight w:val="none"/>
        </w:rPr>
      </w:pPr>
      <w:bookmarkStart w:id="1446" w:name="_Toc1412295348"/>
      <w:bookmarkStart w:id="1447" w:name="_Toc9259"/>
      <w:bookmarkStart w:id="1448" w:name="_Toc22407"/>
      <w:bookmarkStart w:id="1449" w:name="_Toc28351"/>
      <w:bookmarkStart w:id="1450" w:name="_Toc18563"/>
      <w:bookmarkStart w:id="1451" w:name="_Toc20789"/>
      <w:bookmarkStart w:id="1452" w:name="_Toc25258"/>
      <w:bookmarkStart w:id="1453" w:name="_Toc20976"/>
      <w:r>
        <w:rPr>
          <w:rFonts w:hint="eastAsia" w:asciiTheme="minorEastAsia" w:hAnsiTheme="minorEastAsia" w:eastAsiaTheme="minorEastAsia" w:cstheme="minorEastAsia"/>
          <w:color w:val="auto"/>
          <w:sz w:val="21"/>
          <w:szCs w:val="21"/>
          <w:highlight w:val="none"/>
        </w:rPr>
        <w:t>三、项目概况</w:t>
      </w:r>
      <w:bookmarkEnd w:id="1444"/>
      <w:bookmarkEnd w:id="1445"/>
      <w:bookmarkEnd w:id="1446"/>
      <w:bookmarkEnd w:id="1447"/>
      <w:bookmarkEnd w:id="1448"/>
      <w:bookmarkEnd w:id="1449"/>
      <w:bookmarkEnd w:id="1450"/>
      <w:bookmarkEnd w:id="1451"/>
      <w:bookmarkEnd w:id="1452"/>
      <w:bookmarkEnd w:id="1453"/>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（一）项目地点</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位于东莞市轨道交通1号线范围，1号线一期工程线路长度约57.46km，高架段线路长度约7.71km，地下段线路长度约49.44km，过渡段长度约0.32km。全线共设车站25座，其中高架站3座，地下站22座。在道滘镇粤晖路以北跨上梁洲二横路紧邻道滘镇污水处理站设置道滘车辆段1处，在黄江镇莞深高速公路、公常路、清龙路围合地块内设置黄江停车场1处，车辆段、停车场、松山湖设置主变电所，在黄江停车场、10#中间风井设置高边坡。</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（二）项目内容</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1.开展1号线管辖范围的隧道竖向位移监测、断面收敛监测，桥梁墩台沉降监测、梁体竖向与横向变形监测，高架车站、主所、场段建筑沉降监测，10#中间风井边坡、黄江停车场边坡竖向位移和水平位移监测。</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2.隧道竖向位移监测、断面收敛监测，梁体竖向与横向变形监测需要新布设监测点及初始值采集，其他监测使用建设期监测点并继承相关数据。</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3.每次监测前中标人须对全线监测点进行检查，如有损坏或被扰动的监测点，中标人须在监测前对监测点进行恢复。</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4.对单次变形值较大的监测点或经综合分析研判招标人认为数据存疑的监测点，中标人应无偿安排复测，中标人能提供证明的除外。</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5.中标人提供的监测成果应能满足初期运营前安全评估要求，并配合招标人按专家意见整改可能需进行的复测、成果修正等。</w:t>
      </w:r>
      <w:r>
        <w:rPr>
          <w:rFonts w:hint="eastAsia" w:asciiTheme="minorEastAsia" w:hAnsiTheme="minorEastAsia" w:eastAsiaTheme="minorEastAsia" w:cstheme="minorEastAsia"/>
          <w:b/>
          <w:color w:val="auto"/>
          <w:szCs w:val="21"/>
          <w:highlight w:val="none"/>
        </w:rPr>
        <w:t xml:space="preserve">                                                                                                                                                                                                                                                                                                                                                                                                                                                                                                                                             </w:t>
      </w:r>
    </w:p>
    <w:p>
      <w:pPr>
        <w:pStyle w:val="2"/>
        <w:adjustRightInd w:val="0"/>
        <w:snapToGrid w:val="0"/>
        <w:spacing w:before="200" w:after="200" w:line="460" w:lineRule="exact"/>
        <w:ind w:firstLine="422"/>
        <w:rPr>
          <w:rFonts w:hint="eastAsia" w:asciiTheme="minorEastAsia" w:hAnsiTheme="minorEastAsia" w:eastAsiaTheme="minorEastAsia" w:cstheme="minorEastAsia"/>
          <w:color w:val="auto"/>
          <w:sz w:val="21"/>
          <w:szCs w:val="21"/>
          <w:highlight w:val="none"/>
        </w:rPr>
      </w:pPr>
      <w:bookmarkStart w:id="1454" w:name="_Toc2372"/>
      <w:bookmarkStart w:id="1455" w:name="_Toc5028"/>
      <w:bookmarkStart w:id="1456" w:name="_Toc501110795"/>
      <w:bookmarkStart w:id="1457" w:name="_Toc495"/>
      <w:bookmarkStart w:id="1458" w:name="_Toc503857326"/>
      <w:bookmarkStart w:id="1459" w:name="_Toc24415"/>
      <w:bookmarkStart w:id="1460" w:name="_Toc32276"/>
      <w:bookmarkStart w:id="1461" w:name="_Toc19948"/>
      <w:bookmarkStart w:id="1462" w:name="_Toc2976"/>
      <w:bookmarkStart w:id="1463" w:name="_Toc311163545"/>
      <w:r>
        <w:rPr>
          <w:rFonts w:hint="eastAsia" w:asciiTheme="minorEastAsia" w:hAnsiTheme="minorEastAsia" w:eastAsiaTheme="minorEastAsia" w:cstheme="minorEastAsia"/>
          <w:color w:val="auto"/>
          <w:sz w:val="21"/>
          <w:szCs w:val="21"/>
          <w:highlight w:val="none"/>
        </w:rPr>
        <w:t>四、项目条件</w:t>
      </w:r>
      <w:bookmarkEnd w:id="1454"/>
      <w:bookmarkEnd w:id="1455"/>
      <w:bookmarkEnd w:id="1456"/>
      <w:bookmarkEnd w:id="1457"/>
      <w:bookmarkEnd w:id="1458"/>
      <w:bookmarkEnd w:id="1459"/>
      <w:bookmarkEnd w:id="1460"/>
      <w:bookmarkEnd w:id="1461"/>
      <w:bookmarkEnd w:id="1462"/>
      <w:bookmarkEnd w:id="1463"/>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（一）作业限制条件</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1.运营期进入轨行区监测均为夜间作业，理论作业时间为0:00-4:30，扣除请销点登记时间，轨行区作业时间约为0：30-4：00，每月约13个作业点（轨行区不满足每晚监测条件），具体监测时间以作业令批准时间为准。</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2.高架段受特殊天气影响（如发生恶劣天气预警信号时），不能开展监测作业，中标人不得因现场作业时间的限制影响监测进度。</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（二）</w:t>
      </w:r>
      <w:r>
        <w:rPr>
          <w:color w:val="auto"/>
          <w:highlight w:val="none"/>
        </w:rPr>
        <w:fldChar w:fldCharType="begin"/>
      </w:r>
      <w:r>
        <w:rPr>
          <w:color w:val="auto"/>
          <w:highlight w:val="none"/>
        </w:rPr>
        <w:instrText xml:space="preserve"> HYPERLINK \l "_Toc225319653" </w:instrText>
      </w:r>
      <w:r>
        <w:rPr>
          <w:color w:val="auto"/>
          <w:highlight w:val="none"/>
        </w:rPr>
        <w:fldChar w:fldCharType="separate"/>
      </w:r>
      <w:r>
        <w:rPr>
          <w:rFonts w:hint="eastAsia" w:asciiTheme="minorEastAsia" w:hAnsiTheme="minorEastAsia" w:eastAsiaTheme="minorEastAsia" w:cstheme="minorEastAsia"/>
          <w:color w:val="auto"/>
          <w:szCs w:val="21"/>
          <w:highlight w:val="none"/>
        </w:rPr>
        <w:t>业主提供</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条件</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1.负责配合每次作业请销点、挂拆地线、登高作业申报。</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2.开通初期运营后可提供铝合金高空作业平台、梯车底座。</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3.提供施工用电。</w:t>
      </w:r>
    </w:p>
    <w:p>
      <w:pPr>
        <w:pStyle w:val="2"/>
        <w:adjustRightInd w:val="0"/>
        <w:snapToGrid w:val="0"/>
        <w:spacing w:before="200" w:after="200" w:line="460" w:lineRule="exact"/>
        <w:ind w:firstLine="422"/>
        <w:rPr>
          <w:rFonts w:hint="eastAsia" w:asciiTheme="minorEastAsia" w:hAnsiTheme="minorEastAsia" w:eastAsiaTheme="minorEastAsia" w:cstheme="minorEastAsia"/>
          <w:color w:val="auto"/>
          <w:sz w:val="21"/>
          <w:szCs w:val="21"/>
          <w:highlight w:val="none"/>
        </w:rPr>
      </w:pPr>
      <w:bookmarkStart w:id="1464" w:name="_Toc503857327"/>
      <w:bookmarkStart w:id="1465" w:name="_Toc30423"/>
      <w:bookmarkStart w:id="1466" w:name="_Toc6175"/>
      <w:bookmarkStart w:id="1467" w:name="_Toc603020370"/>
      <w:bookmarkStart w:id="1468" w:name="_Toc6265"/>
      <w:bookmarkStart w:id="1469" w:name="_Toc501110796"/>
      <w:bookmarkStart w:id="1470" w:name="_Toc32065"/>
      <w:bookmarkStart w:id="1471" w:name="_Toc17826"/>
      <w:bookmarkStart w:id="1472" w:name="_Toc14806"/>
      <w:bookmarkStart w:id="1473" w:name="_Toc20061"/>
      <w:r>
        <w:rPr>
          <w:rFonts w:hint="eastAsia" w:asciiTheme="minorEastAsia" w:hAnsiTheme="minorEastAsia" w:eastAsiaTheme="minorEastAsia" w:cstheme="minorEastAsia"/>
          <w:color w:val="auto"/>
          <w:sz w:val="21"/>
          <w:szCs w:val="21"/>
          <w:highlight w:val="none"/>
        </w:rPr>
        <w:t>五、人员要求</w:t>
      </w:r>
      <w:bookmarkEnd w:id="1464"/>
      <w:bookmarkEnd w:id="1465"/>
      <w:bookmarkEnd w:id="1466"/>
      <w:bookmarkEnd w:id="1467"/>
      <w:bookmarkEnd w:id="1468"/>
      <w:bookmarkEnd w:id="1469"/>
      <w:bookmarkEnd w:id="1470"/>
      <w:bookmarkEnd w:id="1471"/>
      <w:bookmarkEnd w:id="1472"/>
      <w:bookmarkEnd w:id="1473"/>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bookmarkStart w:id="1474" w:name="_Toc503857328"/>
      <w:bookmarkStart w:id="1475" w:name="_Toc501110797"/>
      <w:bookmarkStart w:id="1476" w:name="_Toc164752330"/>
      <w:r>
        <w:rPr>
          <w:rFonts w:hint="eastAsia" w:asciiTheme="minorEastAsia" w:hAnsiTheme="minorEastAsia" w:eastAsiaTheme="minorEastAsia" w:cstheme="minorEastAsia"/>
          <w:color w:val="auto"/>
          <w:szCs w:val="21"/>
          <w:highlight w:val="none"/>
        </w:rPr>
        <w:t>（一）本项目主要人员应至少满足以下配置</w:t>
      </w:r>
    </w:p>
    <w:tbl>
      <w:tblPr>
        <w:tblStyle w:val="4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1712"/>
        <w:gridCol w:w="5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54" w:type="dxa"/>
            <w:vAlign w:val="center"/>
          </w:tcPr>
          <w:p>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岗位</w:t>
            </w:r>
          </w:p>
        </w:tc>
        <w:tc>
          <w:tcPr>
            <w:tcW w:w="1712" w:type="dxa"/>
            <w:vAlign w:val="center"/>
          </w:tcPr>
          <w:p>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人数要求</w:t>
            </w:r>
          </w:p>
        </w:tc>
        <w:tc>
          <w:tcPr>
            <w:tcW w:w="5473" w:type="dxa"/>
            <w:vAlign w:val="center"/>
          </w:tcPr>
          <w:p>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54" w:type="dxa"/>
            <w:vAlign w:val="center"/>
          </w:tcPr>
          <w:p>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bookmarkStart w:id="1477" w:name="OLE_LINK7"/>
            <w:r>
              <w:rPr>
                <w:rFonts w:hint="eastAsia" w:asciiTheme="minorEastAsia" w:hAnsiTheme="minorEastAsia" w:eastAsiaTheme="minorEastAsia" w:cstheme="minorEastAsia"/>
                <w:color w:val="auto"/>
                <w:szCs w:val="21"/>
                <w:highlight w:val="none"/>
              </w:rPr>
              <w:t>项目负责人</w:t>
            </w:r>
            <w:bookmarkEnd w:id="1477"/>
          </w:p>
        </w:tc>
        <w:tc>
          <w:tcPr>
            <w:tcW w:w="1712" w:type="dxa"/>
            <w:vAlign w:val="center"/>
          </w:tcPr>
          <w:p>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1人</w:t>
            </w:r>
          </w:p>
        </w:tc>
        <w:tc>
          <w:tcPr>
            <w:tcW w:w="5473"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宋体" w:hAnsi="宋体" w:cs="仿宋_GB2312"/>
                <w:color w:val="auto"/>
                <w:szCs w:val="21"/>
                <w:highlight w:val="none"/>
                <w:lang w:val="en-US" w:eastAsia="zh-CN"/>
              </w:rPr>
              <w:t>具备</w:t>
            </w:r>
            <w:r>
              <w:rPr>
                <w:rFonts w:hint="eastAsia" w:ascii="宋体" w:hAnsi="宋体" w:cs="仿宋_GB2312"/>
                <w:color w:val="auto"/>
                <w:szCs w:val="21"/>
                <w:highlight w:val="none"/>
              </w:rPr>
              <w:t>工程测量或地质</w:t>
            </w:r>
            <w:bookmarkStart w:id="1478" w:name="OLE_LINK17"/>
            <w:r>
              <w:rPr>
                <w:rFonts w:hint="eastAsia" w:ascii="宋体" w:hAnsi="宋体" w:cs="仿宋_GB2312"/>
                <w:color w:val="auto"/>
                <w:szCs w:val="21"/>
                <w:highlight w:val="none"/>
                <w:lang w:eastAsia="zh-CN"/>
              </w:rPr>
              <w:t>或岩土</w:t>
            </w:r>
            <w:r>
              <w:rPr>
                <w:rFonts w:hint="eastAsia"/>
                <w:color w:val="auto"/>
                <w:highlight w:val="none"/>
                <w:lang w:val="en-US" w:eastAsia="zh-CN"/>
              </w:rPr>
              <w:t>类</w:t>
            </w:r>
            <w:bookmarkEnd w:id="1478"/>
            <w:r>
              <w:rPr>
                <w:rFonts w:hint="eastAsia" w:ascii="宋体" w:hAnsi="宋体" w:cs="仿宋_GB2312"/>
                <w:color w:val="auto"/>
                <w:szCs w:val="21"/>
                <w:highlight w:val="none"/>
              </w:rPr>
              <w:t>专业高级或以上职称证书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54" w:type="dxa"/>
            <w:vAlign w:val="center"/>
          </w:tcPr>
          <w:p>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技术负责人</w:t>
            </w:r>
          </w:p>
        </w:tc>
        <w:tc>
          <w:tcPr>
            <w:tcW w:w="1712" w:type="dxa"/>
            <w:vAlign w:val="center"/>
          </w:tcPr>
          <w:p>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1人</w:t>
            </w:r>
          </w:p>
        </w:tc>
        <w:tc>
          <w:tcPr>
            <w:tcW w:w="5473"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宋体" w:hAnsi="宋体" w:cs="仿宋_GB2312"/>
                <w:color w:val="auto"/>
                <w:szCs w:val="21"/>
                <w:highlight w:val="none"/>
                <w:lang w:val="en-US" w:eastAsia="zh-CN"/>
              </w:rPr>
              <w:t>具备</w:t>
            </w:r>
            <w:r>
              <w:rPr>
                <w:rFonts w:hint="eastAsia" w:ascii="宋体" w:hAnsi="宋体" w:cs="仿宋_GB2312"/>
                <w:color w:val="auto"/>
                <w:szCs w:val="21"/>
                <w:highlight w:val="none"/>
              </w:rPr>
              <w:t>工程测量或地质</w:t>
            </w:r>
            <w:r>
              <w:rPr>
                <w:rFonts w:hint="eastAsia" w:ascii="宋体" w:hAnsi="宋体" w:cs="仿宋_GB2312"/>
                <w:color w:val="auto"/>
                <w:szCs w:val="21"/>
                <w:highlight w:val="none"/>
                <w:lang w:eastAsia="zh-CN"/>
              </w:rPr>
              <w:t>或岩土</w:t>
            </w:r>
            <w:r>
              <w:rPr>
                <w:rFonts w:hint="eastAsia"/>
                <w:color w:val="auto"/>
                <w:highlight w:val="none"/>
                <w:lang w:val="en-US" w:eastAsia="zh-CN"/>
              </w:rPr>
              <w:t>类</w:t>
            </w:r>
            <w:r>
              <w:rPr>
                <w:rFonts w:hint="eastAsia" w:ascii="宋体" w:hAnsi="宋体" w:cs="仿宋_GB2312"/>
                <w:color w:val="auto"/>
                <w:szCs w:val="21"/>
                <w:highlight w:val="none"/>
              </w:rPr>
              <w:t>专业高级或以上职称证书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54" w:type="dxa"/>
            <w:vAlign w:val="center"/>
          </w:tcPr>
          <w:p>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strike/>
                <w:color w:val="auto"/>
                <w:szCs w:val="21"/>
                <w:highlight w:val="none"/>
              </w:rPr>
            </w:pPr>
            <w:r>
              <w:rPr>
                <w:rFonts w:hint="eastAsia" w:asciiTheme="minorEastAsia" w:hAnsiTheme="minorEastAsia" w:eastAsiaTheme="minorEastAsia" w:cstheme="minorEastAsia"/>
                <w:color w:val="auto"/>
                <w:szCs w:val="21"/>
                <w:highlight w:val="none"/>
              </w:rPr>
              <w:t>岩土工程师</w:t>
            </w:r>
          </w:p>
        </w:tc>
        <w:tc>
          <w:tcPr>
            <w:tcW w:w="1712" w:type="dxa"/>
            <w:vAlign w:val="center"/>
          </w:tcPr>
          <w:p>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1人</w:t>
            </w:r>
          </w:p>
        </w:tc>
        <w:tc>
          <w:tcPr>
            <w:tcW w:w="5473" w:type="dxa"/>
            <w:vAlign w:val="center"/>
          </w:tcPr>
          <w:p>
            <w:pPr>
              <w:keepNext w:val="0"/>
              <w:keepLines w:val="0"/>
              <w:suppressLineNumbers w:val="0"/>
              <w:spacing w:before="0" w:beforeAutospacing="0" w:after="0" w:afterAutospacing="0"/>
              <w:ind w:left="0" w:right="0"/>
              <w:jc w:val="center"/>
              <w:rPr>
                <w:rFonts w:hint="eastAsia" w:ascii="宋体" w:hAnsi="宋体" w:cs="仿宋_GB2312"/>
                <w:color w:val="auto"/>
                <w:szCs w:val="21"/>
                <w:highlight w:val="none"/>
              </w:rPr>
            </w:pPr>
            <w:r>
              <w:rPr>
                <w:rFonts w:hint="eastAsia" w:ascii="宋体" w:hAnsi="宋体" w:cs="仿宋_GB2312"/>
                <w:color w:val="auto"/>
                <w:szCs w:val="21"/>
                <w:highlight w:val="none"/>
                <w:lang w:val="en-US" w:eastAsia="zh-CN"/>
              </w:rPr>
              <w:t>具备</w:t>
            </w:r>
            <w:r>
              <w:rPr>
                <w:rFonts w:hint="eastAsia" w:ascii="宋体" w:hAnsi="宋体" w:cs="仿宋_GB2312"/>
                <w:color w:val="auto"/>
                <w:szCs w:val="21"/>
                <w:highlight w:val="none"/>
                <w:lang w:eastAsia="zh-CN"/>
              </w:rPr>
              <w:t>岩土</w:t>
            </w:r>
            <w:r>
              <w:rPr>
                <w:rFonts w:hint="eastAsia"/>
                <w:color w:val="auto"/>
                <w:highlight w:val="none"/>
                <w:lang w:val="en-US" w:eastAsia="zh-CN"/>
              </w:rPr>
              <w:t>类</w:t>
            </w:r>
            <w:r>
              <w:rPr>
                <w:rFonts w:hint="eastAsia" w:ascii="宋体" w:hAnsi="宋体" w:cs="仿宋_GB2312"/>
                <w:color w:val="auto"/>
                <w:szCs w:val="21"/>
                <w:highlight w:val="none"/>
                <w:lang w:eastAsia="zh-CN"/>
              </w:rPr>
              <w:t>专业</w:t>
            </w:r>
            <w:r>
              <w:rPr>
                <w:rFonts w:hint="eastAsia" w:ascii="宋体" w:hAnsi="宋体" w:cs="仿宋_GB2312"/>
                <w:color w:val="auto"/>
                <w:szCs w:val="21"/>
                <w:highlight w:val="none"/>
              </w:rPr>
              <w:t>中级</w:t>
            </w:r>
            <w:r>
              <w:rPr>
                <w:rFonts w:hint="eastAsia" w:ascii="宋体" w:hAnsi="宋体" w:cs="仿宋_GB2312"/>
                <w:color w:val="auto"/>
                <w:szCs w:val="21"/>
                <w:highlight w:val="none"/>
                <w:lang w:eastAsia="zh-CN"/>
              </w:rPr>
              <w:t>或</w:t>
            </w:r>
            <w:r>
              <w:rPr>
                <w:rFonts w:hint="eastAsia" w:ascii="宋体" w:hAnsi="宋体" w:cs="仿宋_GB2312"/>
                <w:color w:val="auto"/>
                <w:szCs w:val="21"/>
                <w:highlight w:val="none"/>
              </w:rPr>
              <w:t>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54" w:type="dxa"/>
            <w:vAlign w:val="center"/>
          </w:tcPr>
          <w:p>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测量工程师</w:t>
            </w:r>
          </w:p>
        </w:tc>
        <w:tc>
          <w:tcPr>
            <w:tcW w:w="1712" w:type="dxa"/>
            <w:vAlign w:val="center"/>
          </w:tcPr>
          <w:p>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2人</w:t>
            </w:r>
          </w:p>
        </w:tc>
        <w:tc>
          <w:tcPr>
            <w:tcW w:w="5473"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宋体" w:hAnsi="宋体" w:cs="仿宋_GB2312"/>
                <w:color w:val="auto"/>
                <w:szCs w:val="21"/>
                <w:highlight w:val="none"/>
                <w:lang w:val="en-US" w:eastAsia="zh-CN"/>
              </w:rPr>
              <w:t>具备</w:t>
            </w:r>
            <w:r>
              <w:rPr>
                <w:rFonts w:hint="eastAsia" w:ascii="宋体" w:hAnsi="宋体" w:cs="仿宋_GB2312"/>
                <w:color w:val="auto"/>
                <w:szCs w:val="21"/>
                <w:highlight w:val="none"/>
                <w:lang w:eastAsia="zh-CN"/>
              </w:rPr>
              <w:t>测量</w:t>
            </w:r>
            <w:r>
              <w:rPr>
                <w:rFonts w:hint="eastAsia"/>
                <w:color w:val="auto"/>
                <w:highlight w:val="none"/>
                <w:lang w:val="en-US" w:eastAsia="zh-CN"/>
              </w:rPr>
              <w:t>类</w:t>
            </w:r>
            <w:r>
              <w:rPr>
                <w:rFonts w:hint="eastAsia" w:ascii="宋体" w:hAnsi="宋体" w:cs="仿宋_GB2312"/>
                <w:color w:val="auto"/>
                <w:szCs w:val="21"/>
                <w:highlight w:val="none"/>
                <w:lang w:eastAsia="zh-CN"/>
              </w:rPr>
              <w:t>专业</w:t>
            </w:r>
            <w:r>
              <w:rPr>
                <w:rFonts w:hint="eastAsia" w:ascii="宋体" w:hAnsi="宋体" w:cs="仿宋_GB2312"/>
                <w:color w:val="auto"/>
                <w:szCs w:val="21"/>
                <w:highlight w:val="none"/>
              </w:rPr>
              <w:t>中级或以上职称</w:t>
            </w:r>
          </w:p>
        </w:tc>
      </w:tr>
    </w:tbl>
    <w:p>
      <w:pPr>
        <w:adjustRightInd w:val="0"/>
        <w:snapToGrid w:val="0"/>
        <w:spacing w:line="460" w:lineRule="exact"/>
        <w:rPr>
          <w:rFonts w:hint="eastAsia" w:asciiTheme="minorEastAsia" w:hAnsiTheme="minorEastAsia" w:eastAsiaTheme="minorEastAsia" w:cstheme="minorEastAsia"/>
          <w:strike/>
          <w:color w:val="auto"/>
          <w:szCs w:val="21"/>
          <w:highlight w:val="none"/>
        </w:rPr>
      </w:pPr>
      <w:r>
        <w:rPr>
          <w:rFonts w:hint="eastAsia" w:asciiTheme="minorEastAsia" w:hAnsiTheme="minorEastAsia" w:eastAsiaTheme="minorEastAsia" w:cstheme="minorEastAsia"/>
          <w:color w:val="auto"/>
          <w:szCs w:val="21"/>
          <w:highlight w:val="none"/>
        </w:rPr>
        <w:t>注：1.需提供项目</w:t>
      </w:r>
      <w:r>
        <w:rPr>
          <w:rFonts w:hint="eastAsia" w:asciiTheme="minorEastAsia" w:hAnsiTheme="minorEastAsia" w:eastAsiaTheme="minorEastAsia" w:cstheme="minorEastAsia"/>
          <w:color w:val="auto"/>
          <w:szCs w:val="21"/>
          <w:highlight w:val="none"/>
          <w:lang w:eastAsia="zh-CN"/>
        </w:rPr>
        <w:t>主要</w:t>
      </w:r>
      <w:r>
        <w:rPr>
          <w:rFonts w:hint="eastAsia" w:asciiTheme="minorEastAsia" w:hAnsiTheme="minorEastAsia" w:eastAsiaTheme="minorEastAsia" w:cstheme="minorEastAsia"/>
          <w:color w:val="auto"/>
          <w:szCs w:val="21"/>
          <w:highlight w:val="none"/>
        </w:rPr>
        <w:t>人员</w:t>
      </w:r>
      <w:r>
        <w:rPr>
          <w:rFonts w:hint="eastAsia" w:asciiTheme="minorEastAsia" w:hAnsiTheme="minorEastAsia" w:eastAsiaTheme="minorEastAsia" w:cstheme="minorEastAsia"/>
          <w:color w:val="auto"/>
          <w:sz w:val="21"/>
          <w:szCs w:val="21"/>
          <w:highlight w:val="none"/>
          <w:lang w:val="en-US" w:eastAsia="zh-CN"/>
        </w:rPr>
        <w:t>2025年2月-2025年7月</w:t>
      </w:r>
      <w:r>
        <w:rPr>
          <w:rFonts w:hint="eastAsia" w:asciiTheme="minorEastAsia" w:hAnsiTheme="minorEastAsia" w:eastAsiaTheme="minorEastAsia" w:cstheme="minorEastAsia"/>
          <w:color w:val="auto"/>
          <w:szCs w:val="21"/>
          <w:highlight w:val="none"/>
        </w:rPr>
        <w:t>社保缴纳凭证及职称证书。</w:t>
      </w:r>
    </w:p>
    <w:p>
      <w:pPr>
        <w:adjustRightInd w:val="0"/>
        <w:snapToGrid w:val="0"/>
        <w:spacing w:line="46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2.中标人为提高效率可增加项目人员，同等岗位需满足以上职称要求，费用不增加。</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作业人员应满足以下配置每次区间开展监测作业，4人为一组，其中2人测量、2人扶尺。操作仪器测量须由高级测量员负责，辅助工作（如立尺等）由其他测量员负责（辅助人员数量由中标人根据项目进度要求自行考虑）。</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2025年，区间每次同时开展监测作业（包含初始值采集）不少于6组，作业人员不少于24人</w:t>
      </w:r>
      <w:r>
        <w:rPr>
          <w:rFonts w:hint="eastAsia" w:asciiTheme="minorEastAsia" w:hAnsiTheme="minorEastAsia" w:eastAsiaTheme="minorEastAsia" w:cstheme="minorEastAsia"/>
          <w:b/>
          <w:bCs/>
          <w:color w:val="auto"/>
          <w:szCs w:val="21"/>
          <w:highlight w:val="none"/>
        </w:rPr>
        <w:t>（高级测量员数量不少于12人）</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 w:val="21"/>
          <w:szCs w:val="21"/>
          <w:highlight w:val="none"/>
          <w:lang w:eastAsia="zh-CN"/>
        </w:rPr>
        <w:t>具体作业点视现场情况，由甲方安排。</w:t>
      </w:r>
    </w:p>
    <w:p>
      <w:pPr>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Cs w:val="21"/>
          <w:highlight w:val="none"/>
        </w:rPr>
        <w:t>2026年，区间每次同时开展监测作业不少于4组，作业人员不少于16人（高级测量员数量不少于</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人）。</w:t>
      </w:r>
      <w:r>
        <w:rPr>
          <w:rFonts w:hint="eastAsia" w:asciiTheme="minorEastAsia" w:hAnsiTheme="minorEastAsia" w:eastAsiaTheme="minorEastAsia" w:cstheme="minorEastAsia"/>
          <w:color w:val="auto"/>
          <w:sz w:val="21"/>
          <w:szCs w:val="21"/>
          <w:highlight w:val="none"/>
          <w:lang w:eastAsia="zh-CN"/>
        </w:rPr>
        <w:t>具体作业点视现场情况，由甲方安排。</w:t>
      </w:r>
    </w:p>
    <w:p>
      <w:pPr>
        <w:adjustRightInd w:val="0"/>
        <w:snapToGrid w:val="0"/>
        <w:spacing w:line="460" w:lineRule="exact"/>
        <w:ind w:firstLine="422" w:firstLineChars="20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注：高级测量员</w:t>
      </w:r>
      <w:r>
        <w:rPr>
          <w:rFonts w:hint="eastAsia" w:asciiTheme="minorEastAsia" w:hAnsiTheme="minorEastAsia" w:eastAsiaTheme="minorEastAsia" w:cstheme="minorEastAsia"/>
          <w:b/>
          <w:bCs/>
          <w:color w:val="auto"/>
          <w:szCs w:val="21"/>
          <w:highlight w:val="none"/>
        </w:rPr>
        <w:t>须具备国家职业资格或职业技能等级三级/高级（或以上）测量员证或具备测量类专业助理工程师（或以上）证书</w:t>
      </w:r>
      <w:r>
        <w:rPr>
          <w:rFonts w:hint="eastAsia" w:asciiTheme="minorEastAsia" w:hAnsiTheme="minorEastAsia" w:eastAsiaTheme="minorEastAsia" w:cstheme="minorEastAsia"/>
          <w:b/>
          <w:bCs/>
          <w:color w:val="auto"/>
          <w:sz w:val="21"/>
          <w:szCs w:val="21"/>
          <w:highlight w:val="none"/>
          <w:lang w:eastAsia="zh-CN"/>
        </w:rPr>
        <w:t>。</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（三）登高作业人员须具备高空作业证。</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（四）中标人应根据项目需要配备足够的人员。如招标人根据项目认为需要增加监测人员，中标人应满足这种要求，费用不作调整。</w:t>
      </w:r>
    </w:p>
    <w:p>
      <w:pPr>
        <w:pStyle w:val="2"/>
        <w:adjustRightInd w:val="0"/>
        <w:snapToGrid w:val="0"/>
        <w:spacing w:before="200" w:after="200" w:line="460" w:lineRule="exact"/>
        <w:ind w:firstLine="422"/>
        <w:rPr>
          <w:rFonts w:hint="eastAsia" w:asciiTheme="minorEastAsia" w:hAnsiTheme="minorEastAsia" w:eastAsiaTheme="minorEastAsia" w:cstheme="minorEastAsia"/>
          <w:color w:val="auto"/>
          <w:sz w:val="21"/>
          <w:szCs w:val="21"/>
          <w:highlight w:val="none"/>
        </w:rPr>
      </w:pPr>
      <w:bookmarkStart w:id="1479" w:name="_Toc988028397"/>
      <w:bookmarkStart w:id="1480" w:name="_Toc13464"/>
      <w:bookmarkStart w:id="1481" w:name="_Toc31294"/>
      <w:bookmarkStart w:id="1482" w:name="_Toc15521"/>
      <w:bookmarkStart w:id="1483" w:name="_Toc5379"/>
      <w:bookmarkStart w:id="1484" w:name="_Toc4786"/>
      <w:bookmarkStart w:id="1485" w:name="_Toc18075"/>
      <w:bookmarkStart w:id="1486" w:name="_Toc10401"/>
      <w:r>
        <w:rPr>
          <w:rFonts w:hint="eastAsia" w:asciiTheme="minorEastAsia" w:hAnsiTheme="minorEastAsia" w:eastAsiaTheme="minorEastAsia" w:cstheme="minorEastAsia"/>
          <w:color w:val="auto"/>
          <w:sz w:val="21"/>
          <w:szCs w:val="21"/>
          <w:highlight w:val="none"/>
        </w:rPr>
        <w:t>六、主要仪器设备要求</w:t>
      </w:r>
      <w:bookmarkEnd w:id="1479"/>
      <w:bookmarkEnd w:id="1480"/>
      <w:bookmarkEnd w:id="1481"/>
      <w:bookmarkEnd w:id="1482"/>
      <w:bookmarkEnd w:id="1483"/>
      <w:bookmarkEnd w:id="1484"/>
      <w:bookmarkEnd w:id="1485"/>
      <w:bookmarkEnd w:id="1486"/>
    </w:p>
    <w:p>
      <w:pPr>
        <w:pStyle w:val="159"/>
        <w:spacing w:line="460" w:lineRule="exact"/>
        <w:ind w:firstLine="480"/>
        <w:rPr>
          <w:rFonts w:hint="eastAsia" w:cs="Times New Roman" w:asciiTheme="minorEastAsia" w:hAnsiTheme="minorEastAsia"/>
          <w:color w:val="auto"/>
          <w:sz w:val="21"/>
          <w:szCs w:val="21"/>
          <w:highlight w:val="none"/>
        </w:rPr>
      </w:pPr>
      <w:r>
        <w:rPr>
          <w:rFonts w:hint="eastAsia" w:cs="Times New Roman" w:asciiTheme="minorEastAsia" w:hAnsiTheme="minorEastAsia"/>
          <w:color w:val="auto"/>
          <w:sz w:val="21"/>
          <w:szCs w:val="21"/>
          <w:highlight w:val="none"/>
        </w:rPr>
        <w:t>中标人须提供满足本项目需求的监测仪器、软件，并提供计划投入本项目的监测仪器的检定合格证明，招标人有权核对中标人在实施监测过程中使用的材料、仪器及分析软件是否符合要求。具体要求如下：</w:t>
      </w:r>
    </w:p>
    <w:tbl>
      <w:tblPr>
        <w:tblStyle w:val="41"/>
        <w:tblW w:w="7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7103"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仪器设备及要求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86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7103"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全站仪至少3套且必须满足完成全线一次完整监测最短持续时间的要求（标称精度为不低于±2″，±（2mm+2</w:t>
            </w:r>
            <w:r>
              <w:rPr>
                <w:rFonts w:hint="eastAsia" w:asciiTheme="minorEastAsia" w:hAnsiTheme="minorEastAsia" w:eastAsiaTheme="minorEastAsia" w:cstheme="minorEastAsia"/>
                <w:snapToGrid w:val="0"/>
                <w:color w:val="auto"/>
                <w:szCs w:val="21"/>
                <w:highlight w:val="none"/>
              </w:rPr>
              <w:t>×</w:t>
            </w:r>
            <w:r>
              <w:rPr>
                <w:rFonts w:hint="eastAsia" w:asciiTheme="minorEastAsia" w:hAnsiTheme="minorEastAsia" w:eastAsiaTheme="minorEastAsia" w:cstheme="minorEastAsia"/>
                <w:color w:val="auto"/>
                <w:szCs w:val="21"/>
                <w:highlight w:val="none"/>
              </w:rPr>
              <w:t>10</w:t>
            </w:r>
            <w:r>
              <w:rPr>
                <w:rFonts w:hint="eastAsia" w:asciiTheme="minorEastAsia" w:hAnsiTheme="minorEastAsia" w:eastAsiaTheme="minorEastAsia" w:cstheme="minorEastAsia"/>
                <w:color w:val="auto"/>
                <w:szCs w:val="21"/>
                <w:highlight w:val="none"/>
                <w:vertAlign w:val="superscript"/>
              </w:rPr>
              <w:t>-6</w:t>
            </w:r>
            <w:r>
              <w:rPr>
                <w:rFonts w:hint="eastAsia" w:asciiTheme="minorEastAsia" w:hAnsiTheme="minorEastAsia" w:eastAsiaTheme="minorEastAsia" w:cstheme="minorEastAsia"/>
                <w:snapToGrid w:val="0"/>
                <w:color w:val="auto"/>
                <w:szCs w:val="21"/>
                <w:highlight w:val="none"/>
              </w:rPr>
              <w:t>×</w:t>
            </w:r>
            <w:r>
              <w:rPr>
                <w:rFonts w:hint="eastAsia" w:asciiTheme="minorEastAsia" w:hAnsiTheme="minorEastAsia" w:eastAsiaTheme="minorEastAsia" w:cstheme="minorEastAsia"/>
                <w:color w:val="auto"/>
                <w:szCs w:val="21"/>
                <w:highlight w:val="none"/>
              </w:rPr>
              <w:t>D）），配套的对点器、反射镜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86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7103"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水准仪至少3套且必须满足完成全线一次完整监测最短持续时间的要求（标称精度为不低于0.5mm/km），配套的铟钢水准标尺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7103"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数据处理及分析软件1套（通过行业主管部门认证）</w:t>
            </w:r>
          </w:p>
        </w:tc>
      </w:tr>
    </w:tbl>
    <w:p>
      <w:pPr>
        <w:pStyle w:val="2"/>
        <w:adjustRightInd w:val="0"/>
        <w:snapToGrid w:val="0"/>
        <w:spacing w:line="460" w:lineRule="exact"/>
        <w:ind w:firstLine="422"/>
        <w:rPr>
          <w:rFonts w:hint="eastAsia" w:asciiTheme="minorEastAsia" w:hAnsiTheme="minorEastAsia" w:eastAsiaTheme="minorEastAsia" w:cstheme="minorEastAsia"/>
          <w:color w:val="auto"/>
          <w:sz w:val="21"/>
          <w:szCs w:val="21"/>
          <w:highlight w:val="none"/>
        </w:rPr>
      </w:pPr>
      <w:bookmarkStart w:id="1487" w:name="_Toc32127"/>
      <w:bookmarkStart w:id="1488" w:name="_Toc23936"/>
      <w:bookmarkStart w:id="1489" w:name="_Toc19671"/>
      <w:bookmarkStart w:id="1490" w:name="_Toc12319"/>
      <w:bookmarkStart w:id="1491" w:name="_Toc1449709775"/>
      <w:bookmarkStart w:id="1492" w:name="_Toc15638"/>
      <w:bookmarkStart w:id="1493" w:name="_Toc2952"/>
      <w:bookmarkStart w:id="1494" w:name="_Toc9517"/>
      <w:r>
        <w:rPr>
          <w:rFonts w:hint="eastAsia" w:asciiTheme="minorEastAsia" w:hAnsiTheme="minorEastAsia" w:eastAsiaTheme="minorEastAsia" w:cstheme="minorEastAsia"/>
          <w:color w:val="auto"/>
          <w:sz w:val="21"/>
          <w:szCs w:val="21"/>
          <w:highlight w:val="none"/>
        </w:rPr>
        <w:t>七、承包方式</w:t>
      </w:r>
      <w:bookmarkEnd w:id="1487"/>
      <w:bookmarkEnd w:id="1488"/>
      <w:bookmarkEnd w:id="1489"/>
      <w:bookmarkEnd w:id="1490"/>
      <w:bookmarkEnd w:id="1491"/>
      <w:bookmarkEnd w:id="1492"/>
      <w:bookmarkEnd w:id="1493"/>
      <w:bookmarkEnd w:id="1494"/>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本项目采取单价包干方式。</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（一）工程量清单采用综合单价计价，综合单价应包含发生的人工</w:t>
      </w:r>
      <w:r>
        <w:rPr>
          <w:rFonts w:hint="eastAsia" w:asciiTheme="minorEastAsia" w:hAnsiTheme="minorEastAsia" w:eastAsiaTheme="minorEastAsia" w:cstheme="minorEastAsia"/>
          <w:color w:val="auto"/>
          <w:szCs w:val="21"/>
          <w:highlight w:val="none"/>
          <w:lang w:val="en-US" w:eastAsia="zh-CN"/>
        </w:rPr>
        <w:t>工资</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pacing w:val="0"/>
          <w:kern w:val="2"/>
          <w:sz w:val="21"/>
          <w:szCs w:val="21"/>
          <w:highlight w:val="none"/>
          <w:lang w:bidi="ar"/>
        </w:rPr>
        <w:t>社保及保险、加班费、</w:t>
      </w:r>
      <w:r>
        <w:rPr>
          <w:rFonts w:hint="eastAsia" w:asciiTheme="minorEastAsia" w:hAnsiTheme="minorEastAsia" w:eastAsiaTheme="minorEastAsia" w:cstheme="minorEastAsia"/>
          <w:color w:val="auto"/>
          <w:szCs w:val="21"/>
          <w:highlight w:val="none"/>
        </w:rPr>
        <w:t>材料</w:t>
      </w:r>
      <w:r>
        <w:rPr>
          <w:rFonts w:hint="eastAsia" w:asciiTheme="minorEastAsia" w:hAnsiTheme="minorEastAsia" w:eastAsiaTheme="minorEastAsia" w:cstheme="minorEastAsia"/>
          <w:color w:val="auto"/>
          <w:spacing w:val="0"/>
          <w:kern w:val="2"/>
          <w:sz w:val="21"/>
          <w:szCs w:val="21"/>
          <w:highlight w:val="none"/>
          <w:lang w:bidi="ar"/>
        </w:rPr>
        <w:t>及辅材</w:t>
      </w:r>
      <w:r>
        <w:rPr>
          <w:rFonts w:hint="eastAsia" w:asciiTheme="minorEastAsia" w:hAnsiTheme="minorEastAsia" w:eastAsiaTheme="minorEastAsia" w:cstheme="minorEastAsia"/>
          <w:color w:val="auto"/>
          <w:szCs w:val="21"/>
          <w:highlight w:val="none"/>
        </w:rPr>
        <w:t>费、</w:t>
      </w:r>
      <w:r>
        <w:rPr>
          <w:rFonts w:hint="eastAsia" w:asciiTheme="minorEastAsia" w:hAnsiTheme="minorEastAsia" w:eastAsiaTheme="minorEastAsia" w:cstheme="minorEastAsia"/>
          <w:color w:val="auto"/>
          <w:szCs w:val="21"/>
          <w:highlight w:val="none"/>
          <w:lang w:val="en-US" w:eastAsia="zh-CN"/>
        </w:rPr>
        <w:t>设备</w:t>
      </w:r>
      <w:r>
        <w:rPr>
          <w:rFonts w:hint="eastAsia" w:asciiTheme="minorEastAsia" w:hAnsiTheme="minorEastAsia" w:eastAsiaTheme="minorEastAsia" w:cstheme="minorEastAsia"/>
          <w:color w:val="auto"/>
          <w:szCs w:val="21"/>
          <w:highlight w:val="none"/>
        </w:rPr>
        <w:t>费、</w:t>
      </w:r>
      <w:r>
        <w:rPr>
          <w:rFonts w:hint="eastAsia" w:asciiTheme="minorEastAsia" w:hAnsiTheme="minorEastAsia" w:eastAsiaTheme="minorEastAsia" w:cstheme="minorEastAsia"/>
          <w:color w:val="auto"/>
          <w:szCs w:val="21"/>
          <w:highlight w:val="none"/>
          <w:lang w:val="en-US" w:eastAsia="zh-CN"/>
        </w:rPr>
        <w:t>专家费、税金、措施费等</w:t>
      </w:r>
      <w:r>
        <w:rPr>
          <w:rFonts w:hint="eastAsia" w:asciiTheme="minorEastAsia" w:hAnsiTheme="minorEastAsia" w:eastAsiaTheme="minorEastAsia" w:cstheme="minorEastAsia"/>
          <w:color w:val="auto"/>
          <w:spacing w:val="0"/>
          <w:kern w:val="2"/>
          <w:sz w:val="21"/>
          <w:szCs w:val="21"/>
          <w:highlight w:val="none"/>
          <w:lang w:bidi="ar"/>
        </w:rPr>
        <w:t>与本项目相关的其它一切可预见及不可预见费用</w:t>
      </w:r>
      <w:r>
        <w:rPr>
          <w:rFonts w:hint="eastAsia" w:asciiTheme="minorEastAsia" w:hAnsiTheme="minorEastAsia" w:eastAsiaTheme="minorEastAsia" w:cstheme="minorEastAsia"/>
          <w:color w:val="auto"/>
          <w:szCs w:val="21"/>
          <w:highlight w:val="none"/>
        </w:rPr>
        <w:t>。</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（二）工程量以实际发生为准。</w:t>
      </w:r>
      <w:r>
        <w:rPr>
          <w:rFonts w:hint="eastAsia" w:asciiTheme="minorEastAsia" w:hAnsiTheme="minorEastAsia" w:eastAsiaTheme="minorEastAsia" w:cstheme="minorEastAsia"/>
          <w:color w:val="auto"/>
          <w:sz w:val="21"/>
          <w:szCs w:val="21"/>
          <w:highlight w:val="none"/>
          <w:lang w:val="en-US" w:eastAsia="zh-CN"/>
        </w:rPr>
        <w:t>临时进行的小范围加密监测，费用不做调整。</w:t>
      </w:r>
      <w:r>
        <w:rPr>
          <w:rFonts w:hint="eastAsia" w:asciiTheme="minorEastAsia" w:hAnsiTheme="minorEastAsia" w:eastAsiaTheme="minorEastAsia" w:cstheme="minorEastAsia"/>
          <w:color w:val="auto"/>
          <w:szCs w:val="21"/>
          <w:highlight w:val="none"/>
        </w:rPr>
        <w:t>当线路结构存在病害或处在软土地基等区段时，招标人要求加密监测的，另行采用专项监测，不计入本项目工程量。</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（三）建设期由第三方监测单位布设的监测点及监测所需费用不包含在本项目。</w:t>
      </w:r>
    </w:p>
    <w:p>
      <w:pPr>
        <w:pStyle w:val="2"/>
        <w:adjustRightInd w:val="0"/>
        <w:snapToGrid w:val="0"/>
        <w:spacing w:before="200" w:after="200" w:line="460" w:lineRule="exact"/>
        <w:ind w:firstLine="422"/>
        <w:rPr>
          <w:rFonts w:hint="eastAsia" w:asciiTheme="minorEastAsia" w:hAnsiTheme="minorEastAsia" w:eastAsiaTheme="minorEastAsia" w:cstheme="minorEastAsia"/>
          <w:color w:val="auto"/>
          <w:sz w:val="21"/>
          <w:szCs w:val="21"/>
          <w:highlight w:val="none"/>
        </w:rPr>
      </w:pPr>
      <w:bookmarkStart w:id="1495" w:name="_Toc27565"/>
      <w:bookmarkStart w:id="1496" w:name="_Toc15209"/>
      <w:bookmarkStart w:id="1497" w:name="_Toc28860"/>
      <w:bookmarkStart w:id="1498" w:name="_Toc30002"/>
      <w:bookmarkStart w:id="1499" w:name="_Toc23268"/>
      <w:bookmarkStart w:id="1500" w:name="_Toc2070213210"/>
      <w:bookmarkStart w:id="1501" w:name="_Toc8130"/>
      <w:bookmarkStart w:id="1502" w:name="_Toc31707"/>
      <w:r>
        <w:rPr>
          <w:rFonts w:hint="eastAsia" w:asciiTheme="minorEastAsia" w:hAnsiTheme="minorEastAsia" w:eastAsiaTheme="minorEastAsia" w:cstheme="minorEastAsia"/>
          <w:color w:val="auto"/>
          <w:sz w:val="21"/>
          <w:szCs w:val="21"/>
          <w:highlight w:val="none"/>
        </w:rPr>
        <w:t>八、技术要求</w:t>
      </w:r>
      <w:bookmarkEnd w:id="1474"/>
      <w:bookmarkEnd w:id="1475"/>
      <w:bookmarkEnd w:id="1495"/>
      <w:bookmarkEnd w:id="1496"/>
      <w:bookmarkEnd w:id="1497"/>
      <w:bookmarkEnd w:id="1498"/>
      <w:bookmarkEnd w:id="1499"/>
      <w:bookmarkEnd w:id="1500"/>
      <w:bookmarkEnd w:id="1501"/>
      <w:bookmarkEnd w:id="1502"/>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bookmarkStart w:id="1503" w:name="_Toc299710670"/>
      <w:bookmarkStart w:id="1504" w:name="_Toc298668602"/>
      <w:r>
        <w:rPr>
          <w:rFonts w:hint="eastAsia" w:asciiTheme="minorEastAsia" w:hAnsiTheme="minorEastAsia" w:eastAsiaTheme="minorEastAsia" w:cstheme="minorEastAsia"/>
          <w:color w:val="auto"/>
          <w:szCs w:val="21"/>
          <w:highlight w:val="none"/>
        </w:rPr>
        <w:t>（一）监测目的</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1.掌握1号线运营后车辆荷载和运行对车站和区间隧道结构及轨道线路的影响，为设备的安全提供及时准确的监测信息，保证轨道交通正常运营。</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2.掌握1号线沿线外部施工对地铁车站和区间隧道结构及轨道线路的影响。</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3.掌握高架车站、主所、场段建筑物工后沉降情况及高边坡结构稳定情况。</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4.掌握东莞轨道交通长期运营地下结构及轨道线路的形变规律，积累技术经验，为1号线安全运营提供技术保障和决策依据。</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（二）监测频率</w:t>
      </w:r>
    </w:p>
    <w:bookmarkEnd w:id="1503"/>
    <w:bookmarkEnd w:id="1504"/>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隧道竖向位移监测、断面收敛监测，桥梁墩台沉降监测、梁体竖向与横向变形监测，高架车站、主所、场段建筑沉降监测，永久边坡竖向位移和水平位移监测的监测频率如下：</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1.线路试运行前完成初始值采集，如建设期已布设监测点，则沿用建设期的初始值并继承前期变形值。</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2.线路试运行期间隧道、桥梁、高架车站、主所、场段建筑、边坡监测1次。</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3.初期运营第一年内隧道、桥梁、高架车站、主所、场段建筑监测频次1次/6个月，第二年内监测频次1次/年；边坡监测频次1次/1个月，每年3月-9月及12月开展。</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注：1）各监测周期时间间隔须基本均衡（不含边坡监测），监测时间间隔差不得大于1个月。</w:t>
      </w:r>
    </w:p>
    <w:p>
      <w:pPr>
        <w:numPr>
          <w:ilvl w:val="0"/>
          <w:numId w:val="5"/>
        </w:num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完成全线一次完整的监测（不含边坡监测），其持续时间不得超过2个月，特殊情况下不得超过3个月。</w:t>
      </w:r>
    </w:p>
    <w:p>
      <w:pPr>
        <w:numPr>
          <w:ilvl w:val="0"/>
          <w:numId w:val="5"/>
        </w:num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当线路结构存在病害或处在软土地基等区段时，应根据招标人要求提高监测频率。</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bookmarkStart w:id="1505" w:name="_Toc415665093"/>
      <w:bookmarkStart w:id="1506" w:name="_Toc415664492"/>
      <w:bookmarkStart w:id="1507" w:name="_Toc19282"/>
      <w:r>
        <w:rPr>
          <w:rFonts w:hint="eastAsia" w:asciiTheme="minorEastAsia" w:hAnsiTheme="minorEastAsia" w:eastAsiaTheme="minorEastAsia" w:cstheme="minorEastAsia"/>
          <w:color w:val="auto"/>
          <w:szCs w:val="21"/>
          <w:highlight w:val="none"/>
        </w:rPr>
        <w:t>（三）监测点</w:t>
      </w:r>
      <w:bookmarkEnd w:id="1505"/>
      <w:bookmarkEnd w:id="1506"/>
      <w:r>
        <w:rPr>
          <w:rFonts w:hint="eastAsia" w:asciiTheme="minorEastAsia" w:hAnsiTheme="minorEastAsia" w:eastAsiaTheme="minorEastAsia" w:cstheme="minorEastAsia"/>
          <w:color w:val="auto"/>
          <w:szCs w:val="21"/>
          <w:highlight w:val="none"/>
        </w:rPr>
        <w:t>布设</w:t>
      </w:r>
      <w:bookmarkEnd w:id="1507"/>
    </w:p>
    <w:p>
      <w:pPr>
        <w:widowControl w:val="0"/>
        <w:adjustRightInd w:val="0"/>
        <w:snapToGrid w:val="0"/>
        <w:spacing w:line="460" w:lineRule="exact"/>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基准点及工作基点坐标系统和高程基准采用珠江坐标系和85高程基准，原则上使用建设期的基准点、监测点。区间测点编号前贯区间或车站名，左线为单数号、右线为双数号，监测点号规范地喷印于侧墙或道床上。</w:t>
      </w:r>
    </w:p>
    <w:p>
      <w:pPr>
        <w:widowControl w:val="0"/>
        <w:adjustRightInd w:val="0"/>
        <w:snapToGrid w:val="0"/>
        <w:spacing w:line="460" w:lineRule="exact"/>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2.隧道监测点按下列要求确定：</w:t>
      </w:r>
    </w:p>
    <w:p>
      <w:pPr>
        <w:widowControl w:val="0"/>
        <w:adjustRightInd w:val="0"/>
        <w:snapToGrid w:val="0"/>
        <w:spacing w:line="460" w:lineRule="exact"/>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1）明（盖）挖法隧道</w:t>
      </w:r>
    </w:p>
    <w:p>
      <w:pPr>
        <w:widowControl w:val="0"/>
        <w:adjustRightInd w:val="0"/>
        <w:snapToGrid w:val="0"/>
        <w:spacing w:line="460" w:lineRule="exact"/>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竖向位移监测点按50m布设1个，在变形缝两侧、区间与车站两侧应布设监测点。</w:t>
      </w:r>
    </w:p>
    <w:p>
      <w:pPr>
        <w:widowControl w:val="0"/>
        <w:adjustRightInd w:val="0"/>
        <w:snapToGrid w:val="0"/>
        <w:spacing w:line="460" w:lineRule="exact"/>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车站、中间风井及U型槽范围不设置净空收敛监测点。</w:t>
      </w:r>
    </w:p>
    <w:p>
      <w:pPr>
        <w:widowControl w:val="0"/>
        <w:numPr>
          <w:ilvl w:val="0"/>
          <w:numId w:val="6"/>
        </w:numPr>
        <w:adjustRightInd w:val="0"/>
        <w:snapToGrid w:val="0"/>
        <w:spacing w:line="460" w:lineRule="exact"/>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矿山法隧道</w:t>
      </w:r>
    </w:p>
    <w:p>
      <w:pPr>
        <w:widowControl w:val="0"/>
        <w:adjustRightInd w:val="0"/>
        <w:snapToGrid w:val="0"/>
        <w:spacing w:line="460" w:lineRule="exact"/>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竖向位移监测点按20m布设1个，在变形缝两侧应布设监测点。</w:t>
      </w:r>
    </w:p>
    <w:p>
      <w:pPr>
        <w:widowControl w:val="0"/>
        <w:numPr>
          <w:ilvl w:val="255"/>
          <w:numId w:val="0"/>
        </w:numPr>
        <w:adjustRightInd w:val="0"/>
        <w:snapToGrid w:val="0"/>
        <w:spacing w:line="460" w:lineRule="exact"/>
        <w:ind w:firstLine="42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净空收敛监测断面每40m布设1个，在隧洞进出洞位置各布设1个，每个断面应布设水平和竖向两条测线。</w:t>
      </w:r>
    </w:p>
    <w:p>
      <w:pPr>
        <w:widowControl w:val="0"/>
        <w:numPr>
          <w:ilvl w:val="0"/>
          <w:numId w:val="6"/>
        </w:numPr>
        <w:adjustRightInd w:val="0"/>
        <w:snapToGrid w:val="0"/>
        <w:spacing w:line="460" w:lineRule="exact"/>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盾构法隧道</w:t>
      </w:r>
    </w:p>
    <w:p>
      <w:pPr>
        <w:widowControl w:val="0"/>
        <w:numPr>
          <w:ilvl w:val="255"/>
          <w:numId w:val="0"/>
        </w:numPr>
        <w:adjustRightInd w:val="0"/>
        <w:snapToGrid w:val="0"/>
        <w:spacing w:line="460" w:lineRule="exact"/>
        <w:ind w:firstLine="42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竖向位移监测点每50m布设1个。</w:t>
      </w:r>
    </w:p>
    <w:p>
      <w:pPr>
        <w:widowControl w:val="0"/>
        <w:numPr>
          <w:ilvl w:val="255"/>
          <w:numId w:val="0"/>
        </w:numPr>
        <w:adjustRightInd w:val="0"/>
        <w:snapToGrid w:val="0"/>
        <w:spacing w:line="460" w:lineRule="exact"/>
        <w:ind w:firstLine="42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净空收敛监测断面每50m布设1个，与竖向位移监测断面一致，每个断面布设水平和竖向两条测线。</w:t>
      </w:r>
    </w:p>
    <w:p>
      <w:pPr>
        <w:widowControl w:val="0"/>
        <w:numPr>
          <w:ilvl w:val="255"/>
          <w:numId w:val="0"/>
        </w:numPr>
        <w:adjustRightInd w:val="0"/>
        <w:snapToGrid w:val="0"/>
        <w:spacing w:line="460" w:lineRule="exact"/>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盾构区间隧道的第一环、最后一环及联络通道位置应布设监测断面。</w:t>
      </w:r>
    </w:p>
    <w:p>
      <w:pPr>
        <w:widowControl w:val="0"/>
        <w:numPr>
          <w:ilvl w:val="0"/>
          <w:numId w:val="6"/>
        </w:numPr>
        <w:adjustRightInd w:val="0"/>
        <w:snapToGrid w:val="0"/>
        <w:spacing w:line="460" w:lineRule="exact"/>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区间附属结构</w:t>
      </w:r>
    </w:p>
    <w:p>
      <w:pPr>
        <w:widowControl w:val="0"/>
        <w:numPr>
          <w:ilvl w:val="255"/>
          <w:numId w:val="0"/>
        </w:numPr>
        <w:adjustRightInd w:val="0"/>
        <w:snapToGrid w:val="0"/>
        <w:spacing w:line="460" w:lineRule="exact"/>
        <w:ind w:firstLine="420" w:firstLineChars="200"/>
        <w:rPr>
          <w:rFonts w:hint="eastAsia" w:asciiTheme="minorEastAsia" w:hAnsiTheme="minorEastAsia" w:eastAsiaTheme="minorEastAsia" w:cstheme="minorEastAsia"/>
          <w:color w:val="auto"/>
          <w:szCs w:val="24"/>
          <w:highlight w:val="none"/>
        </w:rPr>
      </w:pPr>
      <w:r>
        <w:rPr>
          <w:rFonts w:asciiTheme="minorEastAsia" w:hAnsiTheme="minorEastAsia" w:eastAsiaTheme="minorEastAsia" w:cstheme="minorEastAsia"/>
          <w:color w:val="auto"/>
          <w:szCs w:val="24"/>
          <w:highlight w:val="none"/>
        </w:rPr>
        <w:t>竖向位移监测点在联络通道中部布设1个</w:t>
      </w:r>
      <w:r>
        <w:rPr>
          <w:rFonts w:hint="eastAsia" w:asciiTheme="minorEastAsia" w:hAnsiTheme="minorEastAsia" w:eastAsiaTheme="minorEastAsia" w:cstheme="minorEastAsia"/>
          <w:color w:val="auto"/>
          <w:szCs w:val="24"/>
          <w:highlight w:val="none"/>
        </w:rPr>
        <w:t>，</w:t>
      </w:r>
      <w:r>
        <w:rPr>
          <w:rFonts w:asciiTheme="minorEastAsia" w:hAnsiTheme="minorEastAsia" w:eastAsiaTheme="minorEastAsia" w:cstheme="minorEastAsia"/>
          <w:color w:val="auto"/>
          <w:szCs w:val="24"/>
          <w:highlight w:val="none"/>
        </w:rPr>
        <w:t>在联络通道和区间隧道衔接处两侧各布设1个，在风井等附属结构上布设不少于1个</w:t>
      </w:r>
      <w:r>
        <w:rPr>
          <w:rFonts w:hint="eastAsia" w:asciiTheme="minorEastAsia" w:hAnsiTheme="minorEastAsia" w:eastAsiaTheme="minorEastAsia" w:cstheme="minorEastAsia"/>
          <w:color w:val="auto"/>
          <w:szCs w:val="24"/>
          <w:highlight w:val="none"/>
        </w:rPr>
        <w:t>。</w:t>
      </w:r>
    </w:p>
    <w:p>
      <w:pPr>
        <w:widowControl w:val="0"/>
        <w:numPr>
          <w:ilvl w:val="255"/>
          <w:numId w:val="0"/>
        </w:numPr>
        <w:adjustRightInd w:val="0"/>
        <w:snapToGrid w:val="0"/>
        <w:spacing w:line="460" w:lineRule="exact"/>
        <w:ind w:firstLine="420" w:firstLineChars="200"/>
        <w:rPr>
          <w:rFonts w:hint="eastAsia" w:asciiTheme="minorEastAsia" w:hAnsiTheme="minorEastAsia" w:eastAsiaTheme="minorEastAsia" w:cstheme="minorEastAsia"/>
          <w:color w:val="auto"/>
          <w:szCs w:val="24"/>
          <w:highlight w:val="none"/>
        </w:rPr>
      </w:pPr>
      <w:r>
        <w:rPr>
          <w:rFonts w:asciiTheme="minorEastAsia" w:hAnsiTheme="minorEastAsia" w:eastAsiaTheme="minorEastAsia" w:cstheme="minorEastAsia"/>
          <w:color w:val="auto"/>
          <w:szCs w:val="24"/>
          <w:highlight w:val="none"/>
        </w:rPr>
        <w:t>净空收敛监测断面在联络通道两端各布设1个，每个断面应布设水平和竖向两条测线。</w:t>
      </w:r>
    </w:p>
    <w:p>
      <w:pPr>
        <w:widowControl w:val="0"/>
        <w:numPr>
          <w:ilvl w:val="255"/>
          <w:numId w:val="0"/>
        </w:numPr>
        <w:adjustRightInd w:val="0"/>
        <w:snapToGrid w:val="0"/>
        <w:spacing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5）隧道竖向位移监测点埋设Ф16×80带螺纹的铜螺杆，埋设于道床中间，有的区间由于施工影响点位埋设偏离道床中央，铜螺杆面高出道床面要小于6mm，不得妨碍人员紧急疏散。 </w:t>
      </w:r>
    </w:p>
    <w:p>
      <w:pPr>
        <w:widowControl w:val="0"/>
        <w:adjustRightInd w:val="0"/>
        <w:snapToGrid w:val="0"/>
        <w:spacing w:line="460" w:lineRule="exact"/>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6）收敛监测点采用75×75×15mm 的L型小棱镜，然后用冲击钻钻孔后用φ10×90mm的膨胀螺丝将其固定于隧道顶部、两侧及底部，安装时棱镜反光面背对着列车前进方向，以免影响驾驶员的视线。断面收敛监测应根据现场L型棱镜参数进行设置。</w:t>
      </w:r>
    </w:p>
    <w:p>
      <w:pPr>
        <w:widowControl w:val="0"/>
        <w:adjustRightInd w:val="0"/>
        <w:snapToGrid w:val="0"/>
        <w:spacing w:line="460" w:lineRule="exact"/>
        <w:ind w:firstLine="42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3.桥梁监测点按下列要求确定：</w:t>
      </w:r>
    </w:p>
    <w:p>
      <w:pPr>
        <w:widowControl w:val="0"/>
        <w:adjustRightInd w:val="0"/>
        <w:snapToGrid w:val="0"/>
        <w:spacing w:line="460" w:lineRule="exact"/>
        <w:ind w:firstLine="42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1）每个桥墩设2个竖向位移监测点，分布桥墩两侧，监测点离地面约0.5米高（建设期有监测点，不再新设）。</w:t>
      </w:r>
    </w:p>
    <w:p>
      <w:pPr>
        <w:widowControl w:val="0"/>
        <w:adjustRightInd w:val="0"/>
        <w:snapToGrid w:val="0"/>
        <w:spacing w:line="460" w:lineRule="exact"/>
        <w:ind w:firstLine="42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2）梁体竖向与横向变形监测断面，每跨（跨中、L/4、支点位置）布设5个断面（每个断面左右各1个监测点），连续梁中间支点只布设1个断面（相邻两孔共用）。</w:t>
      </w:r>
    </w:p>
    <w:p>
      <w:pPr>
        <w:adjustRightInd w:val="0"/>
        <w:snapToGrid w:val="0"/>
        <w:spacing w:line="400" w:lineRule="exact"/>
        <w:ind w:firstLine="42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3）梁体竖向和横向变形监测共点，监测点材质为不锈钢或铜，顶部为球形，并刻对中记号，埋设于道床中部。</w:t>
      </w:r>
    </w:p>
    <w:p>
      <w:pPr>
        <w:numPr>
          <w:ilvl w:val="255"/>
          <w:numId w:val="0"/>
        </w:numPr>
        <w:adjustRightInd w:val="0"/>
        <w:snapToGrid w:val="0"/>
        <w:spacing w:line="460" w:lineRule="exact"/>
        <w:ind w:firstLine="42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4.建筑物监测点按下列要求确定：</w:t>
      </w:r>
    </w:p>
    <w:p>
      <w:pPr>
        <w:numPr>
          <w:ilvl w:val="255"/>
          <w:numId w:val="0"/>
        </w:numPr>
        <w:adjustRightInd w:val="0"/>
        <w:snapToGrid w:val="0"/>
        <w:spacing w:line="460" w:lineRule="exact"/>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高架车站、主所、场段建筑监测点均沿用建设期监测点。</w:t>
      </w:r>
    </w:p>
    <w:p>
      <w:pPr>
        <w:numPr>
          <w:ilvl w:val="255"/>
          <w:numId w:val="0"/>
        </w:numPr>
        <w:adjustRightInd w:val="0"/>
        <w:snapToGrid w:val="0"/>
        <w:spacing w:line="460" w:lineRule="exact"/>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5.边坡监测点按下列要求确定：</w:t>
      </w:r>
    </w:p>
    <w:p>
      <w:pPr>
        <w:numPr>
          <w:ilvl w:val="255"/>
          <w:numId w:val="0"/>
        </w:numPr>
        <w:adjustRightInd w:val="0"/>
        <w:snapToGrid w:val="0"/>
        <w:spacing w:line="460" w:lineRule="exact"/>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边坡监测点沿用建设期监测点。</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6.监测点在本项目实施过程中遭到破坏需重新埋设监测点，由中标人负责监测点的恢复工作，招标人不再另行增加费用，中标人在报价时应充分考虑监测点被破坏需要恢复的费用。</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（四）监测技术要求 </w:t>
      </w:r>
    </w:p>
    <w:p>
      <w:pPr>
        <w:adjustRightInd w:val="0"/>
        <w:snapToGrid w:val="0"/>
        <w:spacing w:line="460" w:lineRule="exact"/>
        <w:ind w:firstLine="420"/>
        <w:rPr>
          <w:rFonts w:hint="eastAsia" w:asciiTheme="minorEastAsia" w:hAnsiTheme="minorEastAsia" w:eastAsiaTheme="minorEastAsia" w:cstheme="minorEastAsia"/>
          <w:snapToGrid w:val="0"/>
          <w:color w:val="auto"/>
          <w:szCs w:val="24"/>
          <w:highlight w:val="none"/>
        </w:rPr>
      </w:pPr>
      <w:r>
        <w:rPr>
          <w:rFonts w:hint="eastAsia" w:asciiTheme="minorEastAsia" w:hAnsiTheme="minorEastAsia" w:eastAsiaTheme="minorEastAsia" w:cstheme="minorEastAsia"/>
          <w:snapToGrid w:val="0"/>
          <w:color w:val="auto"/>
          <w:szCs w:val="24"/>
          <w:highlight w:val="none"/>
        </w:rPr>
        <w:t>本监测项目主要技术要求及指标按《城市轨道交通工程测量规范》（GB/T 50308-2017）第15章中划分的Ⅱ等变形测量要求执行（如有新版的行业测量技术规范，需按新标准执行）。具体如下表：</w:t>
      </w:r>
    </w:p>
    <w:p>
      <w:pPr>
        <w:adjustRightInd w:val="0"/>
        <w:snapToGrid w:val="0"/>
        <w:spacing w:line="460" w:lineRule="exact"/>
        <w:jc w:val="center"/>
        <w:rPr>
          <w:rFonts w:hint="eastAsia"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表1：Ⅱ等变形测量精度要求和适用范围</w:t>
      </w:r>
    </w:p>
    <w:tbl>
      <w:tblPr>
        <w:tblStyle w:val="41"/>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1830"/>
        <w:gridCol w:w="1744"/>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blHeader/>
          <w:jc w:val="center"/>
        </w:trPr>
        <w:tc>
          <w:tcPr>
            <w:tcW w:w="3476" w:type="dxa"/>
            <w:gridSpan w:val="2"/>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垂直位移监测</w:t>
            </w:r>
          </w:p>
        </w:tc>
        <w:tc>
          <w:tcPr>
            <w:tcW w:w="1744"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水平位移监测</w:t>
            </w:r>
          </w:p>
        </w:tc>
        <w:tc>
          <w:tcPr>
            <w:tcW w:w="288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2" w:hRule="atLeast"/>
          <w:tblHeader/>
          <w:jc w:val="center"/>
        </w:trPr>
        <w:tc>
          <w:tcPr>
            <w:tcW w:w="1646"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变形监测点的高程中误差（mm）</w:t>
            </w:r>
          </w:p>
        </w:tc>
        <w:tc>
          <w:tcPr>
            <w:tcW w:w="183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相邻变形点高差中误差（mm）</w:t>
            </w:r>
          </w:p>
        </w:tc>
        <w:tc>
          <w:tcPr>
            <w:tcW w:w="1744"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变形监测点的点位</w:t>
            </w:r>
          </w:p>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中误差（mm）</w:t>
            </w:r>
          </w:p>
        </w:tc>
        <w:tc>
          <w:tcPr>
            <w:tcW w:w="2880"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运营线路轨道、道床和混凝土结构以及有中等精度要求的监测对象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jc w:val="center"/>
        </w:trPr>
        <w:tc>
          <w:tcPr>
            <w:tcW w:w="1646"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±0.5</w:t>
            </w:r>
          </w:p>
        </w:tc>
        <w:tc>
          <w:tcPr>
            <w:tcW w:w="183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±0.3</w:t>
            </w:r>
          </w:p>
        </w:tc>
        <w:tc>
          <w:tcPr>
            <w:tcW w:w="1744"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±3.0</w:t>
            </w:r>
          </w:p>
        </w:tc>
        <w:tc>
          <w:tcPr>
            <w:tcW w:w="2880"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p>
        </w:tc>
      </w:tr>
    </w:tbl>
    <w:p>
      <w:pPr>
        <w:adjustRightInd w:val="0"/>
        <w:snapToGrid w:val="0"/>
        <w:spacing w:line="400" w:lineRule="exact"/>
        <w:rPr>
          <w:rFonts w:hint="eastAsia" w:asciiTheme="minorEastAsia" w:hAnsiTheme="minorEastAsia" w:eastAsiaTheme="minorEastAsia" w:cstheme="minorEastAsia"/>
          <w:snapToGrid w:val="0"/>
          <w:color w:val="auto"/>
          <w:highlight w:val="none"/>
        </w:rPr>
      </w:pPr>
    </w:p>
    <w:p>
      <w:pPr>
        <w:adjustRightInd w:val="0"/>
        <w:snapToGrid w:val="0"/>
        <w:spacing w:line="400" w:lineRule="exact"/>
        <w:jc w:val="center"/>
        <w:rPr>
          <w:rFonts w:hint="eastAsia"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表2：Ⅱ等水平位移监测的技术要求和监测方法</w:t>
      </w:r>
    </w:p>
    <w:tbl>
      <w:tblPr>
        <w:tblStyle w:val="41"/>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1830"/>
        <w:gridCol w:w="4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blHeader/>
          <w:jc w:val="center"/>
        </w:trPr>
        <w:tc>
          <w:tcPr>
            <w:tcW w:w="1646"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变形监测点的点位中误差（mm）</w:t>
            </w:r>
          </w:p>
        </w:tc>
        <w:tc>
          <w:tcPr>
            <w:tcW w:w="183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坐标较差或两次测量较差（mm）</w:t>
            </w:r>
          </w:p>
        </w:tc>
        <w:tc>
          <w:tcPr>
            <w:tcW w:w="4624" w:type="dxa"/>
            <w:shd w:val="clear" w:color="auto" w:fill="auto"/>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监测方法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jc w:val="center"/>
        </w:trPr>
        <w:tc>
          <w:tcPr>
            <w:tcW w:w="1646"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±3.0</w:t>
            </w:r>
          </w:p>
        </w:tc>
        <w:tc>
          <w:tcPr>
            <w:tcW w:w="183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4</w:t>
            </w:r>
          </w:p>
        </w:tc>
        <w:tc>
          <w:tcPr>
            <w:tcW w:w="4624" w:type="dxa"/>
            <w:shd w:val="clear" w:color="auto" w:fill="auto"/>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极坐标法、交会法等、基准线法、投点法以及位移计等</w:t>
            </w:r>
          </w:p>
        </w:tc>
      </w:tr>
    </w:tbl>
    <w:p>
      <w:pPr>
        <w:adjustRightInd w:val="0"/>
        <w:snapToGrid w:val="0"/>
        <w:spacing w:line="400" w:lineRule="exact"/>
        <w:rPr>
          <w:rFonts w:hint="eastAsia" w:asciiTheme="minorEastAsia" w:hAnsiTheme="minorEastAsia" w:eastAsiaTheme="minorEastAsia" w:cstheme="minorEastAsia"/>
          <w:snapToGrid w:val="0"/>
          <w:color w:val="auto"/>
          <w:highlight w:val="none"/>
        </w:rPr>
      </w:pPr>
    </w:p>
    <w:p>
      <w:pPr>
        <w:adjustRightInd w:val="0"/>
        <w:snapToGrid w:val="0"/>
        <w:spacing w:line="400" w:lineRule="exact"/>
        <w:jc w:val="center"/>
        <w:rPr>
          <w:rFonts w:hint="eastAsia"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表3：Ⅱ等垂直位移监测点技术要求和监测方法</w:t>
      </w:r>
    </w:p>
    <w:tbl>
      <w:tblPr>
        <w:tblStyle w:val="41"/>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126"/>
        <w:gridCol w:w="2126"/>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24"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变形监测点的高程中误差（mm）</w:t>
            </w:r>
          </w:p>
        </w:tc>
        <w:tc>
          <w:tcPr>
            <w:tcW w:w="2126"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相邻点高差中误差     （mm）</w:t>
            </w:r>
          </w:p>
        </w:tc>
        <w:tc>
          <w:tcPr>
            <w:tcW w:w="2126"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往返较差，附合或环线闭合差（mm）</w:t>
            </w:r>
          </w:p>
        </w:tc>
        <w:tc>
          <w:tcPr>
            <w:tcW w:w="1824"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主要监测方法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24"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±0.5</w:t>
            </w:r>
          </w:p>
        </w:tc>
        <w:tc>
          <w:tcPr>
            <w:tcW w:w="2126"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±0.3</w:t>
            </w:r>
          </w:p>
        </w:tc>
        <w:tc>
          <w:tcPr>
            <w:tcW w:w="2126"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0.30</w:t>
            </w:r>
            <w:r>
              <w:rPr>
                <w:rFonts w:hint="eastAsia" w:asciiTheme="minorEastAsia" w:hAnsiTheme="minorEastAsia" w:eastAsiaTheme="minorEastAsia" w:cstheme="minorEastAsia"/>
                <w:color w:val="auto"/>
                <w:position w:val="-8"/>
                <w:sz w:val="18"/>
                <w:szCs w:val="18"/>
                <w:highlight w:val="none"/>
              </w:rPr>
              <w:object>
                <v:shape id="_x0000_i1025" o:spt="75" type="#_x0000_t75" style="height:18pt;width:18.9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tc>
        <w:tc>
          <w:tcPr>
            <w:tcW w:w="1824"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二等水准测量</w:t>
            </w:r>
          </w:p>
        </w:tc>
      </w:tr>
    </w:tbl>
    <w:p>
      <w:pPr>
        <w:adjustRightInd w:val="0"/>
        <w:snapToGrid w:val="0"/>
        <w:spacing w:line="400" w:lineRule="exact"/>
        <w:rPr>
          <w:rFonts w:hint="eastAsia"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注：n为测站数</w:t>
      </w:r>
    </w:p>
    <w:p>
      <w:pPr>
        <w:adjustRightInd w:val="0"/>
        <w:snapToGrid w:val="0"/>
        <w:spacing w:line="400" w:lineRule="exact"/>
        <w:rPr>
          <w:rFonts w:hint="eastAsia" w:asciiTheme="minorEastAsia" w:hAnsiTheme="minorEastAsia" w:eastAsiaTheme="minorEastAsia" w:cstheme="minorEastAsia"/>
          <w:snapToGrid w:val="0"/>
          <w:color w:val="auto"/>
          <w:highlight w:val="none"/>
        </w:rPr>
      </w:pPr>
    </w:p>
    <w:p>
      <w:pPr>
        <w:adjustRightInd w:val="0"/>
        <w:snapToGrid w:val="0"/>
        <w:spacing w:line="400" w:lineRule="exact"/>
        <w:jc w:val="center"/>
        <w:rPr>
          <w:rFonts w:hint="eastAsia"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表4：Ⅱ等水平位移监测控制网主要技术要求</w:t>
      </w:r>
    </w:p>
    <w:tbl>
      <w:tblPr>
        <w:tblStyle w:val="41"/>
        <w:tblW w:w="8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058"/>
        <w:gridCol w:w="1043"/>
        <w:gridCol w:w="1115"/>
        <w:gridCol w:w="1604"/>
        <w:gridCol w:w="701"/>
        <w:gridCol w:w="720"/>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39" w:type="dxa"/>
            <w:vMerge w:val="restar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相邻基准点的点位中误差（mm）</w:t>
            </w:r>
          </w:p>
        </w:tc>
        <w:tc>
          <w:tcPr>
            <w:tcW w:w="1058" w:type="dxa"/>
            <w:vMerge w:val="restar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平均边长     （m）</w:t>
            </w:r>
          </w:p>
        </w:tc>
        <w:tc>
          <w:tcPr>
            <w:tcW w:w="1043" w:type="dxa"/>
            <w:vMerge w:val="restar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测角</w:t>
            </w:r>
          </w:p>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中误差     （″）</w:t>
            </w:r>
          </w:p>
        </w:tc>
        <w:tc>
          <w:tcPr>
            <w:tcW w:w="1115" w:type="dxa"/>
            <w:vMerge w:val="restar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最弱边相对中误差</w:t>
            </w:r>
          </w:p>
        </w:tc>
        <w:tc>
          <w:tcPr>
            <w:tcW w:w="1604" w:type="dxa"/>
            <w:vMerge w:val="restar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全站仪标称精度</w:t>
            </w:r>
          </w:p>
        </w:tc>
        <w:tc>
          <w:tcPr>
            <w:tcW w:w="701" w:type="dxa"/>
            <w:vMerge w:val="restar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水平角观测测回数</w:t>
            </w:r>
          </w:p>
        </w:tc>
        <w:tc>
          <w:tcPr>
            <w:tcW w:w="1371" w:type="dxa"/>
            <w:gridSpan w:val="2"/>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p>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距离观测</w:t>
            </w:r>
          </w:p>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测回数</w:t>
            </w:r>
          </w:p>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9" w:type="dxa"/>
            <w:vMerge w:val="continue"/>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p>
        </w:tc>
        <w:tc>
          <w:tcPr>
            <w:tcW w:w="1058" w:type="dxa"/>
            <w:vMerge w:val="continue"/>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p>
        </w:tc>
        <w:tc>
          <w:tcPr>
            <w:tcW w:w="1043" w:type="dxa"/>
            <w:vMerge w:val="continue"/>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p>
        </w:tc>
        <w:tc>
          <w:tcPr>
            <w:tcW w:w="1115" w:type="dxa"/>
            <w:vMerge w:val="continue"/>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p>
        </w:tc>
        <w:tc>
          <w:tcPr>
            <w:tcW w:w="1604" w:type="dxa"/>
            <w:vMerge w:val="continue"/>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p>
        </w:tc>
        <w:tc>
          <w:tcPr>
            <w:tcW w:w="701" w:type="dxa"/>
            <w:vMerge w:val="continue"/>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p>
        </w:tc>
        <w:tc>
          <w:tcPr>
            <w:tcW w:w="72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往测</w:t>
            </w:r>
          </w:p>
        </w:tc>
        <w:tc>
          <w:tcPr>
            <w:tcW w:w="651" w:type="dxa"/>
            <w:shd w:val="clear" w:color="auto" w:fill="auto"/>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9"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±3.0</w:t>
            </w:r>
          </w:p>
        </w:tc>
        <w:tc>
          <w:tcPr>
            <w:tcW w:w="1058"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150</w:t>
            </w:r>
          </w:p>
        </w:tc>
        <w:tc>
          <w:tcPr>
            <w:tcW w:w="1043"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±1.8</w:t>
            </w:r>
          </w:p>
        </w:tc>
        <w:tc>
          <w:tcPr>
            <w:tcW w:w="1115"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≤1/70000</w:t>
            </w:r>
          </w:p>
        </w:tc>
        <w:tc>
          <w:tcPr>
            <w:tcW w:w="1604" w:type="dxa"/>
            <w:vAlign w:val="center"/>
          </w:tcPr>
          <w:p>
            <w:pPr>
              <w:keepNext w:val="0"/>
              <w:keepLines w:val="0"/>
              <w:suppressLineNumbers w:val="0"/>
              <w:adjustRightInd w:val="0"/>
              <w:snapToGrid w:val="0"/>
              <w:spacing w:before="0" w:beforeAutospacing="0" w:after="0" w:afterAutospacing="0"/>
              <w:ind w:left="0" w:right="0" w:firstLine="360"/>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±2″，±（2 mm+2×10</w:t>
            </w:r>
            <w:r>
              <w:rPr>
                <w:rFonts w:hint="eastAsia" w:asciiTheme="minorEastAsia" w:hAnsiTheme="minorEastAsia" w:eastAsiaTheme="minorEastAsia" w:cstheme="minorEastAsia"/>
                <w:snapToGrid w:val="0"/>
                <w:color w:val="auto"/>
                <w:sz w:val="18"/>
                <w:szCs w:val="18"/>
                <w:highlight w:val="none"/>
                <w:vertAlign w:val="superscript"/>
              </w:rPr>
              <w:t>-6</w:t>
            </w:r>
            <w:r>
              <w:rPr>
                <w:rFonts w:hint="eastAsia" w:asciiTheme="minorEastAsia" w:hAnsiTheme="minorEastAsia" w:eastAsiaTheme="minorEastAsia" w:cstheme="minorEastAsia"/>
                <w:snapToGrid w:val="0"/>
                <w:color w:val="auto"/>
                <w:sz w:val="18"/>
                <w:szCs w:val="18"/>
                <w:highlight w:val="none"/>
              </w:rPr>
              <w:t>×D）</w:t>
            </w:r>
          </w:p>
        </w:tc>
        <w:tc>
          <w:tcPr>
            <w:tcW w:w="701"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9</w:t>
            </w:r>
          </w:p>
        </w:tc>
        <w:tc>
          <w:tcPr>
            <w:tcW w:w="72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3</w:t>
            </w:r>
          </w:p>
        </w:tc>
        <w:tc>
          <w:tcPr>
            <w:tcW w:w="651"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3</w:t>
            </w:r>
          </w:p>
        </w:tc>
      </w:tr>
    </w:tbl>
    <w:p>
      <w:pPr>
        <w:adjustRightInd w:val="0"/>
        <w:snapToGrid w:val="0"/>
        <w:spacing w:line="400" w:lineRule="exact"/>
        <w:ind w:firstLine="0"/>
        <w:rPr>
          <w:rFonts w:hint="eastAsia" w:asciiTheme="minorEastAsia" w:hAnsiTheme="minorEastAsia" w:eastAsiaTheme="minorEastAsia" w:cstheme="minorEastAsia"/>
          <w:snapToGrid w:val="0"/>
          <w:color w:val="auto"/>
          <w:sz w:val="21"/>
          <w:szCs w:val="22"/>
          <w:highlight w:val="none"/>
        </w:rPr>
      </w:pPr>
      <w:r>
        <w:rPr>
          <w:rFonts w:hint="eastAsia" w:asciiTheme="minorEastAsia" w:hAnsiTheme="minorEastAsia" w:eastAsiaTheme="minorEastAsia" w:cstheme="minorEastAsia"/>
          <w:snapToGrid w:val="0"/>
          <w:color w:val="auto"/>
          <w:sz w:val="21"/>
          <w:szCs w:val="22"/>
          <w:highlight w:val="none"/>
        </w:rPr>
        <w:t>注：D为测距边长（单位：km）。</w:t>
      </w:r>
    </w:p>
    <w:p>
      <w:pPr>
        <w:adjustRightInd w:val="0"/>
        <w:snapToGrid w:val="0"/>
        <w:spacing w:line="400" w:lineRule="exact"/>
        <w:ind w:firstLine="360"/>
        <w:rPr>
          <w:rFonts w:hint="eastAsia" w:asciiTheme="minorEastAsia" w:hAnsiTheme="minorEastAsia" w:eastAsiaTheme="minorEastAsia" w:cstheme="minorEastAsia"/>
          <w:snapToGrid w:val="0"/>
          <w:color w:val="auto"/>
          <w:sz w:val="18"/>
          <w:szCs w:val="18"/>
          <w:highlight w:val="none"/>
        </w:rPr>
      </w:pPr>
    </w:p>
    <w:p>
      <w:pPr>
        <w:adjustRightInd w:val="0"/>
        <w:snapToGrid w:val="0"/>
        <w:spacing w:line="400" w:lineRule="exact"/>
        <w:jc w:val="center"/>
        <w:rPr>
          <w:rFonts w:hint="eastAsia"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表5：Ⅱ等垂直位移监测控制网主要技术要求</w:t>
      </w:r>
    </w:p>
    <w:tbl>
      <w:tblPr>
        <w:tblStyle w:val="41"/>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6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相邻基准点高差中误差（mm）</w:t>
            </w:r>
          </w:p>
        </w:tc>
        <w:tc>
          <w:tcPr>
            <w:tcW w:w="198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测站高差中误差（mm）</w:t>
            </w:r>
          </w:p>
        </w:tc>
        <w:tc>
          <w:tcPr>
            <w:tcW w:w="198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往返较差，附合或环线闭合差（mm）</w:t>
            </w:r>
          </w:p>
        </w:tc>
        <w:tc>
          <w:tcPr>
            <w:tcW w:w="198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检测已测高差之较差（mm）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6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±0.5</w:t>
            </w:r>
          </w:p>
        </w:tc>
        <w:tc>
          <w:tcPr>
            <w:tcW w:w="198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±0.15</w:t>
            </w:r>
          </w:p>
        </w:tc>
        <w:tc>
          <w:tcPr>
            <w:tcW w:w="198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±0.30</w:t>
            </w:r>
            <w:r>
              <w:rPr>
                <w:rFonts w:hint="eastAsia" w:asciiTheme="minorEastAsia" w:hAnsiTheme="minorEastAsia" w:eastAsiaTheme="minorEastAsia" w:cstheme="minorEastAsia"/>
                <w:color w:val="auto"/>
                <w:position w:val="-8"/>
                <w:sz w:val="18"/>
                <w:szCs w:val="18"/>
                <w:highlight w:val="none"/>
              </w:rPr>
              <w:object>
                <v:shape id="_x0000_i1026" o:spt="75" type="#_x0000_t75" style="height:18pt;width:18.9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8">
                  <o:LockedField>false</o:LockedField>
                </o:OLEObject>
              </w:object>
            </w:r>
          </w:p>
        </w:tc>
        <w:tc>
          <w:tcPr>
            <w:tcW w:w="198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0.4</w:t>
            </w:r>
            <w:r>
              <w:rPr>
                <w:rFonts w:hint="eastAsia" w:asciiTheme="minorEastAsia" w:hAnsiTheme="minorEastAsia" w:eastAsiaTheme="minorEastAsia" w:cstheme="minorEastAsia"/>
                <w:color w:val="auto"/>
                <w:position w:val="-8"/>
                <w:sz w:val="18"/>
                <w:szCs w:val="18"/>
                <w:highlight w:val="none"/>
              </w:rPr>
              <w:object>
                <v:shape id="_x0000_i1027" o:spt="75" type="#_x0000_t75" style="height:18pt;width:18.9pt;" o:ole="t" filled="f" o:preferrelative="t" stroked="f" coordsize="21600,21600">
                  <v:path/>
                  <v:fill on="f" focussize="0,0"/>
                  <v:stroke on="f" joinstyle="miter"/>
                  <v:imagedata r:id="rId7" o:title=""/>
                  <o:lock v:ext="edit" aspectratio="t"/>
                  <w10:wrap type="none"/>
                  <w10:anchorlock/>
                </v:shape>
                <o:OLEObject Type="Embed" ProgID="Equation.3" ShapeID="_x0000_i1027" DrawAspect="Content" ObjectID="_1468075727" r:id="rId9">
                  <o:LockedField>false</o:LockedField>
                </o:OLEObject>
              </w:object>
            </w:r>
          </w:p>
        </w:tc>
      </w:tr>
    </w:tbl>
    <w:p>
      <w:pPr>
        <w:adjustRightInd w:val="0"/>
        <w:snapToGrid w:val="0"/>
        <w:spacing w:line="400" w:lineRule="exact"/>
        <w:rPr>
          <w:rFonts w:hint="eastAsia"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注：n为测站数</w:t>
      </w:r>
    </w:p>
    <w:p>
      <w:pPr>
        <w:adjustRightInd w:val="0"/>
        <w:snapToGrid w:val="0"/>
        <w:spacing w:line="400" w:lineRule="exact"/>
        <w:rPr>
          <w:rFonts w:hint="eastAsia" w:asciiTheme="minorEastAsia" w:hAnsiTheme="minorEastAsia" w:eastAsiaTheme="minorEastAsia" w:cstheme="minorEastAsia"/>
          <w:snapToGrid w:val="0"/>
          <w:color w:val="auto"/>
          <w:highlight w:val="none"/>
        </w:rPr>
      </w:pPr>
    </w:p>
    <w:p>
      <w:pPr>
        <w:adjustRightInd w:val="0"/>
        <w:snapToGrid w:val="0"/>
        <w:spacing w:line="400" w:lineRule="exact"/>
        <w:jc w:val="center"/>
        <w:rPr>
          <w:rFonts w:hint="eastAsia"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表6：Ⅱ等水准观测主要技术要求</w:t>
      </w:r>
    </w:p>
    <w:tbl>
      <w:tblPr>
        <w:tblStyle w:val="41"/>
        <w:tblW w:w="8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720"/>
        <w:gridCol w:w="900"/>
        <w:gridCol w:w="1080"/>
        <w:gridCol w:w="1260"/>
        <w:gridCol w:w="1080"/>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2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仪器型号</w:t>
            </w:r>
          </w:p>
        </w:tc>
        <w:tc>
          <w:tcPr>
            <w:tcW w:w="72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水准尺</w:t>
            </w:r>
          </w:p>
        </w:tc>
        <w:tc>
          <w:tcPr>
            <w:tcW w:w="72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视线长度（m）</w:t>
            </w:r>
          </w:p>
        </w:tc>
        <w:tc>
          <w:tcPr>
            <w:tcW w:w="90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前后视距差（m）</w:t>
            </w:r>
          </w:p>
        </w:tc>
        <w:tc>
          <w:tcPr>
            <w:tcW w:w="108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前后视距累计差（m）</w:t>
            </w:r>
          </w:p>
        </w:tc>
        <w:tc>
          <w:tcPr>
            <w:tcW w:w="126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视线离地面最低高度（m）</w:t>
            </w:r>
          </w:p>
        </w:tc>
        <w:tc>
          <w:tcPr>
            <w:tcW w:w="108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基、辅分划读数较差（mm）</w:t>
            </w:r>
          </w:p>
        </w:tc>
        <w:tc>
          <w:tcPr>
            <w:tcW w:w="1551"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基、辅分划读数所测高差较差（mm）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2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DS05</w:t>
            </w:r>
          </w:p>
        </w:tc>
        <w:tc>
          <w:tcPr>
            <w:tcW w:w="72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因瓦</w:t>
            </w:r>
          </w:p>
        </w:tc>
        <w:tc>
          <w:tcPr>
            <w:tcW w:w="72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≤30</w:t>
            </w:r>
          </w:p>
        </w:tc>
        <w:tc>
          <w:tcPr>
            <w:tcW w:w="90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≤0.5</w:t>
            </w:r>
          </w:p>
        </w:tc>
        <w:tc>
          <w:tcPr>
            <w:tcW w:w="108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≤1.5</w:t>
            </w:r>
          </w:p>
        </w:tc>
        <w:tc>
          <w:tcPr>
            <w:tcW w:w="126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0.3</w:t>
            </w:r>
          </w:p>
        </w:tc>
        <w:tc>
          <w:tcPr>
            <w:tcW w:w="1080"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≤0.3</w:t>
            </w:r>
          </w:p>
        </w:tc>
        <w:tc>
          <w:tcPr>
            <w:tcW w:w="1551" w:type="dxa"/>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snapToGrid w:val="0"/>
                <w:color w:val="auto"/>
                <w:sz w:val="18"/>
                <w:szCs w:val="18"/>
                <w:highlight w:val="none"/>
              </w:rPr>
            </w:pPr>
            <w:r>
              <w:rPr>
                <w:rFonts w:hint="eastAsia" w:asciiTheme="minorEastAsia" w:hAnsiTheme="minorEastAsia" w:eastAsiaTheme="minorEastAsia" w:cstheme="minorEastAsia"/>
                <w:snapToGrid w:val="0"/>
                <w:color w:val="auto"/>
                <w:sz w:val="18"/>
                <w:szCs w:val="18"/>
                <w:highlight w:val="none"/>
              </w:rPr>
              <w:t>≤0.4</w:t>
            </w:r>
          </w:p>
        </w:tc>
      </w:tr>
      <w:bookmarkEnd w:id="1476"/>
    </w:tbl>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bookmarkStart w:id="1508" w:name="_Toc501110798"/>
      <w:bookmarkStart w:id="1509" w:name="_Toc503857329"/>
      <w:r>
        <w:rPr>
          <w:rFonts w:hint="eastAsia" w:asciiTheme="minorEastAsia" w:hAnsiTheme="minorEastAsia" w:eastAsiaTheme="minorEastAsia" w:cstheme="minorEastAsia"/>
          <w:color w:val="auto"/>
          <w:szCs w:val="21"/>
          <w:highlight w:val="none"/>
        </w:rPr>
        <w:t>（五）监测项目控制值</w:t>
      </w:r>
    </w:p>
    <w:p>
      <w:pPr>
        <w:adjustRightInd w:val="0"/>
        <w:snapToGrid w:val="0"/>
        <w:spacing w:line="460" w:lineRule="exact"/>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根据《城市轨道交通工程测量规范》及其他城市轨道交通隧道监测的经验，长期监测变形控制值参照下表。招标人如有新的控制值时，以招标人的通知为准。</w:t>
      </w:r>
    </w:p>
    <w:p>
      <w:pPr>
        <w:adjustRightInd w:val="0"/>
        <w:snapToGrid w:val="0"/>
        <w:spacing w:line="440" w:lineRule="exact"/>
        <w:jc w:val="center"/>
        <w:rPr>
          <w:rFonts w:hint="eastAsia"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表7 监测控制值</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3497"/>
        <w:gridCol w:w="1839"/>
        <w:gridCol w:w="1664"/>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24"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序号</w:t>
            </w:r>
          </w:p>
        </w:tc>
        <w:tc>
          <w:tcPr>
            <w:tcW w:w="1774"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监测项目</w:t>
            </w:r>
          </w:p>
        </w:tc>
        <w:tc>
          <w:tcPr>
            <w:tcW w:w="930"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累计值</w:t>
            </w:r>
          </w:p>
        </w:tc>
        <w:tc>
          <w:tcPr>
            <w:tcW w:w="844"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变化速率</w:t>
            </w:r>
          </w:p>
        </w:tc>
        <w:tc>
          <w:tcPr>
            <w:tcW w:w="1026"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Align w:val="center"/>
          </w:tcPr>
          <w:p>
            <w:pPr>
              <w:keepNext w:val="0"/>
              <w:keepLines w:val="0"/>
              <w:suppressLineNumbers w:val="0"/>
              <w:adjustRightInd w:val="0"/>
              <w:snapToGrid w:val="0"/>
              <w:spacing w:before="0" w:beforeAutospacing="0" w:after="0" w:afterAutospacing="0"/>
              <w:ind w:left="0" w:right="0" w:firstLine="199" w:firstLineChars="111"/>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w:t>
            </w:r>
          </w:p>
        </w:tc>
        <w:tc>
          <w:tcPr>
            <w:tcW w:w="1774"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隧道结构沉降</w:t>
            </w:r>
          </w:p>
        </w:tc>
        <w:tc>
          <w:tcPr>
            <w:tcW w:w="930"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10mm</w:t>
            </w:r>
          </w:p>
        </w:tc>
        <w:tc>
          <w:tcPr>
            <w:tcW w:w="844"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1mm/d</w:t>
            </w:r>
          </w:p>
        </w:tc>
        <w:tc>
          <w:tcPr>
            <w:tcW w:w="1026"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Align w:val="center"/>
          </w:tcPr>
          <w:p>
            <w:pPr>
              <w:keepNext w:val="0"/>
              <w:keepLines w:val="0"/>
              <w:suppressLineNumbers w:val="0"/>
              <w:adjustRightInd w:val="0"/>
              <w:snapToGrid w:val="0"/>
              <w:spacing w:before="0" w:beforeAutospacing="0" w:after="0" w:afterAutospacing="0"/>
              <w:ind w:left="0" w:right="0" w:firstLine="199" w:firstLineChars="111"/>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w:t>
            </w:r>
          </w:p>
        </w:tc>
        <w:tc>
          <w:tcPr>
            <w:tcW w:w="1774"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隧道结构上浮</w:t>
            </w:r>
          </w:p>
        </w:tc>
        <w:tc>
          <w:tcPr>
            <w:tcW w:w="930"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5mm</w:t>
            </w:r>
          </w:p>
        </w:tc>
        <w:tc>
          <w:tcPr>
            <w:tcW w:w="844"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1mm/d</w:t>
            </w:r>
          </w:p>
        </w:tc>
        <w:tc>
          <w:tcPr>
            <w:tcW w:w="1026"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Align w:val="center"/>
          </w:tcPr>
          <w:p>
            <w:pPr>
              <w:keepNext w:val="0"/>
              <w:keepLines w:val="0"/>
              <w:suppressLineNumbers w:val="0"/>
              <w:adjustRightInd w:val="0"/>
              <w:snapToGrid w:val="0"/>
              <w:spacing w:before="0" w:beforeAutospacing="0" w:after="0" w:afterAutospacing="0"/>
              <w:ind w:left="0" w:right="0" w:firstLine="199" w:firstLineChars="111"/>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w:t>
            </w:r>
          </w:p>
        </w:tc>
        <w:tc>
          <w:tcPr>
            <w:tcW w:w="1774"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隧道差异沉降</w:t>
            </w:r>
          </w:p>
        </w:tc>
        <w:tc>
          <w:tcPr>
            <w:tcW w:w="930"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0.04％Ls</w:t>
            </w:r>
          </w:p>
        </w:tc>
        <w:tc>
          <w:tcPr>
            <w:tcW w:w="844"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w:t>
            </w:r>
          </w:p>
        </w:tc>
        <w:tc>
          <w:tcPr>
            <w:tcW w:w="1026"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Ls为沿隧道轴向两监测点间距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Align w:val="center"/>
          </w:tcPr>
          <w:p>
            <w:pPr>
              <w:keepNext w:val="0"/>
              <w:keepLines w:val="0"/>
              <w:suppressLineNumbers w:val="0"/>
              <w:adjustRightInd w:val="0"/>
              <w:snapToGrid w:val="0"/>
              <w:spacing w:before="0" w:beforeAutospacing="0" w:after="0" w:afterAutospacing="0"/>
              <w:ind w:left="0" w:right="0" w:firstLine="199" w:firstLineChars="111"/>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w:t>
            </w:r>
          </w:p>
        </w:tc>
        <w:tc>
          <w:tcPr>
            <w:tcW w:w="1774"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隧道结构变形缝差异沉降</w:t>
            </w:r>
          </w:p>
        </w:tc>
        <w:tc>
          <w:tcPr>
            <w:tcW w:w="930"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4mm</w:t>
            </w:r>
          </w:p>
        </w:tc>
        <w:tc>
          <w:tcPr>
            <w:tcW w:w="844"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1mm/d</w:t>
            </w:r>
          </w:p>
        </w:tc>
        <w:tc>
          <w:tcPr>
            <w:tcW w:w="1026"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Align w:val="center"/>
          </w:tcPr>
          <w:p>
            <w:pPr>
              <w:keepNext w:val="0"/>
              <w:keepLines w:val="0"/>
              <w:suppressLineNumbers w:val="0"/>
              <w:adjustRightInd w:val="0"/>
              <w:snapToGrid w:val="0"/>
              <w:spacing w:before="0" w:beforeAutospacing="0" w:after="0" w:afterAutospacing="0"/>
              <w:ind w:left="0" w:right="0" w:firstLine="199" w:firstLineChars="111"/>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5</w:t>
            </w:r>
          </w:p>
        </w:tc>
        <w:tc>
          <w:tcPr>
            <w:tcW w:w="1774"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管片结构净空收敛</w:t>
            </w:r>
          </w:p>
        </w:tc>
        <w:tc>
          <w:tcPr>
            <w:tcW w:w="930"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0.2％D</w:t>
            </w:r>
          </w:p>
        </w:tc>
        <w:tc>
          <w:tcPr>
            <w:tcW w:w="844"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3mm/d</w:t>
            </w:r>
          </w:p>
        </w:tc>
        <w:tc>
          <w:tcPr>
            <w:tcW w:w="1026"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Align w:val="center"/>
          </w:tcPr>
          <w:p>
            <w:pPr>
              <w:keepNext w:val="0"/>
              <w:keepLines w:val="0"/>
              <w:suppressLineNumbers w:val="0"/>
              <w:adjustRightInd w:val="0"/>
              <w:snapToGrid w:val="0"/>
              <w:spacing w:before="0" w:beforeAutospacing="0" w:after="0" w:afterAutospacing="0"/>
              <w:ind w:left="0" w:right="0" w:firstLine="199" w:firstLineChars="111"/>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6</w:t>
            </w:r>
          </w:p>
        </w:tc>
        <w:tc>
          <w:tcPr>
            <w:tcW w:w="1774"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矿山法隧道净空收敛</w:t>
            </w:r>
          </w:p>
        </w:tc>
        <w:tc>
          <w:tcPr>
            <w:tcW w:w="930"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10mm</w:t>
            </w:r>
          </w:p>
        </w:tc>
        <w:tc>
          <w:tcPr>
            <w:tcW w:w="844"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2mm/d</w:t>
            </w:r>
          </w:p>
        </w:tc>
        <w:tc>
          <w:tcPr>
            <w:tcW w:w="1026"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Align w:val="center"/>
          </w:tcPr>
          <w:p>
            <w:pPr>
              <w:keepNext w:val="0"/>
              <w:keepLines w:val="0"/>
              <w:suppressLineNumbers w:val="0"/>
              <w:adjustRightInd w:val="0"/>
              <w:snapToGrid w:val="0"/>
              <w:spacing w:before="0" w:beforeAutospacing="0" w:after="0" w:afterAutospacing="0"/>
              <w:ind w:left="0" w:right="0" w:firstLine="199" w:firstLineChars="111"/>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7</w:t>
            </w:r>
          </w:p>
        </w:tc>
        <w:tc>
          <w:tcPr>
            <w:tcW w:w="1774"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高架桥梁相邻墩的沉降量差</w:t>
            </w:r>
          </w:p>
        </w:tc>
        <w:tc>
          <w:tcPr>
            <w:tcW w:w="930"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10mm</w:t>
            </w:r>
          </w:p>
        </w:tc>
        <w:tc>
          <w:tcPr>
            <w:tcW w:w="844"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w:t>
            </w:r>
          </w:p>
        </w:tc>
        <w:tc>
          <w:tcPr>
            <w:tcW w:w="1026"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Align w:val="center"/>
          </w:tcPr>
          <w:p>
            <w:pPr>
              <w:keepNext w:val="0"/>
              <w:keepLines w:val="0"/>
              <w:suppressLineNumbers w:val="0"/>
              <w:adjustRightInd w:val="0"/>
              <w:snapToGrid w:val="0"/>
              <w:spacing w:before="0" w:beforeAutospacing="0" w:after="0" w:afterAutospacing="0"/>
              <w:ind w:left="0" w:right="0" w:firstLine="199" w:firstLineChars="111"/>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8</w:t>
            </w:r>
          </w:p>
        </w:tc>
        <w:tc>
          <w:tcPr>
            <w:tcW w:w="1774"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高架桥梁挠度</w:t>
            </w:r>
          </w:p>
        </w:tc>
        <w:tc>
          <w:tcPr>
            <w:tcW w:w="2800" w:type="pct"/>
            <w:gridSpan w:val="3"/>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高架桥梁跨度L≤30m时，挠度控制值为L/2000</w:t>
            </w:r>
          </w:p>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桥梁跨度30〈L≤60m时，挠度控制值为L/1500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Align w:val="center"/>
          </w:tcPr>
          <w:p>
            <w:pPr>
              <w:keepNext w:val="0"/>
              <w:keepLines w:val="0"/>
              <w:suppressLineNumbers w:val="0"/>
              <w:adjustRightInd w:val="0"/>
              <w:snapToGrid w:val="0"/>
              <w:spacing w:before="0" w:beforeAutospacing="0" w:after="0" w:afterAutospacing="0"/>
              <w:ind w:left="0" w:right="0" w:firstLine="199" w:firstLineChars="111"/>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9</w:t>
            </w:r>
          </w:p>
        </w:tc>
        <w:tc>
          <w:tcPr>
            <w:tcW w:w="1774"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边坡竖向位移</w:t>
            </w:r>
          </w:p>
        </w:tc>
        <w:tc>
          <w:tcPr>
            <w:tcW w:w="933"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35</w:t>
            </w:r>
          </w:p>
        </w:tc>
        <w:tc>
          <w:tcPr>
            <w:tcW w:w="841"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3mm/d</w:t>
            </w:r>
          </w:p>
        </w:tc>
        <w:tc>
          <w:tcPr>
            <w:tcW w:w="1026"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4"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10</w:t>
            </w:r>
          </w:p>
        </w:tc>
        <w:tc>
          <w:tcPr>
            <w:tcW w:w="1774"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边坡水平位移</w:t>
            </w:r>
          </w:p>
        </w:tc>
        <w:tc>
          <w:tcPr>
            <w:tcW w:w="933"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35</w:t>
            </w:r>
          </w:p>
        </w:tc>
        <w:tc>
          <w:tcPr>
            <w:tcW w:w="841"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5mm/d</w:t>
            </w:r>
          </w:p>
        </w:tc>
        <w:tc>
          <w:tcPr>
            <w:tcW w:w="1026" w:type="pct"/>
            <w:vAlign w:val="center"/>
          </w:tcPr>
          <w:p>
            <w:pPr>
              <w:keepNext w:val="0"/>
              <w:keepLines w:val="0"/>
              <w:suppressLineNumbers w:val="0"/>
              <w:adjustRightInd w:val="0"/>
              <w:snapToGrid w:val="0"/>
              <w:spacing w:before="0" w:beforeAutospacing="0" w:after="0" w:afterAutospacing="0"/>
              <w:ind w:left="0" w:right="0" w:firstLine="360"/>
              <w:jc w:val="center"/>
              <w:rPr>
                <w:rFonts w:hint="eastAsia" w:asciiTheme="minorEastAsia" w:hAnsiTheme="minorEastAsia" w:eastAsiaTheme="minorEastAsia" w:cstheme="minorEastAsia"/>
                <w:color w:val="auto"/>
                <w:sz w:val="18"/>
                <w:szCs w:val="18"/>
                <w:highlight w:val="none"/>
              </w:rPr>
            </w:pPr>
          </w:p>
        </w:tc>
      </w:tr>
    </w:tbl>
    <w:p>
      <w:pPr>
        <w:adjustRightInd w:val="0"/>
        <w:snapToGrid w:val="0"/>
        <w:spacing w:after="120" w:afterLines="50"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4"/>
          <w:highlight w:val="none"/>
        </w:rPr>
        <w:t>当监测项目达到上述控制值时，应进行密切关注并视情况及时进行加密监测，并向招标人管理部门报告。</w:t>
      </w:r>
    </w:p>
    <w:p>
      <w:pPr>
        <w:adjustRightInd w:val="0"/>
        <w:snapToGrid w:val="0"/>
        <w:spacing w:line="4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（六）监测预警及信息反馈</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1.监测预警划分为三个级别，即黄色预警、橙色预警和红色预警。</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2.变形监测的绝对值和速率值双控指标均达到控制值的70%，或双控指标之一达到控制值的85%时，应启动黄色预警响应，应在24小时内通知招标人，并对该区域进行加密监测并提供明确的分析结论和建议。</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3.变形监测的绝对值和速率值双控指标均达到控制值的85%，或双控指标之一达到控制值时，应启动橙色预警响应，应在12小时内通知招标人，启动会商机制，加密监测并提供明确的分析结论和建议。</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4.变形监测的绝对值和速率值双控指标均达到控制值时，应启动红色预警响应，应在立即通知招标人，启动应急预案，加密监测提供明确的分析结论和建议。</w:t>
      </w:r>
    </w:p>
    <w:p>
      <w:pPr>
        <w:adjustRightInd w:val="0"/>
        <w:snapToGrid w:val="0"/>
        <w:spacing w:line="4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（七）监测成果的报告</w:t>
      </w:r>
    </w:p>
    <w:p>
      <w:pPr>
        <w:adjustRightInd w:val="0"/>
        <w:snapToGrid w:val="0"/>
        <w:spacing w:line="460" w:lineRule="exact"/>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中标人在工程监测过程中，实时对监测结果进行整理，按招标人的要求以日报、警情快报、阶段性报告、总结报告形式在规定时间内送达招标人指定的有关部门。每次完成监测后一个月内均需提交阶段监测报告（包含原始数据）；监测达到各级预警值时，需提交日报，并提出初步结论和较强指导性的处理建议；项目结束时，提交完整的监测总结报告。各监测报告纸质版及电子文档均不少于3份，其内容包括但不限于以下内容：</w:t>
      </w:r>
    </w:p>
    <w:p>
      <w:pPr>
        <w:adjustRightInd w:val="0"/>
        <w:snapToGrid w:val="0"/>
        <w:spacing w:line="460" w:lineRule="exact"/>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1.日报</w:t>
      </w:r>
    </w:p>
    <w:p>
      <w:pPr>
        <w:pStyle w:val="60"/>
        <w:numPr>
          <w:ilvl w:val="0"/>
          <w:numId w:val="7"/>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工程施工概况</w:t>
      </w:r>
    </w:p>
    <w:p>
      <w:pPr>
        <w:pStyle w:val="60"/>
        <w:numPr>
          <w:ilvl w:val="0"/>
          <w:numId w:val="7"/>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现场巡查信息：巡查照片、记录等；</w:t>
      </w:r>
    </w:p>
    <w:p>
      <w:pPr>
        <w:pStyle w:val="60"/>
        <w:numPr>
          <w:ilvl w:val="0"/>
          <w:numId w:val="7"/>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监测项目日报表：仪器型号、监测日期、观测时间、天气情况、监测项目的累计变化值、变化速率值、控制值、监测点平面位置图等，可采用《城市轨道交通工程监测技术规范》GB 50911-2013附录D的样式；</w:t>
      </w:r>
    </w:p>
    <w:p>
      <w:pPr>
        <w:pStyle w:val="60"/>
        <w:numPr>
          <w:ilvl w:val="0"/>
          <w:numId w:val="7"/>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监测数据、现场巡查信息的分析与说明；</w:t>
      </w:r>
    </w:p>
    <w:p>
      <w:pPr>
        <w:pStyle w:val="60"/>
        <w:numPr>
          <w:ilvl w:val="0"/>
          <w:numId w:val="7"/>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结论与建议。</w:t>
      </w:r>
    </w:p>
    <w:p>
      <w:pPr>
        <w:adjustRightInd w:val="0"/>
        <w:snapToGrid w:val="0"/>
        <w:spacing w:line="460" w:lineRule="exact"/>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2.警情快报</w:t>
      </w:r>
    </w:p>
    <w:p>
      <w:pPr>
        <w:pStyle w:val="60"/>
        <w:numPr>
          <w:ilvl w:val="0"/>
          <w:numId w:val="8"/>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警情发生的时间、地点、情况描述、严重程度、施工工况等；</w:t>
      </w:r>
    </w:p>
    <w:p>
      <w:pPr>
        <w:pStyle w:val="60"/>
        <w:numPr>
          <w:ilvl w:val="0"/>
          <w:numId w:val="8"/>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现场巡查信息：巡查照片、记录等；</w:t>
      </w:r>
    </w:p>
    <w:p>
      <w:pPr>
        <w:pStyle w:val="60"/>
        <w:numPr>
          <w:ilvl w:val="0"/>
          <w:numId w:val="8"/>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监测数据图表：监测项目的累计变化值、变化速率值、监测点平面位置图；</w:t>
      </w:r>
    </w:p>
    <w:p>
      <w:pPr>
        <w:pStyle w:val="60"/>
        <w:numPr>
          <w:ilvl w:val="0"/>
          <w:numId w:val="8"/>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警情原因初步分析；</w:t>
      </w:r>
    </w:p>
    <w:p>
      <w:pPr>
        <w:pStyle w:val="60"/>
        <w:numPr>
          <w:ilvl w:val="0"/>
          <w:numId w:val="8"/>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警情处理措施建议。</w:t>
      </w:r>
    </w:p>
    <w:p>
      <w:pPr>
        <w:adjustRightInd w:val="0"/>
        <w:snapToGrid w:val="0"/>
        <w:spacing w:line="460" w:lineRule="exact"/>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3.阶段性报告</w:t>
      </w:r>
    </w:p>
    <w:p>
      <w:pPr>
        <w:pStyle w:val="60"/>
        <w:numPr>
          <w:ilvl w:val="0"/>
          <w:numId w:val="9"/>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工程概况及施工进度；</w:t>
      </w:r>
    </w:p>
    <w:p>
      <w:pPr>
        <w:pStyle w:val="60"/>
        <w:numPr>
          <w:ilvl w:val="0"/>
          <w:numId w:val="9"/>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现场巡查信息：巡查照片、记录等；</w:t>
      </w:r>
    </w:p>
    <w:p>
      <w:pPr>
        <w:pStyle w:val="60"/>
        <w:numPr>
          <w:ilvl w:val="0"/>
          <w:numId w:val="9"/>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监测数据图表：监测项目的累计变化值、变化速率值、时程曲线、必要的断面曲线图、等值线图、监测点平面位置图等；</w:t>
      </w:r>
    </w:p>
    <w:p>
      <w:pPr>
        <w:pStyle w:val="60"/>
        <w:numPr>
          <w:ilvl w:val="0"/>
          <w:numId w:val="9"/>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监测数据、巡查信息的分析与说明；</w:t>
      </w:r>
    </w:p>
    <w:p>
      <w:pPr>
        <w:pStyle w:val="60"/>
        <w:numPr>
          <w:ilvl w:val="0"/>
          <w:numId w:val="9"/>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结论与建议。</w:t>
      </w:r>
    </w:p>
    <w:p>
      <w:pPr>
        <w:adjustRightInd w:val="0"/>
        <w:snapToGrid w:val="0"/>
        <w:spacing w:line="460" w:lineRule="exact"/>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4.总结报告</w:t>
      </w:r>
    </w:p>
    <w:p>
      <w:pPr>
        <w:pStyle w:val="60"/>
        <w:numPr>
          <w:ilvl w:val="0"/>
          <w:numId w:val="10"/>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工程概况；</w:t>
      </w:r>
    </w:p>
    <w:p>
      <w:pPr>
        <w:pStyle w:val="60"/>
        <w:numPr>
          <w:ilvl w:val="0"/>
          <w:numId w:val="10"/>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监测目的、监测项目和监测依据；</w:t>
      </w:r>
    </w:p>
    <w:p>
      <w:pPr>
        <w:pStyle w:val="60"/>
        <w:numPr>
          <w:ilvl w:val="0"/>
          <w:numId w:val="10"/>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监测点布设；</w:t>
      </w:r>
    </w:p>
    <w:p>
      <w:pPr>
        <w:pStyle w:val="60"/>
        <w:numPr>
          <w:ilvl w:val="0"/>
          <w:numId w:val="10"/>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采用的仪器型号、规格和元器件标定资料；</w:t>
      </w:r>
    </w:p>
    <w:p>
      <w:pPr>
        <w:pStyle w:val="60"/>
        <w:numPr>
          <w:ilvl w:val="0"/>
          <w:numId w:val="10"/>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监测数据采集和观测方法；</w:t>
      </w:r>
    </w:p>
    <w:p>
      <w:pPr>
        <w:pStyle w:val="60"/>
        <w:numPr>
          <w:ilvl w:val="0"/>
          <w:numId w:val="10"/>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现场巡查信息：巡查照片、记录等；</w:t>
      </w:r>
    </w:p>
    <w:p>
      <w:pPr>
        <w:pStyle w:val="60"/>
        <w:numPr>
          <w:ilvl w:val="0"/>
          <w:numId w:val="10"/>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监测数据图表：监测值、累计变化值、变化速率值、时程曲线、必要的断面曲线图、等值线图、监测点平面位置图等；</w:t>
      </w:r>
    </w:p>
    <w:p>
      <w:pPr>
        <w:pStyle w:val="60"/>
        <w:numPr>
          <w:ilvl w:val="0"/>
          <w:numId w:val="10"/>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监测数据、巡查信息的分析与说明；</w:t>
      </w:r>
    </w:p>
    <w:p>
      <w:pPr>
        <w:pStyle w:val="60"/>
        <w:numPr>
          <w:ilvl w:val="0"/>
          <w:numId w:val="10"/>
        </w:numPr>
        <w:adjustRightInd w:val="0"/>
        <w:snapToGrid w:val="0"/>
        <w:spacing w:line="460" w:lineRule="exact"/>
        <w:ind w:left="99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结论与建议。</w:t>
      </w:r>
    </w:p>
    <w:p>
      <w:pPr>
        <w:adjustRightInd w:val="0"/>
        <w:snapToGrid w:val="0"/>
        <w:spacing w:line="460" w:lineRule="exact"/>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中标人需对本期和上期监测成果进行对比分析，并将对比分析结果形成报告按阶段性报告的要求进行提交。</w:t>
      </w:r>
    </w:p>
    <w:p>
      <w:pPr>
        <w:pStyle w:val="2"/>
        <w:adjustRightInd w:val="0"/>
        <w:snapToGrid w:val="0"/>
        <w:spacing w:before="200" w:after="200" w:line="460" w:lineRule="exact"/>
        <w:ind w:firstLine="422"/>
        <w:rPr>
          <w:rFonts w:hint="eastAsia" w:asciiTheme="minorEastAsia" w:hAnsiTheme="minorEastAsia" w:eastAsiaTheme="minorEastAsia" w:cstheme="minorEastAsia"/>
          <w:color w:val="auto"/>
          <w:sz w:val="21"/>
          <w:szCs w:val="21"/>
          <w:highlight w:val="none"/>
        </w:rPr>
      </w:pPr>
      <w:bookmarkStart w:id="1510" w:name="_Toc7411"/>
      <w:bookmarkStart w:id="1511" w:name="_Toc1804"/>
      <w:bookmarkStart w:id="1512" w:name="_Toc12888"/>
      <w:bookmarkStart w:id="1513" w:name="_Toc6760"/>
      <w:bookmarkStart w:id="1514" w:name="_Toc4826"/>
      <w:bookmarkStart w:id="1515" w:name="_Toc4156"/>
      <w:bookmarkStart w:id="1516" w:name="_Toc15501"/>
      <w:bookmarkStart w:id="1517" w:name="_Toc543371776"/>
      <w:r>
        <w:rPr>
          <w:rFonts w:hint="eastAsia" w:asciiTheme="minorEastAsia" w:hAnsiTheme="minorEastAsia" w:eastAsiaTheme="minorEastAsia" w:cstheme="minorEastAsia"/>
          <w:color w:val="auto"/>
          <w:sz w:val="21"/>
          <w:szCs w:val="21"/>
          <w:highlight w:val="none"/>
        </w:rPr>
        <w:t>九、工期要求</w:t>
      </w:r>
      <w:bookmarkEnd w:id="1508"/>
      <w:bookmarkEnd w:id="1509"/>
      <w:bookmarkEnd w:id="1510"/>
      <w:bookmarkEnd w:id="1511"/>
      <w:bookmarkEnd w:id="1512"/>
      <w:bookmarkEnd w:id="1513"/>
      <w:bookmarkEnd w:id="1514"/>
      <w:bookmarkEnd w:id="1515"/>
      <w:bookmarkEnd w:id="1516"/>
      <w:bookmarkEnd w:id="1517"/>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自合同签订生效之日起至202</w:t>
      </w:r>
      <w:r>
        <w:rPr>
          <w:rFonts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rPr>
        <w:t>年12月31日，合同到期结束，具体开工时间以招标人通知的为准。</w:t>
      </w:r>
    </w:p>
    <w:p>
      <w:pPr>
        <w:pStyle w:val="2"/>
        <w:numPr>
          <w:ilvl w:val="255"/>
          <w:numId w:val="0"/>
        </w:numPr>
        <w:adjustRightInd w:val="0"/>
        <w:snapToGrid w:val="0"/>
        <w:spacing w:before="200" w:after="200" w:line="460" w:lineRule="exact"/>
        <w:ind w:firstLine="420" w:firstLineChars="200"/>
        <w:rPr>
          <w:rFonts w:hint="eastAsia" w:asciiTheme="minorEastAsia" w:hAnsiTheme="minorEastAsia" w:eastAsiaTheme="minorEastAsia" w:cstheme="minorEastAsia"/>
          <w:color w:val="auto"/>
          <w:sz w:val="21"/>
          <w:szCs w:val="21"/>
          <w:highlight w:val="none"/>
        </w:rPr>
      </w:pPr>
      <w:bookmarkStart w:id="1518" w:name="_Toc19462"/>
      <w:bookmarkStart w:id="1519" w:name="_Toc7751"/>
      <w:bookmarkStart w:id="1520" w:name="_Toc14373"/>
      <w:bookmarkStart w:id="1521" w:name="_Toc23579"/>
      <w:bookmarkStart w:id="1522" w:name="_Toc1348972188"/>
      <w:bookmarkStart w:id="1523" w:name="_Toc503857330"/>
      <w:bookmarkStart w:id="1524" w:name="_Toc12521"/>
      <w:bookmarkStart w:id="1525" w:name="_Toc23144"/>
      <w:bookmarkStart w:id="1526" w:name="_Toc501110799"/>
      <w:bookmarkStart w:id="1527" w:name="_Toc13480"/>
      <w:r>
        <w:rPr>
          <w:rFonts w:hint="eastAsia" w:asciiTheme="minorEastAsia" w:hAnsiTheme="minorEastAsia" w:eastAsiaTheme="minorEastAsia" w:cstheme="minorEastAsia"/>
          <w:color w:val="auto"/>
          <w:sz w:val="21"/>
          <w:szCs w:val="21"/>
          <w:highlight w:val="none"/>
        </w:rPr>
        <w:t>十、工程量清单</w:t>
      </w:r>
      <w:bookmarkEnd w:id="1518"/>
      <w:bookmarkEnd w:id="1519"/>
      <w:bookmarkEnd w:id="1520"/>
      <w:bookmarkEnd w:id="1521"/>
      <w:bookmarkEnd w:id="1522"/>
      <w:bookmarkEnd w:id="1523"/>
      <w:bookmarkEnd w:id="1524"/>
      <w:bookmarkEnd w:id="1525"/>
      <w:bookmarkEnd w:id="1526"/>
      <w:bookmarkEnd w:id="1527"/>
    </w:p>
    <w:p>
      <w:pPr>
        <w:jc w:val="center"/>
        <w:rPr>
          <w:color w:val="auto"/>
          <w:highlight w:val="none"/>
        </w:rPr>
      </w:pPr>
      <w:r>
        <w:rPr>
          <w:rFonts w:hint="eastAsia"/>
          <w:color w:val="auto"/>
          <w:highlight w:val="none"/>
        </w:rPr>
        <w:t>表8 工程量清单</w:t>
      </w:r>
    </w:p>
    <w:tbl>
      <w:tblPr>
        <w:tblStyle w:val="41"/>
        <w:tblW w:w="9737" w:type="dxa"/>
        <w:tblInd w:w="-73" w:type="dxa"/>
        <w:tblLayout w:type="fixed"/>
        <w:tblCellMar>
          <w:top w:w="0" w:type="dxa"/>
          <w:left w:w="108" w:type="dxa"/>
          <w:bottom w:w="0" w:type="dxa"/>
          <w:right w:w="108" w:type="dxa"/>
        </w:tblCellMar>
      </w:tblPr>
      <w:tblGrid>
        <w:gridCol w:w="1099"/>
        <w:gridCol w:w="1280"/>
        <w:gridCol w:w="1200"/>
        <w:gridCol w:w="681"/>
        <w:gridCol w:w="1316"/>
        <w:gridCol w:w="1101"/>
        <w:gridCol w:w="921"/>
        <w:gridCol w:w="2139"/>
      </w:tblGrid>
      <w:tr>
        <w:tblPrEx>
          <w:tblCellMar>
            <w:top w:w="0" w:type="dxa"/>
            <w:left w:w="108" w:type="dxa"/>
            <w:bottom w:w="0" w:type="dxa"/>
            <w:right w:w="108" w:type="dxa"/>
          </w:tblCellMar>
        </w:tblPrEx>
        <w:trPr>
          <w:trHeight w:val="333" w:hRule="atLeast"/>
        </w:trPr>
        <w:tc>
          <w:tcPr>
            <w:tcW w:w="3579" w:type="dxa"/>
            <w:gridSpan w:val="3"/>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361"/>
              <w:jc w:val="center"/>
              <w:textAlignment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bidi="ar"/>
              </w:rPr>
              <w:t>监测项目</w:t>
            </w:r>
          </w:p>
        </w:tc>
        <w:tc>
          <w:tcPr>
            <w:tcW w:w="68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both"/>
              <w:textAlignment w:val="center"/>
              <w:rPr>
                <w:rFonts w:hint="eastAsia" w:asciiTheme="minorEastAsia" w:hAnsiTheme="minorEastAsia" w:eastAsiaTheme="minorEastAsia" w:cstheme="minorEastAsia"/>
                <w:b/>
                <w:bCs/>
                <w:color w:val="auto"/>
                <w:sz w:val="18"/>
                <w:szCs w:val="18"/>
                <w:highlight w:val="none"/>
                <w:lang w:bidi="ar"/>
              </w:rPr>
            </w:pPr>
            <w:r>
              <w:rPr>
                <w:rFonts w:hint="eastAsia" w:asciiTheme="minorEastAsia" w:hAnsiTheme="minorEastAsia" w:eastAsiaTheme="minorEastAsia" w:cstheme="minorEastAsia"/>
                <w:b/>
                <w:bCs/>
                <w:color w:val="auto"/>
                <w:sz w:val="18"/>
                <w:szCs w:val="18"/>
                <w:highlight w:val="none"/>
                <w:lang w:bidi="ar"/>
              </w:rPr>
              <w:t>单位</w:t>
            </w:r>
          </w:p>
        </w:tc>
        <w:tc>
          <w:tcPr>
            <w:tcW w:w="131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both"/>
              <w:textAlignment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bidi="ar"/>
              </w:rPr>
              <w:t>监测点数量</w:t>
            </w:r>
          </w:p>
        </w:tc>
        <w:tc>
          <w:tcPr>
            <w:tcW w:w="110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both"/>
              <w:textAlignment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bidi="ar"/>
              </w:rPr>
              <w:t>监测次数</w:t>
            </w:r>
          </w:p>
        </w:tc>
        <w:tc>
          <w:tcPr>
            <w:tcW w:w="921"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0"/>
              <w:jc w:val="both"/>
              <w:textAlignment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bidi="ar"/>
              </w:rPr>
              <w:t>工程量</w:t>
            </w:r>
          </w:p>
        </w:tc>
        <w:tc>
          <w:tcPr>
            <w:tcW w:w="2139"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361"/>
              <w:jc w:val="center"/>
              <w:textAlignment w:val="center"/>
              <w:rPr>
                <w:rFonts w:hint="eastAsia" w:asciiTheme="minorEastAsia" w:hAnsiTheme="minorEastAsia" w:eastAsiaTheme="minorEastAsia" w:cstheme="minorEastAsia"/>
                <w:b/>
                <w:bCs/>
                <w:color w:val="auto"/>
                <w:sz w:val="18"/>
                <w:szCs w:val="18"/>
                <w:highlight w:val="none"/>
                <w:lang w:bidi="ar"/>
              </w:rPr>
            </w:pPr>
            <w:r>
              <w:rPr>
                <w:rFonts w:hint="eastAsia" w:asciiTheme="minorEastAsia" w:hAnsiTheme="minorEastAsia" w:eastAsiaTheme="minorEastAsia" w:cstheme="minorEastAsia"/>
                <w:b/>
                <w:bCs/>
                <w:color w:val="auto"/>
                <w:sz w:val="18"/>
                <w:szCs w:val="18"/>
                <w:highlight w:val="none"/>
                <w:lang w:bidi="ar"/>
              </w:rPr>
              <w:t>备注</w:t>
            </w:r>
          </w:p>
        </w:tc>
      </w:tr>
      <w:tr>
        <w:tblPrEx>
          <w:tblCellMar>
            <w:top w:w="0" w:type="dxa"/>
            <w:left w:w="108" w:type="dxa"/>
            <w:bottom w:w="0" w:type="dxa"/>
            <w:right w:w="108" w:type="dxa"/>
          </w:tblCellMar>
        </w:tblPrEx>
        <w:trPr>
          <w:trHeight w:val="655" w:hRule="atLeast"/>
        </w:trPr>
        <w:tc>
          <w:tcPr>
            <w:tcW w:w="1099"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隧道</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车站、U型槽（明挖法）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竖向位移</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374</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6</w:t>
            </w:r>
          </w:p>
        </w:tc>
        <w:tc>
          <w:tcPr>
            <w:tcW w:w="92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2244</w:t>
            </w:r>
          </w:p>
        </w:tc>
        <w:tc>
          <w:tcPr>
            <w:tcW w:w="2139" w:type="dxa"/>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需布点并采集初始值（监测3次）</w:t>
            </w:r>
          </w:p>
        </w:tc>
      </w:tr>
      <w:tr>
        <w:tblPrEx>
          <w:tblCellMar>
            <w:top w:w="0" w:type="dxa"/>
            <w:left w:w="108" w:type="dxa"/>
            <w:bottom w:w="0" w:type="dxa"/>
            <w:right w:w="108" w:type="dxa"/>
          </w:tblCellMar>
        </w:tblPrEx>
        <w:trPr>
          <w:trHeight w:val="333" w:hRule="atLeast"/>
        </w:trPr>
        <w:tc>
          <w:tcPr>
            <w:tcW w:w="109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正线隧道</w:t>
            </w:r>
            <w:r>
              <w:rPr>
                <w:rFonts w:hint="eastAsia" w:asciiTheme="minorEastAsia" w:hAnsiTheme="minorEastAsia" w:eastAsiaTheme="minorEastAsia" w:cstheme="minorEastAsia"/>
                <w:color w:val="auto"/>
                <w:sz w:val="18"/>
                <w:szCs w:val="18"/>
                <w:highlight w:val="none"/>
                <w:lang w:bidi="ar"/>
              </w:rPr>
              <w:br w:type="textWrapping"/>
            </w:r>
            <w:r>
              <w:rPr>
                <w:rFonts w:hint="eastAsia" w:asciiTheme="minorEastAsia" w:hAnsiTheme="minorEastAsia" w:eastAsiaTheme="minorEastAsia" w:cstheme="minorEastAsia"/>
                <w:color w:val="auto"/>
                <w:sz w:val="18"/>
                <w:szCs w:val="18"/>
                <w:highlight w:val="none"/>
                <w:lang w:bidi="ar"/>
              </w:rPr>
              <w:t>（盾构法）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竖向位移</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 xml:space="preserve">1894 </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6</w:t>
            </w:r>
          </w:p>
        </w:tc>
        <w:tc>
          <w:tcPr>
            <w:tcW w:w="92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11364</w:t>
            </w:r>
          </w:p>
        </w:tc>
        <w:tc>
          <w:tcPr>
            <w:tcW w:w="2139" w:type="dxa"/>
            <w:vMerge w:val="continue"/>
            <w:tcBorders>
              <w:left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p>
        </w:tc>
      </w:tr>
      <w:tr>
        <w:tblPrEx>
          <w:tblCellMar>
            <w:top w:w="0" w:type="dxa"/>
            <w:left w:w="108" w:type="dxa"/>
            <w:bottom w:w="0" w:type="dxa"/>
            <w:right w:w="108" w:type="dxa"/>
          </w:tblCellMar>
        </w:tblPrEx>
        <w:trPr>
          <w:trHeight w:val="333" w:hRule="atLeast"/>
        </w:trPr>
        <w:tc>
          <w:tcPr>
            <w:tcW w:w="109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净空收敛</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断面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 xml:space="preserve">1802 </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6</w:t>
            </w:r>
          </w:p>
        </w:tc>
        <w:tc>
          <w:tcPr>
            <w:tcW w:w="92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10812</w:t>
            </w:r>
          </w:p>
        </w:tc>
        <w:tc>
          <w:tcPr>
            <w:tcW w:w="2139" w:type="dxa"/>
            <w:vMerge w:val="continue"/>
            <w:tcBorders>
              <w:left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p>
        </w:tc>
      </w:tr>
      <w:tr>
        <w:trPr>
          <w:trHeight w:val="333" w:hRule="atLeast"/>
        </w:trPr>
        <w:tc>
          <w:tcPr>
            <w:tcW w:w="109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出入场线</w:t>
            </w:r>
            <w:r>
              <w:rPr>
                <w:rFonts w:hint="eastAsia" w:asciiTheme="minorEastAsia" w:hAnsiTheme="minorEastAsia" w:eastAsiaTheme="minorEastAsia" w:cstheme="minorEastAsia"/>
                <w:color w:val="auto"/>
                <w:sz w:val="18"/>
                <w:szCs w:val="18"/>
                <w:highlight w:val="none"/>
                <w:lang w:bidi="ar"/>
              </w:rPr>
              <w:br w:type="textWrapping"/>
            </w:r>
            <w:r>
              <w:rPr>
                <w:rFonts w:hint="eastAsia" w:asciiTheme="minorEastAsia" w:hAnsiTheme="minorEastAsia" w:eastAsiaTheme="minorEastAsia" w:cstheme="minorEastAsia"/>
                <w:color w:val="auto"/>
                <w:sz w:val="18"/>
                <w:szCs w:val="18"/>
                <w:highlight w:val="none"/>
                <w:lang w:bidi="ar"/>
              </w:rPr>
              <w:t>（矿山法）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竖向位移</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64</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6</w:t>
            </w:r>
          </w:p>
        </w:tc>
        <w:tc>
          <w:tcPr>
            <w:tcW w:w="92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384</w:t>
            </w:r>
          </w:p>
        </w:tc>
        <w:tc>
          <w:tcPr>
            <w:tcW w:w="2139" w:type="dxa"/>
            <w:vMerge w:val="continue"/>
            <w:tcBorders>
              <w:left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p>
        </w:tc>
      </w:tr>
      <w:tr>
        <w:tblPrEx>
          <w:tblCellMar>
            <w:top w:w="0" w:type="dxa"/>
            <w:left w:w="108" w:type="dxa"/>
            <w:bottom w:w="0" w:type="dxa"/>
            <w:right w:w="108" w:type="dxa"/>
          </w:tblCellMar>
        </w:tblPrEx>
        <w:trPr>
          <w:trHeight w:val="333" w:hRule="atLeast"/>
        </w:trPr>
        <w:tc>
          <w:tcPr>
            <w:tcW w:w="109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净空收敛</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断面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30</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6</w:t>
            </w:r>
          </w:p>
        </w:tc>
        <w:tc>
          <w:tcPr>
            <w:tcW w:w="92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180</w:t>
            </w:r>
          </w:p>
        </w:tc>
        <w:tc>
          <w:tcPr>
            <w:tcW w:w="2139" w:type="dxa"/>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p>
        </w:tc>
      </w:tr>
      <w:tr>
        <w:tblPrEx>
          <w:tblCellMar>
            <w:top w:w="0" w:type="dxa"/>
            <w:left w:w="108" w:type="dxa"/>
            <w:bottom w:w="0" w:type="dxa"/>
            <w:right w:w="108" w:type="dxa"/>
          </w:tblCellMar>
        </w:tblPrEx>
        <w:trPr>
          <w:trHeight w:val="655" w:hRule="atLeast"/>
        </w:trPr>
        <w:tc>
          <w:tcPr>
            <w:tcW w:w="1099"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桥梁</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墩台沉降</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606</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3</w:t>
            </w:r>
          </w:p>
        </w:tc>
        <w:tc>
          <w:tcPr>
            <w:tcW w:w="92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1818</w:t>
            </w:r>
          </w:p>
        </w:tc>
        <w:tc>
          <w:tcPr>
            <w:tcW w:w="213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b/>
                <w:bCs/>
                <w:color w:val="auto"/>
                <w:sz w:val="18"/>
                <w:szCs w:val="18"/>
                <w:highlight w:val="none"/>
                <w:lang w:bidi="ar"/>
              </w:rPr>
              <w:t>使用建设期监测点，并继承相关数据</w:t>
            </w:r>
          </w:p>
        </w:tc>
      </w:tr>
      <w:tr>
        <w:tblPrEx>
          <w:tblCellMar>
            <w:top w:w="0" w:type="dxa"/>
            <w:left w:w="108" w:type="dxa"/>
            <w:bottom w:w="0" w:type="dxa"/>
            <w:right w:w="108" w:type="dxa"/>
          </w:tblCellMar>
        </w:tblPrEx>
        <w:trPr>
          <w:trHeight w:val="655" w:hRule="atLeast"/>
        </w:trPr>
        <w:tc>
          <w:tcPr>
            <w:tcW w:w="109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梁体竖向与横向变形</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2310</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6</w:t>
            </w:r>
          </w:p>
        </w:tc>
        <w:tc>
          <w:tcPr>
            <w:tcW w:w="92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13860</w:t>
            </w:r>
          </w:p>
        </w:tc>
        <w:tc>
          <w:tcPr>
            <w:tcW w:w="213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需布点并采集初始值（监测3次）</w:t>
            </w:r>
          </w:p>
        </w:tc>
      </w:tr>
      <w:tr>
        <w:tblPrEx>
          <w:tblCellMar>
            <w:top w:w="0" w:type="dxa"/>
            <w:left w:w="108" w:type="dxa"/>
            <w:bottom w:w="0" w:type="dxa"/>
            <w:right w:w="108" w:type="dxa"/>
          </w:tblCellMar>
        </w:tblPrEx>
        <w:trPr>
          <w:trHeight w:val="333" w:hRule="atLeast"/>
        </w:trPr>
        <w:tc>
          <w:tcPr>
            <w:tcW w:w="109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高架车站</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沉降监测</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36</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3</w:t>
            </w:r>
          </w:p>
        </w:tc>
        <w:tc>
          <w:tcPr>
            <w:tcW w:w="92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108</w:t>
            </w:r>
          </w:p>
        </w:tc>
        <w:tc>
          <w:tcPr>
            <w:tcW w:w="2139" w:type="dxa"/>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olor w:val="auto"/>
                <w:sz w:val="18"/>
                <w:szCs w:val="18"/>
                <w:highlight w:val="none"/>
                <w:lang w:bidi="ar"/>
              </w:rPr>
            </w:pPr>
            <w:r>
              <w:rPr>
                <w:rFonts w:hint="eastAsia" w:asciiTheme="minorEastAsia" w:hAnsiTheme="minorEastAsia" w:eastAsiaTheme="minorEastAsia" w:cstheme="minorEastAsia"/>
                <w:b/>
                <w:bCs/>
                <w:color w:val="auto"/>
                <w:sz w:val="18"/>
                <w:szCs w:val="18"/>
                <w:highlight w:val="none"/>
                <w:lang w:bidi="ar"/>
              </w:rPr>
              <w:t>使用建设期监测点，并继承相关数据</w:t>
            </w:r>
          </w:p>
        </w:tc>
      </w:tr>
      <w:tr>
        <w:tblPrEx>
          <w:tblCellMar>
            <w:top w:w="0" w:type="dxa"/>
            <w:left w:w="108" w:type="dxa"/>
            <w:bottom w:w="0" w:type="dxa"/>
            <w:right w:w="108" w:type="dxa"/>
          </w:tblCellMar>
        </w:tblPrEx>
        <w:trPr>
          <w:trHeight w:val="333" w:hRule="atLeast"/>
        </w:trPr>
        <w:tc>
          <w:tcPr>
            <w:tcW w:w="109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主所</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沉降监测</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20</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3</w:t>
            </w:r>
          </w:p>
        </w:tc>
        <w:tc>
          <w:tcPr>
            <w:tcW w:w="92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60</w:t>
            </w:r>
          </w:p>
        </w:tc>
        <w:tc>
          <w:tcPr>
            <w:tcW w:w="2139" w:type="dxa"/>
            <w:vMerge w:val="continue"/>
            <w:tcBorders>
              <w:left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361"/>
              <w:jc w:val="center"/>
              <w:textAlignment w:val="center"/>
              <w:rPr>
                <w:rFonts w:hint="eastAsia" w:asciiTheme="minorEastAsia" w:hAnsiTheme="minorEastAsia" w:eastAsiaTheme="minorEastAsia" w:cstheme="minorEastAsia"/>
                <w:b/>
                <w:bCs/>
                <w:color w:val="auto"/>
                <w:sz w:val="18"/>
                <w:szCs w:val="18"/>
                <w:highlight w:val="none"/>
                <w:lang w:bidi="ar"/>
              </w:rPr>
            </w:pPr>
          </w:p>
        </w:tc>
      </w:tr>
      <w:tr>
        <w:tblPrEx>
          <w:tblCellMar>
            <w:top w:w="0" w:type="dxa"/>
            <w:left w:w="108" w:type="dxa"/>
            <w:bottom w:w="0" w:type="dxa"/>
            <w:right w:w="108" w:type="dxa"/>
          </w:tblCellMar>
        </w:tblPrEx>
        <w:trPr>
          <w:trHeight w:val="333" w:hRule="atLeast"/>
        </w:trPr>
        <w:tc>
          <w:tcPr>
            <w:tcW w:w="109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场段建筑</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沉降监测</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57</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3</w:t>
            </w:r>
          </w:p>
        </w:tc>
        <w:tc>
          <w:tcPr>
            <w:tcW w:w="92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171</w:t>
            </w:r>
          </w:p>
        </w:tc>
        <w:tc>
          <w:tcPr>
            <w:tcW w:w="2139" w:type="dxa"/>
            <w:vMerge w:val="continue"/>
            <w:tcBorders>
              <w:left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361"/>
              <w:jc w:val="center"/>
              <w:textAlignment w:val="center"/>
              <w:rPr>
                <w:rFonts w:hint="eastAsia" w:asciiTheme="minorEastAsia" w:hAnsiTheme="minorEastAsia" w:eastAsiaTheme="minorEastAsia" w:cstheme="minorEastAsia"/>
                <w:b/>
                <w:bCs/>
                <w:color w:val="auto"/>
                <w:sz w:val="18"/>
                <w:szCs w:val="18"/>
                <w:highlight w:val="none"/>
                <w:lang w:bidi="ar"/>
              </w:rPr>
            </w:pPr>
          </w:p>
        </w:tc>
      </w:tr>
      <w:tr>
        <w:tblPrEx>
          <w:tblCellMar>
            <w:top w:w="0" w:type="dxa"/>
            <w:left w:w="108" w:type="dxa"/>
            <w:bottom w:w="0" w:type="dxa"/>
            <w:right w:w="108" w:type="dxa"/>
          </w:tblCellMar>
        </w:tblPrEx>
        <w:trPr>
          <w:trHeight w:val="343" w:hRule="atLeast"/>
        </w:trPr>
        <w:tc>
          <w:tcPr>
            <w:tcW w:w="1099"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边坡</w:t>
            </w:r>
          </w:p>
        </w:tc>
        <w:tc>
          <w:tcPr>
            <w:tcW w:w="248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竖向位移、水平位移监测</w:t>
            </w:r>
          </w:p>
        </w:tc>
        <w:tc>
          <w:tcPr>
            <w:tcW w:w="68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点</w:t>
            </w:r>
          </w:p>
        </w:tc>
        <w:tc>
          <w:tcPr>
            <w:tcW w:w="131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107</w:t>
            </w:r>
          </w:p>
        </w:tc>
        <w:tc>
          <w:tcPr>
            <w:tcW w:w="110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9</w:t>
            </w:r>
          </w:p>
        </w:tc>
        <w:tc>
          <w:tcPr>
            <w:tcW w:w="921"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0"/>
              <w:jc w:val="center"/>
              <w:textAlignment w:val="center"/>
              <w:rPr>
                <w:rFonts w:hint="eastAsia" w:asciiTheme="minorEastAsia" w:hAnsiTheme="minorEastAsia" w:eastAsiaTheme="minorEastAsia" w:cstheme="minorEastAsia"/>
                <w:color w:val="auto"/>
                <w:sz w:val="18"/>
                <w:szCs w:val="18"/>
                <w:highlight w:val="none"/>
                <w:lang w:bidi="ar"/>
              </w:rPr>
            </w:pPr>
            <w:r>
              <w:rPr>
                <w:rFonts w:hint="eastAsia" w:asciiTheme="minorEastAsia" w:hAnsiTheme="minorEastAsia" w:eastAsiaTheme="minorEastAsia" w:cstheme="minorEastAsia"/>
                <w:color w:val="auto"/>
                <w:sz w:val="18"/>
                <w:szCs w:val="18"/>
                <w:highlight w:val="none"/>
                <w:lang w:bidi="ar"/>
              </w:rPr>
              <w:t>963</w:t>
            </w:r>
          </w:p>
        </w:tc>
        <w:tc>
          <w:tcPr>
            <w:tcW w:w="2139" w:type="dxa"/>
            <w:vMerge w:val="continue"/>
            <w:tcBorders>
              <w:left w:val="single" w:color="000000"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firstLine="361"/>
              <w:jc w:val="center"/>
              <w:textAlignment w:val="center"/>
              <w:rPr>
                <w:rFonts w:hint="eastAsia" w:asciiTheme="minorEastAsia" w:hAnsiTheme="minorEastAsia" w:eastAsiaTheme="minorEastAsia" w:cstheme="minorEastAsia"/>
                <w:b/>
                <w:bCs/>
                <w:color w:val="auto"/>
                <w:sz w:val="18"/>
                <w:szCs w:val="18"/>
                <w:highlight w:val="none"/>
                <w:lang w:bidi="ar"/>
              </w:rPr>
            </w:pPr>
          </w:p>
        </w:tc>
      </w:tr>
    </w:tbl>
    <w:p>
      <w:pPr>
        <w:adjustRightInd w:val="0"/>
        <w:snapToGrid w:val="0"/>
        <w:spacing w:line="460" w:lineRule="exact"/>
        <w:rPr>
          <w:rFonts w:hint="eastAsia" w:asciiTheme="minorEastAsia" w:hAnsiTheme="minorEastAsia" w:eastAsiaTheme="minorEastAsia" w:cstheme="minorEastAsia"/>
          <w:color w:val="auto"/>
          <w:highlight w:val="none"/>
        </w:rPr>
      </w:pPr>
      <w:bookmarkStart w:id="1528" w:name="_Toc501110804"/>
      <w:bookmarkStart w:id="1529" w:name="_Toc503857334"/>
      <w:r>
        <w:rPr>
          <w:rFonts w:hint="eastAsia" w:asciiTheme="minorEastAsia" w:hAnsiTheme="minorEastAsia" w:eastAsiaTheme="minorEastAsia" w:cstheme="minorEastAsia"/>
          <w:color w:val="auto"/>
          <w:highlight w:val="none"/>
        </w:rPr>
        <w:t>注：工程量按实际发生计量。</w:t>
      </w:r>
    </w:p>
    <w:bookmarkEnd w:id="1528"/>
    <w:bookmarkEnd w:id="1529"/>
    <w:p>
      <w:pPr>
        <w:pStyle w:val="2"/>
        <w:numPr>
          <w:ilvl w:val="255"/>
          <w:numId w:val="0"/>
        </w:numPr>
        <w:adjustRightInd w:val="0"/>
        <w:snapToGrid w:val="0"/>
        <w:spacing w:before="200" w:after="200" w:line="460" w:lineRule="exact"/>
        <w:ind w:firstLine="420" w:firstLineChars="200"/>
        <w:rPr>
          <w:rFonts w:hint="eastAsia" w:asciiTheme="minorEastAsia" w:hAnsiTheme="minorEastAsia" w:eastAsiaTheme="minorEastAsia" w:cstheme="minorEastAsia"/>
          <w:color w:val="auto"/>
          <w:sz w:val="21"/>
          <w:szCs w:val="21"/>
          <w:highlight w:val="none"/>
        </w:rPr>
      </w:pPr>
      <w:bookmarkStart w:id="1530" w:name="_Toc17456"/>
      <w:bookmarkStart w:id="1531" w:name="_Toc24560"/>
      <w:bookmarkStart w:id="1532" w:name="_Toc501110806"/>
      <w:bookmarkStart w:id="1533" w:name="_Toc13081"/>
      <w:bookmarkStart w:id="1534" w:name="_Toc18151"/>
      <w:bookmarkStart w:id="1535" w:name="_Toc12423"/>
      <w:bookmarkStart w:id="1536" w:name="_Toc30339"/>
      <w:bookmarkStart w:id="1537" w:name="_Toc6914"/>
      <w:bookmarkStart w:id="1538" w:name="_Toc1190702337"/>
      <w:bookmarkStart w:id="1539" w:name="_Toc503857336"/>
      <w:r>
        <w:rPr>
          <w:rFonts w:hint="eastAsia" w:asciiTheme="minorEastAsia" w:hAnsiTheme="minorEastAsia" w:eastAsiaTheme="minorEastAsia" w:cstheme="minorEastAsia"/>
          <w:color w:val="auto"/>
          <w:sz w:val="21"/>
          <w:szCs w:val="21"/>
          <w:highlight w:val="none"/>
        </w:rPr>
        <w:t>十一、附件</w:t>
      </w:r>
      <w:bookmarkEnd w:id="1530"/>
      <w:bookmarkEnd w:id="1531"/>
      <w:bookmarkEnd w:id="1532"/>
      <w:bookmarkEnd w:id="1533"/>
      <w:bookmarkEnd w:id="1534"/>
      <w:bookmarkEnd w:id="1535"/>
      <w:bookmarkEnd w:id="1536"/>
      <w:bookmarkEnd w:id="1537"/>
      <w:bookmarkEnd w:id="1538"/>
      <w:bookmarkEnd w:id="1539"/>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附件1：高架车站监测点平面布置图</w:t>
      </w:r>
    </w:p>
    <w:p>
      <w:pPr>
        <w:adjustRightInd w:val="0"/>
        <w:snapToGrid w:val="0"/>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附件2：主所监测点平面布置图</w:t>
      </w:r>
    </w:p>
    <w:p>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附件3：边坡监测点平面布置图</w:t>
      </w:r>
    </w:p>
    <w:p>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附件4：段场建筑监测点平面布置图</w:t>
      </w:r>
    </w:p>
    <w:p>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附件5：隧道监测点布置</w:t>
      </w:r>
    </w:p>
    <w:p>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附件6：梁体监测点布置</w:t>
      </w:r>
    </w:p>
    <w:p>
      <w:pPr>
        <w:rPr>
          <w:color w:val="auto"/>
          <w:highlight w:val="none"/>
        </w:rPr>
      </w:pPr>
    </w:p>
    <w:p>
      <w:pPr>
        <w:rPr>
          <w:color w:val="auto"/>
          <w:highlight w:val="none"/>
        </w:rPr>
      </w:pPr>
    </w:p>
    <w:p>
      <w:pPr>
        <w:pStyle w:val="60"/>
        <w:spacing w:line="360" w:lineRule="auto"/>
        <w:ind w:firstLine="0" w:firstLineChars="0"/>
        <w:rPr>
          <w:b/>
          <w:bCs/>
          <w:color w:val="auto"/>
          <w:szCs w:val="21"/>
          <w:highlight w:val="none"/>
        </w:rPr>
      </w:pPr>
    </w:p>
    <w:bookmarkEnd w:id="1424"/>
    <w:bookmarkEnd w:id="1425"/>
    <w:p>
      <w:pPr>
        <w:pStyle w:val="5"/>
        <w:ind w:firstLine="0"/>
        <w:rPr>
          <w:rFonts w:eastAsia="黑体"/>
          <w:color w:val="auto"/>
          <w:kern w:val="24"/>
          <w:sz w:val="28"/>
          <w:szCs w:val="20"/>
          <w:highlight w:val="none"/>
        </w:rPr>
      </w:pPr>
    </w:p>
    <w:p>
      <w:pPr>
        <w:pStyle w:val="5"/>
        <w:ind w:firstLine="0"/>
        <w:rPr>
          <w:rFonts w:eastAsia="黑体"/>
          <w:color w:val="auto"/>
          <w:kern w:val="24"/>
          <w:sz w:val="28"/>
          <w:szCs w:val="20"/>
          <w:highlight w:val="none"/>
        </w:rPr>
      </w:pPr>
    </w:p>
    <w:p>
      <w:pPr>
        <w:snapToGrid w:val="0"/>
        <w:spacing w:before="120" w:after="120" w:line="360" w:lineRule="auto"/>
        <w:ind w:firstLine="482"/>
        <w:jc w:val="left"/>
        <w:rPr>
          <w:rFonts w:ascii="仿宋" w:hAnsi="仿宋" w:eastAsia="仿宋"/>
          <w:color w:val="auto"/>
          <w:sz w:val="24"/>
          <w:highlight w:val="none"/>
        </w:rPr>
      </w:pPr>
    </w:p>
    <w:p>
      <w:pPr>
        <w:spacing w:line="400" w:lineRule="exact"/>
        <w:jc w:val="center"/>
        <w:rPr>
          <w:color w:val="auto"/>
          <w:szCs w:val="24"/>
          <w:highlight w:val="none"/>
        </w:rPr>
      </w:pPr>
      <w:r>
        <w:rPr>
          <w:color w:val="auto"/>
          <w:szCs w:val="24"/>
          <w:highlight w:val="none"/>
        </w:rPr>
        <w:br w:type="page"/>
      </w:r>
    </w:p>
    <w:p>
      <w:pPr>
        <w:keepNext/>
        <w:keepLines/>
        <w:adjustRightInd w:val="0"/>
        <w:spacing w:before="240" w:after="60"/>
        <w:jc w:val="center"/>
        <w:textAlignment w:val="baseline"/>
        <w:outlineLvl w:val="0"/>
        <w:rPr>
          <w:rFonts w:eastAsia="黑体"/>
          <w:color w:val="auto"/>
          <w:kern w:val="24"/>
          <w:sz w:val="28"/>
          <w:szCs w:val="20"/>
          <w:highlight w:val="none"/>
        </w:rPr>
      </w:pPr>
      <w:bookmarkStart w:id="1540" w:name="_Toc5176"/>
      <w:bookmarkStart w:id="1541" w:name="_Toc7352"/>
      <w:bookmarkStart w:id="1542" w:name="_Toc29548"/>
      <w:bookmarkStart w:id="1543" w:name="_Toc22509"/>
      <w:bookmarkStart w:id="1544" w:name="_Toc170804661"/>
      <w:bookmarkStart w:id="1545" w:name="_Toc1881555213"/>
      <w:bookmarkStart w:id="1546" w:name="_Toc20391"/>
      <w:bookmarkStart w:id="1547" w:name="_Toc28374"/>
      <w:bookmarkStart w:id="1548" w:name="_Toc14417"/>
      <w:bookmarkStart w:id="1549" w:name="_Toc4604"/>
      <w:bookmarkStart w:id="1550" w:name="_Toc22726"/>
      <w:r>
        <w:rPr>
          <w:rFonts w:hint="eastAsia" w:eastAsia="黑体"/>
          <w:color w:val="auto"/>
          <w:kern w:val="24"/>
          <w:sz w:val="28"/>
          <w:szCs w:val="20"/>
          <w:highlight w:val="none"/>
        </w:rPr>
        <w:t>第三卷</w:t>
      </w:r>
      <w:bookmarkEnd w:id="1540"/>
      <w:bookmarkEnd w:id="1541"/>
      <w:bookmarkEnd w:id="1542"/>
      <w:bookmarkEnd w:id="1543"/>
      <w:bookmarkEnd w:id="1544"/>
      <w:bookmarkEnd w:id="1545"/>
      <w:bookmarkEnd w:id="1546"/>
      <w:bookmarkEnd w:id="1547"/>
      <w:bookmarkEnd w:id="1548"/>
      <w:bookmarkEnd w:id="1549"/>
      <w:bookmarkEnd w:id="1550"/>
    </w:p>
    <w:p>
      <w:pPr>
        <w:keepNext/>
        <w:keepLines/>
        <w:adjustRightInd w:val="0"/>
        <w:spacing w:before="240" w:after="60"/>
        <w:jc w:val="center"/>
        <w:textAlignment w:val="baseline"/>
        <w:outlineLvl w:val="0"/>
        <w:rPr>
          <w:rFonts w:eastAsia="黑体"/>
          <w:color w:val="auto"/>
          <w:kern w:val="24"/>
          <w:sz w:val="28"/>
          <w:szCs w:val="20"/>
          <w:highlight w:val="none"/>
        </w:rPr>
      </w:pPr>
      <w:bookmarkStart w:id="1551" w:name="_Toc20674"/>
      <w:bookmarkStart w:id="1552" w:name="_Toc1601762816"/>
      <w:bookmarkStart w:id="1553" w:name="_Toc28683"/>
      <w:bookmarkStart w:id="1554" w:name="_Toc14909"/>
      <w:bookmarkStart w:id="1555" w:name="_Toc170804662"/>
      <w:bookmarkStart w:id="1556" w:name="_Toc29019"/>
      <w:bookmarkStart w:id="1557" w:name="_Toc439"/>
      <w:bookmarkStart w:id="1558" w:name="_Toc31209"/>
      <w:bookmarkStart w:id="1559" w:name="_Toc25798"/>
      <w:bookmarkStart w:id="1560" w:name="_Toc437"/>
      <w:bookmarkStart w:id="1561" w:name="_Toc10249"/>
      <w:r>
        <w:rPr>
          <w:rFonts w:hint="eastAsia" w:eastAsia="黑体"/>
          <w:color w:val="auto"/>
          <w:kern w:val="24"/>
          <w:sz w:val="28"/>
          <w:szCs w:val="20"/>
          <w:highlight w:val="none"/>
        </w:rPr>
        <w:t>第六章投标文件格式</w:t>
      </w:r>
      <w:bookmarkEnd w:id="1551"/>
      <w:bookmarkEnd w:id="1552"/>
      <w:bookmarkEnd w:id="1553"/>
      <w:bookmarkEnd w:id="1554"/>
      <w:bookmarkEnd w:id="1555"/>
      <w:bookmarkEnd w:id="1556"/>
      <w:bookmarkEnd w:id="1557"/>
      <w:bookmarkEnd w:id="1558"/>
      <w:bookmarkEnd w:id="1559"/>
      <w:bookmarkEnd w:id="1560"/>
      <w:bookmarkEnd w:id="1561"/>
    </w:p>
    <w:p>
      <w:pPr>
        <w:spacing w:line="400" w:lineRule="exact"/>
        <w:rPr>
          <w:color w:val="auto"/>
          <w:szCs w:val="24"/>
          <w:highlight w:val="none"/>
        </w:rPr>
      </w:pPr>
    </w:p>
    <w:p>
      <w:pPr>
        <w:spacing w:line="400" w:lineRule="exact"/>
        <w:rPr>
          <w:color w:val="auto"/>
          <w:szCs w:val="24"/>
          <w:highlight w:val="none"/>
        </w:rPr>
      </w:pPr>
      <w:r>
        <w:rPr>
          <w:color w:val="auto"/>
          <w:szCs w:val="24"/>
          <w:highlight w:val="none"/>
        </w:rPr>
        <w:br w:type="page"/>
      </w:r>
    </w:p>
    <w:p>
      <w:pPr>
        <w:spacing w:line="400" w:lineRule="exact"/>
        <w:rPr>
          <w:color w:val="auto"/>
          <w:szCs w:val="24"/>
          <w:highlight w:val="none"/>
        </w:rPr>
      </w:pPr>
    </w:p>
    <w:p>
      <w:pPr>
        <w:spacing w:line="400" w:lineRule="exact"/>
        <w:rPr>
          <w:color w:val="auto"/>
          <w:szCs w:val="24"/>
          <w:highlight w:val="none"/>
        </w:rPr>
      </w:pPr>
    </w:p>
    <w:p>
      <w:pPr>
        <w:spacing w:line="400" w:lineRule="exact"/>
        <w:rPr>
          <w:color w:val="auto"/>
          <w:sz w:val="22"/>
          <w:szCs w:val="28"/>
          <w:highlight w:val="none"/>
        </w:rPr>
      </w:pPr>
    </w:p>
    <w:p>
      <w:pPr>
        <w:pStyle w:val="26"/>
        <w:jc w:val="center"/>
        <w:rPr>
          <w:color w:val="auto"/>
          <w:sz w:val="22"/>
          <w:szCs w:val="22"/>
          <w:highlight w:val="none"/>
        </w:rPr>
      </w:pPr>
      <w:r>
        <w:rPr>
          <w:rFonts w:hint="eastAsia" w:eastAsia="黑体"/>
          <w:color w:val="auto"/>
          <w:sz w:val="40"/>
          <w:szCs w:val="40"/>
          <w:highlight w:val="none"/>
        </w:rPr>
        <w:t>东莞</w:t>
      </w:r>
      <w:r>
        <w:rPr>
          <w:rFonts w:hint="eastAsia" w:eastAsia="黑体"/>
          <w:color w:val="auto"/>
          <w:sz w:val="40"/>
          <w:szCs w:val="40"/>
          <w:highlight w:val="none"/>
          <w:lang w:eastAsia="zh-CN"/>
        </w:rPr>
        <w:t>市</w:t>
      </w:r>
      <w:r>
        <w:rPr>
          <w:rFonts w:hint="eastAsia" w:eastAsia="黑体"/>
          <w:color w:val="auto"/>
          <w:sz w:val="40"/>
          <w:szCs w:val="40"/>
          <w:highlight w:val="none"/>
        </w:rPr>
        <w:t>轨道交通1号线</w:t>
      </w:r>
      <w:r>
        <w:rPr>
          <w:rFonts w:hint="eastAsia" w:eastAsia="黑体"/>
          <w:color w:val="auto"/>
          <w:sz w:val="40"/>
          <w:szCs w:val="40"/>
          <w:highlight w:val="none"/>
          <w:lang w:eastAsia="zh-CN"/>
        </w:rPr>
        <w:t>一期工程</w:t>
      </w:r>
      <w:r>
        <w:rPr>
          <w:rFonts w:hint="eastAsia" w:eastAsia="黑体"/>
          <w:color w:val="auto"/>
          <w:sz w:val="40"/>
          <w:szCs w:val="40"/>
          <w:highlight w:val="none"/>
        </w:rPr>
        <w:t>2025-2026年结构变形监测项目</w:t>
      </w:r>
    </w:p>
    <w:p>
      <w:pPr>
        <w:rPr>
          <w:rFonts w:eastAsia="黑体"/>
          <w:color w:val="auto"/>
          <w:sz w:val="20"/>
          <w:szCs w:val="24"/>
          <w:highlight w:val="none"/>
        </w:rPr>
      </w:pPr>
    </w:p>
    <w:p>
      <w:pPr>
        <w:rPr>
          <w:rFonts w:eastAsia="黑体"/>
          <w:color w:val="auto"/>
          <w:sz w:val="20"/>
          <w:szCs w:val="24"/>
          <w:highlight w:val="none"/>
        </w:rPr>
      </w:pPr>
    </w:p>
    <w:p>
      <w:pPr>
        <w:jc w:val="center"/>
        <w:rPr>
          <w:rFonts w:eastAsia="黑体"/>
          <w:color w:val="auto"/>
          <w:sz w:val="44"/>
          <w:szCs w:val="24"/>
          <w:highlight w:val="none"/>
        </w:rPr>
      </w:pPr>
      <w:r>
        <w:rPr>
          <w:rFonts w:hint="eastAsia" w:eastAsia="黑体"/>
          <w:color w:val="auto"/>
          <w:sz w:val="44"/>
          <w:szCs w:val="24"/>
          <w:highlight w:val="none"/>
        </w:rPr>
        <w:t>投</w:t>
      </w:r>
      <w:r>
        <w:rPr>
          <w:rFonts w:eastAsia="黑体"/>
          <w:color w:val="auto"/>
          <w:sz w:val="44"/>
          <w:szCs w:val="24"/>
          <w:highlight w:val="none"/>
        </w:rPr>
        <w:t xml:space="preserve"> </w:t>
      </w:r>
      <w:r>
        <w:rPr>
          <w:rFonts w:hint="eastAsia" w:eastAsia="黑体"/>
          <w:color w:val="auto"/>
          <w:sz w:val="44"/>
          <w:szCs w:val="24"/>
          <w:highlight w:val="none"/>
        </w:rPr>
        <w:t>标</w:t>
      </w:r>
      <w:r>
        <w:rPr>
          <w:rFonts w:eastAsia="黑体"/>
          <w:color w:val="auto"/>
          <w:sz w:val="44"/>
          <w:szCs w:val="24"/>
          <w:highlight w:val="none"/>
        </w:rPr>
        <w:t xml:space="preserve"> </w:t>
      </w:r>
      <w:r>
        <w:rPr>
          <w:rFonts w:hint="eastAsia" w:eastAsia="黑体"/>
          <w:color w:val="auto"/>
          <w:sz w:val="44"/>
          <w:szCs w:val="24"/>
          <w:highlight w:val="none"/>
        </w:rPr>
        <w:t>文</w:t>
      </w:r>
      <w:r>
        <w:rPr>
          <w:rFonts w:eastAsia="黑体"/>
          <w:color w:val="auto"/>
          <w:sz w:val="44"/>
          <w:szCs w:val="24"/>
          <w:highlight w:val="none"/>
        </w:rPr>
        <w:t xml:space="preserve"> </w:t>
      </w:r>
      <w:r>
        <w:rPr>
          <w:rFonts w:hint="eastAsia" w:eastAsia="黑体"/>
          <w:color w:val="auto"/>
          <w:sz w:val="44"/>
          <w:szCs w:val="24"/>
          <w:highlight w:val="none"/>
        </w:rPr>
        <w:t>件</w:t>
      </w:r>
    </w:p>
    <w:p>
      <w:pPr>
        <w:jc w:val="center"/>
        <w:rPr>
          <w:rFonts w:eastAsia="黑体"/>
          <w:color w:val="auto"/>
          <w:sz w:val="44"/>
          <w:szCs w:val="24"/>
          <w:highlight w:val="none"/>
        </w:rPr>
      </w:pPr>
    </w:p>
    <w:p>
      <w:pPr>
        <w:rPr>
          <w:rFonts w:eastAsia="黑体"/>
          <w:color w:val="auto"/>
          <w:sz w:val="28"/>
          <w:szCs w:val="24"/>
          <w:highlight w:val="none"/>
        </w:rPr>
      </w:pPr>
    </w:p>
    <w:p>
      <w:pPr>
        <w:rPr>
          <w:rFonts w:eastAsia="黑体"/>
          <w:color w:val="auto"/>
          <w:sz w:val="28"/>
          <w:szCs w:val="24"/>
          <w:highlight w:val="none"/>
        </w:rPr>
      </w:pPr>
    </w:p>
    <w:p>
      <w:pPr>
        <w:rPr>
          <w:rFonts w:eastAsia="黑体"/>
          <w:color w:val="auto"/>
          <w:sz w:val="28"/>
          <w:szCs w:val="24"/>
          <w:highlight w:val="none"/>
        </w:rPr>
      </w:pPr>
    </w:p>
    <w:p>
      <w:pPr>
        <w:rPr>
          <w:rFonts w:eastAsia="黑体"/>
          <w:color w:val="auto"/>
          <w:sz w:val="28"/>
          <w:szCs w:val="24"/>
          <w:highlight w:val="none"/>
        </w:rPr>
      </w:pPr>
    </w:p>
    <w:p>
      <w:pPr>
        <w:rPr>
          <w:rFonts w:eastAsia="黑体"/>
          <w:color w:val="auto"/>
          <w:sz w:val="28"/>
          <w:szCs w:val="24"/>
          <w:highlight w:val="none"/>
        </w:rPr>
      </w:pPr>
    </w:p>
    <w:p>
      <w:pPr>
        <w:rPr>
          <w:rFonts w:eastAsia="黑体"/>
          <w:color w:val="auto"/>
          <w:sz w:val="28"/>
          <w:szCs w:val="24"/>
          <w:highlight w:val="none"/>
        </w:rPr>
      </w:pPr>
    </w:p>
    <w:p>
      <w:pPr>
        <w:rPr>
          <w:rFonts w:eastAsia="黑体"/>
          <w:color w:val="auto"/>
          <w:sz w:val="28"/>
          <w:szCs w:val="24"/>
          <w:highlight w:val="none"/>
        </w:rPr>
      </w:pPr>
    </w:p>
    <w:p>
      <w:pPr>
        <w:rPr>
          <w:rFonts w:eastAsia="黑体"/>
          <w:color w:val="auto"/>
          <w:sz w:val="28"/>
          <w:szCs w:val="24"/>
          <w:highlight w:val="none"/>
        </w:rPr>
      </w:pPr>
    </w:p>
    <w:p>
      <w:pPr>
        <w:rPr>
          <w:rFonts w:eastAsia="黑体"/>
          <w:color w:val="auto"/>
          <w:sz w:val="28"/>
          <w:szCs w:val="24"/>
          <w:highlight w:val="none"/>
        </w:rPr>
      </w:pPr>
    </w:p>
    <w:p>
      <w:pPr>
        <w:spacing w:line="360" w:lineRule="auto"/>
        <w:rPr>
          <w:rFonts w:eastAsia="黑体"/>
          <w:color w:val="auto"/>
          <w:sz w:val="28"/>
          <w:szCs w:val="24"/>
          <w:highlight w:val="none"/>
        </w:rPr>
      </w:pPr>
    </w:p>
    <w:p>
      <w:pPr>
        <w:spacing w:line="360" w:lineRule="auto"/>
        <w:ind w:firstLine="1120" w:firstLineChars="400"/>
        <w:rPr>
          <w:rFonts w:eastAsia="黑体"/>
          <w:color w:val="auto"/>
          <w:sz w:val="28"/>
          <w:szCs w:val="24"/>
          <w:highlight w:val="none"/>
          <w:u w:val="single"/>
        </w:rPr>
      </w:pPr>
      <w:r>
        <w:rPr>
          <w:rFonts w:hint="eastAsia" w:eastAsia="黑体"/>
          <w:color w:val="auto"/>
          <w:sz w:val="28"/>
          <w:szCs w:val="24"/>
          <w:highlight w:val="none"/>
        </w:rPr>
        <w:t>投标人：</w:t>
      </w:r>
      <w:r>
        <w:rPr>
          <w:color w:val="auto"/>
          <w:szCs w:val="24"/>
          <w:highlight w:val="none"/>
          <w:u w:val="single"/>
        </w:rPr>
        <w:t xml:space="preserve">                                            </w:t>
      </w:r>
      <w:r>
        <w:rPr>
          <w:rFonts w:hint="eastAsia" w:eastAsia="黑体"/>
          <w:color w:val="auto"/>
          <w:sz w:val="28"/>
          <w:szCs w:val="24"/>
          <w:highlight w:val="none"/>
        </w:rPr>
        <w:t>（盖单位公章）</w:t>
      </w:r>
    </w:p>
    <w:p>
      <w:pPr>
        <w:spacing w:line="360" w:lineRule="auto"/>
        <w:ind w:firstLine="1120" w:firstLineChars="400"/>
        <w:jc w:val="left"/>
        <w:rPr>
          <w:rFonts w:eastAsia="黑体"/>
          <w:color w:val="auto"/>
          <w:sz w:val="28"/>
          <w:szCs w:val="24"/>
          <w:highlight w:val="none"/>
        </w:rPr>
      </w:pPr>
      <w:r>
        <w:rPr>
          <w:rFonts w:hint="eastAsia" w:eastAsia="黑体"/>
          <w:color w:val="auto"/>
          <w:sz w:val="28"/>
          <w:szCs w:val="24"/>
          <w:highlight w:val="none"/>
        </w:rPr>
        <w:t>法定代表人或其委托代理人：</w:t>
      </w:r>
      <w:r>
        <w:rPr>
          <w:color w:val="auto"/>
          <w:szCs w:val="24"/>
          <w:highlight w:val="none"/>
          <w:u w:val="single"/>
        </w:rPr>
        <w:t xml:space="preserve">         </w:t>
      </w:r>
      <w:r>
        <w:rPr>
          <w:rFonts w:hint="eastAsia" w:eastAsia="黑体"/>
          <w:color w:val="auto"/>
          <w:sz w:val="28"/>
          <w:szCs w:val="24"/>
          <w:highlight w:val="none"/>
        </w:rPr>
        <w:t>（签字）</w:t>
      </w:r>
    </w:p>
    <w:p>
      <w:pPr>
        <w:jc w:val="center"/>
        <w:rPr>
          <w:rFonts w:eastAsia="黑体"/>
          <w:color w:val="auto"/>
          <w:sz w:val="28"/>
          <w:szCs w:val="24"/>
          <w:highlight w:val="none"/>
        </w:rPr>
      </w:pPr>
    </w:p>
    <w:p>
      <w:pPr>
        <w:spacing w:line="400" w:lineRule="exact"/>
        <w:jc w:val="center"/>
        <w:rPr>
          <w:color w:val="auto"/>
          <w:szCs w:val="24"/>
          <w:highlight w:val="none"/>
        </w:rPr>
      </w:pPr>
      <w:r>
        <w:rPr>
          <w:color w:val="auto"/>
          <w:szCs w:val="24"/>
          <w:highlight w:val="none"/>
          <w:u w:val="single"/>
        </w:rPr>
        <w:t xml:space="preserve">       </w:t>
      </w:r>
      <w:r>
        <w:rPr>
          <w:rFonts w:hint="eastAsia" w:eastAsia="黑体"/>
          <w:color w:val="auto"/>
          <w:sz w:val="28"/>
          <w:szCs w:val="24"/>
          <w:highlight w:val="none"/>
        </w:rPr>
        <w:t>年</w:t>
      </w:r>
      <w:r>
        <w:rPr>
          <w:color w:val="auto"/>
          <w:szCs w:val="24"/>
          <w:highlight w:val="none"/>
          <w:u w:val="single"/>
        </w:rPr>
        <w:t xml:space="preserve">       </w:t>
      </w:r>
      <w:r>
        <w:rPr>
          <w:rFonts w:hint="eastAsia" w:eastAsia="黑体"/>
          <w:color w:val="auto"/>
          <w:sz w:val="28"/>
          <w:szCs w:val="24"/>
          <w:highlight w:val="none"/>
        </w:rPr>
        <w:t>月</w:t>
      </w:r>
      <w:r>
        <w:rPr>
          <w:color w:val="auto"/>
          <w:szCs w:val="24"/>
          <w:highlight w:val="none"/>
          <w:u w:val="single"/>
        </w:rPr>
        <w:t xml:space="preserve">       </w:t>
      </w:r>
      <w:r>
        <w:rPr>
          <w:rFonts w:hint="eastAsia" w:eastAsia="黑体"/>
          <w:color w:val="auto"/>
          <w:sz w:val="28"/>
          <w:szCs w:val="24"/>
          <w:highlight w:val="none"/>
        </w:rPr>
        <w:t>日</w:t>
      </w:r>
      <w:r>
        <w:rPr>
          <w:color w:val="auto"/>
          <w:szCs w:val="24"/>
          <w:highlight w:val="none"/>
        </w:rPr>
        <w:br w:type="page"/>
      </w:r>
    </w:p>
    <w:p>
      <w:pPr>
        <w:widowControl/>
        <w:jc w:val="center"/>
        <w:rPr>
          <w:color w:val="auto"/>
          <w:highlight w:val="none"/>
        </w:rPr>
      </w:pPr>
      <w:bookmarkStart w:id="1562" w:name="_Toc170804663"/>
      <w:r>
        <w:rPr>
          <w:rFonts w:hint="eastAsia"/>
          <w:color w:val="auto"/>
          <w:highlight w:val="none"/>
        </w:rPr>
        <w:t>目录</w:t>
      </w:r>
      <w:bookmarkEnd w:id="1562"/>
    </w:p>
    <w:p>
      <w:pPr>
        <w:widowControl/>
        <w:jc w:val="left"/>
        <w:rPr>
          <w:color w:val="auto"/>
          <w:highlight w:val="none"/>
        </w:rPr>
      </w:pPr>
      <w:r>
        <w:rPr>
          <w:rFonts w:hint="eastAsia"/>
          <w:color w:val="auto"/>
          <w:highlight w:val="none"/>
        </w:rPr>
        <w:t>投标文件索引表</w:t>
      </w:r>
    </w:p>
    <w:p>
      <w:pPr>
        <w:widowControl/>
        <w:jc w:val="left"/>
        <w:rPr>
          <w:color w:val="auto"/>
          <w:highlight w:val="none"/>
        </w:rPr>
      </w:pPr>
      <w:r>
        <w:rPr>
          <w:color w:val="auto"/>
          <w:highlight w:val="none"/>
        </w:rPr>
        <w:t>1</w:t>
      </w:r>
      <w:r>
        <w:rPr>
          <w:rFonts w:hint="eastAsia"/>
          <w:color w:val="auto"/>
          <w:highlight w:val="none"/>
        </w:rPr>
        <w:t>、投标函及投标函附录</w:t>
      </w:r>
    </w:p>
    <w:p>
      <w:pPr>
        <w:widowControl/>
        <w:jc w:val="left"/>
        <w:rPr>
          <w:color w:val="auto"/>
          <w:highlight w:val="none"/>
        </w:rPr>
      </w:pPr>
      <w:r>
        <w:rPr>
          <w:color w:val="auto"/>
          <w:highlight w:val="none"/>
        </w:rPr>
        <w:t>2</w:t>
      </w:r>
      <w:r>
        <w:rPr>
          <w:rFonts w:hint="eastAsia"/>
          <w:color w:val="auto"/>
          <w:highlight w:val="none"/>
        </w:rPr>
        <w:t>、法定代表人身份证明</w:t>
      </w:r>
    </w:p>
    <w:p>
      <w:pPr>
        <w:widowControl/>
        <w:jc w:val="left"/>
        <w:rPr>
          <w:color w:val="auto"/>
          <w:highlight w:val="none"/>
        </w:rPr>
      </w:pPr>
      <w:r>
        <w:rPr>
          <w:color w:val="auto"/>
          <w:highlight w:val="none"/>
        </w:rPr>
        <w:t>3</w:t>
      </w:r>
      <w:r>
        <w:rPr>
          <w:rFonts w:hint="eastAsia"/>
          <w:color w:val="auto"/>
          <w:highlight w:val="none"/>
        </w:rPr>
        <w:t>、法定代表人授权委托书</w:t>
      </w:r>
    </w:p>
    <w:p>
      <w:pPr>
        <w:widowControl/>
        <w:jc w:val="left"/>
        <w:rPr>
          <w:color w:val="auto"/>
          <w:highlight w:val="none"/>
        </w:rPr>
      </w:pPr>
      <w:r>
        <w:rPr>
          <w:color w:val="auto"/>
          <w:highlight w:val="none"/>
        </w:rPr>
        <w:t>4</w:t>
      </w:r>
      <w:r>
        <w:rPr>
          <w:rFonts w:hint="eastAsia"/>
          <w:color w:val="auto"/>
          <w:highlight w:val="none"/>
        </w:rPr>
        <w:t>、廉洁承诺书</w:t>
      </w:r>
    </w:p>
    <w:p>
      <w:pPr>
        <w:widowControl/>
        <w:jc w:val="left"/>
        <w:rPr>
          <w:color w:val="auto"/>
          <w:highlight w:val="none"/>
        </w:rPr>
      </w:pPr>
      <w:r>
        <w:rPr>
          <w:rFonts w:hint="eastAsia"/>
          <w:color w:val="auto"/>
          <w:highlight w:val="none"/>
        </w:rPr>
        <w:t>5、监测单位组织机构表</w:t>
      </w:r>
    </w:p>
    <w:p>
      <w:pPr>
        <w:widowControl/>
        <w:jc w:val="left"/>
        <w:rPr>
          <w:color w:val="auto"/>
          <w:highlight w:val="none"/>
        </w:rPr>
      </w:pPr>
      <w:r>
        <w:rPr>
          <w:rFonts w:hint="eastAsia"/>
          <w:color w:val="auto"/>
          <w:highlight w:val="none"/>
        </w:rPr>
        <w:t>7、工程量清单</w:t>
      </w:r>
    </w:p>
    <w:p>
      <w:pPr>
        <w:widowControl/>
        <w:jc w:val="left"/>
        <w:rPr>
          <w:color w:val="auto"/>
          <w:highlight w:val="none"/>
        </w:rPr>
      </w:pPr>
      <w:r>
        <w:rPr>
          <w:rFonts w:hint="eastAsia"/>
          <w:color w:val="auto"/>
          <w:highlight w:val="none"/>
        </w:rPr>
        <w:t>8、合同条款响应性承诺书</w:t>
      </w:r>
    </w:p>
    <w:p>
      <w:pPr>
        <w:widowControl/>
        <w:jc w:val="left"/>
        <w:rPr>
          <w:color w:val="auto"/>
          <w:highlight w:val="none"/>
        </w:rPr>
      </w:pPr>
      <w:r>
        <w:rPr>
          <w:rFonts w:hint="eastAsia"/>
          <w:color w:val="auto"/>
          <w:highlight w:val="none"/>
        </w:rPr>
        <w:t>9、拟投入本项目的主要仪器设备表</w:t>
      </w:r>
    </w:p>
    <w:p>
      <w:pPr>
        <w:widowControl/>
        <w:jc w:val="left"/>
        <w:rPr>
          <w:color w:val="auto"/>
          <w:highlight w:val="none"/>
        </w:rPr>
      </w:pPr>
      <w:r>
        <w:rPr>
          <w:rFonts w:hint="eastAsia"/>
          <w:color w:val="auto"/>
          <w:highlight w:val="none"/>
        </w:rPr>
        <w:t>9、</w:t>
      </w:r>
      <w:r>
        <w:rPr>
          <w:rFonts w:hint="eastAsia"/>
          <w:color w:val="auto"/>
          <w:highlight w:val="none"/>
          <w:lang w:val="en-US" w:eastAsia="zh-CN"/>
        </w:rPr>
        <w:t>技术</w:t>
      </w:r>
      <w:r>
        <w:rPr>
          <w:rFonts w:hint="eastAsia"/>
          <w:color w:val="auto"/>
          <w:highlight w:val="none"/>
        </w:rPr>
        <w:t>方案</w:t>
      </w:r>
    </w:p>
    <w:p>
      <w:pPr>
        <w:widowControl/>
        <w:jc w:val="left"/>
        <w:rPr>
          <w:color w:val="auto"/>
          <w:highlight w:val="none"/>
        </w:rPr>
      </w:pPr>
      <w:r>
        <w:rPr>
          <w:color w:val="auto"/>
          <w:highlight w:val="none"/>
        </w:rPr>
        <w:t>1</w:t>
      </w:r>
      <w:r>
        <w:rPr>
          <w:rFonts w:hint="eastAsia"/>
          <w:color w:val="auto"/>
          <w:highlight w:val="none"/>
        </w:rPr>
        <w:t>0、资格审查资料</w:t>
      </w:r>
    </w:p>
    <w:p>
      <w:pPr>
        <w:widowControl/>
        <w:jc w:val="left"/>
        <w:rPr>
          <w:color w:val="auto"/>
          <w:highlight w:val="none"/>
        </w:rPr>
      </w:pPr>
      <w:r>
        <w:rPr>
          <w:color w:val="auto"/>
          <w:highlight w:val="none"/>
        </w:rPr>
        <w:t>1</w:t>
      </w:r>
      <w:r>
        <w:rPr>
          <w:rFonts w:hint="eastAsia"/>
          <w:color w:val="auto"/>
          <w:highlight w:val="none"/>
        </w:rPr>
        <w:t>1、须评审的其他资料</w:t>
      </w:r>
    </w:p>
    <w:p>
      <w:pPr>
        <w:pStyle w:val="26"/>
        <w:rPr>
          <w:color w:val="auto"/>
          <w:highlight w:val="none"/>
        </w:rPr>
      </w:pPr>
    </w:p>
    <w:p>
      <w:pPr>
        <w:pStyle w:val="26"/>
        <w:rPr>
          <w:color w:val="auto"/>
          <w:sz w:val="21"/>
          <w:szCs w:val="22"/>
          <w:highlight w:val="none"/>
        </w:rPr>
      </w:pPr>
      <w:r>
        <w:rPr>
          <w:rFonts w:hint="eastAsia"/>
          <w:color w:val="auto"/>
          <w:sz w:val="21"/>
          <w:szCs w:val="22"/>
          <w:highlight w:val="none"/>
        </w:rPr>
        <w:t>备注：投标人应根据投标人须知及其前附表、评标办法及其前附表中提及的评审项目要求，按照投标文件格式编制投标文件。</w:t>
      </w:r>
    </w:p>
    <w:p>
      <w:pPr>
        <w:widowControl/>
        <w:jc w:val="left"/>
        <w:rPr>
          <w:color w:val="auto"/>
          <w:sz w:val="36"/>
          <w:szCs w:val="36"/>
          <w:highlight w:val="none"/>
        </w:rPr>
      </w:pPr>
      <w:r>
        <w:rPr>
          <w:color w:val="auto"/>
          <w:sz w:val="36"/>
          <w:szCs w:val="36"/>
          <w:highlight w:val="none"/>
        </w:rPr>
        <w:br w:type="page"/>
      </w:r>
    </w:p>
    <w:p>
      <w:pPr>
        <w:pStyle w:val="26"/>
        <w:jc w:val="center"/>
        <w:rPr>
          <w:color w:val="auto"/>
          <w:sz w:val="36"/>
          <w:szCs w:val="36"/>
          <w:highlight w:val="none"/>
        </w:rPr>
      </w:pPr>
      <w:r>
        <w:rPr>
          <w:rFonts w:hint="eastAsia"/>
          <w:color w:val="auto"/>
          <w:sz w:val="36"/>
          <w:szCs w:val="36"/>
          <w:highlight w:val="none"/>
        </w:rPr>
        <w:t>投标文件索引表</w:t>
      </w:r>
    </w:p>
    <w:p>
      <w:pPr>
        <w:pStyle w:val="26"/>
        <w:rPr>
          <w:color w:val="auto"/>
          <w:highlight w:val="none"/>
        </w:rPr>
      </w:pPr>
    </w:p>
    <w:p>
      <w:pPr>
        <w:pStyle w:val="26"/>
        <w:rPr>
          <w:color w:val="auto"/>
          <w:highlight w:val="none"/>
        </w:rPr>
      </w:pPr>
    </w:p>
    <w:p>
      <w:pPr>
        <w:keepNext/>
        <w:keepLines/>
        <w:adjustRightInd w:val="0"/>
        <w:spacing w:before="120" w:line="400" w:lineRule="exact"/>
        <w:textAlignment w:val="baseline"/>
        <w:rPr>
          <w:rFonts w:ascii="Arial" w:hAnsi="Arial" w:eastAsia="黑体"/>
          <w:color w:val="auto"/>
          <w:kern w:val="0"/>
          <w:sz w:val="24"/>
          <w:szCs w:val="20"/>
          <w:highlight w:val="none"/>
        </w:rPr>
      </w:pPr>
    </w:p>
    <w:tbl>
      <w:tblPr>
        <w:tblStyle w:val="41"/>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2"/>
        <w:gridCol w:w="3680"/>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default"/>
                <w:color w:val="auto"/>
                <w:szCs w:val="24"/>
                <w:highlight w:val="none"/>
              </w:rPr>
            </w:pPr>
            <w:r>
              <w:rPr>
                <w:rFonts w:hint="eastAsia"/>
                <w:color w:val="auto"/>
                <w:szCs w:val="24"/>
                <w:highlight w:val="none"/>
              </w:rPr>
              <w:t>序号</w:t>
            </w:r>
          </w:p>
        </w:tc>
        <w:tc>
          <w:tcPr>
            <w:tcW w:w="3680"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default"/>
                <w:color w:val="auto"/>
                <w:szCs w:val="24"/>
                <w:highlight w:val="none"/>
              </w:rPr>
            </w:pPr>
            <w:r>
              <w:rPr>
                <w:rFonts w:hint="eastAsia"/>
                <w:color w:val="auto"/>
                <w:szCs w:val="24"/>
                <w:highlight w:val="none"/>
              </w:rPr>
              <w:t>评审因素</w:t>
            </w:r>
          </w:p>
        </w:tc>
        <w:tc>
          <w:tcPr>
            <w:tcW w:w="2469"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default"/>
                <w:color w:val="auto"/>
                <w:szCs w:val="24"/>
                <w:highlight w:val="none"/>
              </w:rPr>
            </w:pPr>
            <w:r>
              <w:rPr>
                <w:rFonts w:hint="eastAsia"/>
                <w:color w:val="auto"/>
                <w:szCs w:val="24"/>
                <w:highlight w:val="none"/>
              </w:rPr>
              <w:t>投标文件中所在页码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default"/>
                <w:color w:val="auto"/>
                <w:szCs w:val="24"/>
                <w:highlight w:val="none"/>
              </w:rPr>
            </w:pPr>
            <w:r>
              <w:rPr>
                <w:rFonts w:hint="default"/>
                <w:color w:val="auto"/>
                <w:szCs w:val="24"/>
                <w:highlight w:val="none"/>
              </w:rPr>
              <w:t>1</w:t>
            </w:r>
          </w:p>
        </w:tc>
        <w:tc>
          <w:tcPr>
            <w:tcW w:w="3680"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公司管理体系</w:t>
            </w:r>
            <w:r>
              <w:rPr>
                <w:rFonts w:hint="eastAsia" w:ascii="宋体" w:hAnsi="宋体" w:cs="宋体"/>
                <w:color w:val="auto"/>
                <w:sz w:val="21"/>
                <w:szCs w:val="21"/>
                <w:highlight w:val="none"/>
                <w:lang w:eastAsia="zh-CN"/>
              </w:rPr>
              <w:t>及</w:t>
            </w:r>
            <w:r>
              <w:rPr>
                <w:rFonts w:hint="eastAsia" w:ascii="宋体" w:hAnsi="宋体" w:eastAsia="宋体" w:cs="宋体"/>
                <w:color w:val="auto"/>
                <w:sz w:val="21"/>
                <w:szCs w:val="21"/>
                <w:highlight w:val="none"/>
                <w:lang w:eastAsia="zh-CN"/>
              </w:rPr>
              <w:t>认证</w:t>
            </w:r>
          </w:p>
        </w:tc>
        <w:tc>
          <w:tcPr>
            <w:tcW w:w="2469"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default"/>
                <w:color w:val="auto"/>
                <w:szCs w:val="24"/>
                <w:highlight w:val="none"/>
              </w:rPr>
            </w:pPr>
            <w:r>
              <w:rPr>
                <w:rFonts w:hint="default"/>
                <w:color w:val="auto"/>
                <w:szCs w:val="24"/>
                <w:highlight w:val="none"/>
              </w:rPr>
              <w:t>2</w:t>
            </w:r>
          </w:p>
        </w:tc>
        <w:tc>
          <w:tcPr>
            <w:tcW w:w="3680"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项目业绩</w:t>
            </w:r>
          </w:p>
        </w:tc>
        <w:tc>
          <w:tcPr>
            <w:tcW w:w="2469"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default"/>
                <w:color w:val="auto"/>
                <w:szCs w:val="24"/>
                <w:highlight w:val="none"/>
              </w:rPr>
            </w:pPr>
            <w:r>
              <w:rPr>
                <w:rFonts w:hint="default"/>
                <w:color w:val="auto"/>
                <w:szCs w:val="24"/>
                <w:highlight w:val="none"/>
              </w:rPr>
              <w:t>3</w:t>
            </w:r>
          </w:p>
        </w:tc>
        <w:tc>
          <w:tcPr>
            <w:tcW w:w="3680"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业主评价</w:t>
            </w:r>
          </w:p>
        </w:tc>
        <w:tc>
          <w:tcPr>
            <w:tcW w:w="2469"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default"/>
                <w:color w:val="auto"/>
                <w:szCs w:val="24"/>
                <w:highlight w:val="none"/>
              </w:rPr>
            </w:pPr>
            <w:r>
              <w:rPr>
                <w:rFonts w:hint="default"/>
                <w:color w:val="auto"/>
                <w:szCs w:val="24"/>
                <w:highlight w:val="none"/>
              </w:rPr>
              <w:t>4</w:t>
            </w:r>
          </w:p>
        </w:tc>
        <w:tc>
          <w:tcPr>
            <w:tcW w:w="3680"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项目荣誉</w:t>
            </w:r>
          </w:p>
        </w:tc>
        <w:tc>
          <w:tcPr>
            <w:tcW w:w="2469"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eastAsia="宋体"/>
                <w:color w:val="auto"/>
                <w:szCs w:val="24"/>
                <w:highlight w:val="none"/>
                <w:lang w:val="en-US" w:eastAsia="zh-CN"/>
              </w:rPr>
            </w:pPr>
            <w:r>
              <w:rPr>
                <w:rFonts w:hint="eastAsia"/>
                <w:color w:val="auto"/>
                <w:szCs w:val="24"/>
                <w:highlight w:val="none"/>
                <w:lang w:val="en-US" w:eastAsia="zh-CN"/>
              </w:rPr>
              <w:t>5</w:t>
            </w:r>
          </w:p>
        </w:tc>
        <w:tc>
          <w:tcPr>
            <w:tcW w:w="3680"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监测技术方案</w:t>
            </w:r>
          </w:p>
        </w:tc>
        <w:tc>
          <w:tcPr>
            <w:tcW w:w="2469"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eastAsia="宋体"/>
                <w:color w:val="auto"/>
                <w:szCs w:val="24"/>
                <w:highlight w:val="none"/>
                <w:lang w:val="en-US" w:eastAsia="zh-CN"/>
              </w:rPr>
            </w:pPr>
            <w:r>
              <w:rPr>
                <w:rFonts w:hint="eastAsia"/>
                <w:color w:val="auto"/>
                <w:szCs w:val="24"/>
                <w:highlight w:val="none"/>
                <w:lang w:val="en-US" w:eastAsia="zh-CN"/>
              </w:rPr>
              <w:t>6</w:t>
            </w:r>
          </w:p>
        </w:tc>
        <w:tc>
          <w:tcPr>
            <w:tcW w:w="3680"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仪器设备配备</w:t>
            </w:r>
          </w:p>
        </w:tc>
        <w:tc>
          <w:tcPr>
            <w:tcW w:w="2469"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eastAsia="宋体"/>
                <w:color w:val="auto"/>
                <w:szCs w:val="24"/>
                <w:highlight w:val="none"/>
                <w:lang w:val="en-US" w:eastAsia="zh-CN"/>
              </w:rPr>
            </w:pPr>
            <w:r>
              <w:rPr>
                <w:rFonts w:hint="eastAsia"/>
                <w:color w:val="auto"/>
                <w:szCs w:val="24"/>
                <w:highlight w:val="none"/>
                <w:lang w:val="en-US" w:eastAsia="zh-CN"/>
              </w:rPr>
              <w:t>7</w:t>
            </w:r>
          </w:p>
        </w:tc>
        <w:tc>
          <w:tcPr>
            <w:tcW w:w="3680"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应急预案</w:t>
            </w:r>
          </w:p>
        </w:tc>
        <w:tc>
          <w:tcPr>
            <w:tcW w:w="2469"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eastAsia="宋体"/>
                <w:color w:val="auto"/>
                <w:szCs w:val="24"/>
                <w:highlight w:val="none"/>
                <w:lang w:val="en-US" w:eastAsia="zh-CN"/>
              </w:rPr>
            </w:pPr>
            <w:r>
              <w:rPr>
                <w:rFonts w:hint="eastAsia"/>
                <w:color w:val="auto"/>
                <w:szCs w:val="24"/>
                <w:highlight w:val="none"/>
                <w:lang w:val="en-US" w:eastAsia="zh-CN"/>
              </w:rPr>
              <w:t>8</w:t>
            </w:r>
          </w:p>
        </w:tc>
        <w:tc>
          <w:tcPr>
            <w:tcW w:w="3680"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项目进度计划</w:t>
            </w:r>
          </w:p>
        </w:tc>
        <w:tc>
          <w:tcPr>
            <w:tcW w:w="2469"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eastAsia" w:eastAsia="宋体"/>
                <w:color w:val="auto"/>
                <w:szCs w:val="24"/>
                <w:highlight w:val="none"/>
                <w:lang w:val="en-US" w:eastAsia="zh-CN"/>
              </w:rPr>
            </w:pPr>
            <w:r>
              <w:rPr>
                <w:rFonts w:hint="eastAsia"/>
                <w:color w:val="auto"/>
                <w:szCs w:val="24"/>
                <w:highlight w:val="none"/>
                <w:lang w:val="en-US" w:eastAsia="zh-CN"/>
              </w:rPr>
              <w:t>9</w:t>
            </w:r>
          </w:p>
        </w:tc>
        <w:tc>
          <w:tcPr>
            <w:tcW w:w="3680"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拟投入管理人员情况</w:t>
            </w:r>
          </w:p>
        </w:tc>
        <w:tc>
          <w:tcPr>
            <w:tcW w:w="2469"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default" w:eastAsia="宋体"/>
                <w:color w:val="auto"/>
                <w:szCs w:val="24"/>
                <w:highlight w:val="none"/>
                <w:lang w:val="en-US" w:eastAsia="zh-CN"/>
              </w:rPr>
            </w:pPr>
            <w:r>
              <w:rPr>
                <w:rFonts w:hint="eastAsia"/>
                <w:color w:val="auto"/>
                <w:szCs w:val="24"/>
                <w:highlight w:val="none"/>
                <w:lang w:val="en-US" w:eastAsia="zh-CN"/>
              </w:rPr>
              <w:t>10</w:t>
            </w:r>
          </w:p>
        </w:tc>
        <w:tc>
          <w:tcPr>
            <w:tcW w:w="3680"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拟投入项目其他人员情况</w:t>
            </w:r>
          </w:p>
        </w:tc>
        <w:tc>
          <w:tcPr>
            <w:tcW w:w="2469"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40" w:lineRule="exact"/>
              <w:ind w:left="0" w:right="0"/>
              <w:jc w:val="center"/>
              <w:rPr>
                <w:rFonts w:hint="default" w:eastAsia="宋体"/>
                <w:color w:val="auto"/>
                <w:szCs w:val="24"/>
                <w:highlight w:val="none"/>
                <w:lang w:val="en-US" w:eastAsia="zh-CN"/>
              </w:rPr>
            </w:pPr>
            <w:r>
              <w:rPr>
                <w:rFonts w:hint="eastAsia"/>
                <w:color w:val="auto"/>
                <w:szCs w:val="24"/>
                <w:highlight w:val="none"/>
                <w:lang w:val="en-US" w:eastAsia="zh-CN"/>
              </w:rPr>
              <w:t>11</w:t>
            </w:r>
          </w:p>
        </w:tc>
        <w:tc>
          <w:tcPr>
            <w:tcW w:w="3680"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w:t>
            </w:r>
          </w:p>
        </w:tc>
        <w:tc>
          <w:tcPr>
            <w:tcW w:w="2469" w:type="dxa"/>
            <w:tcBorders>
              <w:top w:val="single" w:color="auto" w:sz="4" w:space="0"/>
              <w:left w:val="single" w:color="auto" w:sz="4" w:space="0"/>
              <w:bottom w:val="single" w:color="auto" w:sz="4" w:space="0"/>
              <w:right w:val="single" w:color="auto" w:sz="4" w:space="0"/>
            </w:tcBorders>
          </w:tcPr>
          <w:p>
            <w:pPr>
              <w:keepNext/>
              <w:keepLines/>
              <w:suppressLineNumbers w:val="0"/>
              <w:adjustRightInd w:val="0"/>
              <w:spacing w:before="120" w:beforeAutospacing="0" w:after="0" w:afterAutospacing="0" w:line="400" w:lineRule="exact"/>
              <w:ind w:left="0" w:right="0"/>
              <w:textAlignment w:val="baseline"/>
              <w:rPr>
                <w:rFonts w:hint="default"/>
                <w:color w:val="auto"/>
                <w:szCs w:val="24"/>
                <w:highlight w:val="none"/>
              </w:rPr>
            </w:pPr>
          </w:p>
        </w:tc>
      </w:tr>
    </w:tbl>
    <w:p>
      <w:pPr>
        <w:keepNext/>
        <w:keepLines/>
        <w:adjustRightInd w:val="0"/>
        <w:spacing w:before="120" w:line="400" w:lineRule="exact"/>
        <w:textAlignment w:val="baseline"/>
        <w:outlineLvl w:val="1"/>
        <w:rPr>
          <w:rFonts w:ascii="宋体" w:hAnsi="宋体" w:eastAsia="黑体"/>
          <w:color w:val="auto"/>
          <w:kern w:val="0"/>
          <w:sz w:val="28"/>
          <w:szCs w:val="20"/>
          <w:highlight w:val="none"/>
        </w:rPr>
      </w:pPr>
      <w:r>
        <w:rPr>
          <w:rFonts w:ascii="Arial" w:hAnsi="Arial" w:eastAsia="黑体"/>
          <w:color w:val="auto"/>
          <w:kern w:val="0"/>
          <w:sz w:val="24"/>
          <w:szCs w:val="20"/>
          <w:highlight w:val="none"/>
        </w:rPr>
        <w:br w:type="page"/>
      </w:r>
      <w:bookmarkStart w:id="1563" w:name="_Toc7951"/>
      <w:bookmarkStart w:id="1564" w:name="_Toc13902"/>
      <w:bookmarkStart w:id="1565" w:name="_Toc29618"/>
      <w:bookmarkStart w:id="1566" w:name="_Toc2120133367"/>
      <w:bookmarkStart w:id="1567" w:name="_Toc3439"/>
      <w:bookmarkStart w:id="1568" w:name="_Toc19933"/>
      <w:bookmarkStart w:id="1569" w:name="_Toc5696"/>
      <w:bookmarkStart w:id="1570" w:name="_Toc30943"/>
      <w:bookmarkStart w:id="1571" w:name="_Toc11373"/>
      <w:bookmarkStart w:id="1572" w:name="_Toc3458"/>
      <w:bookmarkStart w:id="1573" w:name="_Toc170804664"/>
      <w:r>
        <w:rPr>
          <w:rFonts w:ascii="宋体" w:hAnsi="宋体" w:eastAsia="黑体"/>
          <w:color w:val="auto"/>
          <w:kern w:val="0"/>
          <w:sz w:val="28"/>
          <w:szCs w:val="20"/>
          <w:highlight w:val="none"/>
        </w:rPr>
        <w:t>1.</w:t>
      </w:r>
      <w:r>
        <w:rPr>
          <w:rFonts w:hint="eastAsia" w:ascii="宋体" w:hAnsi="宋体" w:eastAsia="黑体"/>
          <w:color w:val="auto"/>
          <w:kern w:val="0"/>
          <w:sz w:val="28"/>
          <w:szCs w:val="20"/>
          <w:highlight w:val="none"/>
        </w:rPr>
        <w:t>投标函及投标函附录</w:t>
      </w:r>
      <w:bookmarkEnd w:id="1563"/>
      <w:bookmarkEnd w:id="1564"/>
      <w:bookmarkEnd w:id="1565"/>
      <w:bookmarkEnd w:id="1566"/>
      <w:bookmarkEnd w:id="1567"/>
      <w:bookmarkEnd w:id="1568"/>
      <w:bookmarkEnd w:id="1569"/>
      <w:bookmarkEnd w:id="1570"/>
      <w:bookmarkEnd w:id="1571"/>
      <w:bookmarkEnd w:id="1572"/>
      <w:bookmarkEnd w:id="1573"/>
    </w:p>
    <w:p>
      <w:pPr>
        <w:keepNext/>
        <w:keepLines/>
        <w:spacing w:before="260" w:after="260" w:line="412" w:lineRule="auto"/>
        <w:ind w:firstLine="137" w:firstLineChars="49"/>
        <w:outlineLvl w:val="2"/>
        <w:rPr>
          <w:rFonts w:ascii="黑体" w:eastAsia="黑体"/>
          <w:color w:val="auto"/>
          <w:sz w:val="28"/>
          <w:szCs w:val="20"/>
          <w:highlight w:val="none"/>
        </w:rPr>
      </w:pPr>
      <w:bookmarkStart w:id="1574" w:name="_Toc5139"/>
      <w:bookmarkStart w:id="1575" w:name="_Toc2032828145"/>
      <w:bookmarkStart w:id="1576" w:name="_Toc6585"/>
      <w:bookmarkStart w:id="1577" w:name="_Toc170804665"/>
      <w:bookmarkStart w:id="1578" w:name="_Toc18433"/>
      <w:bookmarkStart w:id="1579" w:name="_Toc1262"/>
      <w:bookmarkStart w:id="1580" w:name="_Toc31674"/>
      <w:bookmarkStart w:id="1581" w:name="_Toc28581"/>
      <w:bookmarkStart w:id="1582" w:name="_Toc21254"/>
      <w:bookmarkStart w:id="1583" w:name="_Toc16766"/>
      <w:bookmarkStart w:id="1584" w:name="_Toc13689"/>
      <w:r>
        <w:rPr>
          <w:rFonts w:hint="eastAsia" w:ascii="宋体" w:hAnsi="宋体" w:eastAsia="黑体"/>
          <w:color w:val="auto"/>
          <w:sz w:val="28"/>
          <w:szCs w:val="20"/>
          <w:highlight w:val="none"/>
        </w:rPr>
        <w:t>（一）投标函</w:t>
      </w:r>
      <w:bookmarkEnd w:id="1574"/>
      <w:bookmarkEnd w:id="1575"/>
      <w:bookmarkEnd w:id="1576"/>
      <w:bookmarkEnd w:id="1577"/>
      <w:bookmarkEnd w:id="1578"/>
      <w:bookmarkEnd w:id="1579"/>
      <w:bookmarkEnd w:id="1580"/>
      <w:bookmarkEnd w:id="1581"/>
      <w:bookmarkEnd w:id="1582"/>
      <w:bookmarkEnd w:id="1583"/>
      <w:bookmarkEnd w:id="1584"/>
    </w:p>
    <w:p>
      <w:pPr>
        <w:rPr>
          <w:color w:val="auto"/>
          <w:szCs w:val="21"/>
          <w:highlight w:val="none"/>
        </w:rPr>
      </w:pPr>
      <w:r>
        <w:rPr>
          <w:color w:val="auto"/>
          <w:szCs w:val="21"/>
          <w:highlight w:val="none"/>
          <w:u w:val="single"/>
        </w:rPr>
        <w:t xml:space="preserve">                  </w:t>
      </w:r>
      <w:r>
        <w:rPr>
          <w:rFonts w:hint="eastAsia"/>
          <w:color w:val="auto"/>
          <w:szCs w:val="21"/>
          <w:highlight w:val="none"/>
        </w:rPr>
        <w:t>（招标人名称）：</w:t>
      </w:r>
    </w:p>
    <w:p>
      <w:pPr>
        <w:ind w:firstLine="405"/>
        <w:rPr>
          <w:color w:val="auto"/>
          <w:szCs w:val="21"/>
          <w:highlight w:val="none"/>
        </w:rPr>
      </w:pPr>
      <w:r>
        <w:rPr>
          <w:color w:val="auto"/>
          <w:szCs w:val="21"/>
          <w:highlight w:val="none"/>
        </w:rPr>
        <w:t>1</w:t>
      </w:r>
      <w:r>
        <w:rPr>
          <w:rFonts w:hint="eastAsia"/>
          <w:color w:val="auto"/>
          <w:szCs w:val="21"/>
          <w:highlight w:val="none"/>
        </w:rPr>
        <w:t>．我方已仔细研究了</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（项目名称）招标文件的全部内容，愿意以人民币（大写）</w:t>
      </w:r>
      <w:r>
        <w:rPr>
          <w:color w:val="auto"/>
          <w:szCs w:val="21"/>
          <w:highlight w:val="none"/>
          <w:u w:val="singl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）的投标含税总报价（其中，增值税税率为</w:t>
      </w:r>
      <w:r>
        <w:rPr>
          <w:color w:val="auto"/>
          <w:szCs w:val="21"/>
          <w:highlight w:val="none"/>
          <w:u w:val="single"/>
        </w:rPr>
        <w:t xml:space="preserve">        </w:t>
      </w:r>
      <w:r>
        <w:rPr>
          <w:rFonts w:hint="eastAsia" w:eastAsia="黑体"/>
          <w:color w:val="auto"/>
          <w:szCs w:val="21"/>
          <w:highlight w:val="none"/>
        </w:rPr>
        <w:t>）</w:t>
      </w:r>
      <w:r>
        <w:rPr>
          <w:rFonts w:hint="eastAsia"/>
          <w:color w:val="auto"/>
          <w:szCs w:val="21"/>
          <w:highlight w:val="none"/>
        </w:rPr>
        <w:t>，按合同约定完成监测</w:t>
      </w:r>
      <w:r>
        <w:rPr>
          <w:rFonts w:hint="eastAsia"/>
          <w:color w:val="auto"/>
          <w:szCs w:val="21"/>
          <w:highlight w:val="none"/>
          <w:lang w:val="en-US" w:eastAsia="zh-CN"/>
        </w:rPr>
        <w:t>等项目相关</w:t>
      </w:r>
      <w:r>
        <w:rPr>
          <w:rFonts w:hint="eastAsia"/>
          <w:color w:val="auto"/>
          <w:szCs w:val="21"/>
          <w:highlight w:val="none"/>
        </w:rPr>
        <w:t>工作。</w:t>
      </w:r>
    </w:p>
    <w:p>
      <w:pPr>
        <w:ind w:firstLine="420" w:firstLineChars="200"/>
        <w:rPr>
          <w:color w:val="auto"/>
          <w:szCs w:val="21"/>
          <w:highlight w:val="none"/>
        </w:rPr>
      </w:pPr>
      <w:r>
        <w:rPr>
          <w:color w:val="auto"/>
          <w:szCs w:val="21"/>
          <w:highlight w:val="none"/>
        </w:rPr>
        <w:t xml:space="preserve">2. </w:t>
      </w:r>
      <w:r>
        <w:rPr>
          <w:rFonts w:hint="eastAsia"/>
          <w:color w:val="auto"/>
          <w:szCs w:val="21"/>
          <w:highlight w:val="none"/>
        </w:rPr>
        <w:t>我方的投标文件包括下列内容：</w:t>
      </w:r>
    </w:p>
    <w:p>
      <w:pPr>
        <w:ind w:firstLine="405"/>
        <w:rPr>
          <w:color w:val="auto"/>
          <w:szCs w:val="21"/>
          <w:highlight w:val="none"/>
        </w:rPr>
      </w:pPr>
      <w:r>
        <w:rPr>
          <w:rFonts w:hint="eastAsia"/>
          <w:color w:val="auto"/>
          <w:szCs w:val="21"/>
          <w:highlight w:val="none"/>
        </w:rPr>
        <w:t>（1）投标函及投标函附录；</w:t>
      </w:r>
    </w:p>
    <w:p>
      <w:pPr>
        <w:ind w:firstLine="405"/>
        <w:rPr>
          <w:color w:val="auto"/>
          <w:szCs w:val="21"/>
          <w:highlight w:val="none"/>
        </w:rPr>
      </w:pPr>
      <w:r>
        <w:rPr>
          <w:rFonts w:hint="eastAsia"/>
          <w:color w:val="auto"/>
          <w:szCs w:val="21"/>
          <w:highlight w:val="none"/>
        </w:rPr>
        <w:t>（2）法定代表人身份证明</w:t>
      </w:r>
    </w:p>
    <w:p>
      <w:pPr>
        <w:ind w:firstLine="405"/>
        <w:rPr>
          <w:color w:val="auto"/>
          <w:szCs w:val="21"/>
          <w:highlight w:val="none"/>
        </w:rPr>
      </w:pPr>
      <w:r>
        <w:rPr>
          <w:rFonts w:hint="eastAsia"/>
          <w:color w:val="auto"/>
          <w:szCs w:val="21"/>
          <w:highlight w:val="none"/>
        </w:rPr>
        <w:t>（3）法定代表人授权委托书；</w:t>
      </w:r>
    </w:p>
    <w:p>
      <w:pPr>
        <w:ind w:firstLine="405"/>
        <w:rPr>
          <w:color w:val="auto"/>
          <w:szCs w:val="21"/>
          <w:highlight w:val="none"/>
        </w:rPr>
      </w:pPr>
      <w:r>
        <w:rPr>
          <w:rFonts w:hint="eastAsia"/>
          <w:color w:val="auto"/>
          <w:szCs w:val="21"/>
          <w:highlight w:val="none"/>
        </w:rPr>
        <w:t>（4）廉洁承诺书</w:t>
      </w:r>
    </w:p>
    <w:p>
      <w:pPr>
        <w:ind w:firstLine="405"/>
        <w:rPr>
          <w:color w:val="auto"/>
          <w:szCs w:val="21"/>
          <w:highlight w:val="none"/>
        </w:rPr>
      </w:pPr>
      <w:r>
        <w:rPr>
          <w:rFonts w:hint="eastAsia"/>
          <w:color w:val="auto"/>
          <w:szCs w:val="21"/>
          <w:highlight w:val="none"/>
        </w:rPr>
        <w:t>（5）监测单位组织机构表</w:t>
      </w:r>
    </w:p>
    <w:p>
      <w:pPr>
        <w:ind w:firstLine="405"/>
        <w:rPr>
          <w:color w:val="auto"/>
          <w:szCs w:val="21"/>
          <w:highlight w:val="none"/>
        </w:rPr>
      </w:pPr>
      <w:r>
        <w:rPr>
          <w:rFonts w:hint="eastAsia"/>
          <w:color w:val="auto"/>
          <w:szCs w:val="21"/>
          <w:highlight w:val="none"/>
        </w:rPr>
        <w:t>（6）工程量清单；</w:t>
      </w:r>
    </w:p>
    <w:p>
      <w:pPr>
        <w:ind w:firstLine="405"/>
        <w:rPr>
          <w:color w:val="auto"/>
          <w:szCs w:val="21"/>
          <w:highlight w:val="none"/>
        </w:rPr>
      </w:pPr>
      <w:r>
        <w:rPr>
          <w:rFonts w:hint="eastAsia"/>
          <w:color w:val="auto"/>
          <w:szCs w:val="21"/>
          <w:highlight w:val="none"/>
        </w:rPr>
        <w:t>（7）合同条款响应性承诺书</w:t>
      </w:r>
    </w:p>
    <w:p>
      <w:pPr>
        <w:ind w:firstLine="405"/>
        <w:rPr>
          <w:color w:val="auto"/>
          <w:szCs w:val="21"/>
          <w:highlight w:val="none"/>
        </w:rPr>
      </w:pPr>
      <w:r>
        <w:rPr>
          <w:rFonts w:hint="eastAsia"/>
          <w:color w:val="auto"/>
          <w:szCs w:val="21"/>
          <w:highlight w:val="none"/>
        </w:rPr>
        <w:t>（8）拟投入本项目的主要仪器设备表</w:t>
      </w:r>
    </w:p>
    <w:p>
      <w:pPr>
        <w:ind w:firstLine="405"/>
        <w:rPr>
          <w:color w:val="auto"/>
          <w:szCs w:val="21"/>
          <w:highlight w:val="none"/>
        </w:rPr>
      </w:pPr>
      <w:r>
        <w:rPr>
          <w:rFonts w:hint="eastAsia"/>
          <w:color w:val="auto"/>
          <w:szCs w:val="21"/>
          <w:highlight w:val="none"/>
        </w:rPr>
        <w:t>（9）</w:t>
      </w:r>
      <w:r>
        <w:rPr>
          <w:rFonts w:hint="eastAsia"/>
          <w:color w:val="auto"/>
          <w:szCs w:val="21"/>
          <w:highlight w:val="none"/>
          <w:lang w:val="en-US" w:eastAsia="zh-CN"/>
        </w:rPr>
        <w:t>技术</w:t>
      </w:r>
      <w:r>
        <w:rPr>
          <w:rFonts w:hint="eastAsia"/>
          <w:color w:val="auto"/>
          <w:szCs w:val="21"/>
          <w:highlight w:val="none"/>
        </w:rPr>
        <w:t>方案；</w:t>
      </w:r>
    </w:p>
    <w:p>
      <w:pPr>
        <w:ind w:firstLine="405"/>
        <w:rPr>
          <w:color w:val="auto"/>
          <w:szCs w:val="21"/>
          <w:highlight w:val="none"/>
        </w:rPr>
      </w:pPr>
      <w:r>
        <w:rPr>
          <w:rFonts w:hint="eastAsia"/>
          <w:color w:val="auto"/>
          <w:szCs w:val="21"/>
          <w:highlight w:val="none"/>
        </w:rPr>
        <w:t>（10）资格审查资料；</w:t>
      </w:r>
    </w:p>
    <w:p>
      <w:pPr>
        <w:ind w:firstLine="405"/>
        <w:rPr>
          <w:color w:val="auto"/>
          <w:szCs w:val="21"/>
          <w:highlight w:val="none"/>
        </w:rPr>
      </w:pPr>
      <w:r>
        <w:rPr>
          <w:rFonts w:hint="eastAsia"/>
          <w:color w:val="auto"/>
          <w:szCs w:val="21"/>
          <w:highlight w:val="none"/>
        </w:rPr>
        <w:t>（11）须评审的其他资料（含</w:t>
      </w:r>
      <w:r>
        <w:rPr>
          <w:rFonts w:hint="eastAsia"/>
          <w:color w:val="auto"/>
          <w:szCs w:val="21"/>
          <w:highlight w:val="none"/>
          <w:lang w:val="en-US" w:eastAsia="zh-CN"/>
        </w:rPr>
        <w:t>业主评价、</w:t>
      </w:r>
      <w:r>
        <w:rPr>
          <w:rFonts w:hint="eastAsia"/>
          <w:color w:val="auto"/>
          <w:szCs w:val="21"/>
          <w:highlight w:val="none"/>
        </w:rPr>
        <w:t>奖项荣誉证书等相关证明材料，格式自拟）</w:t>
      </w:r>
    </w:p>
    <w:p>
      <w:pPr>
        <w:ind w:firstLine="405"/>
        <w:rPr>
          <w:color w:val="auto"/>
          <w:szCs w:val="21"/>
          <w:highlight w:val="none"/>
        </w:rPr>
      </w:pPr>
      <w:r>
        <w:rPr>
          <w:color w:val="auto"/>
          <w:szCs w:val="21"/>
          <w:highlight w:val="none"/>
        </w:rPr>
        <w:t>……</w:t>
      </w:r>
    </w:p>
    <w:p>
      <w:pPr>
        <w:ind w:firstLine="420" w:firstLineChars="200"/>
        <w:rPr>
          <w:color w:val="auto"/>
          <w:szCs w:val="21"/>
          <w:highlight w:val="none"/>
        </w:rPr>
      </w:pPr>
      <w:r>
        <w:rPr>
          <w:rFonts w:hint="eastAsia"/>
          <w:color w:val="auto"/>
          <w:szCs w:val="21"/>
          <w:highlight w:val="none"/>
        </w:rPr>
        <w:t>投标文件的上述组成部分如存在内容不一致的，以投标函为准。</w:t>
      </w:r>
    </w:p>
    <w:p>
      <w:pPr>
        <w:ind w:firstLine="420" w:firstLineChars="200"/>
        <w:rPr>
          <w:color w:val="auto"/>
          <w:szCs w:val="21"/>
          <w:highlight w:val="none"/>
        </w:rPr>
      </w:pPr>
      <w:r>
        <w:rPr>
          <w:color w:val="auto"/>
          <w:szCs w:val="21"/>
          <w:highlight w:val="none"/>
        </w:rPr>
        <w:t>3</w:t>
      </w:r>
      <w:r>
        <w:rPr>
          <w:rFonts w:hint="eastAsia"/>
          <w:color w:val="auto"/>
          <w:szCs w:val="21"/>
          <w:highlight w:val="none"/>
        </w:rPr>
        <w:t>．我方承诺在招标文件规定的投标有效期内不撤销投标文件。</w:t>
      </w:r>
    </w:p>
    <w:p>
      <w:pPr>
        <w:ind w:firstLine="420" w:firstLineChars="200"/>
        <w:rPr>
          <w:color w:val="auto"/>
          <w:szCs w:val="21"/>
          <w:highlight w:val="none"/>
        </w:rPr>
      </w:pPr>
      <w:r>
        <w:rPr>
          <w:color w:val="auto"/>
          <w:szCs w:val="21"/>
          <w:highlight w:val="none"/>
        </w:rPr>
        <w:t>4</w:t>
      </w:r>
      <w:r>
        <w:rPr>
          <w:rFonts w:hint="eastAsia"/>
          <w:color w:val="auto"/>
          <w:szCs w:val="21"/>
          <w:highlight w:val="none"/>
        </w:rPr>
        <w:t>．如我方中标，我方承诺：</w:t>
      </w:r>
    </w:p>
    <w:p>
      <w:pPr>
        <w:ind w:left="945" w:leftChars="400" w:hanging="105" w:hangingChars="5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）在收到中标通知书后，在中标通知书规定的期限内与你方签订合同；</w:t>
      </w:r>
    </w:p>
    <w:p>
      <w:pPr>
        <w:ind w:left="945" w:leftChars="400" w:hanging="105" w:hangingChars="5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）在签订合同时不向你方提出附加条件；</w:t>
      </w:r>
    </w:p>
    <w:p>
      <w:pPr>
        <w:ind w:left="945" w:leftChars="400" w:hanging="105" w:hangingChars="5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）按照招标文件要求提交履约保证金；</w:t>
      </w:r>
    </w:p>
    <w:p>
      <w:pPr>
        <w:ind w:left="945" w:leftChars="400" w:hanging="105" w:hangingChars="5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）在合同约定的期限内完成合同规定的全部义务。</w:t>
      </w:r>
    </w:p>
    <w:p>
      <w:pPr>
        <w:ind w:firstLine="420" w:firstLineChars="200"/>
        <w:rPr>
          <w:color w:val="auto"/>
          <w:szCs w:val="21"/>
          <w:highlight w:val="none"/>
        </w:rPr>
      </w:pPr>
      <w:r>
        <w:rPr>
          <w:color w:val="auto"/>
          <w:szCs w:val="21"/>
          <w:highlight w:val="none"/>
        </w:rPr>
        <w:t>5</w:t>
      </w:r>
      <w:r>
        <w:rPr>
          <w:rFonts w:hint="eastAsia"/>
          <w:color w:val="auto"/>
          <w:szCs w:val="21"/>
          <w:highlight w:val="none"/>
        </w:rPr>
        <w:t>．我方在此声明，所递交的投标文件及有关资料内容完整、真实和准确，且不存在第二章</w:t>
      </w:r>
      <w:r>
        <w:rPr>
          <w:color w:val="auto"/>
          <w:szCs w:val="21"/>
          <w:highlight w:val="none"/>
        </w:rPr>
        <w:t>“</w:t>
      </w:r>
      <w:r>
        <w:rPr>
          <w:rFonts w:hint="eastAsia"/>
          <w:color w:val="auto"/>
          <w:szCs w:val="21"/>
          <w:highlight w:val="none"/>
        </w:rPr>
        <w:t>投标人须知</w:t>
      </w:r>
      <w:r>
        <w:rPr>
          <w:color w:val="auto"/>
          <w:szCs w:val="21"/>
          <w:highlight w:val="none"/>
        </w:rPr>
        <w:t>”</w:t>
      </w:r>
      <w:r>
        <w:rPr>
          <w:rFonts w:hint="eastAsia"/>
          <w:color w:val="auto"/>
          <w:szCs w:val="21"/>
          <w:highlight w:val="none"/>
        </w:rPr>
        <w:t>第</w:t>
      </w:r>
      <w:r>
        <w:rPr>
          <w:color w:val="auto"/>
          <w:szCs w:val="21"/>
          <w:highlight w:val="none"/>
        </w:rPr>
        <w:t>1.4.3</w:t>
      </w:r>
      <w:r>
        <w:rPr>
          <w:rFonts w:hint="eastAsia"/>
          <w:color w:val="auto"/>
          <w:szCs w:val="21"/>
          <w:highlight w:val="none"/>
        </w:rPr>
        <w:t>项及前附表规定的任何一种情形。</w:t>
      </w:r>
    </w:p>
    <w:p>
      <w:pPr>
        <w:ind w:firstLine="420" w:firstLineChars="200"/>
        <w:rPr>
          <w:color w:val="auto"/>
          <w:szCs w:val="21"/>
          <w:highlight w:val="none"/>
        </w:rPr>
      </w:pPr>
      <w:r>
        <w:rPr>
          <w:color w:val="auto"/>
          <w:szCs w:val="21"/>
          <w:highlight w:val="none"/>
        </w:rPr>
        <w:t>6</w:t>
      </w:r>
      <w:r>
        <w:rPr>
          <w:rFonts w:hint="eastAsia"/>
          <w:color w:val="auto"/>
          <w:szCs w:val="21"/>
          <w:highlight w:val="none"/>
        </w:rPr>
        <w:t>．</w:t>
      </w:r>
      <w:r>
        <w:rPr>
          <w:color w:val="auto"/>
          <w:szCs w:val="21"/>
          <w:highlight w:val="none"/>
          <w:u w:val="single"/>
        </w:rPr>
        <w:t xml:space="preserve">                            </w:t>
      </w:r>
      <w:r>
        <w:rPr>
          <w:color w:val="auto"/>
          <w:szCs w:val="21"/>
          <w:highlight w:val="none"/>
          <w:u w:val="single"/>
        </w:rPr>
        <w:tab/>
      </w:r>
      <w:r>
        <w:rPr>
          <w:rFonts w:hint="eastAsia"/>
          <w:color w:val="auto"/>
          <w:szCs w:val="21"/>
          <w:highlight w:val="none"/>
        </w:rPr>
        <w:t>（其他补充说明）。</w:t>
      </w:r>
    </w:p>
    <w:p>
      <w:pPr>
        <w:ind w:firstLine="2520" w:firstLineChars="1200"/>
        <w:jc w:val="left"/>
        <w:rPr>
          <w:color w:val="auto"/>
          <w:szCs w:val="21"/>
          <w:highlight w:val="none"/>
        </w:rPr>
      </w:pPr>
      <w:r>
        <w:rPr>
          <w:rFonts w:hint="eastAsia"/>
          <w:color w:val="auto"/>
          <w:szCs w:val="21"/>
          <w:highlight w:val="none"/>
        </w:rPr>
        <w:t>投</w:t>
      </w:r>
      <w:r>
        <w:rPr>
          <w:color w:val="auto"/>
          <w:szCs w:val="21"/>
          <w:highlight w:val="none"/>
        </w:rPr>
        <w:t xml:space="preserve"> </w:t>
      </w:r>
      <w:r>
        <w:rPr>
          <w:rFonts w:hint="eastAsia"/>
          <w:color w:val="auto"/>
          <w:szCs w:val="21"/>
          <w:highlight w:val="none"/>
        </w:rPr>
        <w:t>标</w:t>
      </w:r>
      <w:r>
        <w:rPr>
          <w:color w:val="auto"/>
          <w:szCs w:val="21"/>
          <w:highlight w:val="none"/>
        </w:rPr>
        <w:t xml:space="preserve"> </w:t>
      </w:r>
      <w:r>
        <w:rPr>
          <w:rFonts w:hint="eastAsia"/>
          <w:color w:val="auto"/>
          <w:szCs w:val="21"/>
          <w:highlight w:val="none"/>
        </w:rPr>
        <w:t>人：</w:t>
      </w:r>
      <w:r>
        <w:rPr>
          <w:color w:val="auto"/>
          <w:szCs w:val="21"/>
          <w:highlight w:val="none"/>
          <w:u w:val="single"/>
        </w:rPr>
        <w:t xml:space="preserve">                                </w:t>
      </w:r>
      <w:r>
        <w:rPr>
          <w:color w:val="auto"/>
          <w:szCs w:val="21"/>
          <w:highlight w:val="none"/>
          <w:u w:val="single"/>
        </w:rPr>
        <w:tab/>
      </w:r>
      <w:r>
        <w:rPr>
          <w:rFonts w:hint="eastAsia"/>
          <w:color w:val="auto"/>
          <w:szCs w:val="21"/>
          <w:highlight w:val="none"/>
        </w:rPr>
        <w:t>（盖单位章）</w:t>
      </w:r>
    </w:p>
    <w:p>
      <w:pPr>
        <w:jc w:val="left"/>
        <w:rPr>
          <w:color w:val="auto"/>
          <w:szCs w:val="21"/>
          <w:highlight w:val="none"/>
        </w:rPr>
      </w:pPr>
      <w:r>
        <w:rPr>
          <w:color w:val="auto"/>
          <w:szCs w:val="21"/>
          <w:highlight w:val="none"/>
        </w:rPr>
        <w:t xml:space="preserve">                        </w:t>
      </w:r>
      <w:r>
        <w:rPr>
          <w:rFonts w:hint="eastAsia"/>
          <w:color w:val="auto"/>
          <w:szCs w:val="21"/>
          <w:highlight w:val="none"/>
        </w:rPr>
        <w:t>法定代表人或其委托代理人：</w:t>
      </w:r>
      <w:r>
        <w:rPr>
          <w:color w:val="auto"/>
          <w:szCs w:val="21"/>
          <w:highlight w:val="none"/>
          <w:u w:val="single"/>
        </w:rPr>
        <w:t xml:space="preserve">       </w:t>
      </w:r>
      <w:r>
        <w:rPr>
          <w:color w:val="auto"/>
          <w:szCs w:val="21"/>
          <w:highlight w:val="none"/>
          <w:u w:val="single"/>
        </w:rPr>
        <w:tab/>
      </w:r>
      <w:r>
        <w:rPr>
          <w:rFonts w:hint="eastAsia"/>
          <w:color w:val="auto"/>
          <w:szCs w:val="21"/>
          <w:highlight w:val="none"/>
        </w:rPr>
        <w:t>（签字）</w:t>
      </w:r>
    </w:p>
    <w:p>
      <w:pPr>
        <w:ind w:firstLine="2520" w:firstLineChars="1200"/>
        <w:jc w:val="left"/>
        <w:rPr>
          <w:color w:val="auto"/>
          <w:szCs w:val="21"/>
          <w:highlight w:val="none"/>
        </w:rPr>
      </w:pPr>
      <w:r>
        <w:rPr>
          <w:rFonts w:hint="eastAsia"/>
          <w:color w:val="auto"/>
          <w:szCs w:val="21"/>
          <w:highlight w:val="none"/>
        </w:rPr>
        <w:t>地</w:t>
      </w:r>
      <w:r>
        <w:rPr>
          <w:color w:val="auto"/>
          <w:szCs w:val="21"/>
          <w:highlight w:val="none"/>
        </w:rPr>
        <w:t xml:space="preserve">    </w:t>
      </w:r>
      <w:r>
        <w:rPr>
          <w:rFonts w:hint="eastAsia"/>
          <w:color w:val="auto"/>
          <w:szCs w:val="21"/>
          <w:highlight w:val="none"/>
        </w:rPr>
        <w:t>址：</w:t>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r>
        <w:rPr>
          <w:color w:val="auto"/>
          <w:szCs w:val="21"/>
          <w:highlight w:val="none"/>
          <w:u w:val="single"/>
        </w:rPr>
        <w:tab/>
      </w:r>
    </w:p>
    <w:p>
      <w:pPr>
        <w:ind w:firstLine="2520" w:firstLineChars="1200"/>
        <w:jc w:val="left"/>
        <w:rPr>
          <w:color w:val="auto"/>
          <w:szCs w:val="21"/>
          <w:highlight w:val="none"/>
        </w:rPr>
      </w:pPr>
      <w:r>
        <w:rPr>
          <w:rFonts w:hint="eastAsia"/>
          <w:color w:val="auto"/>
          <w:szCs w:val="21"/>
          <w:highlight w:val="none"/>
        </w:rPr>
        <w:t>网</w:t>
      </w:r>
      <w:r>
        <w:rPr>
          <w:color w:val="auto"/>
          <w:szCs w:val="21"/>
          <w:highlight w:val="none"/>
        </w:rPr>
        <w:t xml:space="preserve">    </w:t>
      </w:r>
      <w:r>
        <w:rPr>
          <w:rFonts w:hint="eastAsia"/>
          <w:color w:val="auto"/>
          <w:szCs w:val="21"/>
          <w:highlight w:val="none"/>
        </w:rPr>
        <w:t>址：</w:t>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p>
    <w:p>
      <w:pPr>
        <w:ind w:firstLine="2520" w:firstLineChars="1200"/>
        <w:jc w:val="left"/>
        <w:rPr>
          <w:color w:val="auto"/>
          <w:szCs w:val="21"/>
          <w:highlight w:val="none"/>
        </w:rPr>
      </w:pPr>
      <w:r>
        <w:rPr>
          <w:rFonts w:hint="eastAsia"/>
          <w:color w:val="auto"/>
          <w:szCs w:val="21"/>
          <w:highlight w:val="none"/>
        </w:rPr>
        <w:t>电</w:t>
      </w:r>
      <w:r>
        <w:rPr>
          <w:color w:val="auto"/>
          <w:szCs w:val="21"/>
          <w:highlight w:val="none"/>
        </w:rPr>
        <w:t xml:space="preserve">    </w:t>
      </w:r>
      <w:r>
        <w:rPr>
          <w:rFonts w:hint="eastAsia"/>
          <w:color w:val="auto"/>
          <w:szCs w:val="21"/>
          <w:highlight w:val="none"/>
        </w:rPr>
        <w:t>话：</w:t>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p>
    <w:p>
      <w:pPr>
        <w:ind w:firstLine="2520" w:firstLineChars="1200"/>
        <w:jc w:val="left"/>
        <w:rPr>
          <w:color w:val="auto"/>
          <w:szCs w:val="21"/>
          <w:highlight w:val="none"/>
        </w:rPr>
      </w:pPr>
      <w:r>
        <w:rPr>
          <w:rFonts w:hint="eastAsia"/>
          <w:color w:val="auto"/>
          <w:szCs w:val="21"/>
          <w:highlight w:val="none"/>
        </w:rPr>
        <w:t>传</w:t>
      </w:r>
      <w:r>
        <w:rPr>
          <w:color w:val="auto"/>
          <w:szCs w:val="21"/>
          <w:highlight w:val="none"/>
        </w:rPr>
        <w:t xml:space="preserve">    </w:t>
      </w:r>
      <w:r>
        <w:rPr>
          <w:rFonts w:hint="eastAsia"/>
          <w:color w:val="auto"/>
          <w:szCs w:val="21"/>
          <w:highlight w:val="none"/>
        </w:rPr>
        <w:t>真：</w:t>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p>
    <w:p>
      <w:pPr>
        <w:ind w:firstLine="2520" w:firstLineChars="1200"/>
        <w:jc w:val="left"/>
        <w:rPr>
          <w:color w:val="auto"/>
          <w:szCs w:val="21"/>
          <w:highlight w:val="none"/>
        </w:rPr>
      </w:pPr>
      <w:r>
        <w:rPr>
          <w:rFonts w:hint="eastAsia"/>
          <w:color w:val="auto"/>
          <w:szCs w:val="21"/>
          <w:highlight w:val="none"/>
        </w:rPr>
        <w:t>邮政编码：</w:t>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p>
    <w:p>
      <w:pPr>
        <w:ind w:firstLine="4725" w:firstLineChars="2250"/>
        <w:jc w:val="right"/>
        <w:rPr>
          <w:color w:val="auto"/>
          <w:szCs w:val="21"/>
          <w:highlight w:val="none"/>
        </w:rPr>
      </w:pP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pStyle w:val="26"/>
        <w:spacing w:line="440" w:lineRule="exact"/>
        <w:rPr>
          <w:color w:val="auto"/>
          <w:highlight w:val="none"/>
        </w:rPr>
      </w:pPr>
    </w:p>
    <w:p>
      <w:pPr>
        <w:keepNext/>
        <w:keepLines/>
        <w:spacing w:before="260" w:after="260" w:line="412" w:lineRule="auto"/>
        <w:ind w:firstLine="137" w:firstLineChars="49"/>
        <w:outlineLvl w:val="2"/>
        <w:rPr>
          <w:rFonts w:ascii="宋体" w:hAnsi="宋体" w:eastAsia="黑体"/>
          <w:color w:val="auto"/>
          <w:sz w:val="28"/>
          <w:szCs w:val="20"/>
          <w:highlight w:val="none"/>
        </w:rPr>
      </w:pPr>
      <w:bookmarkStart w:id="1585" w:name="_Toc11271"/>
      <w:bookmarkStart w:id="1586" w:name="_Toc24285"/>
      <w:bookmarkStart w:id="1587" w:name="_Toc170804666"/>
      <w:bookmarkStart w:id="1588" w:name="_Toc1425292892"/>
      <w:bookmarkStart w:id="1589" w:name="_Toc13246"/>
      <w:bookmarkStart w:id="1590" w:name="_Toc13793"/>
      <w:bookmarkStart w:id="1591" w:name="_Toc28411"/>
      <w:bookmarkStart w:id="1592" w:name="_Toc20525"/>
      <w:bookmarkStart w:id="1593" w:name="_Toc29810"/>
      <w:bookmarkStart w:id="1594" w:name="_Toc11749"/>
      <w:bookmarkStart w:id="1595" w:name="_Toc22603"/>
      <w:r>
        <w:rPr>
          <w:rFonts w:hint="eastAsia" w:ascii="宋体" w:hAnsi="宋体" w:eastAsia="黑体"/>
          <w:color w:val="auto"/>
          <w:sz w:val="28"/>
          <w:szCs w:val="20"/>
          <w:highlight w:val="none"/>
        </w:rPr>
        <w:t>（二）投标函附录</w:t>
      </w:r>
      <w:bookmarkEnd w:id="1585"/>
      <w:bookmarkEnd w:id="1586"/>
      <w:bookmarkEnd w:id="1587"/>
      <w:bookmarkEnd w:id="1588"/>
      <w:bookmarkEnd w:id="1589"/>
      <w:bookmarkEnd w:id="1590"/>
      <w:bookmarkEnd w:id="1591"/>
      <w:bookmarkEnd w:id="1592"/>
      <w:bookmarkEnd w:id="1593"/>
      <w:bookmarkEnd w:id="1594"/>
      <w:bookmarkEnd w:id="1595"/>
    </w:p>
    <w:tbl>
      <w:tblPr>
        <w:tblStyle w:val="41"/>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2"/>
        <w:gridCol w:w="1514"/>
        <w:gridCol w:w="2726"/>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color w:val="auto"/>
                <w:szCs w:val="24"/>
                <w:highlight w:val="none"/>
              </w:rPr>
            </w:pPr>
            <w:r>
              <w:rPr>
                <w:rFonts w:hint="eastAsia"/>
                <w:b/>
                <w:color w:val="auto"/>
                <w:szCs w:val="24"/>
                <w:highlight w:val="none"/>
              </w:rPr>
              <w:t>序号</w:t>
            </w:r>
          </w:p>
        </w:tc>
        <w:tc>
          <w:tcPr>
            <w:tcW w:w="21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color w:val="auto"/>
                <w:szCs w:val="24"/>
                <w:highlight w:val="none"/>
              </w:rPr>
            </w:pPr>
            <w:r>
              <w:rPr>
                <w:rFonts w:hint="eastAsia"/>
                <w:b/>
                <w:color w:val="auto"/>
                <w:szCs w:val="24"/>
                <w:highlight w:val="none"/>
              </w:rPr>
              <w:t>条款名称</w:t>
            </w:r>
          </w:p>
        </w:tc>
        <w:tc>
          <w:tcPr>
            <w:tcW w:w="15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color w:val="auto"/>
                <w:szCs w:val="24"/>
                <w:highlight w:val="none"/>
              </w:rPr>
            </w:pPr>
            <w:r>
              <w:rPr>
                <w:rFonts w:hint="eastAsia"/>
                <w:b/>
                <w:color w:val="auto"/>
                <w:szCs w:val="24"/>
                <w:highlight w:val="none"/>
              </w:rPr>
              <w:t>合同条款号</w:t>
            </w:r>
          </w:p>
        </w:tc>
        <w:tc>
          <w:tcPr>
            <w:tcW w:w="2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color w:val="auto"/>
                <w:szCs w:val="24"/>
                <w:highlight w:val="none"/>
              </w:rPr>
            </w:pPr>
            <w:r>
              <w:rPr>
                <w:rFonts w:hint="eastAsia"/>
                <w:b/>
                <w:color w:val="auto"/>
                <w:szCs w:val="24"/>
                <w:highlight w:val="none"/>
              </w:rPr>
              <w:t>约定内容</w:t>
            </w: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color w:val="auto"/>
                <w:szCs w:val="24"/>
                <w:highlight w:val="none"/>
              </w:rPr>
            </w:pPr>
            <w:r>
              <w:rPr>
                <w:rFonts w:hint="eastAsia"/>
                <w:b/>
                <w:color w:val="auto"/>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default"/>
                <w:color w:val="auto"/>
                <w:highlight w:val="none"/>
              </w:rPr>
              <w:t>1</w:t>
            </w:r>
          </w:p>
        </w:tc>
        <w:tc>
          <w:tcPr>
            <w:tcW w:w="21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1"/>
                <w:highlight w:val="none"/>
              </w:rPr>
            </w:pPr>
            <w:r>
              <w:rPr>
                <w:rFonts w:hint="eastAsia"/>
                <w:color w:val="auto"/>
                <w:highlight w:val="none"/>
              </w:rPr>
              <w:t>投标有效期</w:t>
            </w:r>
          </w:p>
        </w:tc>
        <w:tc>
          <w:tcPr>
            <w:tcW w:w="15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default"/>
                <w:color w:val="auto"/>
                <w:highlight w:val="none"/>
              </w:rPr>
              <w:t>/</w:t>
            </w:r>
          </w:p>
        </w:tc>
        <w:tc>
          <w:tcPr>
            <w:tcW w:w="2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1"/>
                <w:highlight w:val="none"/>
              </w:rPr>
            </w:pPr>
            <w:r>
              <w:rPr>
                <w:rFonts w:hint="default"/>
                <w:color w:val="auto"/>
                <w:highlight w:val="none"/>
              </w:rPr>
              <w:t>180</w:t>
            </w:r>
            <w:r>
              <w:rPr>
                <w:rFonts w:hint="eastAsia"/>
                <w:color w:val="auto"/>
                <w:highlight w:val="none"/>
              </w:rPr>
              <w:t>日历天</w:t>
            </w: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firstLine="718" w:firstLineChars="342"/>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default"/>
                <w:color w:val="auto"/>
                <w:highlight w:val="none"/>
              </w:rPr>
              <w:t>2</w:t>
            </w:r>
          </w:p>
        </w:tc>
        <w:tc>
          <w:tcPr>
            <w:tcW w:w="21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1"/>
                <w:highlight w:val="none"/>
              </w:rPr>
            </w:pPr>
            <w:r>
              <w:rPr>
                <w:rFonts w:hint="eastAsia"/>
                <w:color w:val="auto"/>
                <w:highlight w:val="none"/>
              </w:rPr>
              <w:t>投标内容</w:t>
            </w:r>
          </w:p>
        </w:tc>
        <w:tc>
          <w:tcPr>
            <w:tcW w:w="15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default"/>
                <w:color w:val="auto"/>
                <w:highlight w:val="none"/>
              </w:rPr>
              <w:t>/</w:t>
            </w:r>
          </w:p>
        </w:tc>
        <w:tc>
          <w:tcPr>
            <w:tcW w:w="2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1"/>
                <w:highlight w:val="none"/>
              </w:rPr>
            </w:pPr>
            <w:r>
              <w:rPr>
                <w:rFonts w:hint="eastAsia"/>
                <w:color w:val="auto"/>
                <w:highlight w:val="none"/>
              </w:rPr>
              <w:t>完全响应招标文件要求</w:t>
            </w: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default"/>
                <w:color w:val="auto"/>
                <w:highlight w:val="none"/>
              </w:rPr>
              <w:t>3</w:t>
            </w:r>
          </w:p>
        </w:tc>
        <w:tc>
          <w:tcPr>
            <w:tcW w:w="21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1"/>
                <w:highlight w:val="none"/>
              </w:rPr>
            </w:pPr>
            <w:r>
              <w:rPr>
                <w:rFonts w:hint="eastAsia"/>
                <w:color w:val="auto"/>
                <w:highlight w:val="none"/>
              </w:rPr>
              <w:t>项目负责人</w:t>
            </w:r>
          </w:p>
        </w:tc>
        <w:tc>
          <w:tcPr>
            <w:tcW w:w="15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default"/>
                <w:color w:val="auto"/>
                <w:highlight w:val="none"/>
              </w:rPr>
              <w:t>/</w:t>
            </w:r>
          </w:p>
        </w:tc>
        <w:tc>
          <w:tcPr>
            <w:tcW w:w="2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eastAsia"/>
                <w:color w:val="auto"/>
                <w:highlight w:val="none"/>
              </w:rPr>
              <w:t>姓名：</w:t>
            </w: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360"/>
              </w:tabs>
              <w:spacing w:before="0" w:beforeAutospacing="0" w:after="0" w:afterAutospacing="0"/>
              <w:ind w:left="0" w:right="0"/>
              <w:jc w:val="center"/>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default"/>
                <w:color w:val="auto"/>
                <w:highlight w:val="none"/>
              </w:rPr>
              <w:t>4</w:t>
            </w:r>
          </w:p>
        </w:tc>
        <w:tc>
          <w:tcPr>
            <w:tcW w:w="21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eastAsia"/>
                <w:color w:val="auto"/>
                <w:highlight w:val="none"/>
              </w:rPr>
              <w:t>技术负责人</w:t>
            </w:r>
          </w:p>
        </w:tc>
        <w:tc>
          <w:tcPr>
            <w:tcW w:w="15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default"/>
                <w:color w:val="auto"/>
                <w:highlight w:val="none"/>
              </w:rPr>
              <w:t>/</w:t>
            </w:r>
          </w:p>
        </w:tc>
        <w:tc>
          <w:tcPr>
            <w:tcW w:w="2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eastAsia"/>
                <w:color w:val="auto"/>
                <w:highlight w:val="none"/>
              </w:rPr>
              <w:t>姓名：</w:t>
            </w: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firstLine="718" w:firstLineChars="342"/>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default"/>
                <w:color w:val="auto"/>
                <w:highlight w:val="none"/>
              </w:rPr>
              <w:t>5</w:t>
            </w:r>
          </w:p>
        </w:tc>
        <w:tc>
          <w:tcPr>
            <w:tcW w:w="21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eastAsia"/>
                <w:color w:val="auto"/>
                <w:highlight w:val="none"/>
              </w:rPr>
              <w:t>服务期限</w:t>
            </w:r>
          </w:p>
        </w:tc>
        <w:tc>
          <w:tcPr>
            <w:tcW w:w="15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default"/>
                <w:color w:val="auto"/>
                <w:highlight w:val="none"/>
              </w:rPr>
              <w:t>/</w:t>
            </w:r>
          </w:p>
        </w:tc>
        <w:tc>
          <w:tcPr>
            <w:tcW w:w="2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4"/>
                <w:highlight w:val="none"/>
              </w:rPr>
            </w:pPr>
            <w:r>
              <w:rPr>
                <w:rFonts w:hint="eastAsia"/>
                <w:color w:val="auto"/>
                <w:highlight w:val="none"/>
              </w:rPr>
              <w:t>完全响应招标文件要求</w:t>
            </w: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highlight w:val="none"/>
              </w:rPr>
            </w:pPr>
            <w:r>
              <w:rPr>
                <w:rFonts w:hint="default"/>
                <w:color w:val="auto"/>
                <w:highlight w:val="none"/>
              </w:rPr>
              <w:t>6</w:t>
            </w:r>
          </w:p>
        </w:tc>
        <w:tc>
          <w:tcPr>
            <w:tcW w:w="21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highlight w:val="none"/>
              </w:rPr>
            </w:pPr>
            <w:r>
              <w:rPr>
                <w:rFonts w:hint="eastAsia"/>
                <w:color w:val="auto"/>
                <w:highlight w:val="none"/>
              </w:rPr>
              <w:t>质量标准</w:t>
            </w:r>
          </w:p>
        </w:tc>
        <w:tc>
          <w:tcPr>
            <w:tcW w:w="15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highlight w:val="none"/>
              </w:rPr>
            </w:pPr>
            <w:r>
              <w:rPr>
                <w:rFonts w:hint="default"/>
                <w:color w:val="auto"/>
                <w:highlight w:val="none"/>
              </w:rPr>
              <w:t>/</w:t>
            </w:r>
          </w:p>
        </w:tc>
        <w:tc>
          <w:tcPr>
            <w:tcW w:w="2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highlight w:val="none"/>
              </w:rPr>
            </w:pPr>
            <w:r>
              <w:rPr>
                <w:rFonts w:hint="eastAsia"/>
                <w:color w:val="auto"/>
                <w:highlight w:val="none"/>
              </w:rPr>
              <w:t>工作质量满足相关国家规范和合同要求</w:t>
            </w:r>
          </w:p>
        </w:tc>
        <w:tc>
          <w:tcPr>
            <w:tcW w:w="10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auto"/>
                <w:szCs w:val="24"/>
                <w:highlight w:val="none"/>
              </w:rPr>
            </w:pPr>
          </w:p>
        </w:tc>
      </w:tr>
    </w:tbl>
    <w:p>
      <w:pPr>
        <w:spacing w:line="440" w:lineRule="exact"/>
        <w:jc w:val="left"/>
        <w:rPr>
          <w:color w:val="auto"/>
          <w:szCs w:val="21"/>
          <w:highlight w:val="none"/>
        </w:rPr>
      </w:pPr>
    </w:p>
    <w:p>
      <w:pPr>
        <w:spacing w:line="440" w:lineRule="exact"/>
        <w:ind w:firstLine="2520" w:firstLineChars="1200"/>
        <w:jc w:val="left"/>
        <w:rPr>
          <w:color w:val="auto"/>
          <w:szCs w:val="21"/>
          <w:highlight w:val="none"/>
        </w:rPr>
      </w:pPr>
      <w:r>
        <w:rPr>
          <w:rFonts w:hint="eastAsia"/>
          <w:color w:val="auto"/>
          <w:szCs w:val="21"/>
          <w:highlight w:val="none"/>
        </w:rPr>
        <w:t>投</w:t>
      </w:r>
      <w:r>
        <w:rPr>
          <w:color w:val="auto"/>
          <w:szCs w:val="21"/>
          <w:highlight w:val="none"/>
        </w:rPr>
        <w:t xml:space="preserve"> </w:t>
      </w:r>
      <w:r>
        <w:rPr>
          <w:rFonts w:hint="eastAsia"/>
          <w:color w:val="auto"/>
          <w:szCs w:val="21"/>
          <w:highlight w:val="none"/>
        </w:rPr>
        <w:t>标</w:t>
      </w:r>
      <w:r>
        <w:rPr>
          <w:color w:val="auto"/>
          <w:szCs w:val="21"/>
          <w:highlight w:val="none"/>
        </w:rPr>
        <w:t xml:space="preserve"> </w:t>
      </w:r>
      <w:r>
        <w:rPr>
          <w:rFonts w:hint="eastAsia"/>
          <w:color w:val="auto"/>
          <w:szCs w:val="21"/>
          <w:highlight w:val="none"/>
        </w:rPr>
        <w:t>人：</w:t>
      </w:r>
      <w:r>
        <w:rPr>
          <w:color w:val="auto"/>
          <w:szCs w:val="21"/>
          <w:highlight w:val="none"/>
          <w:u w:val="single"/>
        </w:rPr>
        <w:t xml:space="preserve">                                </w:t>
      </w:r>
      <w:r>
        <w:rPr>
          <w:color w:val="auto"/>
          <w:szCs w:val="21"/>
          <w:highlight w:val="none"/>
          <w:u w:val="single"/>
        </w:rPr>
        <w:tab/>
      </w:r>
      <w:r>
        <w:rPr>
          <w:rFonts w:hint="eastAsia"/>
          <w:color w:val="auto"/>
          <w:szCs w:val="21"/>
          <w:highlight w:val="none"/>
        </w:rPr>
        <w:t>（盖单位章）</w:t>
      </w:r>
    </w:p>
    <w:p>
      <w:pPr>
        <w:spacing w:line="440" w:lineRule="exact"/>
        <w:jc w:val="left"/>
        <w:rPr>
          <w:color w:val="auto"/>
          <w:szCs w:val="21"/>
          <w:highlight w:val="none"/>
        </w:rPr>
      </w:pPr>
      <w:r>
        <w:rPr>
          <w:color w:val="auto"/>
          <w:szCs w:val="24"/>
          <w:highlight w:val="none"/>
        </w:rPr>
        <w:t xml:space="preserve">                        </w:t>
      </w:r>
      <w:r>
        <w:rPr>
          <w:rFonts w:hint="eastAsia"/>
          <w:color w:val="auto"/>
          <w:szCs w:val="24"/>
          <w:highlight w:val="none"/>
        </w:rPr>
        <w:t>法定代表人</w:t>
      </w:r>
      <w:r>
        <w:rPr>
          <w:rFonts w:hint="eastAsia"/>
          <w:color w:val="auto"/>
          <w:szCs w:val="21"/>
          <w:highlight w:val="none"/>
        </w:rPr>
        <w:t>或其委托代理人：</w:t>
      </w:r>
      <w:r>
        <w:rPr>
          <w:color w:val="auto"/>
          <w:szCs w:val="21"/>
          <w:highlight w:val="none"/>
          <w:u w:val="single"/>
        </w:rPr>
        <w:t xml:space="preserve">       </w:t>
      </w:r>
      <w:r>
        <w:rPr>
          <w:color w:val="auto"/>
          <w:szCs w:val="21"/>
          <w:highlight w:val="none"/>
          <w:u w:val="single"/>
        </w:rPr>
        <w:tab/>
      </w:r>
      <w:r>
        <w:rPr>
          <w:rFonts w:hint="eastAsia"/>
          <w:color w:val="auto"/>
          <w:szCs w:val="21"/>
          <w:highlight w:val="none"/>
        </w:rPr>
        <w:t>（签字）</w:t>
      </w:r>
    </w:p>
    <w:p>
      <w:pPr>
        <w:spacing w:line="440" w:lineRule="exact"/>
        <w:ind w:firstLine="4725" w:firstLineChars="2250"/>
        <w:jc w:val="right"/>
        <w:rPr>
          <w:color w:val="auto"/>
          <w:szCs w:val="21"/>
          <w:highlight w:val="none"/>
        </w:rPr>
      </w:pPr>
      <w:r>
        <w:rPr>
          <w:color w:val="auto"/>
          <w:szCs w:val="24"/>
          <w:highlight w:val="none"/>
          <w:u w:val="single"/>
        </w:rPr>
        <w:t xml:space="preserve">      </w:t>
      </w:r>
      <w:r>
        <w:rPr>
          <w:rFonts w:hint="eastAsia"/>
          <w:color w:val="auto"/>
          <w:szCs w:val="21"/>
          <w:highlight w:val="none"/>
        </w:rPr>
        <w:t>年</w:t>
      </w:r>
      <w:r>
        <w:rPr>
          <w:color w:val="auto"/>
          <w:szCs w:val="24"/>
          <w:highlight w:val="none"/>
          <w:u w:val="single"/>
        </w:rPr>
        <w:t xml:space="preserve">      </w:t>
      </w:r>
      <w:r>
        <w:rPr>
          <w:rFonts w:hint="eastAsia"/>
          <w:color w:val="auto"/>
          <w:szCs w:val="21"/>
          <w:highlight w:val="none"/>
        </w:rPr>
        <w:t>月</w:t>
      </w:r>
      <w:r>
        <w:rPr>
          <w:color w:val="auto"/>
          <w:szCs w:val="24"/>
          <w:highlight w:val="none"/>
          <w:u w:val="single"/>
        </w:rPr>
        <w:t xml:space="preserve">      </w:t>
      </w:r>
      <w:r>
        <w:rPr>
          <w:rFonts w:hint="eastAsia"/>
          <w:color w:val="auto"/>
          <w:szCs w:val="21"/>
          <w:highlight w:val="none"/>
        </w:rPr>
        <w:t>日</w:t>
      </w:r>
    </w:p>
    <w:p>
      <w:pPr>
        <w:spacing w:line="440" w:lineRule="exact"/>
        <w:ind w:firstLine="4725" w:firstLineChars="2250"/>
        <w:jc w:val="right"/>
        <w:rPr>
          <w:color w:val="auto"/>
          <w:szCs w:val="21"/>
          <w:highlight w:val="none"/>
        </w:rPr>
      </w:pPr>
      <w:r>
        <w:rPr>
          <w:color w:val="auto"/>
          <w:szCs w:val="21"/>
          <w:highlight w:val="none"/>
        </w:rPr>
        <w:br w:type="page"/>
      </w:r>
    </w:p>
    <w:p>
      <w:pPr>
        <w:keepNext/>
        <w:keepLines/>
        <w:adjustRightInd w:val="0"/>
        <w:spacing w:before="240" w:after="120"/>
        <w:textAlignment w:val="baseline"/>
        <w:outlineLvl w:val="1"/>
        <w:rPr>
          <w:rFonts w:ascii="Arial" w:hAnsi="Arial" w:eastAsia="黑体"/>
          <w:color w:val="auto"/>
          <w:kern w:val="0"/>
          <w:sz w:val="24"/>
          <w:szCs w:val="20"/>
          <w:highlight w:val="none"/>
        </w:rPr>
      </w:pPr>
      <w:bookmarkStart w:id="1596" w:name="_Toc12041"/>
      <w:bookmarkStart w:id="1597" w:name="_Toc1865037206"/>
      <w:bookmarkStart w:id="1598" w:name="_Toc170804667"/>
      <w:bookmarkStart w:id="1599" w:name="_Toc22396"/>
      <w:bookmarkStart w:id="1600" w:name="_Toc9874"/>
      <w:bookmarkStart w:id="1601" w:name="_Toc29711"/>
      <w:bookmarkStart w:id="1602" w:name="_Toc6192"/>
      <w:bookmarkStart w:id="1603" w:name="_Toc17260"/>
      <w:bookmarkStart w:id="1604" w:name="_Toc23747"/>
      <w:bookmarkStart w:id="1605" w:name="_Toc1315"/>
      <w:bookmarkStart w:id="1606" w:name="_Toc19437"/>
      <w:r>
        <w:rPr>
          <w:rFonts w:ascii="宋体" w:hAnsi="宋体" w:eastAsia="黑体"/>
          <w:color w:val="auto"/>
          <w:kern w:val="0"/>
          <w:sz w:val="24"/>
          <w:szCs w:val="20"/>
          <w:highlight w:val="none"/>
        </w:rPr>
        <w:t>2.</w:t>
      </w:r>
      <w:r>
        <w:rPr>
          <w:rFonts w:hint="eastAsia" w:ascii="宋体" w:hAnsi="宋体" w:eastAsia="黑体"/>
          <w:color w:val="auto"/>
          <w:kern w:val="0"/>
          <w:sz w:val="24"/>
          <w:szCs w:val="20"/>
          <w:highlight w:val="none"/>
        </w:rPr>
        <w:t>法定代表人身份证明</w:t>
      </w:r>
      <w:bookmarkEnd w:id="1596"/>
      <w:bookmarkEnd w:id="1597"/>
      <w:bookmarkEnd w:id="1598"/>
      <w:bookmarkEnd w:id="1599"/>
      <w:bookmarkEnd w:id="1600"/>
      <w:bookmarkEnd w:id="1601"/>
      <w:bookmarkEnd w:id="1602"/>
      <w:bookmarkEnd w:id="1603"/>
      <w:bookmarkEnd w:id="1604"/>
      <w:bookmarkEnd w:id="1605"/>
      <w:bookmarkEnd w:id="1606"/>
    </w:p>
    <w:p>
      <w:pPr>
        <w:spacing w:line="440" w:lineRule="exact"/>
        <w:jc w:val="center"/>
        <w:rPr>
          <w:color w:val="auto"/>
          <w:szCs w:val="24"/>
          <w:highlight w:val="none"/>
        </w:rPr>
      </w:pPr>
      <w:r>
        <w:rPr>
          <w:rFonts w:hint="eastAsia"/>
          <w:color w:val="auto"/>
          <w:szCs w:val="24"/>
          <w:highlight w:val="none"/>
        </w:rPr>
        <w:t>法定代表人身份证明</w:t>
      </w:r>
    </w:p>
    <w:p>
      <w:pPr>
        <w:spacing w:line="440" w:lineRule="exact"/>
        <w:rPr>
          <w:color w:val="auto"/>
          <w:sz w:val="20"/>
          <w:szCs w:val="24"/>
          <w:highlight w:val="none"/>
        </w:rPr>
      </w:pPr>
    </w:p>
    <w:p>
      <w:pPr>
        <w:spacing w:line="440" w:lineRule="exact"/>
        <w:rPr>
          <w:color w:val="auto"/>
          <w:szCs w:val="24"/>
          <w:highlight w:val="none"/>
        </w:rPr>
      </w:pPr>
    </w:p>
    <w:p>
      <w:pPr>
        <w:spacing w:line="440" w:lineRule="exact"/>
        <w:rPr>
          <w:color w:val="auto"/>
          <w:szCs w:val="24"/>
          <w:highlight w:val="none"/>
        </w:rPr>
      </w:pPr>
      <w:r>
        <w:rPr>
          <w:rFonts w:hint="eastAsia"/>
          <w:color w:val="auto"/>
          <w:szCs w:val="24"/>
          <w:highlight w:val="none"/>
        </w:rPr>
        <w:t>投标人名称：</w:t>
      </w:r>
      <w:r>
        <w:rPr>
          <w:color w:val="auto"/>
          <w:szCs w:val="24"/>
          <w:highlight w:val="none"/>
          <w:u w:val="single"/>
        </w:rPr>
        <w:t xml:space="preserve">                        </w:t>
      </w:r>
    </w:p>
    <w:p>
      <w:pPr>
        <w:spacing w:line="440" w:lineRule="exact"/>
        <w:rPr>
          <w:color w:val="auto"/>
          <w:szCs w:val="24"/>
          <w:highlight w:val="none"/>
        </w:rPr>
      </w:pPr>
      <w:r>
        <w:rPr>
          <w:rFonts w:hint="eastAsia"/>
          <w:color w:val="auto"/>
          <w:szCs w:val="24"/>
          <w:highlight w:val="none"/>
        </w:rPr>
        <w:t>姓名：</w:t>
      </w:r>
      <w:r>
        <w:rPr>
          <w:color w:val="auto"/>
          <w:szCs w:val="24"/>
          <w:highlight w:val="none"/>
          <w:u w:val="single"/>
        </w:rPr>
        <w:t xml:space="preserve">                </w:t>
      </w:r>
      <w:r>
        <w:rPr>
          <w:rFonts w:hint="eastAsia"/>
          <w:color w:val="auto"/>
          <w:szCs w:val="24"/>
          <w:highlight w:val="none"/>
        </w:rPr>
        <w:t>性别：</w:t>
      </w:r>
      <w:r>
        <w:rPr>
          <w:color w:val="auto"/>
          <w:szCs w:val="24"/>
          <w:highlight w:val="none"/>
          <w:u w:val="single"/>
        </w:rPr>
        <w:t xml:space="preserve">        </w:t>
      </w:r>
      <w:r>
        <w:rPr>
          <w:rFonts w:hint="eastAsia"/>
          <w:color w:val="auto"/>
          <w:szCs w:val="24"/>
          <w:highlight w:val="none"/>
        </w:rPr>
        <w:t>年龄：</w:t>
      </w:r>
      <w:r>
        <w:rPr>
          <w:color w:val="auto"/>
          <w:szCs w:val="24"/>
          <w:highlight w:val="none"/>
          <w:u w:val="single"/>
        </w:rPr>
        <w:t xml:space="preserve">        </w:t>
      </w:r>
      <w:r>
        <w:rPr>
          <w:rFonts w:hint="eastAsia"/>
          <w:color w:val="auto"/>
          <w:szCs w:val="24"/>
          <w:highlight w:val="none"/>
        </w:rPr>
        <w:t>职务：</w:t>
      </w:r>
      <w:r>
        <w:rPr>
          <w:color w:val="auto"/>
          <w:szCs w:val="24"/>
          <w:highlight w:val="none"/>
          <w:u w:val="single"/>
        </w:rPr>
        <w:t xml:space="preserve">        </w:t>
      </w:r>
    </w:p>
    <w:p>
      <w:pPr>
        <w:spacing w:line="440" w:lineRule="exact"/>
        <w:rPr>
          <w:color w:val="auto"/>
          <w:szCs w:val="24"/>
          <w:highlight w:val="none"/>
        </w:rPr>
      </w:pPr>
      <w:r>
        <w:rPr>
          <w:rFonts w:hint="eastAsia"/>
          <w:color w:val="auto"/>
          <w:szCs w:val="24"/>
          <w:highlight w:val="none"/>
        </w:rPr>
        <w:t>系</w:t>
      </w:r>
      <w:r>
        <w:rPr>
          <w:color w:val="auto"/>
          <w:szCs w:val="24"/>
          <w:highlight w:val="none"/>
          <w:u w:val="single"/>
        </w:rPr>
        <w:t xml:space="preserve">                        </w:t>
      </w:r>
      <w:r>
        <w:rPr>
          <w:rFonts w:hint="eastAsia"/>
          <w:color w:val="auto"/>
          <w:szCs w:val="24"/>
          <w:highlight w:val="none"/>
        </w:rPr>
        <w:t>（投标人名称）的法定代表人。</w:t>
      </w:r>
    </w:p>
    <w:p>
      <w:pPr>
        <w:spacing w:line="440" w:lineRule="exact"/>
        <w:ind w:firstLine="420" w:firstLineChars="200"/>
        <w:rPr>
          <w:color w:val="auto"/>
          <w:szCs w:val="24"/>
          <w:highlight w:val="none"/>
        </w:rPr>
      </w:pPr>
      <w:r>
        <w:rPr>
          <w:rFonts w:hint="eastAsia"/>
          <w:color w:val="auto"/>
          <w:szCs w:val="24"/>
          <w:highlight w:val="none"/>
        </w:rPr>
        <w:t>特此证明。</w:t>
      </w:r>
    </w:p>
    <w:p>
      <w:pPr>
        <w:spacing w:line="440" w:lineRule="exact"/>
        <w:rPr>
          <w:color w:val="auto"/>
          <w:szCs w:val="24"/>
          <w:highlight w:val="none"/>
        </w:rPr>
      </w:pPr>
    </w:p>
    <w:p>
      <w:pPr>
        <w:spacing w:line="440" w:lineRule="exact"/>
        <w:rPr>
          <w:color w:val="auto"/>
          <w:szCs w:val="24"/>
          <w:highlight w:val="none"/>
        </w:rPr>
      </w:pPr>
      <w:r>
        <w:rPr>
          <w:rFonts w:hint="eastAsia"/>
          <w:color w:val="auto"/>
          <w:szCs w:val="24"/>
          <w:highlight w:val="none"/>
        </w:rPr>
        <w:t>附：法定代表人身份证复印件。</w:t>
      </w:r>
    </w:p>
    <w:p>
      <w:pPr>
        <w:spacing w:line="440" w:lineRule="exact"/>
        <w:rPr>
          <w:color w:val="auto"/>
          <w:szCs w:val="24"/>
          <w:highlight w:val="none"/>
        </w:rPr>
      </w:pPr>
    </w:p>
    <w:p>
      <w:pPr>
        <w:spacing w:line="440" w:lineRule="exact"/>
        <w:rPr>
          <w:color w:val="auto"/>
          <w:szCs w:val="24"/>
          <w:highlight w:val="none"/>
        </w:rPr>
      </w:pPr>
      <w:r>
        <w:rPr>
          <w:rFonts w:hint="eastAsia"/>
          <w:color w:val="auto"/>
          <w:szCs w:val="24"/>
          <w:highlight w:val="none"/>
        </w:rPr>
        <w:t>注：本身份证明需由投标人加盖单位公章。</w:t>
      </w:r>
    </w:p>
    <w:p>
      <w:pPr>
        <w:spacing w:line="440" w:lineRule="exact"/>
        <w:rPr>
          <w:color w:val="auto"/>
          <w:szCs w:val="24"/>
          <w:highlight w:val="none"/>
        </w:rPr>
      </w:pPr>
    </w:p>
    <w:p>
      <w:pPr>
        <w:spacing w:line="440" w:lineRule="exact"/>
        <w:rPr>
          <w:color w:val="auto"/>
          <w:szCs w:val="24"/>
          <w:highlight w:val="none"/>
        </w:rPr>
      </w:pPr>
    </w:p>
    <w:p>
      <w:pPr>
        <w:spacing w:line="440" w:lineRule="exact"/>
        <w:jc w:val="center"/>
        <w:rPr>
          <w:color w:val="auto"/>
          <w:szCs w:val="24"/>
          <w:highlight w:val="none"/>
        </w:rPr>
      </w:pPr>
      <w:r>
        <w:rPr>
          <w:color w:val="auto"/>
          <w:szCs w:val="24"/>
          <w:highlight w:val="none"/>
        </w:rPr>
        <w:t xml:space="preserve">                              </w:t>
      </w:r>
      <w:r>
        <w:rPr>
          <w:rFonts w:hint="eastAsia"/>
          <w:color w:val="auto"/>
          <w:szCs w:val="24"/>
          <w:highlight w:val="none"/>
        </w:rPr>
        <w:t>投标人：</w:t>
      </w:r>
      <w:r>
        <w:rPr>
          <w:color w:val="auto"/>
          <w:szCs w:val="21"/>
          <w:highlight w:val="none"/>
          <w:u w:val="single"/>
        </w:rPr>
        <w:t xml:space="preserve">          </w:t>
      </w:r>
      <w:r>
        <w:rPr>
          <w:color w:val="auto"/>
          <w:szCs w:val="21"/>
          <w:highlight w:val="none"/>
          <w:u w:val="single"/>
        </w:rPr>
        <w:tab/>
      </w:r>
      <w:r>
        <w:rPr>
          <w:rFonts w:hint="eastAsia"/>
          <w:color w:val="auto"/>
          <w:szCs w:val="24"/>
          <w:highlight w:val="none"/>
        </w:rPr>
        <w:t>（盖单位章）</w:t>
      </w:r>
    </w:p>
    <w:p>
      <w:pPr>
        <w:spacing w:line="440" w:lineRule="exact"/>
        <w:rPr>
          <w:color w:val="auto"/>
          <w:szCs w:val="24"/>
          <w:highlight w:val="none"/>
        </w:rPr>
      </w:pPr>
    </w:p>
    <w:p>
      <w:pPr>
        <w:spacing w:line="440" w:lineRule="exact"/>
        <w:ind w:firstLine="4620" w:firstLineChars="2200"/>
        <w:rPr>
          <w:color w:val="auto"/>
          <w:szCs w:val="24"/>
          <w:highlight w:val="none"/>
        </w:rPr>
      </w:pPr>
      <w:r>
        <w:rPr>
          <w:color w:val="auto"/>
          <w:szCs w:val="24"/>
          <w:highlight w:val="none"/>
          <w:u w:val="single"/>
        </w:rPr>
        <w:t xml:space="preserve">      </w:t>
      </w:r>
      <w:r>
        <w:rPr>
          <w:rFonts w:hint="eastAsia"/>
          <w:color w:val="auto"/>
          <w:szCs w:val="24"/>
          <w:highlight w:val="none"/>
        </w:rPr>
        <w:t>年</w:t>
      </w:r>
      <w:r>
        <w:rPr>
          <w:color w:val="auto"/>
          <w:szCs w:val="24"/>
          <w:highlight w:val="none"/>
          <w:u w:val="single"/>
        </w:rPr>
        <w:t xml:space="preserve">      </w:t>
      </w:r>
      <w:r>
        <w:rPr>
          <w:rFonts w:hint="eastAsia"/>
          <w:color w:val="auto"/>
          <w:szCs w:val="24"/>
          <w:highlight w:val="none"/>
        </w:rPr>
        <w:t>月</w:t>
      </w:r>
      <w:r>
        <w:rPr>
          <w:color w:val="auto"/>
          <w:szCs w:val="24"/>
          <w:highlight w:val="none"/>
          <w:u w:val="single"/>
        </w:rPr>
        <w:t xml:space="preserve">      </w:t>
      </w:r>
      <w:r>
        <w:rPr>
          <w:rFonts w:hint="eastAsia"/>
          <w:color w:val="auto"/>
          <w:szCs w:val="24"/>
          <w:highlight w:val="none"/>
        </w:rPr>
        <w:t>日</w:t>
      </w:r>
    </w:p>
    <w:p>
      <w:pPr>
        <w:spacing w:line="440" w:lineRule="exact"/>
        <w:rPr>
          <w:rFonts w:eastAsia="黑体"/>
          <w:color w:val="auto"/>
          <w:sz w:val="20"/>
          <w:szCs w:val="24"/>
          <w:highlight w:val="none"/>
        </w:rPr>
      </w:pPr>
      <w:r>
        <w:rPr>
          <w:rFonts w:eastAsia="黑体"/>
          <w:color w:val="auto"/>
          <w:sz w:val="20"/>
          <w:szCs w:val="24"/>
          <w:highlight w:val="none"/>
        </w:rPr>
        <w:br w:type="page"/>
      </w:r>
    </w:p>
    <w:p>
      <w:pPr>
        <w:spacing w:line="440" w:lineRule="exact"/>
        <w:jc w:val="center"/>
        <w:rPr>
          <w:rFonts w:ascii="宋体" w:hAnsi="宋体"/>
          <w:color w:val="auto"/>
          <w:szCs w:val="24"/>
          <w:highlight w:val="none"/>
        </w:rPr>
      </w:pPr>
    </w:p>
    <w:p>
      <w:pPr>
        <w:keepNext/>
        <w:keepLines/>
        <w:adjustRightInd w:val="0"/>
        <w:spacing w:before="240" w:after="120" w:line="20" w:lineRule="exact"/>
        <w:textAlignment w:val="baseline"/>
        <w:outlineLvl w:val="1"/>
        <w:rPr>
          <w:rFonts w:ascii="宋体" w:hAnsi="宋体" w:eastAsia="黑体"/>
          <w:color w:val="auto"/>
          <w:kern w:val="0"/>
          <w:sz w:val="24"/>
          <w:szCs w:val="20"/>
          <w:highlight w:val="none"/>
        </w:rPr>
      </w:pPr>
      <w:bookmarkStart w:id="1607" w:name="_Toc7686"/>
      <w:bookmarkStart w:id="1608" w:name="_Toc29844"/>
      <w:bookmarkStart w:id="1609" w:name="_Toc6543"/>
      <w:bookmarkStart w:id="1610" w:name="_Toc27414"/>
      <w:bookmarkStart w:id="1611" w:name="_Toc27921"/>
      <w:bookmarkStart w:id="1612" w:name="_Toc170804668"/>
      <w:bookmarkStart w:id="1613" w:name="_Toc11483"/>
      <w:bookmarkStart w:id="1614" w:name="_Toc1009009630"/>
      <w:bookmarkStart w:id="1615" w:name="_Toc12058"/>
      <w:bookmarkStart w:id="1616" w:name="_Toc14370"/>
      <w:bookmarkStart w:id="1617" w:name="_Toc1640"/>
      <w:r>
        <w:rPr>
          <w:rFonts w:ascii="宋体" w:hAnsi="宋体" w:eastAsia="黑体"/>
          <w:color w:val="auto"/>
          <w:kern w:val="0"/>
          <w:sz w:val="24"/>
          <w:szCs w:val="20"/>
          <w:highlight w:val="none"/>
        </w:rPr>
        <w:t>3.</w:t>
      </w:r>
      <w:r>
        <w:rPr>
          <w:rFonts w:hint="eastAsia" w:ascii="宋体" w:hAnsi="宋体" w:eastAsia="黑体"/>
          <w:color w:val="auto"/>
          <w:kern w:val="0"/>
          <w:sz w:val="24"/>
          <w:szCs w:val="20"/>
          <w:highlight w:val="none"/>
        </w:rPr>
        <w:t>法定代表人授权委托书</w:t>
      </w:r>
      <w:bookmarkEnd w:id="1607"/>
      <w:bookmarkEnd w:id="1608"/>
      <w:bookmarkEnd w:id="1609"/>
      <w:bookmarkEnd w:id="1610"/>
      <w:bookmarkEnd w:id="1611"/>
      <w:bookmarkEnd w:id="1612"/>
      <w:bookmarkEnd w:id="1613"/>
      <w:bookmarkEnd w:id="1614"/>
      <w:bookmarkEnd w:id="1615"/>
      <w:bookmarkEnd w:id="1616"/>
      <w:bookmarkEnd w:id="1617"/>
    </w:p>
    <w:p>
      <w:pPr>
        <w:spacing w:line="440" w:lineRule="exact"/>
        <w:jc w:val="center"/>
        <w:rPr>
          <w:color w:val="auto"/>
          <w:szCs w:val="24"/>
          <w:highlight w:val="none"/>
        </w:rPr>
      </w:pPr>
    </w:p>
    <w:p>
      <w:pPr>
        <w:spacing w:line="440" w:lineRule="exact"/>
        <w:jc w:val="center"/>
        <w:rPr>
          <w:color w:val="auto"/>
          <w:szCs w:val="24"/>
          <w:highlight w:val="none"/>
        </w:rPr>
      </w:pPr>
      <w:r>
        <w:rPr>
          <w:rFonts w:hint="eastAsia"/>
          <w:color w:val="auto"/>
          <w:szCs w:val="24"/>
          <w:highlight w:val="none"/>
        </w:rPr>
        <w:t>授权委托书</w:t>
      </w:r>
    </w:p>
    <w:p>
      <w:pPr>
        <w:spacing w:line="440" w:lineRule="exact"/>
        <w:rPr>
          <w:rFonts w:eastAsia="黑体"/>
          <w:color w:val="auto"/>
          <w:szCs w:val="24"/>
          <w:highlight w:val="none"/>
        </w:rPr>
      </w:pPr>
    </w:p>
    <w:p>
      <w:pPr>
        <w:topLinePunct/>
        <w:spacing w:line="440" w:lineRule="exact"/>
        <w:ind w:firstLine="420" w:firstLineChars="200"/>
        <w:rPr>
          <w:color w:val="auto"/>
          <w:szCs w:val="24"/>
          <w:highlight w:val="none"/>
        </w:rPr>
      </w:pPr>
      <w:r>
        <w:rPr>
          <w:rFonts w:hint="eastAsia"/>
          <w:color w:val="auto"/>
          <w:szCs w:val="24"/>
          <w:highlight w:val="none"/>
        </w:rPr>
        <w:t>本人</w:t>
      </w:r>
      <w:r>
        <w:rPr>
          <w:color w:val="auto"/>
          <w:szCs w:val="24"/>
          <w:highlight w:val="none"/>
          <w:u w:val="single"/>
        </w:rPr>
        <w:t xml:space="preserve">              </w:t>
      </w:r>
      <w:r>
        <w:rPr>
          <w:rFonts w:hint="eastAsia"/>
          <w:color w:val="auto"/>
          <w:szCs w:val="24"/>
          <w:highlight w:val="none"/>
        </w:rPr>
        <w:t>（姓名）系</w:t>
      </w:r>
      <w:r>
        <w:rPr>
          <w:color w:val="auto"/>
          <w:szCs w:val="24"/>
          <w:highlight w:val="none"/>
          <w:u w:val="single"/>
        </w:rPr>
        <w:t xml:space="preserve">                 </w:t>
      </w:r>
      <w:r>
        <w:rPr>
          <w:rFonts w:hint="eastAsia"/>
          <w:color w:val="auto"/>
          <w:szCs w:val="24"/>
          <w:highlight w:val="none"/>
        </w:rPr>
        <w:t>（投标人名称）的法定代表人，现委托</w:t>
      </w:r>
      <w:r>
        <w:rPr>
          <w:color w:val="auto"/>
          <w:szCs w:val="24"/>
          <w:highlight w:val="none"/>
          <w:u w:val="single"/>
        </w:rPr>
        <w:t xml:space="preserve">         </w:t>
      </w:r>
      <w:r>
        <w:rPr>
          <w:rFonts w:hint="eastAsia"/>
          <w:color w:val="auto"/>
          <w:szCs w:val="24"/>
          <w:highlight w:val="none"/>
        </w:rPr>
        <w:t>（姓名）为我方代理人。代理人根据授权，以我方名义签署、澄清确认、递交、撤回、修改</w:t>
      </w:r>
      <w:bookmarkStart w:id="1618" w:name="_Hlk117065556"/>
      <w:r>
        <w:rPr>
          <w:color w:val="auto"/>
          <w:szCs w:val="21"/>
          <w:highlight w:val="none"/>
          <w:u w:val="single"/>
        </w:rPr>
        <w:t xml:space="preserve">                  </w:t>
      </w:r>
      <w:r>
        <w:rPr>
          <w:rFonts w:hint="eastAsia"/>
          <w:color w:val="auto"/>
          <w:szCs w:val="21"/>
          <w:highlight w:val="none"/>
        </w:rPr>
        <w:t>（项目名称）</w:t>
      </w:r>
      <w:bookmarkEnd w:id="1618"/>
      <w:r>
        <w:rPr>
          <w:rFonts w:hint="eastAsia"/>
          <w:color w:val="auto"/>
          <w:szCs w:val="24"/>
          <w:highlight w:val="none"/>
        </w:rPr>
        <w:t>投标文件、签订合同和处理有关</w:t>
      </w:r>
      <w:r>
        <w:rPr>
          <w:rFonts w:hint="eastAsia"/>
          <w:color w:val="auto"/>
          <w:szCs w:val="24"/>
          <w:highlight w:val="none"/>
          <w:lang w:val="en-US" w:eastAsia="zh-CN"/>
        </w:rPr>
        <w:t>的一切</w:t>
      </w:r>
      <w:r>
        <w:rPr>
          <w:rFonts w:hint="eastAsia"/>
          <w:color w:val="auto"/>
          <w:szCs w:val="24"/>
          <w:highlight w:val="none"/>
        </w:rPr>
        <w:t>事宜，其法律后果由我方承担。</w:t>
      </w:r>
    </w:p>
    <w:p>
      <w:pPr>
        <w:spacing w:line="440" w:lineRule="exact"/>
        <w:rPr>
          <w:color w:val="auto"/>
          <w:szCs w:val="24"/>
          <w:highlight w:val="none"/>
        </w:rPr>
      </w:pPr>
      <w:r>
        <w:rPr>
          <w:rFonts w:hint="eastAsia"/>
          <w:color w:val="auto"/>
          <w:szCs w:val="24"/>
          <w:highlight w:val="none"/>
        </w:rPr>
        <w:t>委托期限：</w:t>
      </w:r>
      <w:r>
        <w:rPr>
          <w:color w:val="auto"/>
          <w:szCs w:val="24"/>
          <w:highlight w:val="none"/>
          <w:u w:val="single"/>
        </w:rPr>
        <w:t xml:space="preserve">                       </w:t>
      </w:r>
      <w:r>
        <w:rPr>
          <w:rFonts w:hint="eastAsia"/>
          <w:color w:val="auto"/>
          <w:szCs w:val="24"/>
          <w:highlight w:val="none"/>
        </w:rPr>
        <w:t>。</w:t>
      </w:r>
    </w:p>
    <w:p>
      <w:pPr>
        <w:spacing w:line="440" w:lineRule="exact"/>
        <w:ind w:firstLine="420" w:firstLineChars="200"/>
        <w:rPr>
          <w:color w:val="auto"/>
          <w:szCs w:val="24"/>
          <w:highlight w:val="none"/>
        </w:rPr>
      </w:pPr>
      <w:r>
        <w:rPr>
          <w:rFonts w:hint="eastAsia"/>
          <w:color w:val="auto"/>
          <w:szCs w:val="24"/>
          <w:highlight w:val="none"/>
        </w:rPr>
        <w:t>代理人无转委托权。</w:t>
      </w:r>
    </w:p>
    <w:p>
      <w:pPr>
        <w:spacing w:line="440" w:lineRule="exact"/>
        <w:ind w:firstLine="420" w:firstLineChars="200"/>
        <w:rPr>
          <w:color w:val="auto"/>
          <w:szCs w:val="24"/>
          <w:highlight w:val="none"/>
        </w:rPr>
      </w:pPr>
    </w:p>
    <w:p>
      <w:pPr>
        <w:spacing w:line="440" w:lineRule="exact"/>
        <w:rPr>
          <w:b/>
          <w:bCs/>
          <w:color w:val="auto"/>
          <w:szCs w:val="24"/>
          <w:highlight w:val="none"/>
        </w:rPr>
      </w:pPr>
      <w:r>
        <w:rPr>
          <w:rFonts w:hint="eastAsia"/>
          <w:b/>
          <w:bCs/>
          <w:color w:val="auto"/>
          <w:szCs w:val="24"/>
          <w:highlight w:val="none"/>
        </w:rPr>
        <w:t>附：法定代表人身份证复印件及委托代理人身份证复印件</w:t>
      </w:r>
    </w:p>
    <w:p>
      <w:pPr>
        <w:spacing w:line="440" w:lineRule="exact"/>
        <w:rPr>
          <w:color w:val="auto"/>
          <w:szCs w:val="24"/>
          <w:highlight w:val="none"/>
        </w:rPr>
      </w:pPr>
    </w:p>
    <w:p>
      <w:pPr>
        <w:spacing w:line="440" w:lineRule="exact"/>
        <w:rPr>
          <w:rFonts w:hint="eastAsia" w:eastAsia="宋体"/>
          <w:color w:val="auto"/>
          <w:szCs w:val="24"/>
          <w:highlight w:val="none"/>
          <w:lang w:eastAsia="zh-CN"/>
        </w:rPr>
      </w:pPr>
      <w:r>
        <w:rPr>
          <w:rFonts w:hint="eastAsia"/>
          <w:color w:val="auto"/>
          <w:szCs w:val="24"/>
          <w:highlight w:val="none"/>
        </w:rPr>
        <w:t>注：本授权委托书需由投标人加盖单位公章并由其法定代表人和委托代理人签字。法定代表人授权书仅限于法定代表人委托代理人参与投标相关事项的情况下提供</w:t>
      </w:r>
      <w:r>
        <w:rPr>
          <w:rFonts w:hint="eastAsia"/>
          <w:color w:val="auto"/>
          <w:szCs w:val="24"/>
          <w:highlight w:val="none"/>
          <w:lang w:eastAsia="zh-CN"/>
        </w:rPr>
        <w:t>。</w:t>
      </w:r>
    </w:p>
    <w:p>
      <w:pPr>
        <w:spacing w:line="440" w:lineRule="exact"/>
        <w:rPr>
          <w:color w:val="auto"/>
          <w:szCs w:val="24"/>
          <w:highlight w:val="none"/>
        </w:rPr>
      </w:pPr>
    </w:p>
    <w:p>
      <w:pPr>
        <w:spacing w:line="440" w:lineRule="exact"/>
        <w:ind w:firstLine="2692" w:firstLineChars="1282"/>
        <w:rPr>
          <w:color w:val="auto"/>
          <w:szCs w:val="24"/>
          <w:highlight w:val="none"/>
        </w:rPr>
      </w:pPr>
      <w:r>
        <w:rPr>
          <w:rFonts w:hint="eastAsia"/>
          <w:color w:val="auto"/>
          <w:szCs w:val="24"/>
          <w:highlight w:val="none"/>
        </w:rPr>
        <w:t>投</w:t>
      </w:r>
      <w:r>
        <w:rPr>
          <w:color w:val="auto"/>
          <w:szCs w:val="24"/>
          <w:highlight w:val="none"/>
        </w:rPr>
        <w:t xml:space="preserve">  </w:t>
      </w:r>
      <w:r>
        <w:rPr>
          <w:rFonts w:hint="eastAsia"/>
          <w:color w:val="auto"/>
          <w:szCs w:val="24"/>
          <w:highlight w:val="none"/>
        </w:rPr>
        <w:t>标</w:t>
      </w:r>
      <w:r>
        <w:rPr>
          <w:color w:val="auto"/>
          <w:szCs w:val="24"/>
          <w:highlight w:val="none"/>
        </w:rPr>
        <w:t xml:space="preserve">  </w:t>
      </w:r>
      <w:r>
        <w:rPr>
          <w:rFonts w:hint="eastAsia"/>
          <w:color w:val="auto"/>
          <w:szCs w:val="24"/>
          <w:highlight w:val="none"/>
        </w:rPr>
        <w:t>人：</w:t>
      </w:r>
      <w:r>
        <w:rPr>
          <w:color w:val="auto"/>
          <w:szCs w:val="21"/>
          <w:highlight w:val="none"/>
          <w:u w:val="single"/>
        </w:rPr>
        <w:tab/>
      </w:r>
      <w:r>
        <w:rPr>
          <w:color w:val="auto"/>
          <w:szCs w:val="21"/>
          <w:highlight w:val="none"/>
          <w:u w:val="single"/>
        </w:rPr>
        <w:tab/>
      </w:r>
      <w:r>
        <w:rPr>
          <w:color w:val="auto"/>
          <w:szCs w:val="21"/>
          <w:highlight w:val="none"/>
          <w:u w:val="single"/>
        </w:rPr>
        <w:tab/>
      </w:r>
      <w:r>
        <w:rPr>
          <w:rFonts w:hint="eastAsia"/>
          <w:color w:val="auto"/>
          <w:szCs w:val="24"/>
          <w:highlight w:val="none"/>
        </w:rPr>
        <w:t>（盖单位章）</w:t>
      </w:r>
    </w:p>
    <w:p>
      <w:pPr>
        <w:spacing w:line="440" w:lineRule="exact"/>
        <w:ind w:firstLine="2692" w:firstLineChars="1282"/>
        <w:rPr>
          <w:color w:val="auto"/>
          <w:szCs w:val="24"/>
          <w:highlight w:val="none"/>
        </w:rPr>
      </w:pPr>
    </w:p>
    <w:p>
      <w:pPr>
        <w:spacing w:line="440" w:lineRule="exact"/>
        <w:ind w:firstLine="2690" w:firstLineChars="1281"/>
        <w:jc w:val="left"/>
        <w:rPr>
          <w:color w:val="auto"/>
          <w:szCs w:val="24"/>
          <w:highlight w:val="none"/>
        </w:rPr>
      </w:pPr>
      <w:r>
        <w:rPr>
          <w:rFonts w:hint="eastAsia"/>
          <w:color w:val="auto"/>
          <w:szCs w:val="24"/>
          <w:highlight w:val="none"/>
        </w:rPr>
        <w:t>法定代表人：</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 xml:space="preserve"> </w:t>
      </w:r>
      <w:r>
        <w:rPr>
          <w:rFonts w:hint="eastAsia"/>
          <w:color w:val="auto"/>
          <w:szCs w:val="24"/>
          <w:highlight w:val="none"/>
        </w:rPr>
        <w:t>（签字）</w:t>
      </w:r>
    </w:p>
    <w:p>
      <w:pPr>
        <w:spacing w:line="440" w:lineRule="exact"/>
        <w:ind w:firstLine="2692" w:firstLineChars="1282"/>
        <w:rPr>
          <w:color w:val="auto"/>
          <w:szCs w:val="24"/>
          <w:highlight w:val="none"/>
        </w:rPr>
      </w:pPr>
      <w:r>
        <w:rPr>
          <w:color w:val="auto"/>
          <w:szCs w:val="24"/>
          <w:highlight w:val="none"/>
        </w:rPr>
        <w:t xml:space="preserve"> </w:t>
      </w:r>
    </w:p>
    <w:p>
      <w:pPr>
        <w:spacing w:line="440" w:lineRule="exact"/>
        <w:ind w:firstLine="2692" w:firstLineChars="1282"/>
        <w:rPr>
          <w:color w:val="auto"/>
          <w:szCs w:val="24"/>
          <w:highlight w:val="none"/>
        </w:rPr>
      </w:pPr>
      <w:r>
        <w:rPr>
          <w:rFonts w:hint="eastAsia"/>
          <w:color w:val="auto"/>
          <w:szCs w:val="24"/>
          <w:highlight w:val="none"/>
        </w:rPr>
        <w:t>身份证号码：</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spacing w:line="440" w:lineRule="exact"/>
        <w:ind w:firstLine="2692" w:firstLineChars="1282"/>
        <w:rPr>
          <w:color w:val="auto"/>
          <w:szCs w:val="24"/>
          <w:highlight w:val="none"/>
        </w:rPr>
      </w:pPr>
    </w:p>
    <w:p>
      <w:pPr>
        <w:spacing w:line="440" w:lineRule="exact"/>
        <w:ind w:firstLine="2692" w:firstLineChars="1282"/>
        <w:rPr>
          <w:color w:val="auto"/>
          <w:szCs w:val="24"/>
          <w:highlight w:val="none"/>
        </w:rPr>
      </w:pPr>
      <w:r>
        <w:rPr>
          <w:rFonts w:hint="eastAsia"/>
          <w:color w:val="auto"/>
          <w:szCs w:val="24"/>
          <w:highlight w:val="none"/>
        </w:rPr>
        <w:t>委托代理人：</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 xml:space="preserve">  </w:t>
      </w:r>
      <w:r>
        <w:rPr>
          <w:rFonts w:hint="eastAsia"/>
          <w:color w:val="auto"/>
          <w:szCs w:val="24"/>
          <w:highlight w:val="none"/>
        </w:rPr>
        <w:t>（签字）</w:t>
      </w:r>
    </w:p>
    <w:p>
      <w:pPr>
        <w:spacing w:line="440" w:lineRule="exact"/>
        <w:ind w:firstLine="2692" w:firstLineChars="1282"/>
        <w:rPr>
          <w:color w:val="auto"/>
          <w:szCs w:val="24"/>
          <w:highlight w:val="none"/>
        </w:rPr>
      </w:pPr>
    </w:p>
    <w:p>
      <w:pPr>
        <w:spacing w:line="440" w:lineRule="exact"/>
        <w:ind w:firstLine="2692" w:firstLineChars="1282"/>
        <w:rPr>
          <w:color w:val="auto"/>
          <w:szCs w:val="24"/>
          <w:highlight w:val="none"/>
        </w:rPr>
      </w:pPr>
      <w:r>
        <w:rPr>
          <w:rFonts w:hint="eastAsia"/>
          <w:color w:val="auto"/>
          <w:szCs w:val="24"/>
          <w:highlight w:val="none"/>
        </w:rPr>
        <w:t>身份证号码：</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spacing w:line="440" w:lineRule="exact"/>
        <w:ind w:firstLine="2692" w:firstLineChars="1282"/>
        <w:rPr>
          <w:color w:val="auto"/>
          <w:szCs w:val="24"/>
          <w:highlight w:val="none"/>
        </w:rPr>
      </w:pPr>
    </w:p>
    <w:p>
      <w:pPr>
        <w:ind w:firstLine="2940" w:firstLineChars="1400"/>
        <w:rPr>
          <w:color w:val="auto"/>
          <w:szCs w:val="24"/>
          <w:highlight w:val="none"/>
        </w:rPr>
      </w:pPr>
      <w:r>
        <w:rPr>
          <w:color w:val="auto"/>
          <w:szCs w:val="24"/>
          <w:highlight w:val="none"/>
          <w:u w:val="single"/>
        </w:rPr>
        <w:t xml:space="preserve">       </w:t>
      </w:r>
      <w:r>
        <w:rPr>
          <w:rFonts w:hint="eastAsia"/>
          <w:color w:val="auto"/>
          <w:szCs w:val="24"/>
          <w:highlight w:val="none"/>
        </w:rPr>
        <w:t>年</w:t>
      </w:r>
      <w:r>
        <w:rPr>
          <w:color w:val="auto"/>
          <w:szCs w:val="24"/>
          <w:highlight w:val="none"/>
          <w:u w:val="single"/>
        </w:rPr>
        <w:t xml:space="preserve">       </w:t>
      </w:r>
      <w:r>
        <w:rPr>
          <w:rFonts w:hint="eastAsia"/>
          <w:color w:val="auto"/>
          <w:szCs w:val="24"/>
          <w:highlight w:val="none"/>
        </w:rPr>
        <w:t>月</w:t>
      </w:r>
      <w:r>
        <w:rPr>
          <w:color w:val="auto"/>
          <w:szCs w:val="24"/>
          <w:highlight w:val="none"/>
          <w:u w:val="single"/>
        </w:rPr>
        <w:t xml:space="preserve">       </w:t>
      </w:r>
      <w:r>
        <w:rPr>
          <w:rFonts w:hint="eastAsia"/>
          <w:color w:val="auto"/>
          <w:szCs w:val="24"/>
          <w:highlight w:val="none"/>
        </w:rPr>
        <w:t>日</w:t>
      </w:r>
    </w:p>
    <w:p>
      <w:pPr>
        <w:ind w:firstLine="2940" w:firstLineChars="1400"/>
        <w:rPr>
          <w:color w:val="auto"/>
          <w:szCs w:val="24"/>
          <w:highlight w:val="none"/>
        </w:rPr>
      </w:pPr>
    </w:p>
    <w:p>
      <w:pPr>
        <w:ind w:firstLine="2940" w:firstLineChars="1400"/>
        <w:rPr>
          <w:color w:val="auto"/>
          <w:szCs w:val="24"/>
          <w:highlight w:val="none"/>
        </w:rPr>
      </w:pPr>
    </w:p>
    <w:p>
      <w:pPr>
        <w:ind w:firstLine="2940" w:firstLineChars="1400"/>
        <w:rPr>
          <w:color w:val="auto"/>
          <w:szCs w:val="24"/>
          <w:highlight w:val="none"/>
        </w:rPr>
      </w:pPr>
    </w:p>
    <w:p>
      <w:pPr>
        <w:ind w:firstLine="2940" w:firstLineChars="1400"/>
        <w:rPr>
          <w:color w:val="auto"/>
          <w:szCs w:val="24"/>
          <w:highlight w:val="none"/>
        </w:rPr>
      </w:pPr>
    </w:p>
    <w:p>
      <w:pPr>
        <w:ind w:firstLine="2940" w:firstLineChars="1400"/>
        <w:rPr>
          <w:color w:val="auto"/>
          <w:szCs w:val="24"/>
          <w:highlight w:val="none"/>
        </w:rPr>
      </w:pPr>
    </w:p>
    <w:p>
      <w:pPr>
        <w:ind w:firstLine="2940" w:firstLineChars="1400"/>
        <w:rPr>
          <w:color w:val="auto"/>
          <w:szCs w:val="24"/>
          <w:highlight w:val="none"/>
        </w:rPr>
      </w:pPr>
    </w:p>
    <w:p>
      <w:pPr>
        <w:ind w:firstLine="2940" w:firstLineChars="1400"/>
        <w:rPr>
          <w:color w:val="auto"/>
          <w:szCs w:val="24"/>
          <w:highlight w:val="none"/>
        </w:rPr>
      </w:pPr>
    </w:p>
    <w:p>
      <w:pPr>
        <w:ind w:firstLine="2940" w:firstLineChars="1400"/>
        <w:rPr>
          <w:color w:val="auto"/>
          <w:szCs w:val="24"/>
          <w:highlight w:val="none"/>
        </w:rPr>
      </w:pPr>
    </w:p>
    <w:p>
      <w:pPr>
        <w:keepNext/>
        <w:keepLines/>
        <w:adjustRightInd w:val="0"/>
        <w:spacing w:before="240" w:after="120"/>
        <w:textAlignment w:val="baseline"/>
        <w:outlineLvl w:val="1"/>
        <w:rPr>
          <w:rFonts w:ascii="宋体" w:hAnsi="宋体" w:eastAsia="黑体"/>
          <w:color w:val="auto"/>
          <w:kern w:val="0"/>
          <w:sz w:val="24"/>
          <w:szCs w:val="20"/>
          <w:highlight w:val="none"/>
        </w:rPr>
      </w:pPr>
      <w:bookmarkStart w:id="1619" w:name="_Toc170804669"/>
      <w:bookmarkStart w:id="1620" w:name="_Toc20598"/>
      <w:bookmarkStart w:id="1621" w:name="_Toc18888"/>
      <w:bookmarkStart w:id="1622" w:name="_Toc23483"/>
      <w:bookmarkStart w:id="1623" w:name="_Toc1893974698"/>
      <w:bookmarkStart w:id="1624" w:name="_Toc23085"/>
      <w:bookmarkStart w:id="1625" w:name="_Toc12893"/>
      <w:bookmarkStart w:id="1626" w:name="_Toc4967"/>
      <w:bookmarkStart w:id="1627" w:name="_Toc18518"/>
      <w:bookmarkStart w:id="1628" w:name="_Toc19081"/>
      <w:bookmarkStart w:id="1629" w:name="_Toc29464"/>
      <w:r>
        <w:rPr>
          <w:rFonts w:ascii="宋体" w:hAnsi="宋体" w:eastAsia="黑体"/>
          <w:color w:val="auto"/>
          <w:kern w:val="0"/>
          <w:sz w:val="24"/>
          <w:szCs w:val="20"/>
          <w:highlight w:val="none"/>
        </w:rPr>
        <w:t>4</w:t>
      </w:r>
      <w:r>
        <w:rPr>
          <w:rFonts w:hint="eastAsia" w:ascii="宋体" w:hAnsi="宋体" w:eastAsia="黑体"/>
          <w:color w:val="auto"/>
          <w:kern w:val="0"/>
          <w:sz w:val="24"/>
          <w:szCs w:val="20"/>
          <w:highlight w:val="none"/>
        </w:rPr>
        <w:t>.廉洁承诺书</w:t>
      </w:r>
      <w:bookmarkEnd w:id="1619"/>
      <w:bookmarkEnd w:id="1620"/>
      <w:bookmarkEnd w:id="1621"/>
      <w:bookmarkEnd w:id="1622"/>
      <w:bookmarkEnd w:id="1623"/>
      <w:bookmarkEnd w:id="1624"/>
      <w:bookmarkEnd w:id="1625"/>
      <w:bookmarkEnd w:id="1626"/>
      <w:bookmarkEnd w:id="1627"/>
      <w:bookmarkEnd w:id="1628"/>
      <w:bookmarkEnd w:id="1629"/>
    </w:p>
    <w:p>
      <w:pPr>
        <w:ind w:firstLine="3380" w:firstLineChars="650"/>
        <w:rPr>
          <w:color w:val="auto"/>
          <w:sz w:val="28"/>
          <w:szCs w:val="28"/>
          <w:highlight w:val="none"/>
        </w:rPr>
      </w:pPr>
      <w:r>
        <w:rPr>
          <w:rFonts w:hint="eastAsia"/>
          <w:color w:val="auto"/>
          <w:sz w:val="52"/>
          <w:szCs w:val="52"/>
          <w:highlight w:val="none"/>
        </w:rPr>
        <w:t>廉洁承诺书</w:t>
      </w:r>
    </w:p>
    <w:p>
      <w:pPr>
        <w:tabs>
          <w:tab w:val="left" w:pos="7027"/>
        </w:tabs>
        <w:snapToGrid w:val="0"/>
        <w:spacing w:line="440" w:lineRule="exact"/>
        <w:jc w:val="left"/>
        <w:rPr>
          <w:color w:val="auto"/>
          <w:sz w:val="28"/>
          <w:szCs w:val="28"/>
          <w:highlight w:val="none"/>
        </w:rPr>
      </w:pPr>
      <w:r>
        <w:rPr>
          <w:rFonts w:hint="eastAsia"/>
          <w:color w:val="auto"/>
          <w:sz w:val="28"/>
          <w:szCs w:val="28"/>
          <w:highlight w:val="none"/>
        </w:rPr>
        <w:t>东莞市轨道一号线建设发展有限公司：</w:t>
      </w:r>
    </w:p>
    <w:p>
      <w:pPr>
        <w:tabs>
          <w:tab w:val="left" w:pos="7027"/>
        </w:tabs>
        <w:snapToGrid w:val="0"/>
        <w:spacing w:line="440" w:lineRule="exact"/>
        <w:ind w:left="171" w:firstLine="567"/>
        <w:rPr>
          <w:color w:val="auto"/>
          <w:sz w:val="28"/>
          <w:szCs w:val="28"/>
          <w:highlight w:val="none"/>
        </w:rPr>
      </w:pPr>
    </w:p>
    <w:p>
      <w:pPr>
        <w:tabs>
          <w:tab w:val="left" w:pos="7027"/>
        </w:tabs>
        <w:snapToGrid w:val="0"/>
        <w:spacing w:line="440" w:lineRule="exact"/>
        <w:ind w:left="171" w:firstLine="567"/>
        <w:rPr>
          <w:color w:val="auto"/>
          <w:sz w:val="28"/>
          <w:szCs w:val="28"/>
          <w:highlight w:val="none"/>
        </w:rPr>
      </w:pPr>
      <w:r>
        <w:rPr>
          <w:rFonts w:hint="eastAsia"/>
          <w:color w:val="auto"/>
          <w:sz w:val="28"/>
          <w:szCs w:val="28"/>
          <w:highlight w:val="none"/>
        </w:rPr>
        <w:t>本公司就参加贵司＿＿＿＿＿＿＿＿＿＿＿＿＿投标工作，郑重作出如下承诺：</w:t>
      </w:r>
    </w:p>
    <w:p>
      <w:pPr>
        <w:tabs>
          <w:tab w:val="left" w:pos="7027"/>
        </w:tabs>
        <w:snapToGrid w:val="0"/>
        <w:spacing w:line="440" w:lineRule="exact"/>
        <w:ind w:left="171" w:firstLine="567"/>
        <w:rPr>
          <w:color w:val="auto"/>
          <w:sz w:val="28"/>
          <w:szCs w:val="28"/>
          <w:highlight w:val="none"/>
        </w:rPr>
      </w:pPr>
      <w:r>
        <w:rPr>
          <w:rFonts w:hint="eastAsia"/>
          <w:color w:val="auto"/>
          <w:sz w:val="28"/>
          <w:szCs w:val="28"/>
          <w:highlight w:val="none"/>
        </w:rPr>
        <w:t>我公司已经充分阅读并清楚理解招标要求，我公司参加投标所提供的所有材料均是真实、合法、有效的。我公司保证不出现串通投标的情形，不出让投标资格，不向招标人工作人员及其亲属和其他特定关系人、评标（评审）委员会成员及其亲属和其他特定关系人行贿或赠送礼品、礼金、消费卡和有价证券、股权、其他金融产品等财物，同时不出现任何其他不廉洁行为。如未履行上述承诺，我公司愿接受没收投标保证金及</w:t>
      </w:r>
      <w:r>
        <w:rPr>
          <w:color w:val="auto"/>
          <w:sz w:val="28"/>
          <w:szCs w:val="28"/>
          <w:highlight w:val="none"/>
        </w:rPr>
        <w:t>6</w:t>
      </w:r>
      <w:r>
        <w:rPr>
          <w:rFonts w:hint="eastAsia"/>
          <w:color w:val="auto"/>
          <w:sz w:val="28"/>
          <w:szCs w:val="28"/>
          <w:highlight w:val="none"/>
        </w:rPr>
        <w:t>个月至</w:t>
      </w:r>
      <w:r>
        <w:rPr>
          <w:color w:val="auto"/>
          <w:sz w:val="28"/>
          <w:szCs w:val="28"/>
          <w:highlight w:val="none"/>
        </w:rPr>
        <w:t>2</w:t>
      </w:r>
      <w:r>
        <w:rPr>
          <w:rFonts w:hint="eastAsia"/>
          <w:color w:val="auto"/>
          <w:sz w:val="28"/>
          <w:szCs w:val="28"/>
          <w:highlight w:val="none"/>
        </w:rPr>
        <w:t>年内不得参与贵公司管辖工程项目的投标、中标（中选）无效等处罚，并愿意承担由此带来的法律后果；如果中标（中选），我公司愿意与贵司签署并严格执行《廉洁协议》。</w:t>
      </w:r>
    </w:p>
    <w:p>
      <w:pPr>
        <w:tabs>
          <w:tab w:val="left" w:pos="7027"/>
        </w:tabs>
        <w:snapToGrid w:val="0"/>
        <w:spacing w:line="440" w:lineRule="exact"/>
        <w:ind w:left="171" w:firstLine="567"/>
        <w:rPr>
          <w:color w:val="auto"/>
          <w:sz w:val="28"/>
          <w:szCs w:val="28"/>
          <w:highlight w:val="none"/>
        </w:rPr>
      </w:pPr>
      <w:r>
        <w:rPr>
          <w:rFonts w:hint="eastAsia"/>
          <w:color w:val="auto"/>
          <w:sz w:val="28"/>
          <w:szCs w:val="28"/>
          <w:highlight w:val="none"/>
        </w:rPr>
        <w:t>特此承诺！</w:t>
      </w:r>
    </w:p>
    <w:p>
      <w:pPr>
        <w:tabs>
          <w:tab w:val="left" w:pos="7027"/>
        </w:tabs>
        <w:snapToGrid w:val="0"/>
        <w:spacing w:line="440" w:lineRule="exact"/>
        <w:ind w:left="171" w:firstLine="567"/>
        <w:rPr>
          <w:color w:val="auto"/>
          <w:sz w:val="28"/>
          <w:szCs w:val="28"/>
          <w:highlight w:val="none"/>
        </w:rPr>
      </w:pPr>
    </w:p>
    <w:p>
      <w:pPr>
        <w:rPr>
          <w:color w:val="auto"/>
          <w:sz w:val="28"/>
          <w:szCs w:val="28"/>
          <w:highlight w:val="none"/>
        </w:rPr>
      </w:pPr>
      <w:r>
        <w:rPr>
          <w:rFonts w:hint="eastAsia"/>
          <w:color w:val="auto"/>
          <w:sz w:val="28"/>
          <w:szCs w:val="28"/>
          <w:highlight w:val="none"/>
        </w:rPr>
        <w:t>承诺企业（盖章）：</w:t>
      </w:r>
    </w:p>
    <w:p>
      <w:pPr>
        <w:rPr>
          <w:color w:val="auto"/>
          <w:sz w:val="28"/>
          <w:szCs w:val="28"/>
          <w:highlight w:val="none"/>
        </w:rPr>
      </w:pPr>
      <w:r>
        <w:rPr>
          <w:rFonts w:hint="eastAsia"/>
          <w:color w:val="auto"/>
          <w:sz w:val="28"/>
          <w:szCs w:val="28"/>
          <w:highlight w:val="none"/>
        </w:rPr>
        <w:t>地址：</w:t>
      </w:r>
    </w:p>
    <w:p>
      <w:pPr>
        <w:rPr>
          <w:color w:val="auto"/>
          <w:sz w:val="28"/>
          <w:szCs w:val="28"/>
          <w:highlight w:val="none"/>
        </w:rPr>
      </w:pPr>
      <w:r>
        <w:rPr>
          <w:rFonts w:hint="eastAsia"/>
          <w:color w:val="auto"/>
          <w:sz w:val="28"/>
          <w:szCs w:val="28"/>
          <w:highlight w:val="none"/>
        </w:rPr>
        <w:t>法定代表人签字：</w:t>
      </w:r>
    </w:p>
    <w:p>
      <w:pPr>
        <w:rPr>
          <w:color w:val="auto"/>
          <w:sz w:val="28"/>
          <w:szCs w:val="28"/>
          <w:highlight w:val="none"/>
        </w:rPr>
      </w:pPr>
      <w:r>
        <w:rPr>
          <w:rFonts w:hint="eastAsia"/>
          <w:color w:val="auto"/>
          <w:sz w:val="28"/>
          <w:szCs w:val="28"/>
          <w:highlight w:val="none"/>
        </w:rPr>
        <w:t>（或）授权代表人签字：</w:t>
      </w:r>
    </w:p>
    <w:p>
      <w:pPr>
        <w:rPr>
          <w:color w:val="auto"/>
          <w:sz w:val="28"/>
          <w:szCs w:val="28"/>
          <w:highlight w:val="none"/>
        </w:rPr>
      </w:pPr>
      <w:r>
        <w:rPr>
          <w:rFonts w:hint="eastAsia"/>
          <w:color w:val="auto"/>
          <w:sz w:val="28"/>
          <w:szCs w:val="28"/>
          <w:highlight w:val="none"/>
        </w:rPr>
        <w:t>日期：</w:t>
      </w:r>
      <w:r>
        <w:rPr>
          <w:color w:val="auto"/>
          <w:sz w:val="28"/>
          <w:szCs w:val="28"/>
          <w:highlight w:val="none"/>
        </w:rPr>
        <w:t xml:space="preserve">  </w:t>
      </w:r>
      <w:r>
        <w:rPr>
          <w:rFonts w:hint="eastAsia"/>
          <w:color w:val="auto"/>
          <w:sz w:val="28"/>
          <w:szCs w:val="28"/>
          <w:highlight w:val="none"/>
        </w:rPr>
        <w:t>年</w:t>
      </w:r>
      <w:r>
        <w:rPr>
          <w:color w:val="auto"/>
          <w:sz w:val="28"/>
          <w:szCs w:val="28"/>
          <w:highlight w:val="none"/>
        </w:rPr>
        <w:t xml:space="preserve">  </w:t>
      </w:r>
      <w:r>
        <w:rPr>
          <w:rFonts w:hint="eastAsia"/>
          <w:color w:val="auto"/>
          <w:sz w:val="28"/>
          <w:szCs w:val="28"/>
          <w:highlight w:val="none"/>
        </w:rPr>
        <w:t>月</w:t>
      </w:r>
      <w:r>
        <w:rPr>
          <w:color w:val="auto"/>
          <w:sz w:val="28"/>
          <w:szCs w:val="28"/>
          <w:highlight w:val="none"/>
        </w:rPr>
        <w:t xml:space="preserve">   </w:t>
      </w:r>
      <w:r>
        <w:rPr>
          <w:rFonts w:hint="eastAsia"/>
          <w:color w:val="auto"/>
          <w:sz w:val="28"/>
          <w:szCs w:val="28"/>
          <w:highlight w:val="none"/>
        </w:rPr>
        <w:t>日</w:t>
      </w:r>
      <w:r>
        <w:rPr>
          <w:color w:val="auto"/>
          <w:sz w:val="28"/>
          <w:szCs w:val="28"/>
          <w:highlight w:val="none"/>
        </w:rPr>
        <w:t xml:space="preserve"> </w:t>
      </w:r>
    </w:p>
    <w:p>
      <w:pPr>
        <w:numPr>
          <w:ilvl w:val="255"/>
          <w:numId w:val="0"/>
        </w:numPr>
        <w:rPr>
          <w:rFonts w:ascii="宋体" w:hAnsi="宋体" w:eastAsia="黑体"/>
          <w:color w:val="auto"/>
          <w:kern w:val="0"/>
          <w:sz w:val="24"/>
          <w:szCs w:val="20"/>
          <w:highlight w:val="none"/>
        </w:rPr>
      </w:pPr>
      <w:bookmarkStart w:id="1630" w:name="_Toc170804670"/>
      <w:r>
        <w:rPr>
          <w:rFonts w:hint="eastAsia" w:ascii="宋体" w:hAnsi="宋体" w:eastAsia="黑体"/>
          <w:color w:val="auto"/>
          <w:kern w:val="0"/>
          <w:sz w:val="24"/>
          <w:szCs w:val="20"/>
          <w:highlight w:val="none"/>
        </w:rPr>
        <w:br w:type="page"/>
      </w:r>
    </w:p>
    <w:p>
      <w:pPr>
        <w:keepNext/>
        <w:keepLines/>
        <w:adjustRightInd w:val="0"/>
        <w:spacing w:before="240" w:after="120"/>
        <w:textAlignment w:val="baseline"/>
        <w:outlineLvl w:val="1"/>
        <w:rPr>
          <w:rFonts w:ascii="宋体" w:hAnsi="宋体" w:eastAsia="黑体"/>
          <w:color w:val="auto"/>
          <w:kern w:val="0"/>
          <w:sz w:val="24"/>
          <w:szCs w:val="20"/>
          <w:highlight w:val="none"/>
        </w:rPr>
      </w:pPr>
      <w:bookmarkStart w:id="1631" w:name="_Toc23796"/>
      <w:bookmarkStart w:id="1632" w:name="_Toc16548"/>
      <w:bookmarkStart w:id="1633" w:name="_Toc3931"/>
      <w:bookmarkStart w:id="1634" w:name="_Toc28243"/>
      <w:bookmarkStart w:id="1635" w:name="_Toc7993"/>
      <w:bookmarkStart w:id="1636" w:name="_Toc30194"/>
      <w:bookmarkStart w:id="1637" w:name="_Toc7569"/>
      <w:bookmarkStart w:id="1638" w:name="_Toc9057"/>
      <w:bookmarkStart w:id="1639" w:name="_Toc14767"/>
      <w:bookmarkStart w:id="1640" w:name="_Toc2030133452"/>
      <w:r>
        <w:rPr>
          <w:rFonts w:hint="eastAsia" w:ascii="宋体" w:hAnsi="宋体" w:eastAsia="黑体"/>
          <w:color w:val="auto"/>
          <w:kern w:val="0"/>
          <w:sz w:val="24"/>
          <w:szCs w:val="20"/>
          <w:highlight w:val="none"/>
        </w:rPr>
        <w:t>5</w:t>
      </w:r>
      <w:r>
        <w:rPr>
          <w:rFonts w:ascii="宋体" w:hAnsi="宋体" w:eastAsia="黑体"/>
          <w:color w:val="auto"/>
          <w:kern w:val="0"/>
          <w:sz w:val="24"/>
          <w:szCs w:val="20"/>
          <w:highlight w:val="none"/>
        </w:rPr>
        <w:t>.</w:t>
      </w:r>
      <w:r>
        <w:rPr>
          <w:rFonts w:hint="eastAsia" w:ascii="宋体" w:hAnsi="宋体" w:eastAsia="黑体"/>
          <w:color w:val="auto"/>
          <w:kern w:val="0"/>
          <w:sz w:val="24"/>
          <w:szCs w:val="20"/>
          <w:highlight w:val="none"/>
        </w:rPr>
        <w:t>监测单位组织机构表</w:t>
      </w:r>
      <w:bookmarkEnd w:id="1630"/>
      <w:bookmarkEnd w:id="1631"/>
      <w:bookmarkEnd w:id="1632"/>
      <w:bookmarkEnd w:id="1633"/>
      <w:bookmarkEnd w:id="1634"/>
      <w:bookmarkEnd w:id="1635"/>
      <w:bookmarkEnd w:id="1636"/>
      <w:bookmarkEnd w:id="1637"/>
      <w:bookmarkEnd w:id="1638"/>
      <w:bookmarkEnd w:id="1639"/>
      <w:bookmarkEnd w:id="1640"/>
    </w:p>
    <w:p>
      <w:pPr>
        <w:spacing w:line="600" w:lineRule="exact"/>
        <w:jc w:val="center"/>
        <w:rPr>
          <w:rFonts w:ascii="宋体" w:hAnsi="宋体"/>
          <w:color w:val="auto"/>
          <w:spacing w:val="20"/>
          <w:szCs w:val="24"/>
          <w:highlight w:val="none"/>
        </w:rPr>
      </w:pPr>
      <w:r>
        <w:rPr>
          <w:rFonts w:hint="eastAsia" w:ascii="宋体" w:hAnsi="宋体"/>
          <w:color w:val="auto"/>
          <w:spacing w:val="20"/>
          <w:szCs w:val="24"/>
          <w:highlight w:val="none"/>
        </w:rPr>
        <w:t>监测单位组织机构表</w:t>
      </w:r>
    </w:p>
    <w:tbl>
      <w:tblPr>
        <w:tblStyle w:val="41"/>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3110"/>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jc w:val="center"/>
              <w:rPr>
                <w:rFonts w:hint="default" w:ascii="宋体" w:hAnsi="宋体"/>
                <w:color w:val="auto"/>
                <w:spacing w:val="20"/>
                <w:szCs w:val="24"/>
                <w:highlight w:val="none"/>
              </w:rPr>
            </w:pPr>
            <w:r>
              <w:rPr>
                <w:rFonts w:hint="default" w:ascii="宋体" w:hAnsi="宋体"/>
                <w:color w:val="auto"/>
                <w:spacing w:val="20"/>
                <w:szCs w:val="24"/>
                <w:highlight w:val="none"/>
              </w:rPr>
              <w:t xml:space="preserve">1、简    </w:t>
            </w:r>
            <w:r>
              <w:rPr>
                <w:rFonts w:hint="eastAsia" w:ascii="宋体" w:hAnsi="宋体"/>
                <w:color w:val="auto"/>
                <w:spacing w:val="20"/>
                <w:szCs w:val="24"/>
                <w:highlight w:val="none"/>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宋体" w:hAnsi="宋体"/>
                <w:color w:val="auto"/>
                <w:spacing w:val="20"/>
                <w:szCs w:val="24"/>
                <w:highlight w:val="none"/>
              </w:rPr>
            </w:pPr>
            <w:r>
              <w:rPr>
                <w:rFonts w:hint="eastAsia" w:ascii="宋体" w:hAnsi="宋体"/>
                <w:color w:val="auto"/>
                <w:spacing w:val="20"/>
                <w:szCs w:val="24"/>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宋体" w:hAnsi="宋体"/>
                <w:color w:val="auto"/>
                <w:spacing w:val="20"/>
                <w:szCs w:val="24"/>
                <w:highlight w:val="none"/>
              </w:rPr>
            </w:pPr>
            <w:r>
              <w:rPr>
                <w:rFonts w:hint="eastAsia" w:ascii="宋体" w:hAnsi="宋体"/>
                <w:color w:val="auto"/>
                <w:spacing w:val="20"/>
                <w:szCs w:val="24"/>
                <w:highlight w:val="none"/>
              </w:rPr>
              <w:t>上级管理单位名称：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宋体" w:hAnsi="宋体"/>
                <w:color w:val="auto"/>
                <w:spacing w:val="20"/>
                <w:szCs w:val="24"/>
                <w:highlight w:val="none"/>
              </w:rPr>
            </w:pPr>
            <w:r>
              <w:rPr>
                <w:rFonts w:hint="eastAsia" w:ascii="宋体" w:hAnsi="宋体"/>
                <w:color w:val="auto"/>
                <w:spacing w:val="20"/>
                <w:szCs w:val="24"/>
                <w:highlight w:val="none"/>
              </w:rPr>
              <w:t>成立日期：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宋体" w:hAnsi="宋体"/>
                <w:color w:val="auto"/>
                <w:spacing w:val="20"/>
                <w:szCs w:val="24"/>
                <w:highlight w:val="none"/>
              </w:rPr>
            </w:pPr>
            <w:r>
              <w:rPr>
                <w:rFonts w:hint="eastAsia" w:ascii="宋体" w:hAnsi="宋体"/>
                <w:color w:val="auto"/>
                <w:spacing w:val="20"/>
                <w:szCs w:val="24"/>
                <w:highlight w:val="none"/>
              </w:rPr>
              <w:t>本届领导班子起始日期：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jc w:val="center"/>
              <w:rPr>
                <w:rFonts w:hint="default" w:ascii="宋体" w:hAnsi="宋体"/>
                <w:color w:val="auto"/>
                <w:spacing w:val="20"/>
                <w:szCs w:val="24"/>
                <w:highlight w:val="none"/>
              </w:rPr>
            </w:pPr>
            <w:r>
              <w:rPr>
                <w:rFonts w:hint="default" w:ascii="宋体" w:hAnsi="宋体"/>
                <w:color w:val="auto"/>
                <w:spacing w:val="20"/>
                <w:szCs w:val="24"/>
                <w:highlight w:val="none"/>
              </w:rPr>
              <w:t>2、领导层名单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jc w:val="center"/>
              <w:rPr>
                <w:rFonts w:hint="default" w:ascii="宋体" w:hAnsi="宋体"/>
                <w:color w:val="auto"/>
                <w:spacing w:val="20"/>
                <w:szCs w:val="24"/>
                <w:highlight w:val="none"/>
              </w:rPr>
            </w:pPr>
            <w:r>
              <w:rPr>
                <w:rFonts w:hint="eastAsia" w:ascii="宋体" w:hAnsi="宋体"/>
                <w:color w:val="auto"/>
                <w:spacing w:val="20"/>
                <w:szCs w:val="24"/>
                <w:highlight w:val="none"/>
              </w:rPr>
              <w:t>姓</w:t>
            </w:r>
            <w:r>
              <w:rPr>
                <w:rFonts w:hint="default" w:ascii="宋体" w:hAnsi="宋体"/>
                <w:color w:val="auto"/>
                <w:spacing w:val="20"/>
                <w:szCs w:val="24"/>
                <w:highlight w:val="none"/>
              </w:rPr>
              <w:t xml:space="preserve">    </w:t>
            </w:r>
            <w:r>
              <w:rPr>
                <w:rFonts w:hint="eastAsia" w:ascii="宋体" w:hAnsi="宋体"/>
                <w:color w:val="auto"/>
                <w:spacing w:val="20"/>
                <w:szCs w:val="24"/>
                <w:highlight w:val="none"/>
              </w:rPr>
              <w:t>名</w:t>
            </w:r>
          </w:p>
        </w:tc>
        <w:tc>
          <w:tcPr>
            <w:tcW w:w="3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jc w:val="center"/>
              <w:rPr>
                <w:rFonts w:hint="default" w:ascii="宋体" w:hAnsi="宋体"/>
                <w:color w:val="auto"/>
                <w:spacing w:val="20"/>
                <w:szCs w:val="24"/>
                <w:highlight w:val="none"/>
              </w:rPr>
            </w:pPr>
            <w:r>
              <w:rPr>
                <w:rFonts w:hint="eastAsia" w:ascii="宋体" w:hAnsi="宋体"/>
                <w:color w:val="auto"/>
                <w:spacing w:val="20"/>
                <w:szCs w:val="24"/>
                <w:highlight w:val="none"/>
              </w:rPr>
              <w:t>职</w:t>
            </w:r>
            <w:r>
              <w:rPr>
                <w:rFonts w:hint="default" w:ascii="宋体" w:hAnsi="宋体"/>
                <w:color w:val="auto"/>
                <w:spacing w:val="20"/>
                <w:szCs w:val="24"/>
                <w:highlight w:val="none"/>
              </w:rPr>
              <w:t xml:space="preserve">    </w:t>
            </w:r>
            <w:r>
              <w:rPr>
                <w:rFonts w:hint="eastAsia" w:ascii="宋体" w:hAnsi="宋体"/>
                <w:color w:val="auto"/>
                <w:spacing w:val="20"/>
                <w:szCs w:val="24"/>
                <w:highlight w:val="none"/>
              </w:rPr>
              <w:t>务</w:t>
            </w:r>
          </w:p>
        </w:tc>
        <w:tc>
          <w:tcPr>
            <w:tcW w:w="238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jc w:val="center"/>
              <w:rPr>
                <w:rFonts w:hint="default" w:ascii="宋体" w:hAnsi="宋体"/>
                <w:color w:val="auto"/>
                <w:spacing w:val="20"/>
                <w:szCs w:val="24"/>
                <w:highlight w:val="none"/>
              </w:rPr>
            </w:pPr>
            <w:r>
              <w:rPr>
                <w:rFonts w:hint="eastAsia" w:ascii="宋体" w:hAnsi="宋体"/>
                <w:color w:val="auto"/>
                <w:spacing w:val="20"/>
                <w:szCs w:val="24"/>
                <w:highlight w:val="none"/>
              </w:rPr>
              <w:t>职</w:t>
            </w:r>
            <w:r>
              <w:rPr>
                <w:rFonts w:hint="default" w:ascii="宋体" w:hAnsi="宋体"/>
                <w:color w:val="auto"/>
                <w:spacing w:val="20"/>
                <w:szCs w:val="24"/>
                <w:highlight w:val="none"/>
              </w:rPr>
              <w:t xml:space="preserve">    </w:t>
            </w:r>
            <w:r>
              <w:rPr>
                <w:rFonts w:hint="eastAsia" w:ascii="宋体" w:hAnsi="宋体"/>
                <w:color w:val="auto"/>
                <w:spacing w:val="20"/>
                <w:szCs w:val="24"/>
                <w:highlight w:val="none"/>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宋体" w:hAnsi="宋体"/>
                <w:color w:val="auto"/>
                <w:spacing w:val="20"/>
                <w:szCs w:val="24"/>
                <w:highlight w:val="none"/>
              </w:rPr>
            </w:pPr>
          </w:p>
        </w:tc>
        <w:tc>
          <w:tcPr>
            <w:tcW w:w="3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宋体" w:hAnsi="宋体"/>
                <w:color w:val="auto"/>
                <w:spacing w:val="20"/>
                <w:szCs w:val="24"/>
                <w:highlight w:val="none"/>
              </w:rPr>
            </w:pPr>
          </w:p>
        </w:tc>
        <w:tc>
          <w:tcPr>
            <w:tcW w:w="238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宋体" w:hAnsi="宋体"/>
                <w:color w:val="auto"/>
                <w:spacing w:val="2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宋体" w:hAnsi="宋体"/>
                <w:color w:val="auto"/>
                <w:spacing w:val="20"/>
                <w:szCs w:val="24"/>
                <w:highlight w:val="none"/>
              </w:rPr>
            </w:pPr>
          </w:p>
        </w:tc>
        <w:tc>
          <w:tcPr>
            <w:tcW w:w="3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宋体" w:hAnsi="宋体"/>
                <w:color w:val="auto"/>
                <w:spacing w:val="20"/>
                <w:szCs w:val="24"/>
                <w:highlight w:val="none"/>
              </w:rPr>
            </w:pPr>
          </w:p>
        </w:tc>
        <w:tc>
          <w:tcPr>
            <w:tcW w:w="238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宋体" w:hAnsi="宋体"/>
                <w:color w:val="auto"/>
                <w:spacing w:val="2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宋体" w:hAnsi="宋体"/>
                <w:color w:val="auto"/>
                <w:spacing w:val="20"/>
                <w:szCs w:val="24"/>
                <w:highlight w:val="none"/>
              </w:rPr>
            </w:pPr>
          </w:p>
        </w:tc>
        <w:tc>
          <w:tcPr>
            <w:tcW w:w="3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宋体" w:hAnsi="宋体"/>
                <w:color w:val="auto"/>
                <w:spacing w:val="20"/>
                <w:szCs w:val="24"/>
                <w:highlight w:val="none"/>
              </w:rPr>
            </w:pPr>
          </w:p>
        </w:tc>
        <w:tc>
          <w:tcPr>
            <w:tcW w:w="238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宋体" w:hAnsi="宋体"/>
                <w:color w:val="auto"/>
                <w:spacing w:val="2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宋体" w:hAnsi="宋体"/>
                <w:color w:val="auto"/>
                <w:spacing w:val="20"/>
                <w:szCs w:val="24"/>
                <w:highlight w:val="none"/>
              </w:rPr>
            </w:pPr>
          </w:p>
        </w:tc>
        <w:tc>
          <w:tcPr>
            <w:tcW w:w="3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宋体" w:hAnsi="宋体"/>
                <w:color w:val="auto"/>
                <w:spacing w:val="20"/>
                <w:szCs w:val="24"/>
                <w:highlight w:val="none"/>
              </w:rPr>
            </w:pPr>
          </w:p>
        </w:tc>
        <w:tc>
          <w:tcPr>
            <w:tcW w:w="238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宋体" w:hAnsi="宋体"/>
                <w:color w:val="auto"/>
                <w:spacing w:val="2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宋体" w:hAnsi="宋体"/>
                <w:color w:val="auto"/>
                <w:spacing w:val="20"/>
                <w:szCs w:val="24"/>
                <w:highlight w:val="none"/>
              </w:rPr>
            </w:pPr>
          </w:p>
        </w:tc>
        <w:tc>
          <w:tcPr>
            <w:tcW w:w="3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宋体" w:hAnsi="宋体"/>
                <w:color w:val="auto"/>
                <w:spacing w:val="20"/>
                <w:szCs w:val="24"/>
                <w:highlight w:val="none"/>
              </w:rPr>
            </w:pPr>
          </w:p>
        </w:tc>
        <w:tc>
          <w:tcPr>
            <w:tcW w:w="238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宋体" w:hAnsi="宋体"/>
                <w:color w:val="auto"/>
                <w:spacing w:val="2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510" w:right="0"/>
              <w:jc w:val="center"/>
              <w:rPr>
                <w:rFonts w:hint="default" w:ascii="宋体" w:hAnsi="宋体"/>
                <w:color w:val="auto"/>
                <w:spacing w:val="20"/>
                <w:szCs w:val="24"/>
                <w:highlight w:val="none"/>
              </w:rPr>
            </w:pPr>
            <w:r>
              <w:rPr>
                <w:rFonts w:hint="default" w:ascii="宋体" w:hAnsi="宋体"/>
                <w:color w:val="auto"/>
                <w:spacing w:val="20"/>
                <w:szCs w:val="24"/>
                <w:highlight w:val="none"/>
              </w:rPr>
              <w:t>3、组织机构框图</w:t>
            </w:r>
          </w:p>
          <w:p>
            <w:pPr>
              <w:keepNext w:val="0"/>
              <w:keepLines w:val="0"/>
              <w:suppressLineNumbers w:val="0"/>
              <w:spacing w:before="0" w:beforeAutospacing="0" w:after="0" w:afterAutospacing="0" w:line="600" w:lineRule="exact"/>
              <w:ind w:left="0" w:right="0" w:firstLine="750"/>
              <w:rPr>
                <w:rFonts w:hint="default" w:ascii="宋体" w:hAnsi="宋体"/>
                <w:color w:val="auto"/>
                <w:spacing w:val="20"/>
                <w:szCs w:val="24"/>
                <w:highlight w:val="none"/>
              </w:rPr>
            </w:pPr>
            <w:r>
              <w:rPr>
                <w:rFonts w:hint="eastAsia" w:ascii="宋体" w:hAnsi="宋体"/>
                <w:color w:val="auto"/>
                <w:spacing w:val="20"/>
                <w:szCs w:val="24"/>
                <w:highlight w:val="none"/>
              </w:rPr>
              <w:t>以框图的形式表示出组织机构、负责人及各职能部门。</w:t>
            </w:r>
          </w:p>
          <w:p>
            <w:pPr>
              <w:keepNext w:val="0"/>
              <w:keepLines w:val="0"/>
              <w:suppressLineNumbers w:val="0"/>
              <w:spacing w:before="0" w:beforeAutospacing="0" w:after="0" w:afterAutospacing="0" w:line="600" w:lineRule="exact"/>
              <w:ind w:left="0" w:right="0"/>
              <w:rPr>
                <w:rFonts w:hint="default" w:ascii="宋体" w:hAnsi="宋体"/>
                <w:color w:val="auto"/>
                <w:spacing w:val="2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jc w:val="center"/>
              <w:rPr>
                <w:rFonts w:hint="default" w:ascii="宋体" w:hAnsi="宋体"/>
                <w:color w:val="auto"/>
                <w:spacing w:val="20"/>
                <w:szCs w:val="24"/>
                <w:highlight w:val="none"/>
              </w:rPr>
            </w:pPr>
            <w:r>
              <w:rPr>
                <w:rFonts w:hint="default" w:ascii="宋体" w:hAnsi="宋体"/>
                <w:color w:val="auto"/>
                <w:spacing w:val="20"/>
                <w:szCs w:val="24"/>
                <w:highlight w:val="none"/>
              </w:rPr>
              <w:t>4、</w:t>
            </w:r>
            <w:r>
              <w:rPr>
                <w:rFonts w:hint="eastAsia" w:ascii="宋体" w:hAnsi="宋体"/>
                <w:color w:val="auto"/>
                <w:spacing w:val="20"/>
                <w:szCs w:val="24"/>
                <w:highlight w:val="none"/>
              </w:rPr>
              <w:t>监</w:t>
            </w:r>
            <w:r>
              <w:rPr>
                <w:rFonts w:hint="default" w:ascii="宋体" w:hAnsi="宋体"/>
                <w:color w:val="auto"/>
                <w:spacing w:val="20"/>
                <w:szCs w:val="24"/>
                <w:highlight w:val="none"/>
              </w:rPr>
              <w:t>测单位概述（文字叙述）</w:t>
            </w:r>
          </w:p>
        </w:tc>
      </w:tr>
    </w:tbl>
    <w:p>
      <w:pPr>
        <w:rPr>
          <w:color w:val="auto"/>
          <w:szCs w:val="24"/>
          <w:highlight w:val="none"/>
        </w:rPr>
      </w:pPr>
    </w:p>
    <w:p>
      <w:pPr>
        <w:rPr>
          <w:color w:val="auto"/>
          <w:szCs w:val="24"/>
          <w:highlight w:val="none"/>
        </w:rPr>
      </w:pPr>
      <w:r>
        <w:rPr>
          <w:color w:val="auto"/>
          <w:szCs w:val="24"/>
          <w:highlight w:val="none"/>
        </w:rPr>
        <w:br w:type="page"/>
      </w:r>
    </w:p>
    <w:p>
      <w:pPr>
        <w:keepNext/>
        <w:keepLines/>
        <w:adjustRightInd w:val="0"/>
        <w:spacing w:before="240" w:after="120"/>
        <w:textAlignment w:val="baseline"/>
        <w:outlineLvl w:val="1"/>
        <w:rPr>
          <w:rFonts w:ascii="Arial" w:hAnsi="Arial" w:eastAsia="黑体"/>
          <w:color w:val="auto"/>
          <w:kern w:val="0"/>
          <w:sz w:val="28"/>
          <w:szCs w:val="28"/>
          <w:highlight w:val="none"/>
        </w:rPr>
      </w:pPr>
      <w:bookmarkStart w:id="1641" w:name="_Toc20034"/>
      <w:bookmarkStart w:id="1642" w:name="_Toc23114"/>
      <w:bookmarkStart w:id="1643" w:name="_Toc16410"/>
      <w:bookmarkStart w:id="1644" w:name="_Toc1232744228"/>
      <w:bookmarkStart w:id="1645" w:name="_Toc170804671"/>
      <w:bookmarkStart w:id="1646" w:name="_Toc21111"/>
      <w:bookmarkStart w:id="1647" w:name="_Toc3290"/>
      <w:bookmarkStart w:id="1648" w:name="_Toc27198"/>
      <w:bookmarkStart w:id="1649" w:name="_Toc18007"/>
      <w:bookmarkStart w:id="1650" w:name="_Toc14520"/>
      <w:bookmarkStart w:id="1651" w:name="_Toc17965"/>
      <w:r>
        <w:rPr>
          <w:rFonts w:hint="eastAsia" w:ascii="宋体" w:hAnsi="宋体" w:eastAsia="黑体"/>
          <w:color w:val="auto"/>
          <w:kern w:val="0"/>
          <w:sz w:val="28"/>
          <w:szCs w:val="28"/>
          <w:highlight w:val="none"/>
        </w:rPr>
        <w:t>6</w:t>
      </w:r>
      <w:r>
        <w:rPr>
          <w:rFonts w:ascii="宋体" w:hAnsi="宋体" w:eastAsia="黑体"/>
          <w:color w:val="auto"/>
          <w:kern w:val="0"/>
          <w:sz w:val="28"/>
          <w:szCs w:val="28"/>
          <w:highlight w:val="none"/>
        </w:rPr>
        <w:t>.</w:t>
      </w:r>
      <w:r>
        <w:rPr>
          <w:rFonts w:hint="eastAsia" w:ascii="宋体" w:hAnsi="宋体" w:eastAsia="黑体"/>
          <w:color w:val="auto"/>
          <w:kern w:val="0"/>
          <w:sz w:val="28"/>
          <w:szCs w:val="28"/>
          <w:highlight w:val="none"/>
        </w:rPr>
        <w:t>工程量清单</w:t>
      </w:r>
      <w:bookmarkEnd w:id="1641"/>
      <w:bookmarkEnd w:id="1642"/>
      <w:bookmarkEnd w:id="1643"/>
      <w:bookmarkEnd w:id="1644"/>
      <w:bookmarkEnd w:id="1645"/>
      <w:bookmarkEnd w:id="1646"/>
      <w:bookmarkEnd w:id="1647"/>
      <w:bookmarkEnd w:id="1648"/>
      <w:bookmarkEnd w:id="1649"/>
      <w:bookmarkEnd w:id="1650"/>
      <w:bookmarkEnd w:id="1651"/>
    </w:p>
    <w:p>
      <w:pPr>
        <w:keepNext/>
        <w:keepLines/>
        <w:spacing w:before="240" w:after="240" w:line="416" w:lineRule="auto"/>
        <w:outlineLvl w:val="1"/>
        <w:rPr>
          <w:rFonts w:ascii="宋体" w:hAnsi="宋体" w:eastAsia="黑体"/>
          <w:color w:val="auto"/>
          <w:kern w:val="24"/>
          <w:sz w:val="28"/>
          <w:szCs w:val="20"/>
          <w:highlight w:val="none"/>
        </w:rPr>
      </w:pPr>
      <w:bookmarkStart w:id="1652" w:name="_Toc32273"/>
      <w:bookmarkStart w:id="1653" w:name="_Toc170804672"/>
      <w:bookmarkStart w:id="1654" w:name="_Toc2457"/>
      <w:bookmarkStart w:id="1655" w:name="_Toc14844"/>
      <w:bookmarkStart w:id="1656" w:name="_Toc2959"/>
      <w:bookmarkStart w:id="1657" w:name="_Toc1844"/>
      <w:bookmarkStart w:id="1658" w:name="_Toc1957497387"/>
      <w:bookmarkStart w:id="1659" w:name="_Toc8192"/>
      <w:bookmarkStart w:id="1660" w:name="_Toc14652"/>
      <w:bookmarkStart w:id="1661" w:name="_Toc20037"/>
      <w:bookmarkStart w:id="1662" w:name="_Toc6474"/>
      <w:r>
        <w:rPr>
          <w:rFonts w:hint="eastAsia" w:ascii="宋体" w:hAnsi="宋体" w:eastAsia="黑体"/>
          <w:color w:val="auto"/>
          <w:kern w:val="24"/>
          <w:sz w:val="28"/>
          <w:szCs w:val="20"/>
          <w:highlight w:val="none"/>
        </w:rPr>
        <w:t>（一）工程量清单说明</w:t>
      </w:r>
      <w:bookmarkEnd w:id="1652"/>
      <w:bookmarkEnd w:id="1653"/>
      <w:bookmarkEnd w:id="1654"/>
      <w:bookmarkEnd w:id="1655"/>
      <w:bookmarkEnd w:id="1656"/>
      <w:bookmarkEnd w:id="1657"/>
      <w:bookmarkEnd w:id="1658"/>
      <w:bookmarkEnd w:id="1659"/>
      <w:bookmarkEnd w:id="1660"/>
      <w:bookmarkEnd w:id="1661"/>
      <w:bookmarkEnd w:id="1662"/>
    </w:p>
    <w:p>
      <w:pPr>
        <w:spacing w:line="400" w:lineRule="exact"/>
        <w:ind w:firstLine="565" w:firstLineChars="202"/>
        <w:jc w:val="left"/>
        <w:rPr>
          <w:rFonts w:ascii="仿宋_GB2312" w:hAnsi="仿宋" w:eastAsia="仿宋_GB2312"/>
          <w:color w:val="auto"/>
          <w:sz w:val="28"/>
          <w:szCs w:val="28"/>
          <w:highlight w:val="none"/>
        </w:rPr>
      </w:pPr>
      <w:r>
        <w:rPr>
          <w:rFonts w:ascii="仿宋_GB2312" w:hAnsi="仿宋" w:eastAsia="仿宋_GB2312"/>
          <w:color w:val="auto"/>
          <w:sz w:val="28"/>
          <w:szCs w:val="28"/>
          <w:highlight w:val="none"/>
        </w:rPr>
        <w:t xml:space="preserve">1.1 </w:t>
      </w:r>
      <w:r>
        <w:rPr>
          <w:rFonts w:hint="eastAsia" w:ascii="仿宋_GB2312" w:hAnsi="仿宋" w:eastAsia="仿宋_GB2312"/>
          <w:color w:val="auto"/>
          <w:sz w:val="28"/>
          <w:szCs w:val="28"/>
          <w:highlight w:val="none"/>
        </w:rPr>
        <w:t>工程量清单是招标文件的组成部分，只是为投标提供一个共同的基础，但不能完全作为最后对承包人进行支付的依据。投标人按照给定的工程量清单报价，不得修改工程量。投标人对项目的各项报价必须以招标文件资料为依据；投标报价必须与投标技术方案相对应。</w:t>
      </w:r>
    </w:p>
    <w:p>
      <w:pPr>
        <w:spacing w:line="400" w:lineRule="exact"/>
        <w:ind w:firstLine="565" w:firstLineChars="202"/>
        <w:jc w:val="left"/>
        <w:rPr>
          <w:rFonts w:ascii="仿宋_GB2312" w:hAnsi="仿宋" w:eastAsia="仿宋_GB2312"/>
          <w:color w:val="auto"/>
          <w:sz w:val="28"/>
          <w:szCs w:val="28"/>
          <w:highlight w:val="none"/>
        </w:rPr>
      </w:pPr>
      <w:r>
        <w:rPr>
          <w:rFonts w:ascii="仿宋_GB2312" w:hAnsi="仿宋" w:eastAsia="仿宋_GB2312"/>
          <w:color w:val="auto"/>
          <w:sz w:val="28"/>
          <w:szCs w:val="28"/>
          <w:highlight w:val="none"/>
        </w:rPr>
        <w:t>1.2工程量清单中的综合单价与合价已包括了所有</w:t>
      </w:r>
      <w:r>
        <w:rPr>
          <w:rFonts w:hint="default" w:ascii="仿宋_GB2312" w:hAnsi="仿宋" w:eastAsia="仿宋_GB2312" w:cs="Times New Roman"/>
          <w:color w:val="auto"/>
          <w:spacing w:val="0"/>
          <w:kern w:val="2"/>
          <w:sz w:val="28"/>
          <w:szCs w:val="28"/>
          <w:highlight w:val="none"/>
          <w:lang w:bidi="ar"/>
        </w:rPr>
        <w:t>人工工资、社保及保险、加班费、材料及辅材费、设备</w:t>
      </w:r>
      <w:r>
        <w:rPr>
          <w:rFonts w:hint="default" w:ascii="仿宋_GB2312" w:hAnsi="仿宋" w:eastAsia="仿宋_GB2312" w:cs="Times New Roman"/>
          <w:color w:val="auto"/>
          <w:spacing w:val="0"/>
          <w:kern w:val="2"/>
          <w:sz w:val="28"/>
          <w:szCs w:val="28"/>
          <w:highlight w:val="none"/>
          <w:lang w:val="en-US" w:eastAsia="zh-CN" w:bidi="ar"/>
        </w:rPr>
        <w:t>费</w:t>
      </w:r>
      <w:r>
        <w:rPr>
          <w:rFonts w:hint="default" w:ascii="仿宋_GB2312" w:hAnsi="仿宋" w:eastAsia="仿宋_GB2312" w:cs="Times New Roman"/>
          <w:color w:val="auto"/>
          <w:spacing w:val="0"/>
          <w:kern w:val="2"/>
          <w:sz w:val="28"/>
          <w:szCs w:val="28"/>
          <w:highlight w:val="none"/>
          <w:lang w:bidi="ar"/>
        </w:rPr>
        <w:t>、</w:t>
      </w:r>
      <w:r>
        <w:rPr>
          <w:rFonts w:hint="default" w:ascii="仿宋_GB2312" w:hAnsi="仿宋" w:eastAsia="仿宋_GB2312" w:cs="Times New Roman"/>
          <w:color w:val="auto"/>
          <w:spacing w:val="0"/>
          <w:kern w:val="2"/>
          <w:sz w:val="28"/>
          <w:szCs w:val="28"/>
          <w:highlight w:val="none"/>
          <w:lang w:val="en-US" w:eastAsia="zh-CN" w:bidi="ar"/>
        </w:rPr>
        <w:t>专家费、</w:t>
      </w:r>
      <w:r>
        <w:rPr>
          <w:rFonts w:hint="default" w:ascii="仿宋_GB2312" w:hAnsi="仿宋" w:eastAsia="仿宋_GB2312" w:cs="Times New Roman"/>
          <w:color w:val="auto"/>
          <w:spacing w:val="0"/>
          <w:kern w:val="2"/>
          <w:sz w:val="28"/>
          <w:szCs w:val="28"/>
          <w:highlight w:val="none"/>
          <w:lang w:bidi="ar"/>
        </w:rPr>
        <w:t>税金、措施费等与本项目相关的其它一切可预见及不可预见费用</w:t>
      </w:r>
      <w:r>
        <w:rPr>
          <w:rFonts w:ascii="仿宋_GB2312" w:hAnsi="仿宋" w:eastAsia="仿宋_GB2312"/>
          <w:color w:val="auto"/>
          <w:sz w:val="28"/>
          <w:szCs w:val="28"/>
          <w:highlight w:val="none"/>
        </w:rPr>
        <w:t>。</w:t>
      </w:r>
    </w:p>
    <w:p>
      <w:pPr>
        <w:spacing w:line="400" w:lineRule="exact"/>
        <w:ind w:firstLine="565" w:firstLineChars="202"/>
        <w:jc w:val="left"/>
        <w:rPr>
          <w:rFonts w:ascii="仿宋_GB2312" w:hAnsi="仿宋" w:eastAsia="仿宋_GB2312"/>
          <w:color w:val="auto"/>
          <w:sz w:val="28"/>
          <w:szCs w:val="28"/>
          <w:highlight w:val="none"/>
        </w:rPr>
      </w:pPr>
      <w:r>
        <w:rPr>
          <w:rFonts w:ascii="仿宋_GB2312" w:hAnsi="仿宋" w:eastAsia="仿宋_GB2312"/>
          <w:color w:val="auto"/>
          <w:sz w:val="28"/>
          <w:szCs w:val="28"/>
          <w:highlight w:val="none"/>
        </w:rPr>
        <w:t xml:space="preserve">1.3 </w:t>
      </w:r>
      <w:r>
        <w:rPr>
          <w:rFonts w:hint="eastAsia" w:ascii="仿宋_GB2312" w:hAnsi="仿宋" w:eastAsia="仿宋_GB2312"/>
          <w:color w:val="auto"/>
          <w:sz w:val="28"/>
          <w:szCs w:val="28"/>
          <w:highlight w:val="none"/>
        </w:rPr>
        <w:t>凡工程量清单中标有数量的每个项目均须填入单价和合价，投标人没有填写的单价和合价的项目，在实施时不予支付，并认为此项目的费用已包含括在工程量清单相关工程项目的单价和合价之中。本工程实行综合单价承包方式，综合单价在合同执行期间不作调整。</w:t>
      </w:r>
    </w:p>
    <w:p>
      <w:pPr>
        <w:spacing w:line="400" w:lineRule="exact"/>
        <w:ind w:firstLine="565" w:firstLineChars="202"/>
        <w:jc w:val="left"/>
        <w:rPr>
          <w:rFonts w:ascii="仿宋_GB2312" w:hAnsi="仿宋" w:eastAsia="仿宋_GB2312"/>
          <w:color w:val="auto"/>
          <w:sz w:val="28"/>
          <w:szCs w:val="28"/>
          <w:highlight w:val="none"/>
        </w:rPr>
      </w:pPr>
      <w:r>
        <w:rPr>
          <w:rFonts w:ascii="仿宋_GB2312" w:hAnsi="仿宋" w:eastAsia="仿宋_GB2312"/>
          <w:color w:val="auto"/>
          <w:sz w:val="28"/>
          <w:szCs w:val="28"/>
          <w:highlight w:val="none"/>
        </w:rPr>
        <w:t xml:space="preserve">1.4 </w:t>
      </w:r>
      <w:r>
        <w:rPr>
          <w:rFonts w:hint="eastAsia" w:ascii="仿宋_GB2312" w:hAnsi="仿宋" w:eastAsia="仿宋_GB2312"/>
          <w:color w:val="auto"/>
          <w:sz w:val="28"/>
          <w:szCs w:val="28"/>
          <w:highlight w:val="none"/>
        </w:rPr>
        <w:t>用于支付已完成工程的计算和支付，应符合“计量与支付”条款的规定。</w:t>
      </w:r>
    </w:p>
    <w:p>
      <w:pPr>
        <w:spacing w:line="400" w:lineRule="exact"/>
        <w:ind w:firstLine="565" w:firstLineChars="202"/>
        <w:jc w:val="left"/>
        <w:rPr>
          <w:rFonts w:ascii="仿宋_GB2312" w:hAnsi="仿宋" w:eastAsia="仿宋_GB2312"/>
          <w:color w:val="auto"/>
          <w:sz w:val="28"/>
          <w:szCs w:val="28"/>
          <w:highlight w:val="none"/>
        </w:rPr>
      </w:pPr>
      <w:r>
        <w:rPr>
          <w:rFonts w:ascii="仿宋_GB2312" w:hAnsi="仿宋" w:eastAsia="仿宋_GB2312"/>
          <w:color w:val="auto"/>
          <w:sz w:val="28"/>
          <w:szCs w:val="28"/>
          <w:highlight w:val="none"/>
        </w:rPr>
        <w:t xml:space="preserve">1.5 </w:t>
      </w:r>
      <w:r>
        <w:rPr>
          <w:rFonts w:hint="eastAsia" w:ascii="仿宋_GB2312" w:hAnsi="仿宋" w:eastAsia="仿宋_GB2312"/>
          <w:color w:val="auto"/>
          <w:sz w:val="28"/>
          <w:szCs w:val="28"/>
          <w:highlight w:val="none"/>
        </w:rPr>
        <w:t>合同执行中所列工程量的增减或调整，不会使合同条件或条款的约束无效或降低，也不免除监测人按要求的标准进行监测的责任。</w:t>
      </w:r>
    </w:p>
    <w:p>
      <w:pPr>
        <w:spacing w:line="400" w:lineRule="exact"/>
        <w:ind w:firstLine="565" w:firstLineChars="202"/>
        <w:jc w:val="left"/>
        <w:rPr>
          <w:rFonts w:ascii="仿宋_GB2312" w:hAnsi="仿宋" w:eastAsia="仿宋_GB2312"/>
          <w:color w:val="auto"/>
          <w:sz w:val="28"/>
          <w:szCs w:val="28"/>
          <w:highlight w:val="none"/>
        </w:rPr>
      </w:pPr>
      <w:r>
        <w:rPr>
          <w:rFonts w:ascii="仿宋_GB2312" w:hAnsi="仿宋" w:eastAsia="仿宋_GB2312"/>
          <w:color w:val="auto"/>
          <w:sz w:val="28"/>
          <w:szCs w:val="28"/>
          <w:highlight w:val="none"/>
        </w:rPr>
        <w:t xml:space="preserve">1.6 </w:t>
      </w:r>
      <w:r>
        <w:rPr>
          <w:rFonts w:hint="eastAsia" w:ascii="仿宋_GB2312" w:hAnsi="仿宋" w:eastAsia="仿宋_GB2312"/>
          <w:color w:val="auto"/>
          <w:sz w:val="28"/>
          <w:szCs w:val="28"/>
          <w:highlight w:val="none"/>
        </w:rPr>
        <w:t>监测单位提供的监测文件，应当符合国家规定的工程技术质量标准，满足合同约定的内容、质量要求。由于监测原因造成工程监测返工或增加工作量的，发包人不另外支付增加的费用。由于监测人工作失误给工程造成损失的，应当按有关规定承担责任。</w:t>
      </w:r>
    </w:p>
    <w:p>
      <w:pPr>
        <w:spacing w:line="400" w:lineRule="exact"/>
        <w:ind w:firstLine="565" w:firstLineChars="202"/>
        <w:jc w:val="left"/>
        <w:rPr>
          <w:rFonts w:ascii="仿宋_GB2312" w:hAnsi="仿宋" w:eastAsia="仿宋_GB2312"/>
          <w:color w:val="auto"/>
          <w:sz w:val="28"/>
          <w:szCs w:val="28"/>
          <w:highlight w:val="none"/>
        </w:rPr>
      </w:pPr>
      <w:r>
        <w:rPr>
          <w:rFonts w:ascii="仿宋_GB2312" w:hAnsi="仿宋" w:eastAsia="仿宋_GB2312"/>
          <w:color w:val="auto"/>
          <w:sz w:val="28"/>
          <w:szCs w:val="28"/>
          <w:highlight w:val="none"/>
        </w:rPr>
        <w:t>1.7本工程量清单所采用的计量单位为国际单位制（SI）。本工程量清单的单价和合价全用人民币表示。</w:t>
      </w:r>
    </w:p>
    <w:p>
      <w:pPr>
        <w:spacing w:line="400" w:lineRule="exact"/>
        <w:ind w:firstLine="565" w:firstLineChars="202"/>
        <w:jc w:val="left"/>
        <w:rPr>
          <w:rFonts w:ascii="仿宋_GB2312" w:hAnsi="仿宋" w:eastAsia="仿宋_GB2312"/>
          <w:color w:val="auto"/>
          <w:sz w:val="28"/>
          <w:szCs w:val="28"/>
          <w:highlight w:val="none"/>
        </w:rPr>
      </w:pPr>
      <w:r>
        <w:rPr>
          <w:rFonts w:ascii="仿宋_GB2312" w:hAnsi="仿宋" w:eastAsia="仿宋_GB2312"/>
          <w:color w:val="auto"/>
          <w:sz w:val="28"/>
          <w:szCs w:val="28"/>
          <w:highlight w:val="none"/>
        </w:rPr>
        <w:t>1.8投标人须对现场进行摸查，充分考虑</w:t>
      </w:r>
      <w:r>
        <w:rPr>
          <w:rFonts w:hint="eastAsia" w:ascii="仿宋_GB2312" w:hAnsi="仿宋" w:eastAsia="仿宋_GB2312"/>
          <w:color w:val="auto"/>
          <w:sz w:val="28"/>
          <w:szCs w:val="28"/>
          <w:highlight w:val="none"/>
        </w:rPr>
        <w:t>监</w:t>
      </w:r>
      <w:r>
        <w:rPr>
          <w:rFonts w:ascii="仿宋_GB2312" w:hAnsi="仿宋" w:eastAsia="仿宋_GB2312"/>
          <w:color w:val="auto"/>
          <w:sz w:val="28"/>
          <w:szCs w:val="28"/>
          <w:highlight w:val="none"/>
        </w:rPr>
        <w:t>测过程中可能遇到的风险和不可预见的情况。在报价时，应包含所有技术处理等发生的费用，招标人在实施过程中不另行计量支付。</w:t>
      </w:r>
    </w:p>
    <w:p>
      <w:pPr>
        <w:tabs>
          <w:tab w:val="left" w:pos="6195"/>
        </w:tabs>
        <w:spacing w:line="400" w:lineRule="exact"/>
        <w:jc w:val="left"/>
        <w:rPr>
          <w:rFonts w:ascii="仿宋_GB2312" w:hAnsi="仿宋" w:eastAsia="仿宋_GB2312"/>
          <w:color w:val="auto"/>
          <w:sz w:val="28"/>
          <w:szCs w:val="28"/>
          <w:highlight w:val="none"/>
        </w:rPr>
      </w:pPr>
      <w:r>
        <w:rPr>
          <w:rFonts w:ascii="仿宋_GB2312" w:hAnsi="仿宋" w:eastAsia="仿宋_GB2312"/>
          <w:color w:val="auto"/>
          <w:sz w:val="28"/>
          <w:szCs w:val="28"/>
          <w:highlight w:val="none"/>
        </w:rPr>
        <w:tab/>
      </w:r>
    </w:p>
    <w:p>
      <w:pPr>
        <w:keepNext/>
        <w:keepLines/>
        <w:spacing w:before="240" w:after="240" w:line="416" w:lineRule="auto"/>
        <w:outlineLvl w:val="1"/>
        <w:rPr>
          <w:rFonts w:ascii="仿宋_GB2312" w:hAnsi="仿宋" w:eastAsia="仿宋_GB2312"/>
          <w:b/>
          <w:bCs/>
          <w:color w:val="auto"/>
          <w:sz w:val="36"/>
          <w:szCs w:val="32"/>
          <w:highlight w:val="none"/>
        </w:rPr>
      </w:pPr>
      <w:r>
        <w:rPr>
          <w:rFonts w:ascii="仿宋_GB2312" w:hAnsi="仿宋" w:eastAsia="仿宋_GB2312"/>
          <w:b/>
          <w:bCs/>
          <w:color w:val="auto"/>
          <w:sz w:val="40"/>
          <w:szCs w:val="32"/>
          <w:highlight w:val="none"/>
        </w:rPr>
        <w:br w:type="page"/>
      </w:r>
      <w:bookmarkStart w:id="1663" w:name="_Toc1150"/>
      <w:bookmarkStart w:id="1664" w:name="_Toc18414"/>
      <w:bookmarkStart w:id="1665" w:name="_Toc170804673"/>
      <w:bookmarkStart w:id="1666" w:name="_Toc29609"/>
      <w:bookmarkStart w:id="1667" w:name="_Toc31615"/>
      <w:bookmarkStart w:id="1668" w:name="_Toc22133"/>
      <w:bookmarkStart w:id="1669" w:name="_Toc1294"/>
      <w:bookmarkStart w:id="1670" w:name="_Toc23076"/>
      <w:bookmarkStart w:id="1671" w:name="_Toc17412"/>
      <w:bookmarkStart w:id="1672" w:name="_Toc209111269"/>
      <w:bookmarkStart w:id="1673" w:name="_Toc187"/>
      <w:r>
        <w:rPr>
          <w:rFonts w:hint="eastAsia" w:ascii="仿宋_GB2312" w:hAnsi="仿宋" w:eastAsia="仿宋_GB2312"/>
          <w:b/>
          <w:bCs/>
          <w:color w:val="auto"/>
          <w:sz w:val="32"/>
          <w:szCs w:val="32"/>
          <w:highlight w:val="none"/>
        </w:rPr>
        <w:t>（二）</w:t>
      </w:r>
      <w:r>
        <w:rPr>
          <w:rFonts w:hint="eastAsia" w:ascii="宋体" w:hAnsi="宋体" w:eastAsia="黑体"/>
          <w:color w:val="auto"/>
          <w:kern w:val="24"/>
          <w:sz w:val="28"/>
          <w:szCs w:val="20"/>
          <w:highlight w:val="none"/>
        </w:rPr>
        <w:t>工程量清单汇总表</w:t>
      </w:r>
      <w:bookmarkEnd w:id="1663"/>
      <w:bookmarkEnd w:id="1664"/>
      <w:bookmarkEnd w:id="1665"/>
      <w:bookmarkEnd w:id="1666"/>
      <w:bookmarkEnd w:id="1667"/>
      <w:bookmarkEnd w:id="1668"/>
      <w:bookmarkEnd w:id="1669"/>
      <w:bookmarkEnd w:id="1670"/>
      <w:bookmarkEnd w:id="1671"/>
      <w:bookmarkEnd w:id="1672"/>
      <w:bookmarkEnd w:id="1673"/>
    </w:p>
    <w:p>
      <w:pPr>
        <w:pStyle w:val="26"/>
        <w:rPr>
          <w:color w:val="auto"/>
          <w:highlight w:val="none"/>
        </w:rPr>
      </w:pPr>
    </w:p>
    <w:p>
      <w:pPr>
        <w:spacing w:line="360" w:lineRule="auto"/>
        <w:ind w:left="1250" w:hanging="1250" w:hangingChars="500"/>
        <w:jc w:val="center"/>
        <w:rPr>
          <w:rFonts w:ascii="宋体" w:hAnsi="宋体" w:cs="宋体"/>
          <w:color w:val="auto"/>
          <w:sz w:val="24"/>
          <w:szCs w:val="24"/>
          <w:highlight w:val="none"/>
        </w:rPr>
      </w:pPr>
      <w:r>
        <w:rPr>
          <w:rFonts w:ascii="宋体" w:hAnsi="宋体"/>
          <w:color w:val="auto"/>
          <w:spacing w:val="20"/>
          <w:szCs w:val="24"/>
          <w:highlight w:val="none"/>
        </w:rPr>
        <w:t xml:space="preserve"> </w:t>
      </w:r>
      <w:r>
        <w:rPr>
          <w:rFonts w:hint="eastAsia" w:ascii="宋体" w:hAnsi="宋体" w:cs="宋体"/>
          <w:b/>
          <w:color w:val="auto"/>
          <w:sz w:val="24"/>
          <w:szCs w:val="24"/>
          <w:highlight w:val="none"/>
        </w:rPr>
        <w:t>投标报价汇总表</w:t>
      </w:r>
    </w:p>
    <w:p>
      <w:pPr>
        <w:spacing w:line="400" w:lineRule="exact"/>
        <w:jc w:val="left"/>
        <w:rPr>
          <w:rFonts w:ascii="宋体" w:hAnsi="宋体"/>
          <w:color w:val="auto"/>
          <w:spacing w:val="20"/>
          <w:szCs w:val="24"/>
          <w:highlight w:val="none"/>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651"/>
        <w:gridCol w:w="1719"/>
        <w:gridCol w:w="1560"/>
        <w:gridCol w:w="1559"/>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exact"/>
          <w:jc w:val="center"/>
        </w:trPr>
        <w:tc>
          <w:tcPr>
            <w:tcW w:w="841" w:type="dxa"/>
            <w:vAlign w:val="center"/>
          </w:tcPr>
          <w:p>
            <w:pPr>
              <w:keepNext w:val="0"/>
              <w:keepLines w:val="0"/>
              <w:suppressLineNumbers w:val="0"/>
              <w:spacing w:before="0" w:beforeAutospacing="0" w:after="0" w:afterAutospacing="0"/>
              <w:ind w:left="0" w:right="0"/>
              <w:jc w:val="center"/>
              <w:rPr>
                <w:rFonts w:hint="default" w:ascii="宋体" w:hAnsi="宋体"/>
                <w:color w:val="auto"/>
                <w:spacing w:val="20"/>
                <w:szCs w:val="24"/>
                <w:highlight w:val="none"/>
              </w:rPr>
            </w:pPr>
            <w:r>
              <w:rPr>
                <w:rFonts w:hint="eastAsia" w:ascii="宋体" w:hAnsi="宋体"/>
                <w:color w:val="auto"/>
                <w:spacing w:val="20"/>
                <w:szCs w:val="24"/>
                <w:highlight w:val="none"/>
              </w:rPr>
              <w:t>序号</w:t>
            </w:r>
          </w:p>
        </w:tc>
        <w:tc>
          <w:tcPr>
            <w:tcW w:w="2651" w:type="dxa"/>
            <w:vAlign w:val="center"/>
          </w:tcPr>
          <w:p>
            <w:pPr>
              <w:keepNext w:val="0"/>
              <w:keepLines w:val="0"/>
              <w:suppressLineNumbers w:val="0"/>
              <w:spacing w:before="0" w:beforeAutospacing="0" w:after="0" w:afterAutospacing="0"/>
              <w:ind w:left="0" w:right="0"/>
              <w:jc w:val="center"/>
              <w:rPr>
                <w:rFonts w:hint="default" w:ascii="宋体" w:hAnsi="宋体"/>
                <w:color w:val="auto"/>
                <w:spacing w:val="20"/>
                <w:szCs w:val="24"/>
                <w:highlight w:val="none"/>
              </w:rPr>
            </w:pPr>
            <w:r>
              <w:rPr>
                <w:rFonts w:hint="eastAsia" w:ascii="宋体" w:hAnsi="宋体"/>
                <w:color w:val="auto"/>
                <w:spacing w:val="20"/>
                <w:szCs w:val="24"/>
                <w:highlight w:val="none"/>
              </w:rPr>
              <w:t>监测项目名称</w:t>
            </w:r>
          </w:p>
        </w:tc>
        <w:tc>
          <w:tcPr>
            <w:tcW w:w="1719" w:type="dxa"/>
            <w:vAlign w:val="center"/>
          </w:tcPr>
          <w:p>
            <w:pPr>
              <w:keepNext w:val="0"/>
              <w:keepLines w:val="0"/>
              <w:suppressLineNumbers w:val="0"/>
              <w:spacing w:before="0" w:beforeAutospacing="0" w:after="0" w:afterAutospacing="0"/>
              <w:ind w:left="0" w:right="0"/>
              <w:jc w:val="center"/>
              <w:rPr>
                <w:rFonts w:hint="default" w:ascii="宋体" w:hAnsi="宋体"/>
                <w:color w:val="auto"/>
                <w:spacing w:val="20"/>
                <w:szCs w:val="24"/>
                <w:highlight w:val="none"/>
              </w:rPr>
            </w:pPr>
            <w:r>
              <w:rPr>
                <w:rFonts w:hint="eastAsia" w:ascii="宋体" w:hAnsi="宋体"/>
                <w:color w:val="auto"/>
                <w:spacing w:val="20"/>
                <w:szCs w:val="24"/>
                <w:highlight w:val="none"/>
              </w:rPr>
              <w:t>投标报价</w:t>
            </w:r>
          </w:p>
          <w:p>
            <w:pPr>
              <w:keepNext w:val="0"/>
              <w:keepLines w:val="0"/>
              <w:suppressLineNumbers w:val="0"/>
              <w:spacing w:before="0" w:beforeAutospacing="0" w:after="0" w:afterAutospacing="0"/>
              <w:ind w:left="0" w:right="0"/>
              <w:jc w:val="center"/>
              <w:rPr>
                <w:rFonts w:hint="default" w:ascii="宋体" w:hAnsi="宋体"/>
                <w:color w:val="auto"/>
                <w:spacing w:val="20"/>
                <w:szCs w:val="24"/>
                <w:highlight w:val="none"/>
              </w:rPr>
            </w:pPr>
            <w:r>
              <w:rPr>
                <w:rFonts w:hint="eastAsia" w:ascii="宋体" w:hAnsi="宋体"/>
                <w:color w:val="auto"/>
                <w:spacing w:val="20"/>
                <w:szCs w:val="24"/>
                <w:highlight w:val="none"/>
              </w:rPr>
              <w:t>（不含税价）（元）</w:t>
            </w:r>
          </w:p>
        </w:tc>
        <w:tc>
          <w:tcPr>
            <w:tcW w:w="1560" w:type="dxa"/>
            <w:vAlign w:val="center"/>
          </w:tcPr>
          <w:p>
            <w:pPr>
              <w:keepNext w:val="0"/>
              <w:keepLines w:val="0"/>
              <w:suppressLineNumbers w:val="0"/>
              <w:spacing w:before="0" w:beforeAutospacing="0" w:after="0" w:afterAutospacing="0"/>
              <w:ind w:left="0" w:right="0"/>
              <w:jc w:val="center"/>
              <w:rPr>
                <w:rFonts w:hint="default" w:ascii="宋体" w:hAnsi="宋体"/>
                <w:color w:val="auto"/>
                <w:spacing w:val="20"/>
                <w:szCs w:val="24"/>
                <w:highlight w:val="none"/>
              </w:rPr>
            </w:pPr>
            <w:r>
              <w:rPr>
                <w:rFonts w:hint="eastAsia" w:ascii="宋体" w:hAnsi="宋体"/>
                <w:color w:val="auto"/>
                <w:spacing w:val="20"/>
                <w:szCs w:val="24"/>
                <w:highlight w:val="none"/>
              </w:rPr>
              <w:t>税金（元）</w:t>
            </w: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color w:val="auto"/>
                <w:spacing w:val="20"/>
                <w:szCs w:val="24"/>
                <w:highlight w:val="none"/>
              </w:rPr>
            </w:pPr>
            <w:r>
              <w:rPr>
                <w:rFonts w:hint="eastAsia" w:ascii="宋体" w:hAnsi="宋体"/>
                <w:color w:val="auto"/>
                <w:spacing w:val="20"/>
                <w:szCs w:val="24"/>
                <w:highlight w:val="none"/>
              </w:rPr>
              <w:t>投标报价</w:t>
            </w:r>
          </w:p>
          <w:p>
            <w:pPr>
              <w:keepNext w:val="0"/>
              <w:keepLines w:val="0"/>
              <w:suppressLineNumbers w:val="0"/>
              <w:spacing w:before="0" w:beforeAutospacing="0" w:after="0" w:afterAutospacing="0"/>
              <w:ind w:left="0" w:right="0"/>
              <w:jc w:val="center"/>
              <w:rPr>
                <w:rFonts w:hint="default" w:ascii="宋体" w:hAnsi="宋体"/>
                <w:color w:val="auto"/>
                <w:spacing w:val="20"/>
                <w:szCs w:val="24"/>
                <w:highlight w:val="none"/>
              </w:rPr>
            </w:pPr>
            <w:r>
              <w:rPr>
                <w:rFonts w:hint="eastAsia" w:ascii="宋体" w:hAnsi="宋体"/>
                <w:color w:val="auto"/>
                <w:spacing w:val="20"/>
                <w:szCs w:val="24"/>
                <w:highlight w:val="none"/>
              </w:rPr>
              <w:t>（含税价）（元）</w:t>
            </w:r>
          </w:p>
        </w:tc>
        <w:tc>
          <w:tcPr>
            <w:tcW w:w="1525" w:type="dxa"/>
            <w:vAlign w:val="center"/>
          </w:tcPr>
          <w:p>
            <w:pPr>
              <w:keepNext w:val="0"/>
              <w:keepLines w:val="0"/>
              <w:suppressLineNumbers w:val="0"/>
              <w:spacing w:before="0" w:beforeAutospacing="0" w:after="0" w:afterAutospacing="0"/>
              <w:ind w:left="0" w:right="0"/>
              <w:jc w:val="center"/>
              <w:rPr>
                <w:rFonts w:hint="default" w:ascii="宋体" w:hAnsi="宋体"/>
                <w:color w:val="auto"/>
                <w:spacing w:val="20"/>
                <w:szCs w:val="24"/>
                <w:highlight w:val="none"/>
              </w:rPr>
            </w:pPr>
            <w:r>
              <w:rPr>
                <w:rFonts w:hint="eastAsia" w:ascii="宋体" w:hAnsi="宋体"/>
                <w:color w:val="auto"/>
                <w:spacing w:val="20"/>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841" w:type="dxa"/>
            <w:vAlign w:val="center"/>
          </w:tcPr>
          <w:p>
            <w:pPr>
              <w:keepNext w:val="0"/>
              <w:keepLines w:val="0"/>
              <w:suppressLineNumbers w:val="0"/>
              <w:spacing w:before="0" w:beforeAutospacing="0" w:after="0" w:afterAutospacing="0"/>
              <w:ind w:left="0" w:right="0"/>
              <w:jc w:val="center"/>
              <w:rPr>
                <w:rFonts w:hint="default" w:ascii="宋体" w:hAnsi="宋体"/>
                <w:color w:val="auto"/>
                <w:spacing w:val="20"/>
                <w:szCs w:val="24"/>
                <w:highlight w:val="none"/>
              </w:rPr>
            </w:pPr>
            <w:r>
              <w:rPr>
                <w:rFonts w:hint="default" w:ascii="宋体" w:hAnsi="宋体"/>
                <w:color w:val="auto"/>
                <w:spacing w:val="20"/>
                <w:szCs w:val="24"/>
                <w:highlight w:val="none"/>
              </w:rPr>
              <w:t>1</w:t>
            </w:r>
          </w:p>
        </w:tc>
        <w:tc>
          <w:tcPr>
            <w:tcW w:w="2651" w:type="dxa"/>
          </w:tcPr>
          <w:p>
            <w:pPr>
              <w:keepNext w:val="0"/>
              <w:keepLines w:val="0"/>
              <w:suppressLineNumbers w:val="0"/>
              <w:spacing w:before="0" w:beforeAutospacing="0" w:after="0" w:afterAutospacing="0"/>
              <w:ind w:left="0" w:right="0" w:firstLine="500" w:firstLineChars="200"/>
              <w:rPr>
                <w:rFonts w:hint="default" w:ascii="宋体" w:hAnsi="宋体"/>
                <w:color w:val="auto"/>
                <w:spacing w:val="20"/>
                <w:szCs w:val="24"/>
                <w:highlight w:val="none"/>
              </w:rPr>
            </w:pPr>
          </w:p>
        </w:tc>
        <w:tc>
          <w:tcPr>
            <w:tcW w:w="1719" w:type="dxa"/>
          </w:tcPr>
          <w:p>
            <w:pPr>
              <w:keepNext w:val="0"/>
              <w:keepLines w:val="0"/>
              <w:suppressLineNumbers w:val="0"/>
              <w:spacing w:before="0" w:beforeAutospacing="0" w:after="0" w:afterAutospacing="0"/>
              <w:ind w:left="0" w:right="0"/>
              <w:rPr>
                <w:rFonts w:hint="default" w:ascii="宋体" w:hAnsi="宋体"/>
                <w:color w:val="auto"/>
                <w:spacing w:val="20"/>
                <w:szCs w:val="24"/>
                <w:highlight w:val="none"/>
              </w:rPr>
            </w:pPr>
          </w:p>
        </w:tc>
        <w:tc>
          <w:tcPr>
            <w:tcW w:w="1560" w:type="dxa"/>
          </w:tcPr>
          <w:p>
            <w:pPr>
              <w:keepNext w:val="0"/>
              <w:keepLines w:val="0"/>
              <w:suppressLineNumbers w:val="0"/>
              <w:spacing w:before="0" w:beforeAutospacing="0" w:after="0" w:afterAutospacing="0"/>
              <w:ind w:left="0" w:right="0"/>
              <w:rPr>
                <w:rFonts w:hint="default" w:ascii="宋体" w:hAnsi="宋体"/>
                <w:color w:val="auto"/>
                <w:spacing w:val="20"/>
                <w:szCs w:val="24"/>
                <w:highlight w:val="none"/>
              </w:rPr>
            </w:pPr>
          </w:p>
        </w:tc>
        <w:tc>
          <w:tcPr>
            <w:tcW w:w="1559" w:type="dxa"/>
          </w:tcPr>
          <w:p>
            <w:pPr>
              <w:keepNext w:val="0"/>
              <w:keepLines w:val="0"/>
              <w:suppressLineNumbers w:val="0"/>
              <w:spacing w:before="0" w:beforeAutospacing="0" w:after="0" w:afterAutospacing="0"/>
              <w:ind w:left="0" w:right="0"/>
              <w:rPr>
                <w:rFonts w:hint="default" w:ascii="宋体" w:hAnsi="宋体"/>
                <w:color w:val="auto"/>
                <w:spacing w:val="20"/>
                <w:szCs w:val="24"/>
                <w:highlight w:val="none"/>
              </w:rPr>
            </w:pPr>
          </w:p>
        </w:tc>
        <w:tc>
          <w:tcPr>
            <w:tcW w:w="1525" w:type="dxa"/>
          </w:tcPr>
          <w:p>
            <w:pPr>
              <w:keepNext w:val="0"/>
              <w:keepLines w:val="0"/>
              <w:suppressLineNumbers w:val="0"/>
              <w:spacing w:before="0" w:beforeAutospacing="0" w:after="0" w:afterAutospacing="0"/>
              <w:ind w:left="0" w:right="0"/>
              <w:jc w:val="left"/>
              <w:rPr>
                <w:rFonts w:hint="default" w:ascii="宋体" w:hAnsi="宋体"/>
                <w:color w:val="auto"/>
                <w:spacing w:val="20"/>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3" w:hRule="atLeast"/>
          <w:jc w:val="center"/>
        </w:trPr>
        <w:tc>
          <w:tcPr>
            <w:tcW w:w="9855" w:type="dxa"/>
            <w:gridSpan w:val="6"/>
          </w:tcPr>
          <w:p>
            <w:pPr>
              <w:keepNext w:val="0"/>
              <w:keepLines w:val="0"/>
              <w:suppressLineNumbers w:val="0"/>
              <w:spacing w:before="0" w:beforeAutospacing="0" w:after="0" w:afterAutospacing="0"/>
              <w:ind w:left="0" w:right="0"/>
              <w:rPr>
                <w:rFonts w:hint="default" w:ascii="宋体" w:hAnsi="宋体"/>
                <w:color w:val="auto"/>
                <w:spacing w:val="20"/>
                <w:szCs w:val="24"/>
                <w:highlight w:val="none"/>
              </w:rPr>
            </w:pPr>
          </w:p>
          <w:p>
            <w:pPr>
              <w:keepNext w:val="0"/>
              <w:keepLines w:val="0"/>
              <w:suppressLineNumbers w:val="0"/>
              <w:spacing w:before="0" w:beforeAutospacing="0" w:after="0" w:afterAutospacing="0"/>
              <w:ind w:left="0" w:right="0"/>
              <w:rPr>
                <w:rFonts w:hint="default" w:ascii="宋体" w:hAnsi="宋体"/>
                <w:color w:val="auto"/>
                <w:spacing w:val="20"/>
                <w:szCs w:val="24"/>
                <w:highlight w:val="none"/>
              </w:rPr>
            </w:pPr>
          </w:p>
          <w:p>
            <w:pPr>
              <w:keepNext w:val="0"/>
              <w:keepLines w:val="0"/>
              <w:suppressLineNumbers w:val="0"/>
              <w:spacing w:before="0" w:beforeAutospacing="0" w:after="0" w:afterAutospacing="0"/>
              <w:ind w:left="0" w:right="0"/>
              <w:rPr>
                <w:rFonts w:hint="default" w:ascii="宋体" w:hAnsi="宋体"/>
                <w:color w:val="auto"/>
                <w:spacing w:val="20"/>
                <w:szCs w:val="24"/>
                <w:highlight w:val="none"/>
                <w:u w:val="single"/>
              </w:rPr>
            </w:pPr>
            <w:r>
              <w:rPr>
                <w:rFonts w:hint="eastAsia" w:ascii="宋体" w:hAnsi="宋体"/>
                <w:color w:val="auto"/>
                <w:spacing w:val="20"/>
                <w:szCs w:val="24"/>
                <w:highlight w:val="none"/>
              </w:rPr>
              <w:t>投标报价（含税）金额大写：</w:t>
            </w:r>
            <w:r>
              <w:rPr>
                <w:rFonts w:hint="default" w:ascii="宋体" w:hAnsi="宋体"/>
                <w:color w:val="auto"/>
                <w:spacing w:val="20"/>
                <w:szCs w:val="24"/>
                <w:highlight w:val="none"/>
                <w:u w:val="single"/>
              </w:rPr>
              <w:t xml:space="preserve">                     </w:t>
            </w:r>
          </w:p>
          <w:p>
            <w:pPr>
              <w:pStyle w:val="5"/>
              <w:keepNext w:val="0"/>
              <w:keepLines w:val="0"/>
              <w:suppressLineNumbers w:val="0"/>
              <w:spacing w:before="0" w:beforeAutospacing="0" w:after="0" w:afterAutospacing="0"/>
              <w:ind w:left="0" w:right="0" w:firstLine="0"/>
              <w:rPr>
                <w:rFonts w:hint="default" w:ascii="宋体" w:hAnsi="宋体"/>
                <w:color w:val="auto"/>
                <w:spacing w:val="20"/>
                <w:szCs w:val="24"/>
                <w:highlight w:val="none"/>
              </w:rPr>
            </w:pPr>
            <w:r>
              <w:rPr>
                <w:rFonts w:hint="eastAsia" w:ascii="宋体" w:hAnsi="宋体"/>
                <w:color w:val="auto"/>
                <w:spacing w:val="20"/>
                <w:szCs w:val="24"/>
                <w:highlight w:val="none"/>
              </w:rPr>
              <w:t>金额保留至小数点后两位。</w:t>
            </w:r>
          </w:p>
          <w:p>
            <w:pPr>
              <w:keepNext w:val="0"/>
              <w:keepLines w:val="0"/>
              <w:suppressLineNumbers w:val="0"/>
              <w:spacing w:before="0" w:beforeAutospacing="0" w:after="0" w:afterAutospacing="0"/>
              <w:ind w:left="0" w:right="0"/>
              <w:rPr>
                <w:rFonts w:hint="default" w:ascii="宋体" w:hAnsi="宋体"/>
                <w:color w:val="auto"/>
                <w:spacing w:val="20"/>
                <w:szCs w:val="24"/>
                <w:highlight w:val="none"/>
              </w:rPr>
            </w:pPr>
          </w:p>
        </w:tc>
      </w:tr>
    </w:tbl>
    <w:p>
      <w:pPr>
        <w:spacing w:line="400" w:lineRule="exact"/>
        <w:jc w:val="left"/>
        <w:rPr>
          <w:rFonts w:ascii="仿宋_GB2312" w:hAnsi="仿宋" w:eastAsia="仿宋_GB2312"/>
          <w:color w:val="auto"/>
          <w:sz w:val="28"/>
          <w:szCs w:val="28"/>
          <w:highlight w:val="none"/>
        </w:rPr>
      </w:pPr>
    </w:p>
    <w:p>
      <w:pPr>
        <w:pStyle w:val="5"/>
        <w:numPr>
          <w:ilvl w:val="0"/>
          <w:numId w:val="0"/>
        </w:numP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备注：</w:t>
      </w:r>
    </w:p>
    <w:p>
      <w:pPr>
        <w:spacing w:line="400" w:lineRule="exact"/>
        <w:ind w:firstLine="560" w:firstLineChars="200"/>
        <w:rPr>
          <w:rFonts w:hint="eastAsia" w:eastAsia="宋体"/>
          <w:color w:val="auto"/>
          <w:szCs w:val="24"/>
          <w:highlight w:val="none"/>
          <w:lang w:eastAsia="zh-CN"/>
        </w:rPr>
      </w:pPr>
      <w:r>
        <w:rPr>
          <w:rFonts w:hint="eastAsia" w:ascii="仿宋_GB2312" w:hAnsi="仿宋" w:eastAsia="仿宋_GB2312"/>
          <w:color w:val="auto"/>
          <w:sz w:val="28"/>
          <w:szCs w:val="28"/>
          <w:highlight w:val="none"/>
        </w:rPr>
        <w:t>报价要求：投标报价（含税价）不得高于本项目招标控制价</w:t>
      </w:r>
      <w:r>
        <w:rPr>
          <w:rFonts w:hint="eastAsia" w:ascii="仿宋_GB2312" w:hAnsi="仿宋" w:eastAsia="仿宋_GB2312"/>
          <w:color w:val="auto"/>
          <w:sz w:val="28"/>
          <w:szCs w:val="28"/>
          <w:highlight w:val="none"/>
          <w:lang w:eastAsia="zh-CN"/>
        </w:rPr>
        <w:t>，</w:t>
      </w:r>
      <w:r>
        <w:rPr>
          <w:rFonts w:hint="eastAsia" w:ascii="仿宋_GB2312" w:hAnsi="仿宋" w:eastAsia="仿宋_GB2312"/>
          <w:color w:val="auto"/>
          <w:sz w:val="28"/>
          <w:szCs w:val="28"/>
          <w:highlight w:val="none"/>
        </w:rPr>
        <w:t>否则作废标处理。大写金额与小写金额不一致的，以大写金额为准</w:t>
      </w:r>
      <w:r>
        <w:rPr>
          <w:rFonts w:hint="eastAsia" w:ascii="仿宋_GB2312" w:hAnsi="仿宋" w:eastAsia="仿宋_GB2312"/>
          <w:color w:val="auto"/>
          <w:sz w:val="28"/>
          <w:szCs w:val="28"/>
          <w:highlight w:val="none"/>
          <w:lang w:eastAsia="zh-CN"/>
        </w:rPr>
        <w:t>。</w:t>
      </w:r>
    </w:p>
    <w:p>
      <w:pPr>
        <w:pStyle w:val="5"/>
        <w:numPr>
          <w:ilvl w:val="0"/>
          <w:numId w:val="0"/>
        </w:numPr>
        <w:rPr>
          <w:rFonts w:hint="eastAsia" w:ascii="宋体" w:hAnsi="宋体" w:cs="宋体"/>
          <w:color w:val="auto"/>
          <w:kern w:val="0"/>
          <w:sz w:val="24"/>
          <w:szCs w:val="24"/>
          <w:highlight w:val="none"/>
          <w:lang w:bidi="ar"/>
        </w:rPr>
      </w:pPr>
    </w:p>
    <w:p>
      <w:pPr>
        <w:spacing w:line="400" w:lineRule="exact"/>
        <w:jc w:val="left"/>
        <w:rPr>
          <w:rFonts w:ascii="仿宋_GB2312" w:hAnsi="仿宋" w:eastAsia="仿宋_GB2312"/>
          <w:color w:val="auto"/>
          <w:sz w:val="28"/>
          <w:szCs w:val="28"/>
          <w:highlight w:val="none"/>
        </w:rPr>
      </w:pPr>
    </w:p>
    <w:p>
      <w:pPr>
        <w:pStyle w:val="26"/>
        <w:rPr>
          <w:rFonts w:ascii="仿宋_GB2312" w:hAnsi="仿宋" w:eastAsia="仿宋_GB2312"/>
          <w:color w:val="auto"/>
          <w:sz w:val="28"/>
          <w:szCs w:val="28"/>
          <w:highlight w:val="none"/>
        </w:rPr>
      </w:pPr>
    </w:p>
    <w:p>
      <w:pPr>
        <w:pStyle w:val="26"/>
        <w:rPr>
          <w:rFonts w:ascii="仿宋_GB2312" w:hAnsi="仿宋" w:eastAsia="仿宋_GB2312"/>
          <w:color w:val="auto"/>
          <w:sz w:val="28"/>
          <w:szCs w:val="28"/>
          <w:highlight w:val="none"/>
        </w:rPr>
      </w:pPr>
    </w:p>
    <w:p>
      <w:pPr>
        <w:pStyle w:val="26"/>
        <w:rPr>
          <w:rFonts w:ascii="仿宋_GB2312" w:hAnsi="仿宋" w:eastAsia="仿宋_GB2312"/>
          <w:color w:val="auto"/>
          <w:sz w:val="28"/>
          <w:szCs w:val="28"/>
          <w:highlight w:val="none"/>
        </w:rPr>
      </w:pPr>
    </w:p>
    <w:p>
      <w:pPr>
        <w:spacing w:line="360" w:lineRule="auto"/>
        <w:ind w:firstLine="3259" w:firstLineChars="1164"/>
        <w:jc w:val="left"/>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投标单位：</w:t>
      </w:r>
      <w:r>
        <w:rPr>
          <w:rFonts w:ascii="仿宋_GB2312" w:hAnsi="仿宋" w:eastAsia="仿宋_GB2312"/>
          <w:color w:val="auto"/>
          <w:sz w:val="28"/>
          <w:szCs w:val="28"/>
          <w:highlight w:val="none"/>
          <w:u w:val="single"/>
        </w:rPr>
        <w:t xml:space="preserve">    （盖公章）   </w:t>
      </w:r>
    </w:p>
    <w:p>
      <w:pPr>
        <w:spacing w:line="360" w:lineRule="auto"/>
        <w:ind w:firstLine="3259" w:firstLineChars="1164"/>
        <w:jc w:val="left"/>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法定代表人：</w:t>
      </w:r>
      <w:r>
        <w:rPr>
          <w:rFonts w:ascii="仿宋_GB2312" w:hAnsi="仿宋" w:eastAsia="仿宋_GB2312"/>
          <w:color w:val="auto"/>
          <w:sz w:val="28"/>
          <w:szCs w:val="28"/>
          <w:highlight w:val="none"/>
          <w:u w:val="single"/>
        </w:rPr>
        <w:t xml:space="preserve">    （签字或盖章）  </w:t>
      </w:r>
    </w:p>
    <w:p>
      <w:pPr>
        <w:spacing w:line="360" w:lineRule="auto"/>
        <w:ind w:firstLine="3259" w:firstLineChars="1164"/>
        <w:jc w:val="left"/>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被授权人（代理人）：</w:t>
      </w:r>
      <w:r>
        <w:rPr>
          <w:rFonts w:ascii="仿宋_GB2312" w:hAnsi="仿宋" w:eastAsia="仿宋_GB2312"/>
          <w:color w:val="auto"/>
          <w:sz w:val="28"/>
          <w:szCs w:val="28"/>
          <w:highlight w:val="none"/>
          <w:u w:val="single"/>
        </w:rPr>
        <w:t xml:space="preserve"> （签字或盖章）  </w:t>
      </w:r>
    </w:p>
    <w:p>
      <w:pPr>
        <w:spacing w:line="360" w:lineRule="auto"/>
        <w:ind w:firstLine="3259" w:firstLineChars="1164"/>
        <w:jc w:val="left"/>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日期：</w:t>
      </w:r>
      <w:r>
        <w:rPr>
          <w:rFonts w:ascii="仿宋_GB2312" w:hAnsi="仿宋" w:eastAsia="仿宋_GB2312"/>
          <w:color w:val="auto"/>
          <w:sz w:val="28"/>
          <w:szCs w:val="28"/>
          <w:highlight w:val="none"/>
          <w:u w:val="single"/>
        </w:rPr>
        <w:t xml:space="preserve">      </w:t>
      </w:r>
      <w:r>
        <w:rPr>
          <w:rFonts w:hint="eastAsia" w:ascii="仿宋_GB2312" w:hAnsi="仿宋" w:eastAsia="仿宋_GB2312"/>
          <w:color w:val="auto"/>
          <w:sz w:val="28"/>
          <w:szCs w:val="28"/>
          <w:highlight w:val="none"/>
        </w:rPr>
        <w:t>年</w:t>
      </w:r>
      <w:r>
        <w:rPr>
          <w:rFonts w:ascii="仿宋_GB2312" w:hAnsi="仿宋" w:eastAsia="仿宋_GB2312"/>
          <w:color w:val="auto"/>
          <w:sz w:val="28"/>
          <w:szCs w:val="28"/>
          <w:highlight w:val="none"/>
          <w:u w:val="single"/>
        </w:rPr>
        <w:t xml:space="preserve">    </w:t>
      </w:r>
      <w:r>
        <w:rPr>
          <w:rFonts w:hint="eastAsia" w:ascii="仿宋_GB2312" w:hAnsi="仿宋" w:eastAsia="仿宋_GB2312"/>
          <w:color w:val="auto"/>
          <w:sz w:val="28"/>
          <w:szCs w:val="28"/>
          <w:highlight w:val="none"/>
        </w:rPr>
        <w:t>月</w:t>
      </w:r>
      <w:r>
        <w:rPr>
          <w:rFonts w:ascii="仿宋_GB2312" w:hAnsi="仿宋" w:eastAsia="仿宋_GB2312"/>
          <w:color w:val="auto"/>
          <w:sz w:val="28"/>
          <w:szCs w:val="28"/>
          <w:highlight w:val="none"/>
          <w:u w:val="single"/>
        </w:rPr>
        <w:t xml:space="preserve">    </w:t>
      </w:r>
      <w:r>
        <w:rPr>
          <w:rFonts w:hint="eastAsia" w:ascii="仿宋_GB2312" w:hAnsi="仿宋" w:eastAsia="仿宋_GB2312"/>
          <w:color w:val="auto"/>
          <w:sz w:val="28"/>
          <w:szCs w:val="28"/>
          <w:highlight w:val="none"/>
        </w:rPr>
        <w:t>日</w:t>
      </w:r>
    </w:p>
    <w:p>
      <w:pPr>
        <w:spacing w:line="360" w:lineRule="auto"/>
        <w:ind w:firstLine="3259" w:firstLineChars="1164"/>
        <w:jc w:val="left"/>
        <w:rPr>
          <w:rFonts w:ascii="仿宋_GB2312" w:hAnsi="仿宋" w:eastAsia="仿宋_GB2312"/>
          <w:color w:val="auto"/>
          <w:sz w:val="28"/>
          <w:szCs w:val="28"/>
          <w:highlight w:val="none"/>
        </w:rPr>
      </w:pPr>
    </w:p>
    <w:p>
      <w:pPr>
        <w:pStyle w:val="26"/>
        <w:rPr>
          <w:rFonts w:ascii="宋体" w:hAnsi="宋体" w:cs="宋体"/>
          <w:color w:val="auto"/>
          <w:kern w:val="0"/>
          <w:highlight w:val="none"/>
        </w:rPr>
      </w:pPr>
    </w:p>
    <w:p>
      <w:pPr>
        <w:pStyle w:val="26"/>
        <w:rPr>
          <w:rFonts w:ascii="宋体" w:hAnsi="宋体" w:cs="宋体"/>
          <w:color w:val="auto"/>
          <w:kern w:val="0"/>
          <w:highlight w:val="none"/>
        </w:rPr>
      </w:pPr>
    </w:p>
    <w:p>
      <w:pPr>
        <w:pStyle w:val="26"/>
        <w:rPr>
          <w:rFonts w:ascii="宋体" w:hAnsi="宋体" w:cs="宋体"/>
          <w:color w:val="auto"/>
          <w:kern w:val="0"/>
          <w:highlight w:val="none"/>
        </w:rPr>
      </w:pPr>
    </w:p>
    <w:p>
      <w:pPr>
        <w:pStyle w:val="26"/>
        <w:rPr>
          <w:rFonts w:ascii="宋体" w:hAnsi="宋体" w:cs="宋体"/>
          <w:color w:val="auto"/>
          <w:kern w:val="0"/>
          <w:highlight w:val="none"/>
        </w:rPr>
      </w:pPr>
    </w:p>
    <w:p>
      <w:pPr>
        <w:pStyle w:val="26"/>
        <w:rPr>
          <w:rFonts w:ascii="宋体" w:hAnsi="宋体" w:cs="宋体"/>
          <w:color w:val="auto"/>
          <w:kern w:val="0"/>
          <w:highlight w:val="none"/>
        </w:rPr>
      </w:pPr>
    </w:p>
    <w:p>
      <w:pPr>
        <w:pStyle w:val="26"/>
        <w:rPr>
          <w:rFonts w:ascii="宋体" w:hAnsi="宋体" w:cs="宋体"/>
          <w:color w:val="auto"/>
          <w:kern w:val="0"/>
          <w:highlight w:val="none"/>
        </w:rPr>
      </w:pPr>
    </w:p>
    <w:p>
      <w:pPr>
        <w:pStyle w:val="5"/>
        <w:ind w:firstLine="0"/>
        <w:rPr>
          <w:rFonts w:ascii="宋体" w:hAnsi="宋体" w:cs="宋体"/>
          <w:color w:val="auto"/>
          <w:kern w:val="0"/>
          <w:sz w:val="24"/>
          <w:szCs w:val="24"/>
          <w:highlight w:val="none"/>
          <w:lang w:bidi="ar"/>
        </w:rPr>
      </w:pPr>
      <w:r>
        <w:rPr>
          <w:rFonts w:hint="eastAsia" w:ascii="宋体" w:hAnsi="宋体" w:cs="宋体"/>
          <w:color w:val="auto"/>
          <w:sz w:val="30"/>
          <w:szCs w:val="30"/>
          <w:highlight w:val="none"/>
        </w:rPr>
        <w:t>工程量清单</w:t>
      </w:r>
    </w:p>
    <w:tbl>
      <w:tblPr>
        <w:tblStyle w:val="41"/>
        <w:tblW w:w="976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2"/>
        <w:gridCol w:w="1494"/>
        <w:gridCol w:w="877"/>
        <w:gridCol w:w="733"/>
        <w:gridCol w:w="1036"/>
        <w:gridCol w:w="804"/>
        <w:gridCol w:w="750"/>
        <w:gridCol w:w="857"/>
        <w:gridCol w:w="945"/>
        <w:gridCol w:w="721"/>
        <w:gridCol w:w="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6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0"/>
                <w:sz w:val="24"/>
                <w:szCs w:val="24"/>
                <w:highlight w:val="none"/>
                <w:lang w:bidi="ar"/>
              </w:rPr>
              <w:t>报价要求：投标报价（含税价）不得高于本项目招标控制价；所报价格均为含税价。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6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0"/>
                <w:sz w:val="24"/>
                <w:szCs w:val="24"/>
                <w:highlight w:val="none"/>
                <w:lang w:bidi="ar"/>
              </w:rPr>
              <w:t>工程名称：东莞</w:t>
            </w:r>
            <w:r>
              <w:rPr>
                <w:rFonts w:hint="eastAsia" w:asciiTheme="minorEastAsia" w:hAnsiTheme="minorEastAsia" w:eastAsiaTheme="minorEastAsia" w:cstheme="minorEastAsia"/>
                <w:color w:val="auto"/>
                <w:kern w:val="0"/>
                <w:sz w:val="24"/>
                <w:szCs w:val="24"/>
                <w:highlight w:val="none"/>
                <w:lang w:eastAsia="zh-CN" w:bidi="ar"/>
              </w:rPr>
              <w:t>市</w:t>
            </w:r>
            <w:r>
              <w:rPr>
                <w:rFonts w:hint="eastAsia" w:asciiTheme="minorEastAsia" w:hAnsiTheme="minorEastAsia" w:eastAsiaTheme="minorEastAsia" w:cstheme="minorEastAsia"/>
                <w:color w:val="auto"/>
                <w:kern w:val="0"/>
                <w:sz w:val="24"/>
                <w:szCs w:val="24"/>
                <w:highlight w:val="none"/>
                <w:lang w:bidi="ar"/>
              </w:rPr>
              <w:t>轨道交通1号线</w:t>
            </w:r>
            <w:r>
              <w:rPr>
                <w:rFonts w:hint="eastAsia" w:asciiTheme="minorEastAsia" w:hAnsiTheme="minorEastAsia" w:eastAsiaTheme="minorEastAsia" w:cstheme="minorEastAsia"/>
                <w:color w:val="auto"/>
                <w:kern w:val="0"/>
                <w:sz w:val="24"/>
                <w:szCs w:val="24"/>
                <w:highlight w:val="none"/>
                <w:lang w:eastAsia="zh-CN" w:bidi="ar"/>
              </w:rPr>
              <w:t>一期工程</w:t>
            </w:r>
            <w:r>
              <w:rPr>
                <w:rFonts w:hint="eastAsia" w:asciiTheme="minorEastAsia" w:hAnsiTheme="minorEastAsia" w:eastAsiaTheme="minorEastAsia" w:cstheme="minorEastAsia"/>
                <w:color w:val="auto"/>
                <w:kern w:val="0"/>
                <w:sz w:val="24"/>
                <w:szCs w:val="24"/>
                <w:highlight w:val="none"/>
                <w:lang w:bidi="ar"/>
              </w:rPr>
              <w:t>2025-2026年结构变形监测项目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6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spacing w:before="0" w:beforeAutospacing="0" w:after="0" w:afterAutospacing="0"/>
              <w:ind w:left="0" w:right="0"/>
              <w:jc w:val="right"/>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监测项目</w:t>
            </w:r>
          </w:p>
        </w:tc>
        <w:tc>
          <w:tcPr>
            <w:tcW w:w="33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布点</w:t>
            </w:r>
          </w:p>
        </w:tc>
        <w:tc>
          <w:tcPr>
            <w:tcW w:w="33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auto"/>
                <w:sz w:val="24"/>
                <w:szCs w:val="24"/>
                <w:highlight w:val="none"/>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单位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监测点数量</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布点单价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合价</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监测次数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总工程量</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监测单价</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隧道</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车站、U型槽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（明挖法）</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竖向位移</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374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2244</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正线隧道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（盾构法）</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竖向位移</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1894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11364</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净空收敛</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断面</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1802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10812</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出入场线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（矿山法）</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竖向位移</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384</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净空收敛</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断面</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桥梁</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墩台沉降</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606</w:t>
            </w:r>
          </w:p>
        </w:tc>
        <w:tc>
          <w:tcPr>
            <w:tcW w:w="804"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1818</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梁体竖向变形</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13860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梁体横向变形</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2310</w:t>
            </w:r>
          </w:p>
        </w:tc>
        <w:tc>
          <w:tcPr>
            <w:tcW w:w="804"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13860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高架车站</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沉降监测</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w:t>
            </w:r>
          </w:p>
        </w:tc>
        <w:tc>
          <w:tcPr>
            <w:tcW w:w="804"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108</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主所</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沉降监测</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场段建筑</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沉降监测</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57</w:t>
            </w:r>
          </w:p>
        </w:tc>
        <w:tc>
          <w:tcPr>
            <w:tcW w:w="804"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171</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边坡</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竖向位移、水平位移监测</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107</w:t>
            </w:r>
          </w:p>
        </w:tc>
        <w:tc>
          <w:tcPr>
            <w:tcW w:w="804"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963</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布点合计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auto"/>
                <w:sz w:val="24"/>
                <w:szCs w:val="24"/>
                <w:highlight w:val="none"/>
                <w:u w:val="none"/>
              </w:rPr>
            </w:pP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监测合计</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总价</w:t>
            </w:r>
          </w:p>
        </w:tc>
        <w:tc>
          <w:tcPr>
            <w:tcW w:w="40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4"/>
                <w:szCs w:val="24"/>
                <w:highlight w:val="none"/>
                <w:u w:val="none"/>
              </w:rPr>
            </w:pPr>
          </w:p>
        </w:tc>
      </w:tr>
    </w:tbl>
    <w:p>
      <w:pPr>
        <w:pStyle w:val="5"/>
        <w:ind w:firstLine="0"/>
        <w:rPr>
          <w:rFonts w:ascii="宋体" w:hAnsi="宋体" w:cs="宋体"/>
          <w:color w:val="auto"/>
          <w:kern w:val="0"/>
          <w:sz w:val="24"/>
          <w:szCs w:val="24"/>
          <w:highlight w:val="none"/>
          <w:lang w:bidi="ar"/>
        </w:rPr>
      </w:pPr>
    </w:p>
    <w:p>
      <w:pPr>
        <w:pStyle w:val="5"/>
        <w:ind w:firstLine="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备注：</w:t>
      </w:r>
    </w:p>
    <w:p>
      <w:pPr>
        <w:pStyle w:val="5"/>
        <w:numPr>
          <w:ilvl w:val="-1"/>
          <w:numId w:val="0"/>
        </w:numPr>
        <w:ind w:firstLine="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工程量按实际发生计量。</w:t>
      </w:r>
    </w:p>
    <w:p>
      <w:pPr>
        <w:pStyle w:val="5"/>
        <w:numPr>
          <w:ilvl w:val="-1"/>
          <w:numId w:val="0"/>
        </w:numPr>
        <w:ind w:firstLine="0"/>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总价金额与单价金额不一致的，以单价金额为准，但单价金额小数点有明显错误的除外。</w:t>
      </w:r>
    </w:p>
    <w:p>
      <w:pPr>
        <w:spacing w:line="400" w:lineRule="exact"/>
        <w:ind w:firstLine="420" w:firstLineChars="200"/>
        <w:rPr>
          <w:rFonts w:hint="eastAsia"/>
          <w:color w:val="auto"/>
          <w:szCs w:val="24"/>
          <w:highlight w:val="none"/>
        </w:rPr>
      </w:pPr>
    </w:p>
    <w:p>
      <w:pPr>
        <w:spacing w:line="360" w:lineRule="auto"/>
        <w:ind w:firstLine="3259" w:firstLineChars="1164"/>
        <w:jc w:val="left"/>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投标单位：</w:t>
      </w:r>
      <w:r>
        <w:rPr>
          <w:rFonts w:ascii="仿宋_GB2312" w:hAnsi="仿宋" w:eastAsia="仿宋_GB2312"/>
          <w:color w:val="auto"/>
          <w:sz w:val="28"/>
          <w:szCs w:val="28"/>
          <w:highlight w:val="none"/>
          <w:u w:val="single"/>
        </w:rPr>
        <w:t xml:space="preserve">    （盖公章）   </w:t>
      </w:r>
    </w:p>
    <w:p>
      <w:pPr>
        <w:spacing w:line="360" w:lineRule="auto"/>
        <w:ind w:firstLine="3259" w:firstLineChars="1164"/>
        <w:jc w:val="left"/>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法定代表人：</w:t>
      </w:r>
      <w:r>
        <w:rPr>
          <w:rFonts w:ascii="仿宋_GB2312" w:hAnsi="仿宋" w:eastAsia="仿宋_GB2312"/>
          <w:color w:val="auto"/>
          <w:sz w:val="28"/>
          <w:szCs w:val="28"/>
          <w:highlight w:val="none"/>
          <w:u w:val="single"/>
        </w:rPr>
        <w:t xml:space="preserve">    （签字或盖章）  </w:t>
      </w:r>
    </w:p>
    <w:p>
      <w:pPr>
        <w:spacing w:line="360" w:lineRule="auto"/>
        <w:ind w:firstLine="3259" w:firstLineChars="1164"/>
        <w:jc w:val="left"/>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被授权人（代理人）：</w:t>
      </w:r>
      <w:r>
        <w:rPr>
          <w:rFonts w:ascii="仿宋_GB2312" w:hAnsi="仿宋" w:eastAsia="仿宋_GB2312"/>
          <w:color w:val="auto"/>
          <w:sz w:val="28"/>
          <w:szCs w:val="28"/>
          <w:highlight w:val="none"/>
          <w:u w:val="single"/>
        </w:rPr>
        <w:t xml:space="preserve"> （签字或盖章）  </w:t>
      </w:r>
    </w:p>
    <w:p>
      <w:pPr>
        <w:spacing w:line="360" w:lineRule="auto"/>
        <w:ind w:firstLine="3259" w:firstLineChars="1164"/>
        <w:jc w:val="left"/>
        <w:rPr>
          <w:rFonts w:ascii="宋体" w:hAnsi="宋体" w:cs="宋体"/>
          <w:color w:val="auto"/>
          <w:kern w:val="0"/>
          <w:highlight w:val="none"/>
        </w:rPr>
      </w:pPr>
      <w:r>
        <w:rPr>
          <w:rFonts w:hint="eastAsia" w:ascii="仿宋_GB2312" w:hAnsi="仿宋" w:eastAsia="仿宋_GB2312"/>
          <w:color w:val="auto"/>
          <w:sz w:val="28"/>
          <w:szCs w:val="28"/>
          <w:highlight w:val="none"/>
        </w:rPr>
        <w:t>日期：</w:t>
      </w:r>
      <w:r>
        <w:rPr>
          <w:rFonts w:ascii="仿宋_GB2312" w:hAnsi="仿宋" w:eastAsia="仿宋_GB2312"/>
          <w:color w:val="auto"/>
          <w:sz w:val="28"/>
          <w:szCs w:val="28"/>
          <w:highlight w:val="none"/>
          <w:u w:val="single"/>
        </w:rPr>
        <w:t xml:space="preserve">      </w:t>
      </w:r>
      <w:r>
        <w:rPr>
          <w:rFonts w:hint="eastAsia" w:ascii="仿宋_GB2312" w:hAnsi="仿宋" w:eastAsia="仿宋_GB2312"/>
          <w:color w:val="auto"/>
          <w:sz w:val="28"/>
          <w:szCs w:val="28"/>
          <w:highlight w:val="none"/>
        </w:rPr>
        <w:t>年</w:t>
      </w:r>
      <w:r>
        <w:rPr>
          <w:rFonts w:ascii="仿宋_GB2312" w:hAnsi="仿宋" w:eastAsia="仿宋_GB2312"/>
          <w:color w:val="auto"/>
          <w:sz w:val="28"/>
          <w:szCs w:val="28"/>
          <w:highlight w:val="none"/>
          <w:u w:val="single"/>
        </w:rPr>
        <w:t xml:space="preserve">    </w:t>
      </w:r>
      <w:r>
        <w:rPr>
          <w:rFonts w:hint="eastAsia" w:ascii="仿宋_GB2312" w:hAnsi="仿宋" w:eastAsia="仿宋_GB2312"/>
          <w:color w:val="auto"/>
          <w:sz w:val="28"/>
          <w:szCs w:val="28"/>
          <w:highlight w:val="none"/>
        </w:rPr>
        <w:t>月</w:t>
      </w:r>
      <w:r>
        <w:rPr>
          <w:rFonts w:ascii="仿宋_GB2312" w:hAnsi="仿宋" w:eastAsia="仿宋_GB2312"/>
          <w:color w:val="auto"/>
          <w:sz w:val="28"/>
          <w:szCs w:val="28"/>
          <w:highlight w:val="none"/>
          <w:u w:val="single"/>
        </w:rPr>
        <w:t xml:space="preserve">    </w:t>
      </w:r>
      <w:r>
        <w:rPr>
          <w:rFonts w:hint="eastAsia" w:ascii="仿宋_GB2312" w:hAnsi="仿宋" w:eastAsia="仿宋_GB2312"/>
          <w:color w:val="auto"/>
          <w:sz w:val="28"/>
          <w:szCs w:val="28"/>
          <w:highlight w:val="none"/>
        </w:rPr>
        <w:t>日</w:t>
      </w:r>
    </w:p>
    <w:p>
      <w:pPr>
        <w:keepNext/>
        <w:keepLines/>
        <w:adjustRightInd w:val="0"/>
        <w:spacing w:before="240" w:after="120"/>
        <w:textAlignment w:val="baseline"/>
        <w:outlineLvl w:val="1"/>
        <w:rPr>
          <w:rFonts w:ascii="宋体" w:hAnsi="宋体" w:eastAsia="黑体"/>
          <w:color w:val="auto"/>
          <w:kern w:val="24"/>
          <w:sz w:val="28"/>
          <w:szCs w:val="20"/>
          <w:highlight w:val="none"/>
        </w:rPr>
      </w:pPr>
      <w:bookmarkStart w:id="1674" w:name="_Toc5864"/>
      <w:bookmarkStart w:id="1675" w:name="_Toc27679"/>
      <w:bookmarkStart w:id="1676" w:name="_Toc1249851591"/>
      <w:bookmarkStart w:id="1677" w:name="_Toc16917"/>
      <w:bookmarkStart w:id="1678" w:name="_Toc170804674"/>
      <w:bookmarkStart w:id="1679" w:name="_Toc11657"/>
      <w:bookmarkStart w:id="1680" w:name="_Toc14807"/>
      <w:bookmarkStart w:id="1681" w:name="_Toc5747"/>
      <w:bookmarkStart w:id="1682" w:name="_Toc15656"/>
      <w:bookmarkStart w:id="1683" w:name="_Toc26926"/>
      <w:bookmarkStart w:id="1684" w:name="_Toc13353"/>
      <w:r>
        <w:rPr>
          <w:rFonts w:hint="eastAsia" w:ascii="宋体" w:hAnsi="宋体" w:eastAsia="黑体"/>
          <w:color w:val="auto"/>
          <w:kern w:val="24"/>
          <w:sz w:val="28"/>
          <w:szCs w:val="20"/>
          <w:highlight w:val="none"/>
        </w:rPr>
        <w:t>7.合同条款响应性承诺书</w:t>
      </w:r>
      <w:bookmarkEnd w:id="1674"/>
      <w:bookmarkEnd w:id="1675"/>
      <w:bookmarkEnd w:id="1676"/>
      <w:bookmarkEnd w:id="1677"/>
      <w:bookmarkEnd w:id="1678"/>
      <w:bookmarkEnd w:id="1679"/>
      <w:bookmarkEnd w:id="1680"/>
      <w:bookmarkEnd w:id="1681"/>
      <w:bookmarkEnd w:id="1682"/>
      <w:bookmarkEnd w:id="1683"/>
      <w:bookmarkEnd w:id="1684"/>
    </w:p>
    <w:p>
      <w:pPr>
        <w:jc w:val="center"/>
        <w:rPr>
          <w:rFonts w:ascii="宋体" w:hAnsi="宋体"/>
          <w:b/>
          <w:color w:val="auto"/>
          <w:sz w:val="28"/>
          <w:szCs w:val="28"/>
          <w:highlight w:val="none"/>
        </w:rPr>
      </w:pPr>
      <w:r>
        <w:rPr>
          <w:rFonts w:hint="eastAsia" w:ascii="宋体" w:hAnsi="宋体"/>
          <w:b/>
          <w:color w:val="auto"/>
          <w:sz w:val="28"/>
          <w:szCs w:val="28"/>
          <w:highlight w:val="none"/>
        </w:rPr>
        <w:t>承诺书</w:t>
      </w:r>
    </w:p>
    <w:p>
      <w:pPr>
        <w:jc w:val="center"/>
        <w:rPr>
          <w:color w:val="auto"/>
          <w:sz w:val="28"/>
          <w:szCs w:val="28"/>
          <w:highlight w:val="none"/>
        </w:rPr>
      </w:pPr>
      <w:r>
        <w:rPr>
          <w:rFonts w:hint="eastAsia"/>
          <w:color w:val="auto"/>
          <w:sz w:val="28"/>
          <w:szCs w:val="28"/>
          <w:highlight w:val="none"/>
        </w:rPr>
        <w:t>（项目名称：</w:t>
      </w:r>
      <w:r>
        <w:rPr>
          <w:color w:val="auto"/>
          <w:sz w:val="28"/>
          <w:szCs w:val="28"/>
          <w:highlight w:val="none"/>
        </w:rPr>
        <w:t xml:space="preserve">        </w:t>
      </w:r>
      <w:r>
        <w:rPr>
          <w:rFonts w:hint="eastAsia"/>
          <w:color w:val="auto"/>
          <w:sz w:val="28"/>
          <w:szCs w:val="28"/>
          <w:highlight w:val="none"/>
        </w:rPr>
        <w:t>）</w:t>
      </w:r>
    </w:p>
    <w:p>
      <w:pPr>
        <w:rPr>
          <w:color w:val="auto"/>
          <w:szCs w:val="24"/>
          <w:highlight w:val="none"/>
        </w:rPr>
      </w:pPr>
    </w:p>
    <w:p>
      <w:pPr>
        <w:rPr>
          <w:color w:val="auto"/>
          <w:sz w:val="32"/>
          <w:szCs w:val="32"/>
          <w:highlight w:val="none"/>
        </w:rPr>
      </w:pPr>
      <w:r>
        <w:rPr>
          <w:rFonts w:hint="eastAsia"/>
          <w:color w:val="auto"/>
          <w:sz w:val="22"/>
          <w:szCs w:val="28"/>
          <w:highlight w:val="none"/>
        </w:rPr>
        <w:t>东莞市轨道一号线建设发展有限公司</w:t>
      </w:r>
      <w:r>
        <w:rPr>
          <w:rFonts w:hint="eastAsia"/>
          <w:color w:val="auto"/>
          <w:sz w:val="32"/>
          <w:szCs w:val="32"/>
          <w:highlight w:val="none"/>
        </w:rPr>
        <w:t>：</w:t>
      </w:r>
    </w:p>
    <w:p>
      <w:pPr>
        <w:tabs>
          <w:tab w:val="left" w:pos="7027"/>
        </w:tabs>
        <w:snapToGrid w:val="0"/>
        <w:spacing w:line="440" w:lineRule="exact"/>
        <w:ind w:left="171" w:firstLine="567"/>
        <w:rPr>
          <w:rFonts w:ascii="宋体" w:hAnsi="宋体"/>
          <w:color w:val="auto"/>
          <w:sz w:val="24"/>
          <w:szCs w:val="24"/>
          <w:highlight w:val="none"/>
        </w:rPr>
      </w:pPr>
      <w:r>
        <w:rPr>
          <w:rFonts w:hint="eastAsia" w:ascii="宋体" w:hAnsi="宋体"/>
          <w:color w:val="auto"/>
          <w:sz w:val="24"/>
          <w:szCs w:val="24"/>
          <w:highlight w:val="none"/>
        </w:rPr>
        <w:t>我司承诺：我方提交的投标文件的内容实质上响应</w:t>
      </w:r>
      <w:r>
        <w:rPr>
          <w:rFonts w:hint="eastAsia"/>
          <w:color w:val="auto"/>
          <w:sz w:val="24"/>
          <w:szCs w:val="24"/>
          <w:highlight w:val="none"/>
        </w:rPr>
        <w:t>招标文件的</w:t>
      </w:r>
      <w:r>
        <w:rPr>
          <w:rFonts w:hint="eastAsia"/>
          <w:color w:val="auto"/>
          <w:sz w:val="24"/>
          <w:szCs w:val="24"/>
          <w:highlight w:val="none"/>
          <w:u w:val="single"/>
        </w:rPr>
        <w:t>第一卷第四章</w:t>
      </w:r>
      <w:r>
        <w:rPr>
          <w:rFonts w:hint="eastAsia"/>
          <w:color w:val="auto"/>
          <w:sz w:val="24"/>
          <w:szCs w:val="24"/>
          <w:highlight w:val="none"/>
          <w:u w:val="single"/>
          <w:lang w:val="en-US" w:eastAsia="zh-CN"/>
        </w:rPr>
        <w:t>合同条款及附件</w:t>
      </w:r>
      <w:r>
        <w:rPr>
          <w:rFonts w:hint="eastAsia"/>
          <w:color w:val="auto"/>
          <w:sz w:val="24"/>
          <w:szCs w:val="24"/>
          <w:highlight w:val="none"/>
          <w:u w:val="single"/>
        </w:rPr>
        <w:t>、第二卷第五章</w:t>
      </w:r>
      <w:r>
        <w:rPr>
          <w:rFonts w:hint="eastAsia"/>
          <w:color w:val="auto"/>
          <w:sz w:val="24"/>
          <w:szCs w:val="24"/>
          <w:highlight w:val="none"/>
          <w:u w:val="single"/>
          <w:lang w:val="en-US" w:eastAsia="zh-CN"/>
        </w:rPr>
        <w:t>委托人要求</w:t>
      </w:r>
      <w:r>
        <w:rPr>
          <w:rFonts w:hint="eastAsia"/>
          <w:color w:val="auto"/>
          <w:sz w:val="24"/>
          <w:szCs w:val="24"/>
          <w:highlight w:val="none"/>
        </w:rPr>
        <w:t>的要求，若投标文件中与招标文件有重大偏离或保留的内容自动作废并按招标文件的要求执行。若我方中标，我方同意并承诺按照招标文件的</w:t>
      </w:r>
      <w:r>
        <w:rPr>
          <w:rFonts w:hint="eastAsia"/>
          <w:color w:val="auto"/>
          <w:sz w:val="24"/>
          <w:szCs w:val="24"/>
          <w:highlight w:val="none"/>
          <w:u w:val="single"/>
        </w:rPr>
        <w:t>第一卷第四章、第二卷第五章</w:t>
      </w:r>
      <w:r>
        <w:rPr>
          <w:rFonts w:hint="eastAsia"/>
          <w:color w:val="auto"/>
          <w:sz w:val="24"/>
          <w:szCs w:val="24"/>
          <w:highlight w:val="none"/>
        </w:rPr>
        <w:t>的要求履行合同，否</w:t>
      </w:r>
      <w:r>
        <w:rPr>
          <w:rFonts w:hint="eastAsia" w:ascii="宋体" w:hAnsi="宋体"/>
          <w:color w:val="auto"/>
          <w:sz w:val="24"/>
          <w:szCs w:val="24"/>
          <w:highlight w:val="none"/>
        </w:rPr>
        <w:t>则视同我司放弃中标。</w:t>
      </w:r>
    </w:p>
    <w:p>
      <w:pPr>
        <w:spacing w:line="440" w:lineRule="exact"/>
        <w:rPr>
          <w:color w:val="auto"/>
          <w:sz w:val="24"/>
          <w:szCs w:val="24"/>
          <w:highlight w:val="none"/>
        </w:rPr>
      </w:pPr>
    </w:p>
    <w:p>
      <w:pPr>
        <w:spacing w:line="360" w:lineRule="auto"/>
        <w:ind w:firstLine="523" w:firstLineChars="218"/>
        <w:rPr>
          <w:rFonts w:ascii="宋体" w:hAnsi="宋体"/>
          <w:color w:val="auto"/>
          <w:sz w:val="24"/>
          <w:szCs w:val="24"/>
          <w:highlight w:val="none"/>
        </w:rPr>
      </w:pPr>
    </w:p>
    <w:p>
      <w:pPr>
        <w:spacing w:line="440" w:lineRule="exact"/>
        <w:ind w:firstLine="3795" w:firstLineChars="1800"/>
        <w:rPr>
          <w:rFonts w:eastAsia="黑体"/>
          <w:b/>
          <w:bCs/>
          <w:color w:val="auto"/>
          <w:szCs w:val="20"/>
          <w:highlight w:val="none"/>
        </w:rPr>
      </w:pPr>
    </w:p>
    <w:p>
      <w:pPr>
        <w:spacing w:line="440" w:lineRule="exact"/>
        <w:ind w:firstLine="480"/>
        <w:rPr>
          <w:rFonts w:eastAsia="黑体"/>
          <w:b/>
          <w:bCs/>
          <w:color w:val="auto"/>
          <w:sz w:val="24"/>
          <w:szCs w:val="20"/>
          <w:highlight w:val="none"/>
        </w:rPr>
      </w:pPr>
    </w:p>
    <w:p>
      <w:pPr>
        <w:rPr>
          <w:color w:val="auto"/>
          <w:sz w:val="24"/>
          <w:szCs w:val="24"/>
          <w:highlight w:val="none"/>
          <w:u w:val="single"/>
        </w:rPr>
      </w:pPr>
      <w:r>
        <w:rPr>
          <w:rFonts w:hint="eastAsia"/>
          <w:color w:val="auto"/>
          <w:sz w:val="24"/>
          <w:szCs w:val="24"/>
          <w:highlight w:val="none"/>
        </w:rPr>
        <w:t>投标人名称：</w:t>
      </w:r>
      <w:r>
        <w:rPr>
          <w:color w:val="auto"/>
          <w:sz w:val="24"/>
          <w:szCs w:val="24"/>
          <w:highlight w:val="none"/>
          <w:u w:val="single"/>
        </w:rPr>
        <w:t xml:space="preserve">                              </w:t>
      </w:r>
      <w:r>
        <w:rPr>
          <w:rFonts w:hint="eastAsia"/>
          <w:color w:val="auto"/>
          <w:sz w:val="24"/>
          <w:szCs w:val="24"/>
          <w:highlight w:val="none"/>
        </w:rPr>
        <w:t>（盖章）</w:t>
      </w:r>
    </w:p>
    <w:p>
      <w:pPr>
        <w:rPr>
          <w:color w:val="auto"/>
          <w:sz w:val="24"/>
          <w:szCs w:val="24"/>
          <w:highlight w:val="none"/>
        </w:rPr>
      </w:pPr>
    </w:p>
    <w:p>
      <w:pPr>
        <w:rPr>
          <w:color w:val="auto"/>
          <w:sz w:val="24"/>
          <w:szCs w:val="24"/>
          <w:highlight w:val="none"/>
        </w:rPr>
      </w:pPr>
      <w:r>
        <w:rPr>
          <w:rFonts w:hint="eastAsia"/>
          <w:color w:val="auto"/>
          <w:sz w:val="24"/>
          <w:szCs w:val="24"/>
          <w:highlight w:val="none"/>
        </w:rPr>
        <w:t>法定代表人：</w:t>
      </w:r>
      <w:r>
        <w:rPr>
          <w:color w:val="auto"/>
          <w:sz w:val="24"/>
          <w:szCs w:val="24"/>
          <w:highlight w:val="none"/>
          <w:u w:val="single"/>
        </w:rPr>
        <w:t xml:space="preserve">                              </w:t>
      </w:r>
      <w:r>
        <w:rPr>
          <w:rFonts w:hint="eastAsia"/>
          <w:color w:val="auto"/>
          <w:sz w:val="24"/>
          <w:szCs w:val="24"/>
          <w:highlight w:val="none"/>
        </w:rPr>
        <w:t>（签字）</w:t>
      </w:r>
    </w:p>
    <w:p>
      <w:pPr>
        <w:rPr>
          <w:color w:val="auto"/>
          <w:sz w:val="24"/>
          <w:szCs w:val="24"/>
          <w:highlight w:val="none"/>
        </w:rPr>
      </w:pPr>
    </w:p>
    <w:p>
      <w:pPr>
        <w:rPr>
          <w:color w:val="auto"/>
          <w:sz w:val="24"/>
          <w:szCs w:val="24"/>
          <w:highlight w:val="none"/>
        </w:rPr>
      </w:pPr>
      <w:r>
        <w:rPr>
          <w:rFonts w:hint="eastAsia"/>
          <w:color w:val="auto"/>
          <w:sz w:val="24"/>
          <w:szCs w:val="24"/>
          <w:highlight w:val="none"/>
        </w:rPr>
        <w:t>被授权人（代理人）：</w:t>
      </w:r>
      <w:r>
        <w:rPr>
          <w:color w:val="auto"/>
          <w:sz w:val="24"/>
          <w:szCs w:val="24"/>
          <w:highlight w:val="none"/>
          <w:u w:val="single"/>
        </w:rPr>
        <w:t xml:space="preserve">                       </w:t>
      </w:r>
      <w:r>
        <w:rPr>
          <w:rFonts w:hint="eastAsia"/>
          <w:color w:val="auto"/>
          <w:sz w:val="24"/>
          <w:szCs w:val="24"/>
          <w:highlight w:val="none"/>
        </w:rPr>
        <w:t>（签字）</w:t>
      </w:r>
    </w:p>
    <w:p>
      <w:pPr>
        <w:rPr>
          <w:color w:val="auto"/>
          <w:sz w:val="24"/>
          <w:szCs w:val="24"/>
          <w:highlight w:val="none"/>
        </w:rPr>
      </w:pPr>
    </w:p>
    <w:p>
      <w:pPr>
        <w:rPr>
          <w:color w:val="auto"/>
          <w:sz w:val="24"/>
          <w:szCs w:val="24"/>
          <w:highlight w:val="none"/>
          <w:u w:val="single"/>
        </w:rPr>
      </w:pPr>
      <w:r>
        <w:rPr>
          <w:rFonts w:hint="eastAsia"/>
          <w:color w:val="auto"/>
          <w:sz w:val="24"/>
          <w:szCs w:val="24"/>
          <w:highlight w:val="none"/>
        </w:rPr>
        <w:t>地址：</w:t>
      </w:r>
      <w:r>
        <w:rPr>
          <w:color w:val="auto"/>
          <w:sz w:val="24"/>
          <w:szCs w:val="24"/>
          <w:highlight w:val="none"/>
          <w:u w:val="single"/>
        </w:rPr>
        <w:t xml:space="preserve">                           </w:t>
      </w:r>
    </w:p>
    <w:p>
      <w:pPr>
        <w:rPr>
          <w:color w:val="auto"/>
          <w:sz w:val="24"/>
          <w:szCs w:val="24"/>
          <w:highlight w:val="none"/>
        </w:rPr>
      </w:pPr>
    </w:p>
    <w:p>
      <w:pPr>
        <w:rPr>
          <w:color w:val="auto"/>
          <w:sz w:val="24"/>
          <w:szCs w:val="24"/>
          <w:highlight w:val="none"/>
        </w:rPr>
      </w:pPr>
      <w:r>
        <w:rPr>
          <w:rFonts w:hint="eastAsia"/>
          <w:color w:val="auto"/>
          <w:sz w:val="24"/>
          <w:szCs w:val="24"/>
          <w:highlight w:val="none"/>
        </w:rPr>
        <w:t>日期：</w:t>
      </w:r>
      <w:r>
        <w:rPr>
          <w:color w:val="auto"/>
          <w:sz w:val="24"/>
          <w:szCs w:val="24"/>
          <w:highlight w:val="none"/>
          <w:u w:val="single"/>
        </w:rPr>
        <w:t xml:space="preserve">         </w:t>
      </w:r>
      <w:r>
        <w:rPr>
          <w:rFonts w:hint="eastAsia"/>
          <w:color w:val="auto"/>
          <w:sz w:val="24"/>
          <w:szCs w:val="24"/>
          <w:highlight w:val="none"/>
        </w:rPr>
        <w:t>年</w:t>
      </w:r>
      <w:r>
        <w:rPr>
          <w:color w:val="auto"/>
          <w:sz w:val="24"/>
          <w:szCs w:val="24"/>
          <w:highlight w:val="none"/>
          <w:u w:val="single"/>
        </w:rPr>
        <w:t xml:space="preserve">     </w:t>
      </w:r>
      <w:r>
        <w:rPr>
          <w:rFonts w:hint="eastAsia"/>
          <w:color w:val="auto"/>
          <w:sz w:val="24"/>
          <w:szCs w:val="24"/>
          <w:highlight w:val="none"/>
        </w:rPr>
        <w:t>月</w:t>
      </w:r>
      <w:r>
        <w:rPr>
          <w:color w:val="auto"/>
          <w:sz w:val="24"/>
          <w:szCs w:val="24"/>
          <w:highlight w:val="none"/>
          <w:u w:val="single"/>
        </w:rPr>
        <w:t xml:space="preserve">     </w:t>
      </w:r>
      <w:r>
        <w:rPr>
          <w:rFonts w:hint="eastAsia"/>
          <w:color w:val="auto"/>
          <w:sz w:val="24"/>
          <w:szCs w:val="24"/>
          <w:highlight w:val="none"/>
        </w:rPr>
        <w:t>日</w:t>
      </w: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keepNext/>
        <w:keepLines/>
        <w:adjustRightInd w:val="0"/>
        <w:spacing w:before="240" w:after="120"/>
        <w:textAlignment w:val="baseline"/>
        <w:outlineLvl w:val="1"/>
        <w:rPr>
          <w:rFonts w:ascii="宋体" w:hAnsi="宋体" w:eastAsia="黑体" w:cs="宋体"/>
          <w:color w:val="auto"/>
          <w:kern w:val="0"/>
          <w:sz w:val="24"/>
          <w:szCs w:val="28"/>
          <w:highlight w:val="none"/>
        </w:rPr>
      </w:pPr>
      <w:bookmarkStart w:id="1685" w:name="_Toc26325"/>
      <w:bookmarkStart w:id="1686" w:name="_Toc16142"/>
      <w:bookmarkStart w:id="1687" w:name="_Toc16379"/>
      <w:bookmarkStart w:id="1688" w:name="_Toc25388"/>
      <w:bookmarkStart w:id="1689" w:name="_Toc1540"/>
      <w:bookmarkStart w:id="1690" w:name="_Toc16738"/>
      <w:bookmarkStart w:id="1691" w:name="_Toc1718138630"/>
      <w:bookmarkStart w:id="1692" w:name="_Toc6753"/>
      <w:bookmarkStart w:id="1693" w:name="_Toc170804675"/>
      <w:bookmarkStart w:id="1694" w:name="_Toc21291"/>
      <w:bookmarkStart w:id="1695" w:name="_Toc9194"/>
      <w:r>
        <w:rPr>
          <w:rFonts w:hint="eastAsia" w:ascii="宋体" w:hAnsi="宋体" w:eastAsia="黑体"/>
          <w:color w:val="auto"/>
          <w:kern w:val="24"/>
          <w:sz w:val="28"/>
          <w:szCs w:val="20"/>
          <w:highlight w:val="none"/>
        </w:rPr>
        <w:t>8.拟投入本项目的主要仪器设备表</w:t>
      </w:r>
      <w:bookmarkEnd w:id="1685"/>
      <w:bookmarkEnd w:id="1686"/>
      <w:bookmarkEnd w:id="1687"/>
      <w:bookmarkEnd w:id="1688"/>
      <w:bookmarkEnd w:id="1689"/>
      <w:bookmarkEnd w:id="1690"/>
      <w:bookmarkEnd w:id="1691"/>
      <w:bookmarkEnd w:id="1692"/>
      <w:bookmarkEnd w:id="1693"/>
      <w:bookmarkEnd w:id="1694"/>
      <w:bookmarkEnd w:id="1695"/>
    </w:p>
    <w:p>
      <w:pPr>
        <w:spacing w:line="360" w:lineRule="auto"/>
        <w:rPr>
          <w:rFonts w:ascii="宋体" w:hAnsi="宋体"/>
          <w:color w:val="auto"/>
          <w:spacing w:val="20"/>
          <w:sz w:val="24"/>
          <w:szCs w:val="24"/>
          <w:highlight w:val="none"/>
        </w:rPr>
      </w:pPr>
    </w:p>
    <w:p>
      <w:pPr>
        <w:jc w:val="center"/>
        <w:rPr>
          <w:rFonts w:ascii="仿宋_GB2312" w:hAnsi="仿宋" w:eastAsia="仿宋_GB2312"/>
          <w:b/>
          <w:color w:val="auto"/>
          <w:sz w:val="28"/>
          <w:szCs w:val="28"/>
          <w:highlight w:val="none"/>
        </w:rPr>
      </w:pPr>
      <w:r>
        <w:rPr>
          <w:rFonts w:hint="eastAsia" w:ascii="仿宋_GB2312" w:hAnsi="仿宋" w:eastAsia="仿宋_GB2312"/>
          <w:b/>
          <w:color w:val="auto"/>
          <w:sz w:val="28"/>
          <w:szCs w:val="28"/>
          <w:highlight w:val="none"/>
        </w:rPr>
        <w:t>拟投入本项目的主要仪器设备表</w:t>
      </w:r>
    </w:p>
    <w:tbl>
      <w:tblPr>
        <w:tblStyle w:val="41"/>
        <w:tblW w:w="8791" w:type="dxa"/>
        <w:jc w:val="center"/>
        <w:tblLayout w:type="autofit"/>
        <w:tblCellMar>
          <w:top w:w="0" w:type="dxa"/>
          <w:left w:w="108" w:type="dxa"/>
          <w:bottom w:w="0" w:type="dxa"/>
          <w:right w:w="108" w:type="dxa"/>
        </w:tblCellMar>
      </w:tblPr>
      <w:tblGrid>
        <w:gridCol w:w="750"/>
        <w:gridCol w:w="953"/>
        <w:gridCol w:w="1560"/>
        <w:gridCol w:w="1276"/>
        <w:gridCol w:w="1134"/>
        <w:gridCol w:w="1276"/>
        <w:gridCol w:w="1134"/>
        <w:gridCol w:w="708"/>
      </w:tblGrid>
      <w:tr>
        <w:tblPrEx>
          <w:tblCellMar>
            <w:top w:w="0" w:type="dxa"/>
            <w:left w:w="108" w:type="dxa"/>
            <w:bottom w:w="0" w:type="dxa"/>
            <w:right w:w="108" w:type="dxa"/>
          </w:tblCellMar>
        </w:tblPrEx>
        <w:trPr>
          <w:trHeight w:val="720" w:hRule="atLeast"/>
          <w:jc w:val="center"/>
        </w:trPr>
        <w:tc>
          <w:tcPr>
            <w:tcW w:w="750" w:type="dxa"/>
            <w:tcBorders>
              <w:top w:val="single" w:color="auto" w:sz="8"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序</w:t>
            </w:r>
            <w:r>
              <w:rPr>
                <w:rFonts w:hint="default" w:ascii="仿宋_GB2312" w:hAnsi="仿宋" w:eastAsia="仿宋_GB2312" w:cs="宋体"/>
                <w:color w:val="auto"/>
                <w:kern w:val="0"/>
                <w:sz w:val="24"/>
                <w:szCs w:val="24"/>
                <w:highlight w:val="none"/>
              </w:rPr>
              <w:t xml:space="preserve">                </w:t>
            </w:r>
            <w:r>
              <w:rPr>
                <w:rFonts w:hint="eastAsia" w:ascii="仿宋_GB2312" w:hAnsi="仿宋" w:eastAsia="仿宋_GB2312" w:cs="宋体"/>
                <w:color w:val="auto"/>
                <w:kern w:val="0"/>
                <w:sz w:val="24"/>
                <w:szCs w:val="24"/>
                <w:highlight w:val="none"/>
              </w:rPr>
              <w:t>号</w:t>
            </w:r>
          </w:p>
        </w:tc>
        <w:tc>
          <w:tcPr>
            <w:tcW w:w="953" w:type="dxa"/>
            <w:tcBorders>
              <w:top w:val="single" w:color="auto" w:sz="8" w:space="0"/>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仪器设备名称</w:t>
            </w:r>
          </w:p>
        </w:tc>
        <w:tc>
          <w:tcPr>
            <w:tcW w:w="1560" w:type="dxa"/>
            <w:tcBorders>
              <w:top w:val="single" w:color="auto" w:sz="8" w:space="0"/>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型号</w:t>
            </w:r>
          </w:p>
        </w:tc>
        <w:tc>
          <w:tcPr>
            <w:tcW w:w="1276" w:type="dxa"/>
            <w:tcBorders>
              <w:top w:val="single" w:color="auto" w:sz="8" w:space="0"/>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制</w:t>
            </w:r>
            <w:r>
              <w:rPr>
                <w:rFonts w:hint="default" w:ascii="仿宋_GB2312" w:hAnsi="仿宋" w:eastAsia="仿宋_GB2312" w:cs="宋体"/>
                <w:color w:val="auto"/>
                <w:kern w:val="0"/>
                <w:sz w:val="24"/>
                <w:szCs w:val="24"/>
                <w:highlight w:val="none"/>
              </w:rPr>
              <w:t xml:space="preserve"> </w:t>
            </w:r>
            <w:r>
              <w:rPr>
                <w:rFonts w:hint="eastAsia" w:ascii="仿宋_GB2312" w:hAnsi="仿宋" w:eastAsia="仿宋_GB2312" w:cs="宋体"/>
                <w:color w:val="auto"/>
                <w:kern w:val="0"/>
                <w:sz w:val="24"/>
                <w:szCs w:val="24"/>
                <w:highlight w:val="none"/>
              </w:rPr>
              <w:t>造</w:t>
            </w:r>
            <w:r>
              <w:rPr>
                <w:rFonts w:hint="default" w:ascii="仿宋_GB2312" w:hAnsi="仿宋" w:eastAsia="仿宋_GB2312" w:cs="宋体"/>
                <w:color w:val="auto"/>
                <w:kern w:val="0"/>
                <w:sz w:val="24"/>
                <w:szCs w:val="24"/>
                <w:highlight w:val="none"/>
              </w:rPr>
              <w:t xml:space="preserve"> </w:t>
            </w:r>
            <w:r>
              <w:rPr>
                <w:rFonts w:hint="eastAsia" w:ascii="仿宋_GB2312" w:hAnsi="仿宋" w:eastAsia="仿宋_GB2312" w:cs="宋体"/>
                <w:color w:val="auto"/>
                <w:kern w:val="0"/>
                <w:sz w:val="24"/>
                <w:szCs w:val="24"/>
                <w:highlight w:val="none"/>
              </w:rPr>
              <w:t>厂</w:t>
            </w:r>
          </w:p>
        </w:tc>
        <w:tc>
          <w:tcPr>
            <w:tcW w:w="1134" w:type="dxa"/>
            <w:tcBorders>
              <w:top w:val="single" w:color="auto" w:sz="8" w:space="0"/>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107" w:leftChars="-51" w:right="0"/>
              <w:jc w:val="center"/>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检定</w:t>
            </w:r>
            <w:r>
              <w:rPr>
                <w:rFonts w:hint="default" w:ascii="仿宋_GB2312" w:hAnsi="仿宋" w:eastAsia="仿宋_GB2312" w:cs="宋体"/>
                <w:color w:val="auto"/>
                <w:kern w:val="0"/>
                <w:sz w:val="24"/>
                <w:szCs w:val="24"/>
                <w:highlight w:val="none"/>
              </w:rPr>
              <w:t>/校准机构</w:t>
            </w:r>
          </w:p>
        </w:tc>
        <w:tc>
          <w:tcPr>
            <w:tcW w:w="1276" w:type="dxa"/>
            <w:tcBorders>
              <w:top w:val="single" w:color="auto" w:sz="8" w:space="0"/>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有效期</w:t>
            </w:r>
          </w:p>
        </w:tc>
        <w:tc>
          <w:tcPr>
            <w:tcW w:w="1134" w:type="dxa"/>
            <w:tcBorders>
              <w:top w:val="single" w:color="auto" w:sz="8" w:space="0"/>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检定</w:t>
            </w:r>
            <w:r>
              <w:rPr>
                <w:rFonts w:hint="default" w:ascii="仿宋_GB2312" w:hAnsi="仿宋" w:eastAsia="仿宋_GB2312" w:cs="宋体"/>
                <w:color w:val="auto"/>
                <w:kern w:val="0"/>
                <w:sz w:val="24"/>
                <w:szCs w:val="24"/>
                <w:highlight w:val="none"/>
              </w:rPr>
              <w:t>/校准周期</w:t>
            </w:r>
          </w:p>
        </w:tc>
        <w:tc>
          <w:tcPr>
            <w:tcW w:w="708" w:type="dxa"/>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备注</w:t>
            </w:r>
          </w:p>
        </w:tc>
      </w:tr>
      <w:tr>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8"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8"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8"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8"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8"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8"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8"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8"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bl>
    <w:p>
      <w:pPr>
        <w:spacing w:line="400" w:lineRule="exact"/>
        <w:jc w:val="left"/>
        <w:rPr>
          <w:rFonts w:ascii="仿宋_GB2312" w:hAnsi="仿宋" w:eastAsia="仿宋_GB2312"/>
          <w:color w:val="auto"/>
          <w:sz w:val="28"/>
          <w:szCs w:val="28"/>
          <w:highlight w:val="none"/>
        </w:rPr>
      </w:pPr>
    </w:p>
    <w:p>
      <w:pPr>
        <w:spacing w:line="400" w:lineRule="exact"/>
        <w:jc w:val="left"/>
        <w:rPr>
          <w:rFonts w:ascii="宋体" w:hAnsi="宋体" w:cs="宋体"/>
          <w:color w:val="auto"/>
          <w:kern w:val="0"/>
          <w:szCs w:val="28"/>
          <w:highlight w:val="none"/>
        </w:rPr>
      </w:pPr>
      <w:r>
        <w:rPr>
          <w:rFonts w:hint="eastAsia" w:ascii="宋体" w:hAnsi="宋体" w:cs="宋体"/>
          <w:color w:val="auto"/>
          <w:kern w:val="0"/>
          <w:szCs w:val="28"/>
          <w:highlight w:val="none"/>
        </w:rPr>
        <w:t>备注</w:t>
      </w:r>
      <w:r>
        <w:rPr>
          <w:rFonts w:ascii="宋体" w:hAnsi="宋体" w:cs="宋体"/>
          <w:color w:val="auto"/>
          <w:kern w:val="0"/>
          <w:szCs w:val="28"/>
          <w:highlight w:val="none"/>
        </w:rPr>
        <w:t>: 1、附该表所列仪器设备购买发票或</w:t>
      </w:r>
      <w:r>
        <w:rPr>
          <w:rFonts w:hint="eastAsia" w:ascii="宋体" w:hAnsi="宋体" w:cs="宋体"/>
          <w:color w:val="auto"/>
          <w:kern w:val="0"/>
          <w:szCs w:val="28"/>
          <w:highlight w:val="none"/>
          <w:lang w:val="en-US" w:eastAsia="zh-CN"/>
        </w:rPr>
        <w:t>租赁合同等相关</w:t>
      </w:r>
      <w:r>
        <w:rPr>
          <w:rFonts w:ascii="宋体" w:hAnsi="宋体" w:cs="宋体"/>
          <w:color w:val="auto"/>
          <w:kern w:val="0"/>
          <w:szCs w:val="28"/>
          <w:highlight w:val="none"/>
        </w:rPr>
        <w:t>证明材料；</w:t>
      </w:r>
    </w:p>
    <w:p>
      <w:pPr>
        <w:spacing w:line="400" w:lineRule="exact"/>
        <w:ind w:firstLine="630" w:firstLineChars="300"/>
        <w:jc w:val="left"/>
        <w:rPr>
          <w:rFonts w:ascii="宋体" w:hAnsi="宋体" w:cs="宋体"/>
          <w:color w:val="auto"/>
          <w:kern w:val="0"/>
          <w:szCs w:val="28"/>
          <w:highlight w:val="none"/>
        </w:rPr>
      </w:pPr>
      <w:r>
        <w:rPr>
          <w:rFonts w:ascii="宋体" w:hAnsi="宋体" w:cs="宋体"/>
          <w:color w:val="auto"/>
          <w:kern w:val="0"/>
          <w:szCs w:val="28"/>
          <w:highlight w:val="none"/>
        </w:rPr>
        <w:t>2、附该表所列仪器设备</w:t>
      </w:r>
      <w:r>
        <w:rPr>
          <w:rFonts w:hint="eastAsia" w:ascii="宋体" w:hAnsi="宋体" w:cs="宋体"/>
          <w:color w:val="auto"/>
          <w:kern w:val="0"/>
          <w:szCs w:val="28"/>
          <w:highlight w:val="none"/>
        </w:rPr>
        <w:t>检定（校准）证书等有</w:t>
      </w:r>
      <w:bookmarkStart w:id="1696" w:name="OLE_LINK18"/>
      <w:r>
        <w:rPr>
          <w:rFonts w:hint="eastAsia" w:ascii="宋体" w:hAnsi="宋体" w:cs="宋体"/>
          <w:color w:val="auto"/>
          <w:kern w:val="0"/>
          <w:szCs w:val="28"/>
          <w:highlight w:val="none"/>
        </w:rPr>
        <w:t>效</w:t>
      </w:r>
      <w:bookmarkEnd w:id="1696"/>
      <w:r>
        <w:rPr>
          <w:rFonts w:hint="eastAsia" w:ascii="宋体" w:hAnsi="宋体" w:cs="宋体"/>
          <w:color w:val="auto"/>
          <w:kern w:val="0"/>
          <w:szCs w:val="28"/>
          <w:highlight w:val="none"/>
        </w:rPr>
        <w:t>证明。</w:t>
      </w:r>
    </w:p>
    <w:p>
      <w:pPr>
        <w:spacing w:line="400" w:lineRule="exact"/>
        <w:jc w:val="left"/>
        <w:rPr>
          <w:rFonts w:ascii="仿宋_GB2312" w:hAnsi="仿宋" w:eastAsia="仿宋_GB2312"/>
          <w:color w:val="auto"/>
          <w:sz w:val="28"/>
          <w:szCs w:val="28"/>
          <w:highlight w:val="none"/>
        </w:rPr>
      </w:pPr>
    </w:p>
    <w:p>
      <w:pPr>
        <w:widowControl/>
        <w:jc w:val="left"/>
        <w:rPr>
          <w:rFonts w:ascii="宋体" w:hAnsi="宋体" w:cs="宋体"/>
          <w:b/>
          <w:color w:val="auto"/>
          <w:kern w:val="0"/>
          <w:sz w:val="44"/>
          <w:szCs w:val="28"/>
          <w:highlight w:val="none"/>
        </w:rPr>
      </w:pPr>
    </w:p>
    <w:p>
      <w:pPr>
        <w:keepNext/>
        <w:keepLines/>
        <w:adjustRightInd w:val="0"/>
        <w:spacing w:before="240" w:after="120"/>
        <w:textAlignment w:val="baseline"/>
        <w:outlineLvl w:val="1"/>
        <w:rPr>
          <w:rFonts w:ascii="宋体" w:hAnsi="宋体" w:eastAsia="黑体" w:cs="宋体"/>
          <w:color w:val="auto"/>
          <w:kern w:val="0"/>
          <w:sz w:val="28"/>
          <w:szCs w:val="28"/>
          <w:highlight w:val="none"/>
        </w:rPr>
      </w:pPr>
      <w:r>
        <w:rPr>
          <w:rFonts w:ascii="宋体" w:hAnsi="宋体" w:eastAsia="黑体" w:cs="宋体"/>
          <w:color w:val="auto"/>
          <w:kern w:val="0"/>
          <w:sz w:val="24"/>
          <w:szCs w:val="28"/>
          <w:highlight w:val="none"/>
        </w:rPr>
        <w:br w:type="page"/>
      </w:r>
      <w:bookmarkStart w:id="1697" w:name="_Toc22207"/>
      <w:bookmarkStart w:id="1698" w:name="_Toc170804676"/>
      <w:bookmarkStart w:id="1699" w:name="_Toc18680"/>
      <w:bookmarkStart w:id="1700" w:name="_Toc27798"/>
      <w:bookmarkStart w:id="1701" w:name="_Toc23357"/>
      <w:bookmarkStart w:id="1702" w:name="_Toc2781"/>
      <w:bookmarkStart w:id="1703" w:name="_Toc17354"/>
      <w:bookmarkStart w:id="1704" w:name="_Toc1690836848"/>
      <w:bookmarkStart w:id="1705" w:name="_Toc31521"/>
      <w:bookmarkStart w:id="1706" w:name="_Toc15708"/>
      <w:bookmarkStart w:id="1707" w:name="_Toc9709"/>
      <w:r>
        <w:rPr>
          <w:rFonts w:hint="eastAsia" w:ascii="宋体" w:hAnsi="宋体" w:eastAsia="黑体"/>
          <w:color w:val="auto"/>
          <w:kern w:val="0"/>
          <w:sz w:val="28"/>
          <w:szCs w:val="28"/>
          <w:highlight w:val="none"/>
        </w:rPr>
        <w:t>9</w:t>
      </w:r>
      <w:r>
        <w:rPr>
          <w:rFonts w:ascii="宋体" w:hAnsi="宋体" w:eastAsia="黑体"/>
          <w:color w:val="auto"/>
          <w:kern w:val="0"/>
          <w:sz w:val="28"/>
          <w:szCs w:val="28"/>
          <w:highlight w:val="none"/>
        </w:rPr>
        <w:t>.</w:t>
      </w:r>
      <w:bookmarkEnd w:id="1697"/>
      <w:bookmarkEnd w:id="1698"/>
      <w:r>
        <w:rPr>
          <w:rFonts w:hint="eastAsia" w:ascii="宋体" w:hAnsi="宋体" w:eastAsia="黑体"/>
          <w:color w:val="auto"/>
          <w:kern w:val="0"/>
          <w:sz w:val="28"/>
          <w:szCs w:val="28"/>
          <w:highlight w:val="none"/>
          <w:lang w:val="en-US" w:eastAsia="zh-CN"/>
        </w:rPr>
        <w:t>技术</w:t>
      </w:r>
      <w:r>
        <w:rPr>
          <w:rFonts w:hint="eastAsia" w:ascii="宋体" w:hAnsi="宋体" w:eastAsia="黑体"/>
          <w:color w:val="auto"/>
          <w:kern w:val="0"/>
          <w:sz w:val="28"/>
          <w:szCs w:val="28"/>
          <w:highlight w:val="none"/>
        </w:rPr>
        <w:t>方案</w:t>
      </w:r>
      <w:bookmarkEnd w:id="1699"/>
      <w:bookmarkEnd w:id="1700"/>
      <w:bookmarkEnd w:id="1701"/>
      <w:bookmarkEnd w:id="1702"/>
      <w:bookmarkEnd w:id="1703"/>
      <w:bookmarkEnd w:id="1704"/>
      <w:bookmarkEnd w:id="1705"/>
      <w:bookmarkEnd w:id="1706"/>
      <w:bookmarkEnd w:id="1707"/>
    </w:p>
    <w:p>
      <w:pPr>
        <w:spacing w:line="360" w:lineRule="auto"/>
        <w:ind w:firstLine="420" w:firstLineChars="200"/>
        <w:rPr>
          <w:b/>
          <w:color w:val="auto"/>
          <w:sz w:val="22"/>
          <w:szCs w:val="22"/>
          <w:highlight w:val="none"/>
        </w:rPr>
      </w:pPr>
      <w:r>
        <w:rPr>
          <w:rFonts w:hint="eastAsia"/>
          <w:color w:val="auto"/>
          <w:szCs w:val="21"/>
          <w:highlight w:val="none"/>
        </w:rPr>
        <w:t>各</w:t>
      </w:r>
      <w:r>
        <w:rPr>
          <w:rFonts w:hint="eastAsia" w:ascii="Times New Roman" w:hAnsi="Times New Roman" w:eastAsia="宋体" w:cs="Times New Roman"/>
          <w:color w:val="auto"/>
          <w:szCs w:val="21"/>
          <w:highlight w:val="none"/>
        </w:rPr>
        <w:t>投标人应按照招标文件的规定，结合自身的监测服务工作经验，充分考虑本工程现场的各种实际情况</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b w:val="0"/>
          <w:color w:val="auto"/>
          <w:sz w:val="21"/>
          <w:szCs w:val="21"/>
          <w:highlight w:val="none"/>
        </w:rPr>
        <w:t>该方案应满足或高于招标文件要求，具体内容包括不限于本项目招标文件评分标准中所列内容</w:t>
      </w:r>
      <w:r>
        <w:rPr>
          <w:rFonts w:hint="eastAsia" w:ascii="Times New Roman" w:hAnsi="Times New Roman" w:eastAsia="宋体" w:cs="Times New Roman"/>
          <w:b w:val="0"/>
          <w:color w:val="auto"/>
          <w:sz w:val="21"/>
          <w:szCs w:val="21"/>
          <w:highlight w:val="none"/>
          <w:lang w:val="en-US" w:eastAsia="zh-CN"/>
        </w:rPr>
        <w:t>(</w:t>
      </w:r>
      <w:r>
        <w:rPr>
          <w:rFonts w:hint="eastAsia" w:ascii="Times New Roman" w:hAnsi="Times New Roman" w:eastAsia="宋体" w:cs="Times New Roman"/>
          <w:color w:val="auto"/>
          <w:szCs w:val="21"/>
          <w:highlight w:val="none"/>
        </w:rPr>
        <w:t>监测</w:t>
      </w:r>
      <w:r>
        <w:rPr>
          <w:rFonts w:hint="eastAsia" w:ascii="Times New Roman" w:hAnsi="Times New Roman" w:eastAsia="宋体" w:cs="Times New Roman"/>
          <w:color w:val="auto"/>
          <w:szCs w:val="21"/>
          <w:highlight w:val="none"/>
          <w:lang w:val="en-US" w:eastAsia="zh-CN"/>
        </w:rPr>
        <w:t>技术</w:t>
      </w:r>
      <w:r>
        <w:rPr>
          <w:rFonts w:hint="eastAsia" w:ascii="Times New Roman" w:hAnsi="Times New Roman" w:eastAsia="宋体" w:cs="Times New Roman"/>
          <w:color w:val="auto"/>
          <w:szCs w:val="21"/>
          <w:highlight w:val="none"/>
        </w:rPr>
        <w:t>方案</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应急预案、项目进度计划等</w:t>
      </w:r>
      <w:r>
        <w:rPr>
          <w:rFonts w:hint="eastAsia" w:ascii="Times New Roman" w:hAnsi="Times New Roman" w:eastAsia="宋体" w:cs="Times New Roman"/>
          <w:b w:val="0"/>
          <w:color w:val="auto"/>
          <w:sz w:val="21"/>
          <w:szCs w:val="21"/>
          <w:highlight w:val="none"/>
          <w:lang w:val="en-US" w:eastAsia="zh-CN"/>
        </w:rPr>
        <w:t>)</w:t>
      </w:r>
      <w:r>
        <w:rPr>
          <w:rFonts w:hint="eastAsia" w:ascii="Times New Roman" w:hAnsi="Times New Roman" w:eastAsia="宋体" w:cs="Times New Roman"/>
          <w:b w:val="0"/>
          <w:color w:val="auto"/>
          <w:sz w:val="21"/>
          <w:szCs w:val="21"/>
          <w:highlight w:val="none"/>
        </w:rPr>
        <w:t>。投标人应尽可能提供详细说明，以便评委会对投标方案有详细了解。</w:t>
      </w:r>
    </w:p>
    <w:p>
      <w:pPr>
        <w:spacing w:line="360" w:lineRule="auto"/>
        <w:ind w:firstLine="474" w:firstLineChars="226"/>
        <w:rPr>
          <w:color w:val="auto"/>
          <w:szCs w:val="21"/>
          <w:highlight w:val="none"/>
        </w:rPr>
      </w:pPr>
    </w:p>
    <w:p>
      <w:pPr>
        <w:keepNext/>
        <w:keepLines/>
        <w:adjustRightInd w:val="0"/>
        <w:spacing w:before="240" w:after="120"/>
        <w:textAlignment w:val="baseline"/>
        <w:outlineLvl w:val="1"/>
        <w:rPr>
          <w:rFonts w:ascii="黑体" w:hAnsi="黑体" w:eastAsia="黑体" w:cs="宋体"/>
          <w:color w:val="auto"/>
          <w:kern w:val="0"/>
          <w:sz w:val="28"/>
          <w:szCs w:val="28"/>
          <w:highlight w:val="none"/>
        </w:rPr>
      </w:pPr>
      <w:r>
        <w:rPr>
          <w:rFonts w:ascii="宋体" w:hAnsi="宋体" w:eastAsia="黑体" w:cs="宋体"/>
          <w:color w:val="auto"/>
          <w:kern w:val="0"/>
          <w:sz w:val="24"/>
          <w:szCs w:val="28"/>
          <w:highlight w:val="none"/>
        </w:rPr>
        <w:br w:type="page"/>
      </w:r>
      <w:bookmarkStart w:id="1708" w:name="_Toc9311"/>
      <w:bookmarkStart w:id="1709" w:name="_Toc2624"/>
      <w:bookmarkStart w:id="1710" w:name="_Toc170804677"/>
      <w:bookmarkStart w:id="1711" w:name="_Toc21401"/>
      <w:bookmarkStart w:id="1712" w:name="_Toc31851"/>
      <w:bookmarkStart w:id="1713" w:name="_Toc243803585"/>
      <w:bookmarkStart w:id="1714" w:name="_Toc10778"/>
      <w:bookmarkStart w:id="1715" w:name="_Toc2081"/>
      <w:bookmarkStart w:id="1716" w:name="_Toc6770"/>
      <w:bookmarkStart w:id="1717" w:name="_Toc9395"/>
      <w:bookmarkStart w:id="1718" w:name="_Toc19746"/>
      <w:r>
        <w:rPr>
          <w:rFonts w:ascii="黑体" w:hAnsi="黑体" w:eastAsia="黑体"/>
          <w:color w:val="auto"/>
          <w:kern w:val="0"/>
          <w:sz w:val="28"/>
          <w:szCs w:val="28"/>
          <w:highlight w:val="none"/>
        </w:rPr>
        <w:t>1</w:t>
      </w:r>
      <w:r>
        <w:rPr>
          <w:rFonts w:hint="eastAsia" w:ascii="黑体" w:hAnsi="黑体" w:eastAsia="黑体"/>
          <w:color w:val="auto"/>
          <w:kern w:val="0"/>
          <w:sz w:val="28"/>
          <w:szCs w:val="28"/>
          <w:highlight w:val="none"/>
        </w:rPr>
        <w:t>0</w:t>
      </w:r>
      <w:r>
        <w:rPr>
          <w:rFonts w:ascii="黑体" w:hAnsi="黑体" w:eastAsia="黑体"/>
          <w:color w:val="auto"/>
          <w:kern w:val="0"/>
          <w:sz w:val="28"/>
          <w:szCs w:val="28"/>
          <w:highlight w:val="none"/>
        </w:rPr>
        <w:t>.</w:t>
      </w:r>
      <w:r>
        <w:rPr>
          <w:rFonts w:hint="eastAsia" w:ascii="黑体" w:hAnsi="黑体" w:eastAsia="黑体"/>
          <w:color w:val="auto"/>
          <w:kern w:val="0"/>
          <w:sz w:val="28"/>
          <w:szCs w:val="28"/>
          <w:highlight w:val="none"/>
        </w:rPr>
        <w:t>资格审查材料</w:t>
      </w:r>
      <w:bookmarkEnd w:id="1708"/>
      <w:bookmarkEnd w:id="1709"/>
      <w:bookmarkEnd w:id="1710"/>
      <w:bookmarkEnd w:id="1711"/>
      <w:bookmarkEnd w:id="1712"/>
      <w:bookmarkEnd w:id="1713"/>
      <w:bookmarkEnd w:id="1714"/>
      <w:bookmarkEnd w:id="1715"/>
      <w:bookmarkEnd w:id="1716"/>
      <w:bookmarkEnd w:id="1717"/>
      <w:bookmarkEnd w:id="1718"/>
    </w:p>
    <w:p>
      <w:pPr>
        <w:keepNext/>
        <w:keepLines/>
        <w:spacing w:before="260" w:after="260" w:line="412" w:lineRule="auto"/>
        <w:ind w:firstLine="137" w:firstLineChars="49"/>
        <w:outlineLvl w:val="2"/>
        <w:rPr>
          <w:rFonts w:ascii="宋体" w:hAnsi="宋体" w:eastAsia="黑体" w:cs="宋体"/>
          <w:color w:val="auto"/>
          <w:kern w:val="0"/>
          <w:sz w:val="28"/>
          <w:szCs w:val="28"/>
          <w:highlight w:val="none"/>
        </w:rPr>
      </w:pPr>
      <w:bookmarkStart w:id="1719" w:name="_Toc10141"/>
      <w:bookmarkStart w:id="1720" w:name="_Toc208054619"/>
      <w:bookmarkStart w:id="1721" w:name="_Toc28225"/>
      <w:bookmarkStart w:id="1722" w:name="_Toc12594"/>
      <w:bookmarkStart w:id="1723" w:name="_Toc31265"/>
      <w:bookmarkStart w:id="1724" w:name="_Toc27440"/>
      <w:bookmarkStart w:id="1725" w:name="_Toc170804678"/>
      <w:bookmarkStart w:id="1726" w:name="_Toc17640"/>
      <w:bookmarkStart w:id="1727" w:name="_Toc24641"/>
      <w:bookmarkStart w:id="1728" w:name="_Toc29036"/>
      <w:bookmarkStart w:id="1729" w:name="_Toc10716"/>
      <w:r>
        <w:rPr>
          <w:rFonts w:ascii="宋体" w:hAnsi="宋体" w:eastAsia="黑体"/>
          <w:color w:val="auto"/>
          <w:sz w:val="28"/>
          <w:szCs w:val="20"/>
          <w:highlight w:val="none"/>
        </w:rPr>
        <w:t>(</w:t>
      </w:r>
      <w:r>
        <w:rPr>
          <w:rFonts w:hint="eastAsia" w:ascii="宋体" w:hAnsi="宋体" w:eastAsia="黑体"/>
          <w:color w:val="auto"/>
          <w:sz w:val="28"/>
          <w:szCs w:val="20"/>
          <w:highlight w:val="none"/>
        </w:rPr>
        <w:t>一</w:t>
      </w:r>
      <w:r>
        <w:rPr>
          <w:rFonts w:ascii="宋体" w:hAnsi="宋体" w:eastAsia="黑体"/>
          <w:color w:val="auto"/>
          <w:sz w:val="28"/>
          <w:szCs w:val="20"/>
          <w:highlight w:val="none"/>
        </w:rPr>
        <w:t>)</w:t>
      </w:r>
      <w:r>
        <w:rPr>
          <w:rFonts w:hint="eastAsia" w:ascii="宋体" w:hAnsi="宋体" w:eastAsia="黑体"/>
          <w:color w:val="auto"/>
          <w:sz w:val="28"/>
          <w:szCs w:val="20"/>
          <w:highlight w:val="none"/>
        </w:rPr>
        <w:t>投标人基本情况表</w:t>
      </w:r>
      <w:bookmarkEnd w:id="1719"/>
      <w:bookmarkEnd w:id="1720"/>
      <w:bookmarkEnd w:id="1721"/>
      <w:bookmarkEnd w:id="1722"/>
      <w:bookmarkEnd w:id="1723"/>
      <w:bookmarkEnd w:id="1724"/>
      <w:bookmarkEnd w:id="1725"/>
      <w:bookmarkEnd w:id="1726"/>
      <w:bookmarkEnd w:id="1727"/>
      <w:bookmarkEnd w:id="1728"/>
      <w:bookmarkEnd w:id="1729"/>
    </w:p>
    <w:tbl>
      <w:tblPr>
        <w:tblStyle w:val="41"/>
        <w:tblW w:w="88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5"/>
        <w:gridCol w:w="898"/>
        <w:gridCol w:w="1025"/>
        <w:gridCol w:w="1286"/>
        <w:gridCol w:w="414"/>
        <w:gridCol w:w="872"/>
        <w:gridCol w:w="827"/>
        <w:gridCol w:w="284"/>
        <w:gridCol w:w="12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r>
              <w:rPr>
                <w:rFonts w:hint="eastAsia"/>
                <w:color w:val="auto"/>
                <w:szCs w:val="24"/>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电</w:t>
            </w:r>
            <w:r>
              <w:rPr>
                <w:rFonts w:hint="default"/>
                <w:color w:val="auto"/>
                <w:szCs w:val="24"/>
                <w:highlight w:val="none"/>
              </w:rPr>
              <w:t xml:space="preserve"> </w:t>
            </w:r>
            <w:r>
              <w:rPr>
                <w:rFonts w:hint="eastAsia"/>
                <w:color w:val="auto"/>
                <w:szCs w:val="24"/>
                <w:highlight w:val="none"/>
              </w:rPr>
              <w:t>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传</w:t>
            </w:r>
            <w:r>
              <w:rPr>
                <w:rFonts w:hint="default"/>
                <w:color w:val="auto"/>
                <w:szCs w:val="24"/>
                <w:highlight w:val="none"/>
              </w:rPr>
              <w:t xml:space="preserve">  </w:t>
            </w:r>
            <w:r>
              <w:rPr>
                <w:rFonts w:hint="eastAsia"/>
                <w:color w:val="auto"/>
                <w:szCs w:val="24"/>
                <w:highlight w:val="none"/>
              </w:rPr>
              <w:t>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网</w:t>
            </w:r>
            <w:r>
              <w:rPr>
                <w:rFonts w:hint="default"/>
                <w:color w:val="auto"/>
                <w:szCs w:val="24"/>
                <w:highlight w:val="none"/>
              </w:rPr>
              <w:t xml:space="preserve"> </w:t>
            </w:r>
            <w:r>
              <w:rPr>
                <w:rFonts w:hint="eastAsia"/>
                <w:color w:val="auto"/>
                <w:szCs w:val="24"/>
                <w:highlight w:val="none"/>
              </w:rPr>
              <w:t>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r>
              <w:rPr>
                <w:rFonts w:hint="eastAsia"/>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企业监</w:t>
            </w:r>
            <w:r>
              <w:rPr>
                <w:rFonts w:hint="eastAsia"/>
                <w:color w:val="auto"/>
                <w:szCs w:val="21"/>
                <w:highlight w:val="none"/>
              </w:rPr>
              <w:t>测</w:t>
            </w:r>
            <w:r>
              <w:rPr>
                <w:rFonts w:hint="eastAsia"/>
                <w:color w:val="auto"/>
                <w:szCs w:val="24"/>
                <w:highlight w:val="none"/>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firstLine="105" w:firstLineChars="50"/>
              <w:jc w:val="center"/>
              <w:rPr>
                <w:rFonts w:hint="default"/>
                <w:color w:val="auto"/>
                <w:szCs w:val="24"/>
                <w:highlight w:val="none"/>
              </w:rPr>
            </w:pPr>
            <w:r>
              <w:rPr>
                <w:rFonts w:hint="eastAsia"/>
                <w:color w:val="auto"/>
                <w:szCs w:val="24"/>
                <w:highlight w:val="none"/>
              </w:rPr>
              <w:t>类型：</w:t>
            </w:r>
            <w:r>
              <w:rPr>
                <w:rFonts w:hint="default"/>
                <w:color w:val="auto"/>
                <w:szCs w:val="24"/>
                <w:highlight w:val="none"/>
              </w:rPr>
              <w:t xml:space="preserve">                    </w:t>
            </w:r>
            <w:r>
              <w:rPr>
                <w:rFonts w:hint="eastAsia"/>
                <w:color w:val="auto"/>
                <w:szCs w:val="24"/>
                <w:highlight w:val="none"/>
              </w:rPr>
              <w:t>等级：</w:t>
            </w:r>
            <w:r>
              <w:rPr>
                <w:rFonts w:hint="default"/>
                <w:color w:val="auto"/>
                <w:szCs w:val="24"/>
                <w:highlight w:val="none"/>
              </w:rPr>
              <w:t xml:space="preserve">      </w:t>
            </w:r>
            <w:r>
              <w:rPr>
                <w:rFonts w:hint="eastAsia"/>
                <w:color w:val="auto"/>
                <w:szCs w:val="24"/>
                <w:highlight w:val="none"/>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firstLine="105" w:firstLineChars="50"/>
              <w:jc w:val="center"/>
              <w:rPr>
                <w:rFonts w:hint="default"/>
                <w:color w:val="auto"/>
                <w:szCs w:val="24"/>
                <w:highlight w:val="none"/>
              </w:rPr>
            </w:pPr>
            <w:r>
              <w:rPr>
                <w:rFonts w:hint="eastAsia"/>
                <w:color w:val="auto"/>
                <w:szCs w:val="24"/>
                <w:highlight w:val="none"/>
              </w:rPr>
              <w:t>类型：</w:t>
            </w:r>
            <w:r>
              <w:rPr>
                <w:rFonts w:hint="default"/>
                <w:color w:val="auto"/>
                <w:szCs w:val="24"/>
                <w:highlight w:val="none"/>
              </w:rPr>
              <w:t xml:space="preserve">                    </w:t>
            </w:r>
            <w:r>
              <w:rPr>
                <w:rFonts w:hint="eastAsia"/>
                <w:color w:val="auto"/>
                <w:szCs w:val="24"/>
                <w:highlight w:val="none"/>
              </w:rPr>
              <w:t>等级：</w:t>
            </w:r>
            <w:r>
              <w:rPr>
                <w:rFonts w:hint="default"/>
                <w:color w:val="auto"/>
                <w:szCs w:val="24"/>
                <w:highlight w:val="none"/>
              </w:rPr>
              <w:t xml:space="preserve">      </w:t>
            </w:r>
            <w:r>
              <w:rPr>
                <w:rFonts w:hint="eastAsia"/>
                <w:color w:val="auto"/>
                <w:szCs w:val="24"/>
                <w:highlight w:val="none"/>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c>
          <w:tcPr>
            <w:tcW w:w="414"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c>
          <w:tcPr>
            <w:tcW w:w="3629"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c>
          <w:tcPr>
            <w:tcW w:w="3629"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c>
          <w:tcPr>
            <w:tcW w:w="3629"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olor w:val="auto"/>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100" w:beforeAutospacing="1" w:after="100" w:afterAutospacing="1" w:line="440" w:lineRule="exact"/>
              <w:ind w:left="0" w:right="0" w:firstLine="210" w:firstLineChars="100"/>
              <w:jc w:val="center"/>
              <w:rPr>
                <w:rFonts w:hint="default"/>
                <w:color w:val="auto"/>
                <w:szCs w:val="24"/>
                <w:highlight w:val="none"/>
              </w:rPr>
            </w:pPr>
            <w:r>
              <w:rPr>
                <w:rFonts w:hint="eastAsia"/>
                <w:color w:val="auto"/>
                <w:szCs w:val="24"/>
                <w:highlight w:val="none"/>
              </w:rPr>
              <w:t>经营范围</w:t>
            </w:r>
          </w:p>
        </w:tc>
        <w:tc>
          <w:tcPr>
            <w:tcW w:w="6840" w:type="dxa"/>
            <w:gridSpan w:val="8"/>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100" w:beforeAutospacing="1" w:after="100" w:afterAutospacing="1" w:line="440" w:lineRule="exact"/>
              <w:ind w:left="0" w:right="0"/>
              <w:jc w:val="center"/>
              <w:rPr>
                <w:rFonts w:hint="default"/>
                <w:color w:val="auto"/>
                <w:szCs w:val="24"/>
                <w:highlight w:val="none"/>
              </w:rPr>
            </w:pPr>
            <w:r>
              <w:rPr>
                <w:rFonts w:hint="eastAsia"/>
                <w:color w:val="auto"/>
                <w:szCs w:val="24"/>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color w:val="auto"/>
                <w:szCs w:val="24"/>
                <w:highlight w:val="none"/>
              </w:rPr>
            </w:pPr>
          </w:p>
        </w:tc>
      </w:tr>
    </w:tbl>
    <w:p>
      <w:pPr>
        <w:spacing w:line="400" w:lineRule="exact"/>
        <w:rPr>
          <w:color w:val="auto"/>
          <w:szCs w:val="24"/>
          <w:highlight w:val="none"/>
        </w:rPr>
      </w:pPr>
      <w:r>
        <w:rPr>
          <w:rFonts w:hint="eastAsia"/>
          <w:color w:val="auto"/>
          <w:szCs w:val="24"/>
          <w:highlight w:val="none"/>
        </w:rPr>
        <w:t>注：投标人应根据投标人须知第</w:t>
      </w:r>
      <w:r>
        <w:rPr>
          <w:color w:val="auto"/>
          <w:szCs w:val="24"/>
          <w:highlight w:val="none"/>
        </w:rPr>
        <w:t>3.5.1</w:t>
      </w:r>
      <w:r>
        <w:rPr>
          <w:rFonts w:hint="eastAsia"/>
          <w:color w:val="auto"/>
          <w:szCs w:val="24"/>
          <w:highlight w:val="none"/>
          <w:lang w:eastAsia="zh-CN"/>
        </w:rPr>
        <w:t>、</w:t>
      </w:r>
      <w:r>
        <w:rPr>
          <w:rFonts w:hint="eastAsia"/>
          <w:color w:val="auto"/>
          <w:szCs w:val="24"/>
          <w:highlight w:val="none"/>
          <w:lang w:val="en-US" w:eastAsia="zh-CN"/>
        </w:rPr>
        <w:t>3.5.2</w:t>
      </w:r>
      <w:r>
        <w:rPr>
          <w:rFonts w:hint="eastAsia"/>
          <w:color w:val="auto"/>
          <w:szCs w:val="24"/>
          <w:highlight w:val="none"/>
        </w:rPr>
        <w:t>项的要求在本表后附相关证明材料。境内投标人以现金或者支票形式提交投标保证金的，还应附基本账户开户许可证复印件。</w:t>
      </w:r>
    </w:p>
    <w:p>
      <w:pPr>
        <w:rPr>
          <w:color w:val="auto"/>
          <w:szCs w:val="24"/>
          <w:highlight w:val="none"/>
        </w:rPr>
        <w:sectPr>
          <w:endnotePr>
            <w:numFmt w:val="decimal"/>
          </w:endnotePr>
          <w:pgSz w:w="11907" w:h="16839"/>
          <w:pgMar w:top="1134" w:right="1134" w:bottom="1134" w:left="1134" w:header="851" w:footer="593" w:gutter="0"/>
          <w:pgNumType w:fmt="decimal"/>
          <w:cols w:space="720" w:num="1"/>
          <w:docGrid w:type="lines" w:linePitch="312" w:charSpace="0"/>
        </w:sectPr>
      </w:pPr>
    </w:p>
    <w:p>
      <w:pPr>
        <w:keepNext/>
        <w:keepLines/>
        <w:spacing w:before="260" w:after="260" w:line="412" w:lineRule="auto"/>
        <w:ind w:firstLine="137" w:firstLineChars="49"/>
        <w:outlineLvl w:val="2"/>
        <w:rPr>
          <w:rFonts w:ascii="宋体" w:hAnsi="宋体" w:eastAsia="黑体"/>
          <w:color w:val="auto"/>
          <w:sz w:val="28"/>
          <w:szCs w:val="20"/>
          <w:highlight w:val="none"/>
        </w:rPr>
      </w:pPr>
      <w:bookmarkStart w:id="1730" w:name="_Toc18797"/>
      <w:bookmarkStart w:id="1731" w:name="_Toc29445"/>
      <w:bookmarkStart w:id="1732" w:name="_Toc2844"/>
      <w:bookmarkStart w:id="1733" w:name="_Toc28217"/>
      <w:bookmarkStart w:id="1734" w:name="_Toc6328"/>
      <w:bookmarkStart w:id="1735" w:name="_Toc170804679"/>
      <w:bookmarkStart w:id="1736" w:name="_Toc26115"/>
      <w:bookmarkStart w:id="1737" w:name="_Toc7746"/>
      <w:bookmarkStart w:id="1738" w:name="_Toc670604217"/>
      <w:bookmarkStart w:id="1739" w:name="_Toc22636"/>
      <w:bookmarkStart w:id="1740" w:name="_Toc15116"/>
      <w:r>
        <w:rPr>
          <w:rFonts w:hint="eastAsia" w:ascii="宋体" w:hAnsi="宋体" w:eastAsia="黑体"/>
          <w:color w:val="auto"/>
          <w:sz w:val="28"/>
          <w:szCs w:val="20"/>
          <w:highlight w:val="none"/>
        </w:rPr>
        <w:t>（二）近年完成的类似监测项目情况表</w:t>
      </w:r>
      <w:bookmarkEnd w:id="1730"/>
      <w:bookmarkEnd w:id="1731"/>
      <w:bookmarkEnd w:id="1732"/>
      <w:bookmarkEnd w:id="1733"/>
      <w:bookmarkEnd w:id="1734"/>
      <w:bookmarkEnd w:id="1735"/>
      <w:bookmarkEnd w:id="1736"/>
      <w:bookmarkEnd w:id="1737"/>
      <w:bookmarkEnd w:id="1738"/>
      <w:bookmarkEnd w:id="1739"/>
      <w:bookmarkEnd w:id="1740"/>
    </w:p>
    <w:p>
      <w:pPr>
        <w:jc w:val="center"/>
        <w:rPr>
          <w:rFonts w:ascii="宋体" w:hAnsi="宋体"/>
          <w:color w:val="auto"/>
          <w:spacing w:val="20"/>
          <w:szCs w:val="24"/>
          <w:highlight w:val="none"/>
        </w:rPr>
      </w:pPr>
      <w:r>
        <w:rPr>
          <w:rFonts w:hint="eastAsia" w:ascii="宋体" w:hAnsi="宋体"/>
          <w:color w:val="auto"/>
          <w:spacing w:val="20"/>
          <w:szCs w:val="24"/>
          <w:highlight w:val="none"/>
        </w:rPr>
        <w:t>近年完成的类似监测项目情况表</w:t>
      </w:r>
    </w:p>
    <w:p>
      <w:pPr>
        <w:jc w:val="center"/>
        <w:rPr>
          <w:rFonts w:ascii="宋体" w:hAnsi="宋体"/>
          <w:color w:val="auto"/>
          <w:szCs w:val="24"/>
          <w:highlight w:val="none"/>
        </w:rPr>
      </w:pPr>
      <w:r>
        <w:rPr>
          <w:rFonts w:hint="eastAsia" w:ascii="宋体" w:hAnsi="宋体"/>
          <w:color w:val="auto"/>
          <w:szCs w:val="24"/>
          <w:highlight w:val="none"/>
        </w:rPr>
        <w:t>（类似工程的主要业绩）</w:t>
      </w:r>
    </w:p>
    <w:tbl>
      <w:tblPr>
        <w:tblStyle w:val="41"/>
        <w:tblW w:w="9746" w:type="dxa"/>
        <w:jc w:val="center"/>
        <w:tblLayout w:type="autofit"/>
        <w:tblCellMar>
          <w:top w:w="0" w:type="dxa"/>
          <w:left w:w="108" w:type="dxa"/>
          <w:bottom w:w="0" w:type="dxa"/>
          <w:right w:w="108" w:type="dxa"/>
        </w:tblCellMar>
      </w:tblPr>
      <w:tblGrid>
        <w:gridCol w:w="696"/>
        <w:gridCol w:w="1821"/>
        <w:gridCol w:w="2268"/>
        <w:gridCol w:w="2835"/>
        <w:gridCol w:w="2126"/>
      </w:tblGrid>
      <w:tr>
        <w:tblPrEx>
          <w:tblCellMar>
            <w:top w:w="0" w:type="dxa"/>
            <w:left w:w="108" w:type="dxa"/>
            <w:bottom w:w="0" w:type="dxa"/>
            <w:right w:w="108" w:type="dxa"/>
          </w:tblCellMar>
        </w:tblPrEx>
        <w:trPr>
          <w:trHeight w:val="810" w:hRule="atLeast"/>
          <w:jc w:val="center"/>
        </w:trPr>
        <w:tc>
          <w:tcPr>
            <w:tcW w:w="696" w:type="dxa"/>
            <w:tcBorders>
              <w:top w:val="single" w:color="auto" w:sz="8"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序</w:t>
            </w:r>
            <w:r>
              <w:rPr>
                <w:rFonts w:hint="default" w:ascii="仿宋_GB2312" w:hAnsi="仿宋" w:eastAsia="仿宋_GB2312" w:cs="宋体"/>
                <w:color w:val="auto"/>
                <w:kern w:val="0"/>
                <w:sz w:val="24"/>
                <w:szCs w:val="24"/>
                <w:highlight w:val="none"/>
              </w:rPr>
              <w:t xml:space="preserve">                </w:t>
            </w:r>
            <w:r>
              <w:rPr>
                <w:rFonts w:hint="eastAsia" w:ascii="仿宋_GB2312" w:hAnsi="仿宋" w:eastAsia="仿宋_GB2312" w:cs="宋体"/>
                <w:color w:val="auto"/>
                <w:kern w:val="0"/>
                <w:sz w:val="24"/>
                <w:szCs w:val="24"/>
                <w:highlight w:val="none"/>
              </w:rPr>
              <w:t>号</w:t>
            </w:r>
          </w:p>
        </w:tc>
        <w:tc>
          <w:tcPr>
            <w:tcW w:w="1821" w:type="dxa"/>
            <w:tcBorders>
              <w:top w:val="single" w:color="auto" w:sz="8" w:space="0"/>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工程名称</w:t>
            </w:r>
          </w:p>
        </w:tc>
        <w:tc>
          <w:tcPr>
            <w:tcW w:w="2268" w:type="dxa"/>
            <w:tcBorders>
              <w:top w:val="single" w:color="auto" w:sz="8" w:space="0"/>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color w:val="auto"/>
                <w:kern w:val="0"/>
                <w:sz w:val="24"/>
                <w:szCs w:val="24"/>
                <w:highlight w:val="none"/>
                <w:lang w:val="en-US" w:eastAsia="zh-CN"/>
              </w:rPr>
            </w:pPr>
            <w:r>
              <w:rPr>
                <w:rFonts w:hint="eastAsia" w:ascii="仿宋_GB2312" w:hAnsi="仿宋" w:eastAsia="仿宋_GB2312" w:cs="宋体"/>
                <w:color w:val="auto"/>
                <w:kern w:val="0"/>
                <w:sz w:val="24"/>
                <w:szCs w:val="24"/>
                <w:highlight w:val="none"/>
                <w:lang w:val="en-US" w:eastAsia="zh-CN"/>
              </w:rPr>
              <w:t>时间</w:t>
            </w:r>
          </w:p>
        </w:tc>
        <w:tc>
          <w:tcPr>
            <w:tcW w:w="2835" w:type="dxa"/>
            <w:tcBorders>
              <w:top w:val="single" w:color="auto" w:sz="8" w:space="0"/>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监测项目内容</w:t>
            </w:r>
          </w:p>
        </w:tc>
        <w:tc>
          <w:tcPr>
            <w:tcW w:w="2126" w:type="dxa"/>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招标人名称、电话</w:t>
            </w:r>
          </w:p>
        </w:tc>
      </w:tr>
      <w:tr>
        <w:tblPrEx>
          <w:tblCellMar>
            <w:top w:w="0" w:type="dxa"/>
            <w:left w:w="108" w:type="dxa"/>
            <w:bottom w:w="0" w:type="dxa"/>
            <w:right w:w="108" w:type="dxa"/>
          </w:tblCellMar>
        </w:tblPrEx>
        <w:trPr>
          <w:trHeight w:val="900" w:hRule="atLeast"/>
          <w:jc w:val="center"/>
        </w:trPr>
        <w:tc>
          <w:tcPr>
            <w:tcW w:w="696"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821"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268"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835"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126"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tblPrEx>
          <w:tblCellMar>
            <w:top w:w="0" w:type="dxa"/>
            <w:left w:w="108" w:type="dxa"/>
            <w:bottom w:w="0" w:type="dxa"/>
            <w:right w:w="108" w:type="dxa"/>
          </w:tblCellMar>
        </w:tblPrEx>
        <w:trPr>
          <w:trHeight w:val="900" w:hRule="atLeast"/>
          <w:jc w:val="center"/>
        </w:trPr>
        <w:tc>
          <w:tcPr>
            <w:tcW w:w="696"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821"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268"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835"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126"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tblPrEx>
          <w:tblCellMar>
            <w:top w:w="0" w:type="dxa"/>
            <w:left w:w="108" w:type="dxa"/>
            <w:bottom w:w="0" w:type="dxa"/>
            <w:right w:w="108" w:type="dxa"/>
          </w:tblCellMar>
        </w:tblPrEx>
        <w:trPr>
          <w:trHeight w:val="900" w:hRule="atLeast"/>
          <w:jc w:val="center"/>
        </w:trPr>
        <w:tc>
          <w:tcPr>
            <w:tcW w:w="696"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821"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268"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835"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126"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tblPrEx>
          <w:tblCellMar>
            <w:top w:w="0" w:type="dxa"/>
            <w:left w:w="108" w:type="dxa"/>
            <w:bottom w:w="0" w:type="dxa"/>
            <w:right w:w="108" w:type="dxa"/>
          </w:tblCellMar>
        </w:tblPrEx>
        <w:trPr>
          <w:trHeight w:val="900" w:hRule="atLeast"/>
          <w:jc w:val="center"/>
        </w:trPr>
        <w:tc>
          <w:tcPr>
            <w:tcW w:w="696"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821"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268"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835"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126"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tblPrEx>
          <w:tblCellMar>
            <w:top w:w="0" w:type="dxa"/>
            <w:left w:w="108" w:type="dxa"/>
            <w:bottom w:w="0" w:type="dxa"/>
            <w:right w:w="108" w:type="dxa"/>
          </w:tblCellMar>
        </w:tblPrEx>
        <w:trPr>
          <w:trHeight w:val="900" w:hRule="atLeast"/>
          <w:jc w:val="center"/>
        </w:trPr>
        <w:tc>
          <w:tcPr>
            <w:tcW w:w="696"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821"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268"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835"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126"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tblPrEx>
          <w:tblCellMar>
            <w:top w:w="0" w:type="dxa"/>
            <w:left w:w="108" w:type="dxa"/>
            <w:bottom w:w="0" w:type="dxa"/>
            <w:right w:w="108" w:type="dxa"/>
          </w:tblCellMar>
        </w:tblPrEx>
        <w:trPr>
          <w:trHeight w:val="900" w:hRule="atLeast"/>
          <w:jc w:val="center"/>
        </w:trPr>
        <w:tc>
          <w:tcPr>
            <w:tcW w:w="696" w:type="dxa"/>
            <w:tcBorders>
              <w:top w:val="nil"/>
              <w:left w:val="single" w:color="auto" w:sz="8" w:space="0"/>
              <w:bottom w:val="single" w:color="auto" w:sz="8"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821" w:type="dxa"/>
            <w:tcBorders>
              <w:top w:val="nil"/>
              <w:left w:val="nil"/>
              <w:bottom w:val="single" w:color="auto" w:sz="8"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268" w:type="dxa"/>
            <w:tcBorders>
              <w:top w:val="nil"/>
              <w:left w:val="nil"/>
              <w:bottom w:val="single" w:color="auto" w:sz="8"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835" w:type="dxa"/>
            <w:tcBorders>
              <w:top w:val="nil"/>
              <w:left w:val="nil"/>
              <w:bottom w:val="single" w:color="auto" w:sz="8"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126" w:type="dxa"/>
            <w:tcBorders>
              <w:top w:val="nil"/>
              <w:left w:val="nil"/>
              <w:bottom w:val="single" w:color="auto" w:sz="8"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bl>
    <w:p>
      <w:pPr>
        <w:spacing w:line="400" w:lineRule="exact"/>
        <w:jc w:val="left"/>
        <w:rPr>
          <w:color w:val="auto"/>
          <w:szCs w:val="24"/>
          <w:highlight w:val="none"/>
        </w:rPr>
      </w:pPr>
      <w:r>
        <w:rPr>
          <w:rFonts w:hint="eastAsia"/>
          <w:color w:val="auto"/>
          <w:szCs w:val="24"/>
          <w:highlight w:val="none"/>
        </w:rPr>
        <w:t>注：</w:t>
      </w:r>
      <w:r>
        <w:rPr>
          <w:color w:val="auto"/>
          <w:szCs w:val="24"/>
          <w:highlight w:val="none"/>
        </w:rPr>
        <w:t>1</w:t>
      </w:r>
      <w:r>
        <w:rPr>
          <w:rFonts w:hint="eastAsia"/>
          <w:color w:val="auto"/>
          <w:szCs w:val="24"/>
          <w:highlight w:val="none"/>
        </w:rPr>
        <w:t>、本表单位业绩须按资格要求和评分标准要求填写，并提供</w:t>
      </w:r>
      <w:r>
        <w:rPr>
          <w:rFonts w:hint="eastAsia" w:ascii="宋体" w:hAnsi="宋体" w:cs="宋体"/>
          <w:color w:val="auto"/>
          <w:kern w:val="0"/>
          <w:szCs w:val="21"/>
          <w:highlight w:val="none"/>
          <w:lang w:bidi="ar"/>
        </w:rPr>
        <w:t>中标通知书（或免招标的相关证明）</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合同</w:t>
      </w:r>
      <w:r>
        <w:rPr>
          <w:rFonts w:hint="eastAsia" w:ascii="宋体" w:hAnsi="宋体" w:cs="宋体"/>
          <w:color w:val="auto"/>
          <w:sz w:val="21"/>
          <w:szCs w:val="21"/>
          <w:highlight w:val="none"/>
          <w:lang w:val="en-US" w:eastAsia="zh-CN"/>
        </w:rPr>
        <w:t>关键页</w:t>
      </w:r>
      <w:r>
        <w:rPr>
          <w:rFonts w:hint="eastAsia" w:ascii="宋体" w:hAnsi="宋体" w:cs="宋体"/>
          <w:color w:val="auto"/>
          <w:kern w:val="0"/>
          <w:szCs w:val="21"/>
          <w:highlight w:val="none"/>
          <w:lang w:bidi="ar"/>
        </w:rPr>
        <w:t>（提供合同协议书等能反映主要内容和合同双方签字盖章页即可）</w:t>
      </w:r>
      <w:r>
        <w:rPr>
          <w:rFonts w:hint="eastAsia"/>
          <w:color w:val="auto"/>
          <w:szCs w:val="24"/>
          <w:highlight w:val="none"/>
          <w:lang w:val="en-US" w:eastAsia="zh-CN"/>
        </w:rPr>
        <w:t>扫描件等相关资料</w:t>
      </w:r>
      <w:r>
        <w:rPr>
          <w:rFonts w:hint="eastAsia"/>
          <w:color w:val="auto"/>
          <w:szCs w:val="24"/>
          <w:highlight w:val="none"/>
        </w:rPr>
        <w:t>。</w:t>
      </w:r>
      <w:r>
        <w:rPr>
          <w:color w:val="auto"/>
          <w:szCs w:val="24"/>
          <w:highlight w:val="none"/>
        </w:rPr>
        <w:t xml:space="preserve"> </w:t>
      </w:r>
    </w:p>
    <w:p>
      <w:pPr>
        <w:spacing w:line="400" w:lineRule="exact"/>
        <w:jc w:val="left"/>
        <w:rPr>
          <w:color w:val="auto"/>
          <w:szCs w:val="24"/>
          <w:highlight w:val="none"/>
        </w:rPr>
      </w:pPr>
    </w:p>
    <w:p>
      <w:pPr>
        <w:spacing w:line="400" w:lineRule="exact"/>
        <w:jc w:val="left"/>
        <w:rPr>
          <w:color w:val="auto"/>
          <w:szCs w:val="24"/>
          <w:highlight w:val="none"/>
        </w:rPr>
      </w:pPr>
    </w:p>
    <w:p>
      <w:pPr>
        <w:spacing w:line="400" w:lineRule="exact"/>
        <w:jc w:val="left"/>
        <w:rPr>
          <w:color w:val="auto"/>
          <w:szCs w:val="24"/>
          <w:highlight w:val="none"/>
        </w:rPr>
      </w:pPr>
    </w:p>
    <w:p>
      <w:pPr>
        <w:spacing w:line="440" w:lineRule="exact"/>
        <w:rPr>
          <w:color w:val="auto"/>
          <w:szCs w:val="24"/>
          <w:highlight w:val="none"/>
        </w:rPr>
      </w:pPr>
      <w:r>
        <w:rPr>
          <w:color w:val="auto"/>
          <w:szCs w:val="24"/>
          <w:highlight w:val="none"/>
        </w:rPr>
        <w:br w:type="page"/>
      </w:r>
    </w:p>
    <w:p>
      <w:pPr>
        <w:keepNext/>
        <w:keepLines/>
        <w:spacing w:before="260" w:after="260" w:line="412" w:lineRule="auto"/>
        <w:outlineLvl w:val="2"/>
        <w:rPr>
          <w:rFonts w:hint="eastAsia" w:ascii="宋体" w:hAnsi="宋体" w:eastAsia="黑体"/>
          <w:color w:val="auto"/>
          <w:sz w:val="28"/>
          <w:szCs w:val="20"/>
          <w:highlight w:val="none"/>
        </w:rPr>
        <w:sectPr>
          <w:endnotePr>
            <w:numFmt w:val="decimal"/>
          </w:endnotePr>
          <w:pgSz w:w="11907" w:h="16839"/>
          <w:pgMar w:top="1134" w:right="1134" w:bottom="1134" w:left="1134" w:header="851" w:footer="593" w:gutter="0"/>
          <w:pgNumType w:fmt="decimal"/>
          <w:cols w:space="720" w:num="1"/>
          <w:docGrid w:type="lines" w:linePitch="312" w:charSpace="0"/>
        </w:sectPr>
      </w:pPr>
      <w:bookmarkStart w:id="1741" w:name="_Toc10156"/>
      <w:bookmarkStart w:id="1742" w:name="_Toc24162"/>
      <w:bookmarkStart w:id="1743" w:name="_Toc170804681"/>
    </w:p>
    <w:p>
      <w:pPr>
        <w:keepNext/>
        <w:keepLines/>
        <w:spacing w:before="260" w:after="260" w:line="412" w:lineRule="auto"/>
        <w:ind w:firstLine="137" w:firstLineChars="49"/>
        <w:outlineLvl w:val="2"/>
        <w:rPr>
          <w:rFonts w:ascii="宋体" w:hAnsi="宋体" w:eastAsia="黑体"/>
          <w:color w:val="auto"/>
          <w:sz w:val="28"/>
          <w:szCs w:val="20"/>
          <w:highlight w:val="none"/>
        </w:rPr>
      </w:pPr>
      <w:bookmarkStart w:id="1744" w:name="_Toc5472"/>
      <w:bookmarkStart w:id="1745" w:name="_Toc17230"/>
      <w:bookmarkStart w:id="1746" w:name="_Toc20540"/>
      <w:bookmarkStart w:id="1747" w:name="_Toc24308"/>
      <w:bookmarkStart w:id="1748" w:name="_Toc5945"/>
      <w:bookmarkStart w:id="1749" w:name="_Toc7234"/>
      <w:bookmarkStart w:id="1750" w:name="_Toc1729"/>
      <w:bookmarkStart w:id="1751" w:name="_Toc850895663"/>
      <w:r>
        <w:rPr>
          <w:rFonts w:hint="eastAsia" w:ascii="宋体" w:hAnsi="宋体" w:eastAsia="黑体"/>
          <w:color w:val="auto"/>
          <w:sz w:val="28"/>
          <w:szCs w:val="20"/>
          <w:highlight w:val="none"/>
        </w:rPr>
        <w:t>（</w:t>
      </w:r>
      <w:r>
        <w:rPr>
          <w:rFonts w:hint="eastAsia" w:ascii="宋体" w:hAnsi="宋体" w:eastAsia="黑体"/>
          <w:color w:val="auto"/>
          <w:sz w:val="28"/>
          <w:szCs w:val="20"/>
          <w:highlight w:val="none"/>
          <w:lang w:val="en-US" w:eastAsia="zh-CN"/>
        </w:rPr>
        <w:t>三</w:t>
      </w:r>
      <w:r>
        <w:rPr>
          <w:rFonts w:hint="eastAsia" w:ascii="宋体" w:hAnsi="宋体" w:eastAsia="黑体"/>
          <w:color w:val="auto"/>
          <w:sz w:val="28"/>
          <w:szCs w:val="20"/>
          <w:highlight w:val="none"/>
        </w:rPr>
        <w:t>）拟</w:t>
      </w:r>
      <w:r>
        <w:rPr>
          <w:rFonts w:hint="eastAsia" w:ascii="宋体" w:hAnsi="宋体" w:eastAsia="黑体"/>
          <w:color w:val="auto"/>
          <w:sz w:val="28"/>
          <w:szCs w:val="20"/>
          <w:highlight w:val="none"/>
          <w:lang w:val="en-US" w:eastAsia="zh-CN"/>
        </w:rPr>
        <w:t>投入本项目</w:t>
      </w:r>
      <w:r>
        <w:rPr>
          <w:rFonts w:hint="eastAsia" w:ascii="宋体" w:hAnsi="宋体" w:eastAsia="黑体"/>
          <w:color w:val="auto"/>
          <w:sz w:val="28"/>
          <w:szCs w:val="20"/>
          <w:highlight w:val="none"/>
        </w:rPr>
        <w:t>的人员汇总表</w:t>
      </w:r>
      <w:bookmarkEnd w:id="1741"/>
      <w:bookmarkEnd w:id="1742"/>
      <w:bookmarkEnd w:id="1743"/>
      <w:bookmarkEnd w:id="1744"/>
      <w:bookmarkEnd w:id="1745"/>
      <w:bookmarkEnd w:id="1746"/>
      <w:bookmarkEnd w:id="1747"/>
      <w:bookmarkEnd w:id="1748"/>
      <w:bookmarkEnd w:id="1749"/>
      <w:bookmarkEnd w:id="1750"/>
      <w:bookmarkEnd w:id="1751"/>
    </w:p>
    <w:p>
      <w:pPr>
        <w:spacing w:line="600" w:lineRule="exact"/>
        <w:jc w:val="center"/>
        <w:rPr>
          <w:rFonts w:ascii="宋体" w:hAnsi="宋体"/>
          <w:color w:val="auto"/>
          <w:spacing w:val="20"/>
          <w:szCs w:val="24"/>
          <w:highlight w:val="none"/>
        </w:rPr>
      </w:pPr>
      <w:r>
        <w:rPr>
          <w:rFonts w:hint="eastAsia" w:ascii="宋体" w:hAnsi="宋体"/>
          <w:color w:val="auto"/>
          <w:spacing w:val="20"/>
          <w:szCs w:val="24"/>
          <w:highlight w:val="none"/>
        </w:rPr>
        <w:t>拟委任的人员汇总表</w:t>
      </w:r>
    </w:p>
    <w:tbl>
      <w:tblPr>
        <w:tblStyle w:val="41"/>
        <w:tblW w:w="9354" w:type="dxa"/>
        <w:jc w:val="center"/>
        <w:tblLayout w:type="autofit"/>
        <w:tblCellMar>
          <w:top w:w="0" w:type="dxa"/>
          <w:left w:w="108" w:type="dxa"/>
          <w:bottom w:w="0" w:type="dxa"/>
          <w:right w:w="108" w:type="dxa"/>
        </w:tblCellMar>
      </w:tblPr>
      <w:tblGrid>
        <w:gridCol w:w="520"/>
        <w:gridCol w:w="693"/>
        <w:gridCol w:w="1213"/>
        <w:gridCol w:w="1207"/>
        <w:gridCol w:w="955"/>
        <w:gridCol w:w="818"/>
        <w:gridCol w:w="1228"/>
        <w:gridCol w:w="1500"/>
        <w:gridCol w:w="1220"/>
      </w:tblGrid>
      <w:tr>
        <w:tblPrEx>
          <w:tblCellMar>
            <w:top w:w="0" w:type="dxa"/>
            <w:left w:w="108" w:type="dxa"/>
            <w:bottom w:w="0" w:type="dxa"/>
            <w:right w:w="108" w:type="dxa"/>
          </w:tblCellMar>
        </w:tblPrEx>
        <w:trPr>
          <w:trHeight w:val="716" w:hRule="atLeast"/>
          <w:jc w:val="center"/>
        </w:trPr>
        <w:tc>
          <w:tcPr>
            <w:tcW w:w="520" w:type="dxa"/>
            <w:tcBorders>
              <w:top w:val="single" w:color="auto" w:sz="8"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序</w:t>
            </w:r>
            <w:r>
              <w:rPr>
                <w:rFonts w:hint="default" w:ascii="仿宋_GB2312" w:hAnsi="仿宋" w:eastAsia="仿宋_GB2312" w:cs="宋体"/>
                <w:color w:val="auto"/>
                <w:kern w:val="0"/>
                <w:sz w:val="24"/>
                <w:szCs w:val="24"/>
                <w:highlight w:val="none"/>
              </w:rPr>
              <w:t xml:space="preserve">                </w:t>
            </w:r>
            <w:r>
              <w:rPr>
                <w:rFonts w:hint="eastAsia" w:ascii="仿宋_GB2312" w:hAnsi="仿宋" w:eastAsia="仿宋_GB2312" w:cs="宋体"/>
                <w:color w:val="auto"/>
                <w:kern w:val="0"/>
                <w:sz w:val="24"/>
                <w:szCs w:val="24"/>
                <w:highlight w:val="none"/>
              </w:rPr>
              <w:t>号</w:t>
            </w:r>
          </w:p>
        </w:tc>
        <w:tc>
          <w:tcPr>
            <w:tcW w:w="693" w:type="dxa"/>
            <w:tcBorders>
              <w:top w:val="single" w:color="auto" w:sz="8" w:space="0"/>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姓名</w:t>
            </w:r>
          </w:p>
        </w:tc>
        <w:tc>
          <w:tcPr>
            <w:tcW w:w="1213" w:type="dxa"/>
            <w:tcBorders>
              <w:top w:val="single" w:color="auto" w:sz="8" w:space="0"/>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拟在本项目中任职</w:t>
            </w:r>
          </w:p>
        </w:tc>
        <w:tc>
          <w:tcPr>
            <w:tcW w:w="1207" w:type="dxa"/>
            <w:tcBorders>
              <w:top w:val="single" w:color="auto" w:sz="8" w:space="0"/>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毕业学校、专业</w:t>
            </w:r>
          </w:p>
        </w:tc>
        <w:tc>
          <w:tcPr>
            <w:tcW w:w="955" w:type="dxa"/>
            <w:tcBorders>
              <w:top w:val="single" w:color="auto" w:sz="8" w:space="0"/>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学</w:t>
            </w:r>
            <w:r>
              <w:rPr>
                <w:rFonts w:hint="default" w:ascii="仿宋_GB2312" w:hAnsi="仿宋" w:eastAsia="仿宋_GB2312" w:cs="宋体"/>
                <w:color w:val="auto"/>
                <w:kern w:val="0"/>
                <w:sz w:val="24"/>
                <w:szCs w:val="24"/>
                <w:highlight w:val="none"/>
              </w:rPr>
              <w:t xml:space="preserve"> </w:t>
            </w:r>
            <w:r>
              <w:rPr>
                <w:rFonts w:hint="eastAsia" w:ascii="仿宋_GB2312" w:hAnsi="仿宋" w:eastAsia="仿宋_GB2312" w:cs="宋体"/>
                <w:color w:val="auto"/>
                <w:kern w:val="0"/>
                <w:sz w:val="24"/>
                <w:szCs w:val="24"/>
                <w:highlight w:val="none"/>
              </w:rPr>
              <w:t>历</w:t>
            </w:r>
          </w:p>
        </w:tc>
        <w:tc>
          <w:tcPr>
            <w:tcW w:w="818" w:type="dxa"/>
            <w:tcBorders>
              <w:top w:val="single" w:color="auto" w:sz="8" w:space="0"/>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职</w:t>
            </w:r>
            <w:r>
              <w:rPr>
                <w:rFonts w:hint="default" w:ascii="仿宋_GB2312" w:hAnsi="仿宋" w:eastAsia="仿宋_GB2312" w:cs="宋体"/>
                <w:color w:val="auto"/>
                <w:kern w:val="0"/>
                <w:sz w:val="24"/>
                <w:szCs w:val="24"/>
                <w:highlight w:val="none"/>
              </w:rPr>
              <w:t xml:space="preserve"> </w:t>
            </w:r>
            <w:r>
              <w:rPr>
                <w:rFonts w:hint="eastAsia" w:ascii="仿宋_GB2312" w:hAnsi="仿宋" w:eastAsia="仿宋_GB2312" w:cs="宋体"/>
                <w:color w:val="auto"/>
                <w:kern w:val="0"/>
                <w:sz w:val="24"/>
                <w:szCs w:val="24"/>
                <w:highlight w:val="none"/>
              </w:rPr>
              <w:t>称</w:t>
            </w:r>
          </w:p>
        </w:tc>
        <w:tc>
          <w:tcPr>
            <w:tcW w:w="1228" w:type="dxa"/>
            <w:tcBorders>
              <w:top w:val="single" w:color="auto" w:sz="8" w:space="0"/>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参加工作时间</w:t>
            </w:r>
          </w:p>
        </w:tc>
        <w:tc>
          <w:tcPr>
            <w:tcW w:w="1500" w:type="dxa"/>
            <w:tcBorders>
              <w:top w:val="single" w:color="auto" w:sz="8" w:space="0"/>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工作年限</w:t>
            </w:r>
          </w:p>
        </w:tc>
        <w:tc>
          <w:tcPr>
            <w:tcW w:w="1220" w:type="dxa"/>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备注</w:t>
            </w:r>
          </w:p>
        </w:tc>
      </w:tr>
      <w:tr>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69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1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07"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955"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818"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8"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0"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r>
      <w:tr>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69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1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07"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955"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818"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8"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0"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r>
      <w:tr>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69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1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07"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955"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818"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8"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0"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r>
      <w:tr>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69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1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07"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955"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818"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8"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0"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r>
      <w:tr>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69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1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07"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955"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818"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8"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0"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r>
      <w:tr>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69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13"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07"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955"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818"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8"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500"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0" w:type="dxa"/>
            <w:tcBorders>
              <w:top w:val="nil"/>
              <w:left w:val="nil"/>
              <w:bottom w:val="single" w:color="auto" w:sz="4" w:space="0"/>
              <w:right w:val="single" w:color="auto" w:sz="8"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r>
      <w:tr>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693"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13"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07"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955"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81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500"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0"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r>
      <w:tr>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693"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13"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07"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955"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81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500"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0"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r>
      <w:tr>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693"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13"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07"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955"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81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500"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0"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r>
      <w:tr>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693"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13"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07"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955"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81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500"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0"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r>
      <w:tr>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693"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13"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07"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955"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81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500"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0"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r>
      <w:tr>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693"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13"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07"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955"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81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500"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c>
          <w:tcPr>
            <w:tcW w:w="1220"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24"/>
                <w:szCs w:val="24"/>
                <w:highlight w:val="none"/>
              </w:rPr>
            </w:pPr>
          </w:p>
        </w:tc>
      </w:tr>
    </w:tbl>
    <w:p>
      <w:pPr>
        <w:spacing w:line="400" w:lineRule="exact"/>
        <w:ind w:firstLine="315" w:firstLineChars="150"/>
        <w:jc w:val="left"/>
        <w:rPr>
          <w:rFonts w:hint="eastAsia"/>
          <w:color w:val="auto"/>
          <w:szCs w:val="24"/>
          <w:highlight w:val="none"/>
          <w:lang w:val="en-US" w:eastAsia="zh-CN"/>
        </w:rPr>
      </w:pPr>
      <w:r>
        <w:rPr>
          <w:rFonts w:hint="eastAsia"/>
          <w:color w:val="auto"/>
          <w:szCs w:val="24"/>
          <w:highlight w:val="none"/>
          <w:lang w:val="en-US" w:eastAsia="zh-CN"/>
        </w:rPr>
        <w:t>注：1、高级测量员是指具备国家职业资格或职业技能等级三级/高级（或以上）测量员证或具备测量类专业助理工程师（或以上）证书，同时额外提供的测量员需在备注中注明。</w:t>
      </w:r>
    </w:p>
    <w:p>
      <w:pPr>
        <w:spacing w:line="400" w:lineRule="exact"/>
        <w:ind w:firstLine="315" w:firstLineChars="150"/>
        <w:jc w:val="left"/>
        <w:rPr>
          <w:rFonts w:hint="default"/>
          <w:color w:val="auto"/>
          <w:szCs w:val="24"/>
          <w:highlight w:val="none"/>
          <w:lang w:val="en-US" w:eastAsia="zh-CN"/>
        </w:rPr>
      </w:pPr>
      <w:r>
        <w:rPr>
          <w:rFonts w:hint="eastAsia"/>
          <w:color w:val="auto"/>
          <w:szCs w:val="24"/>
          <w:highlight w:val="none"/>
          <w:lang w:val="en-US" w:eastAsia="zh-CN"/>
        </w:rPr>
        <w:t>2、高级测量员的数量可按用招标文件第五章委托人要求或招标人要求合理调配，额外提供的测量员在项目执行期间原则上不得更改。</w:t>
      </w:r>
    </w:p>
    <w:p>
      <w:pPr>
        <w:spacing w:line="440" w:lineRule="exact"/>
        <w:rPr>
          <w:color w:val="auto"/>
          <w:szCs w:val="24"/>
          <w:highlight w:val="none"/>
        </w:rPr>
      </w:pPr>
    </w:p>
    <w:p>
      <w:pPr>
        <w:spacing w:line="440" w:lineRule="exact"/>
        <w:rPr>
          <w:color w:val="auto"/>
          <w:szCs w:val="24"/>
          <w:highlight w:val="none"/>
        </w:rPr>
      </w:pPr>
    </w:p>
    <w:p>
      <w:pPr>
        <w:keepNext/>
        <w:keepLines/>
        <w:spacing w:before="260" w:after="260" w:line="412" w:lineRule="auto"/>
        <w:ind w:firstLine="137" w:firstLineChars="49"/>
        <w:outlineLvl w:val="2"/>
        <w:rPr>
          <w:rFonts w:hint="eastAsia" w:ascii="宋体" w:hAnsi="宋体" w:eastAsia="黑体"/>
          <w:color w:val="auto"/>
          <w:sz w:val="28"/>
          <w:szCs w:val="20"/>
          <w:highlight w:val="none"/>
        </w:rPr>
        <w:sectPr>
          <w:endnotePr>
            <w:numFmt w:val="decimal"/>
          </w:endnotePr>
          <w:pgSz w:w="11907" w:h="16839"/>
          <w:pgMar w:top="1134" w:right="1134" w:bottom="1134" w:left="1134" w:header="851" w:footer="593" w:gutter="0"/>
          <w:pgNumType w:fmt="decimal"/>
          <w:cols w:space="720" w:num="1"/>
          <w:docGrid w:type="lines" w:linePitch="312" w:charSpace="0"/>
        </w:sectPr>
      </w:pPr>
    </w:p>
    <w:p>
      <w:pPr>
        <w:keepNext/>
        <w:keepLines/>
        <w:spacing w:before="260" w:after="260" w:line="412" w:lineRule="auto"/>
        <w:ind w:firstLine="137" w:firstLineChars="49"/>
        <w:outlineLvl w:val="2"/>
        <w:rPr>
          <w:rFonts w:ascii="宋体" w:hAnsi="宋体" w:eastAsia="黑体"/>
          <w:color w:val="auto"/>
          <w:sz w:val="28"/>
          <w:szCs w:val="20"/>
          <w:highlight w:val="none"/>
        </w:rPr>
      </w:pPr>
      <w:bookmarkStart w:id="1752" w:name="_Toc23947"/>
      <w:bookmarkStart w:id="1753" w:name="_Toc23249"/>
      <w:bookmarkStart w:id="1754" w:name="_Toc27606"/>
      <w:bookmarkStart w:id="1755" w:name="_Toc30967"/>
      <w:bookmarkStart w:id="1756" w:name="_Toc909802668"/>
      <w:bookmarkStart w:id="1757" w:name="_Toc28144"/>
      <w:bookmarkStart w:id="1758" w:name="_Toc9475"/>
      <w:bookmarkStart w:id="1759" w:name="_Toc6308"/>
      <w:r>
        <w:rPr>
          <w:rFonts w:hint="eastAsia" w:ascii="宋体" w:hAnsi="宋体" w:eastAsia="黑体"/>
          <w:color w:val="auto"/>
          <w:sz w:val="28"/>
          <w:szCs w:val="20"/>
          <w:highlight w:val="none"/>
        </w:rPr>
        <w:t>（</w:t>
      </w:r>
      <w:r>
        <w:rPr>
          <w:rFonts w:hint="eastAsia" w:ascii="宋体" w:hAnsi="宋体" w:eastAsia="黑体"/>
          <w:color w:val="auto"/>
          <w:sz w:val="28"/>
          <w:szCs w:val="20"/>
          <w:highlight w:val="none"/>
          <w:lang w:val="en-US" w:eastAsia="zh-CN"/>
        </w:rPr>
        <w:t>四</w:t>
      </w:r>
      <w:r>
        <w:rPr>
          <w:rFonts w:hint="eastAsia" w:ascii="宋体" w:hAnsi="宋体" w:eastAsia="黑体"/>
          <w:color w:val="auto"/>
          <w:sz w:val="28"/>
          <w:szCs w:val="20"/>
          <w:highlight w:val="none"/>
        </w:rPr>
        <w:t>）</w:t>
      </w:r>
      <w:r>
        <w:rPr>
          <w:rFonts w:hint="eastAsia" w:ascii="宋体" w:hAnsi="宋体" w:eastAsia="黑体"/>
          <w:color w:val="auto"/>
          <w:sz w:val="28"/>
          <w:szCs w:val="20"/>
          <w:highlight w:val="none"/>
          <w:lang w:val="en-US" w:eastAsia="zh-CN"/>
        </w:rPr>
        <w:t>拟投入项目</w:t>
      </w:r>
      <w:r>
        <w:rPr>
          <w:rFonts w:hint="eastAsia" w:ascii="宋体" w:hAnsi="宋体" w:eastAsia="黑体"/>
          <w:color w:val="auto"/>
          <w:sz w:val="28"/>
          <w:szCs w:val="20"/>
          <w:highlight w:val="none"/>
        </w:rPr>
        <w:t>人员简历表</w:t>
      </w:r>
      <w:bookmarkEnd w:id="1752"/>
      <w:bookmarkEnd w:id="1753"/>
      <w:bookmarkEnd w:id="1754"/>
      <w:bookmarkEnd w:id="1755"/>
      <w:bookmarkEnd w:id="1756"/>
      <w:bookmarkEnd w:id="1757"/>
      <w:bookmarkEnd w:id="1758"/>
      <w:bookmarkEnd w:id="1759"/>
    </w:p>
    <w:p>
      <w:pPr>
        <w:spacing w:line="440" w:lineRule="exact"/>
        <w:rPr>
          <w:color w:val="auto"/>
          <w:szCs w:val="24"/>
          <w:highlight w:val="none"/>
        </w:rPr>
      </w:pPr>
    </w:p>
    <w:p>
      <w:pPr>
        <w:spacing w:line="400" w:lineRule="exact"/>
        <w:jc w:val="center"/>
        <w:rPr>
          <w:rFonts w:ascii="仿宋_GB2312" w:hAnsi="仿宋" w:eastAsia="仿宋_GB2312"/>
          <w:b/>
          <w:color w:val="auto"/>
          <w:sz w:val="28"/>
          <w:szCs w:val="28"/>
          <w:highlight w:val="none"/>
        </w:rPr>
      </w:pPr>
      <w:r>
        <w:rPr>
          <w:rFonts w:hint="eastAsia" w:ascii="仿宋_GB2312" w:hAnsi="仿宋" w:eastAsia="仿宋_GB2312"/>
          <w:b/>
          <w:color w:val="auto"/>
          <w:sz w:val="28"/>
          <w:szCs w:val="28"/>
          <w:highlight w:val="none"/>
          <w:lang w:val="en-US" w:eastAsia="zh-CN"/>
        </w:rPr>
        <w:t>拟投入项目</w:t>
      </w:r>
      <w:r>
        <w:rPr>
          <w:rFonts w:hint="eastAsia" w:ascii="仿宋_GB2312" w:hAnsi="仿宋" w:eastAsia="仿宋_GB2312"/>
          <w:b/>
          <w:color w:val="auto"/>
          <w:sz w:val="28"/>
          <w:szCs w:val="28"/>
          <w:highlight w:val="none"/>
        </w:rPr>
        <w:t>人员简历表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620"/>
        <w:gridCol w:w="1080"/>
        <w:gridCol w:w="720"/>
        <w:gridCol w:w="720"/>
        <w:gridCol w:w="1083"/>
        <w:gridCol w:w="1084"/>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185" w:type="dxa"/>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姓名</w:t>
            </w:r>
          </w:p>
        </w:tc>
        <w:tc>
          <w:tcPr>
            <w:tcW w:w="1620" w:type="dxa"/>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p>
        </w:tc>
        <w:tc>
          <w:tcPr>
            <w:tcW w:w="1080" w:type="dxa"/>
            <w:tcBorders>
              <w:right w:val="single" w:color="auto" w:sz="2" w:space="0"/>
            </w:tcBorders>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性别</w:t>
            </w:r>
          </w:p>
        </w:tc>
        <w:tc>
          <w:tcPr>
            <w:tcW w:w="720" w:type="dxa"/>
            <w:tcBorders>
              <w:left w:val="single" w:color="auto" w:sz="2" w:space="0"/>
            </w:tcBorders>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p>
        </w:tc>
        <w:tc>
          <w:tcPr>
            <w:tcW w:w="720" w:type="dxa"/>
            <w:tcBorders>
              <w:right w:val="single" w:color="auto" w:sz="2" w:space="0"/>
            </w:tcBorders>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出生</w:t>
            </w:r>
          </w:p>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年月</w:t>
            </w:r>
          </w:p>
        </w:tc>
        <w:tc>
          <w:tcPr>
            <w:tcW w:w="1083" w:type="dxa"/>
            <w:tcBorders>
              <w:left w:val="single" w:color="auto" w:sz="2" w:space="0"/>
            </w:tcBorders>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p>
        </w:tc>
        <w:tc>
          <w:tcPr>
            <w:tcW w:w="1084" w:type="dxa"/>
            <w:tcBorders>
              <w:right w:val="single" w:color="auto" w:sz="2" w:space="0"/>
            </w:tcBorders>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文化程度</w:t>
            </w:r>
          </w:p>
        </w:tc>
        <w:tc>
          <w:tcPr>
            <w:tcW w:w="1033" w:type="dxa"/>
            <w:tcBorders>
              <w:left w:val="single" w:color="auto" w:sz="2" w:space="0"/>
            </w:tcBorders>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85" w:type="dxa"/>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毕业院校</w:t>
            </w:r>
          </w:p>
        </w:tc>
        <w:tc>
          <w:tcPr>
            <w:tcW w:w="2700" w:type="dxa"/>
            <w:gridSpan w:val="2"/>
            <w:tcBorders>
              <w:right w:val="single" w:color="auto" w:sz="2" w:space="0"/>
            </w:tcBorders>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p>
        </w:tc>
        <w:tc>
          <w:tcPr>
            <w:tcW w:w="720" w:type="dxa"/>
            <w:tcBorders>
              <w:left w:val="single" w:color="auto" w:sz="2" w:space="0"/>
              <w:right w:val="single" w:color="auto" w:sz="2" w:space="0"/>
            </w:tcBorders>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专业</w:t>
            </w:r>
          </w:p>
        </w:tc>
        <w:tc>
          <w:tcPr>
            <w:tcW w:w="1803" w:type="dxa"/>
            <w:gridSpan w:val="2"/>
            <w:tcBorders>
              <w:left w:val="single" w:color="auto" w:sz="2" w:space="0"/>
              <w:right w:val="single" w:color="auto" w:sz="2" w:space="0"/>
            </w:tcBorders>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p>
        </w:tc>
        <w:tc>
          <w:tcPr>
            <w:tcW w:w="1084" w:type="dxa"/>
            <w:tcBorders>
              <w:left w:val="single" w:color="auto" w:sz="2" w:space="0"/>
              <w:right w:val="single" w:color="auto" w:sz="2" w:space="0"/>
            </w:tcBorders>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毕业时间</w:t>
            </w:r>
          </w:p>
        </w:tc>
        <w:tc>
          <w:tcPr>
            <w:tcW w:w="1033" w:type="dxa"/>
            <w:tcBorders>
              <w:left w:val="single" w:color="auto" w:sz="2" w:space="0"/>
            </w:tcBorders>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5" w:type="dxa"/>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技术职称</w:t>
            </w:r>
          </w:p>
        </w:tc>
        <w:tc>
          <w:tcPr>
            <w:tcW w:w="1620" w:type="dxa"/>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p>
        </w:tc>
        <w:tc>
          <w:tcPr>
            <w:tcW w:w="1800" w:type="dxa"/>
            <w:gridSpan w:val="2"/>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工作年限</w:t>
            </w:r>
          </w:p>
        </w:tc>
        <w:tc>
          <w:tcPr>
            <w:tcW w:w="1803" w:type="dxa"/>
            <w:gridSpan w:val="2"/>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p>
        </w:tc>
        <w:tc>
          <w:tcPr>
            <w:tcW w:w="1084" w:type="dxa"/>
            <w:tcBorders>
              <w:right w:val="single" w:color="auto" w:sz="2" w:space="0"/>
            </w:tcBorders>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拟在本项目担任的职位</w:t>
            </w:r>
          </w:p>
        </w:tc>
        <w:tc>
          <w:tcPr>
            <w:tcW w:w="1033" w:type="dxa"/>
            <w:tcBorders>
              <w:left w:val="single" w:color="auto" w:sz="2" w:space="0"/>
            </w:tcBorders>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185" w:type="dxa"/>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名称</w:t>
            </w:r>
          </w:p>
        </w:tc>
        <w:tc>
          <w:tcPr>
            <w:tcW w:w="1620" w:type="dxa"/>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起讫时间</w:t>
            </w:r>
          </w:p>
        </w:tc>
        <w:tc>
          <w:tcPr>
            <w:tcW w:w="1800" w:type="dxa"/>
            <w:gridSpan w:val="2"/>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任</w:t>
            </w:r>
            <w:r>
              <w:rPr>
                <w:rFonts w:hint="default" w:ascii="仿宋_GB2312" w:hAnsi="仿宋" w:eastAsia="仿宋_GB2312"/>
                <w:color w:val="auto"/>
                <w:sz w:val="24"/>
                <w:szCs w:val="24"/>
                <w:highlight w:val="none"/>
              </w:rPr>
              <w:t xml:space="preserve">   </w:t>
            </w:r>
            <w:r>
              <w:rPr>
                <w:rFonts w:hint="eastAsia" w:ascii="仿宋_GB2312" w:hAnsi="仿宋" w:eastAsia="仿宋_GB2312"/>
                <w:color w:val="auto"/>
                <w:sz w:val="24"/>
                <w:szCs w:val="24"/>
                <w:highlight w:val="none"/>
              </w:rPr>
              <w:t>职</w:t>
            </w:r>
          </w:p>
        </w:tc>
        <w:tc>
          <w:tcPr>
            <w:tcW w:w="1803" w:type="dxa"/>
            <w:gridSpan w:val="2"/>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工程名称</w:t>
            </w:r>
          </w:p>
        </w:tc>
        <w:tc>
          <w:tcPr>
            <w:tcW w:w="2117" w:type="dxa"/>
            <w:gridSpan w:val="2"/>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4" w:hRule="atLeast"/>
          <w:jc w:val="center"/>
        </w:trPr>
        <w:tc>
          <w:tcPr>
            <w:tcW w:w="1185" w:type="dxa"/>
            <w:tcBorders>
              <w:bottom w:val="single" w:color="auto" w:sz="4" w:space="0"/>
            </w:tcBorders>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主要</w:t>
            </w:r>
            <w:r>
              <w:rPr>
                <w:rFonts w:hint="eastAsia" w:ascii="仿宋_GB2312" w:hAnsi="仿宋" w:eastAsia="仿宋_GB2312"/>
                <w:color w:val="auto"/>
                <w:sz w:val="24"/>
                <w:szCs w:val="24"/>
                <w:highlight w:val="none"/>
                <w:lang w:val="en-US" w:eastAsia="zh-CN"/>
              </w:rPr>
              <w:t>工作</w:t>
            </w:r>
            <w:r>
              <w:rPr>
                <w:rFonts w:hint="eastAsia" w:ascii="仿宋_GB2312" w:hAnsi="仿宋" w:eastAsia="仿宋_GB2312"/>
                <w:color w:val="auto"/>
                <w:sz w:val="24"/>
                <w:szCs w:val="24"/>
                <w:highlight w:val="none"/>
              </w:rPr>
              <w:t>经历</w:t>
            </w:r>
          </w:p>
        </w:tc>
        <w:tc>
          <w:tcPr>
            <w:tcW w:w="1620" w:type="dxa"/>
            <w:tcBorders>
              <w:bottom w:val="single" w:color="auto" w:sz="4" w:space="0"/>
            </w:tcBorders>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p>
        </w:tc>
        <w:tc>
          <w:tcPr>
            <w:tcW w:w="1800" w:type="dxa"/>
            <w:gridSpan w:val="2"/>
            <w:tcBorders>
              <w:bottom w:val="single" w:color="auto" w:sz="4" w:space="0"/>
            </w:tcBorders>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p>
        </w:tc>
        <w:tc>
          <w:tcPr>
            <w:tcW w:w="1803" w:type="dxa"/>
            <w:gridSpan w:val="2"/>
            <w:tcBorders>
              <w:bottom w:val="single" w:color="auto" w:sz="4" w:space="0"/>
            </w:tcBorders>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p>
        </w:tc>
        <w:tc>
          <w:tcPr>
            <w:tcW w:w="2117" w:type="dxa"/>
            <w:gridSpan w:val="2"/>
            <w:tcBorders>
              <w:bottom w:val="single" w:color="auto" w:sz="4" w:space="0"/>
            </w:tcBorders>
            <w:vAlign w:val="center"/>
          </w:tcPr>
          <w:p>
            <w:pPr>
              <w:keepNext w:val="0"/>
              <w:keepLines w:val="0"/>
              <w:suppressLineNumbers w:val="0"/>
              <w:tabs>
                <w:tab w:val="left" w:pos="4140"/>
              </w:tabs>
              <w:spacing w:before="0" w:beforeAutospacing="0" w:after="0" w:afterAutospacing="0"/>
              <w:ind w:left="0" w:right="0"/>
              <w:jc w:val="center"/>
              <w:rPr>
                <w:rFonts w:hint="default" w:ascii="仿宋_GB2312" w:hAnsi="仿宋" w:eastAsia="仿宋_GB2312"/>
                <w:color w:val="auto"/>
                <w:sz w:val="24"/>
                <w:szCs w:val="24"/>
                <w:highlight w:val="none"/>
              </w:rPr>
            </w:pPr>
          </w:p>
        </w:tc>
      </w:tr>
    </w:tbl>
    <w:p>
      <w:pPr>
        <w:spacing w:line="400" w:lineRule="exact"/>
        <w:ind w:firstLine="315" w:firstLineChars="150"/>
        <w:jc w:val="left"/>
        <w:rPr>
          <w:color w:val="auto"/>
          <w:szCs w:val="24"/>
          <w:highlight w:val="none"/>
        </w:rPr>
      </w:pPr>
      <w:r>
        <w:rPr>
          <w:rFonts w:hint="eastAsia"/>
          <w:color w:val="auto"/>
          <w:szCs w:val="24"/>
          <w:highlight w:val="none"/>
        </w:rPr>
        <w:t>注：本表后</w:t>
      </w:r>
      <w:r>
        <w:rPr>
          <w:rFonts w:hint="eastAsia"/>
          <w:color w:val="auto"/>
          <w:szCs w:val="24"/>
          <w:highlight w:val="none"/>
          <w:lang w:val="en-US" w:eastAsia="zh-CN"/>
        </w:rPr>
        <w:t>应</w:t>
      </w:r>
      <w:r>
        <w:rPr>
          <w:rFonts w:hint="eastAsia"/>
          <w:color w:val="auto"/>
          <w:szCs w:val="24"/>
          <w:highlight w:val="none"/>
        </w:rPr>
        <w:t>附</w:t>
      </w:r>
      <w:r>
        <w:rPr>
          <w:rFonts w:hint="eastAsia"/>
          <w:color w:val="auto"/>
          <w:szCs w:val="24"/>
          <w:highlight w:val="none"/>
          <w:lang w:val="en-US" w:eastAsia="zh-CN"/>
        </w:rPr>
        <w:t>相关</w:t>
      </w:r>
      <w:r>
        <w:rPr>
          <w:rFonts w:hint="eastAsia"/>
          <w:color w:val="auto"/>
          <w:szCs w:val="24"/>
          <w:highlight w:val="none"/>
        </w:rPr>
        <w:t>人员学历证书、身份证、职称证书</w:t>
      </w:r>
      <w:r>
        <w:rPr>
          <w:rFonts w:hint="eastAsia"/>
          <w:color w:val="auto"/>
          <w:szCs w:val="24"/>
          <w:highlight w:val="none"/>
          <w:lang w:eastAsia="zh-CN"/>
        </w:rPr>
        <w:t>、</w:t>
      </w:r>
      <w:r>
        <w:rPr>
          <w:rFonts w:hint="eastAsia"/>
          <w:color w:val="auto"/>
          <w:szCs w:val="24"/>
          <w:highlight w:val="none"/>
          <w:lang w:val="en-US" w:eastAsia="zh-CN"/>
        </w:rPr>
        <w:t>业绩</w:t>
      </w:r>
      <w:r>
        <w:rPr>
          <w:rFonts w:hint="eastAsia"/>
          <w:color w:val="auto"/>
          <w:szCs w:val="24"/>
          <w:highlight w:val="none"/>
        </w:rPr>
        <w:t>等复印件或相关证明。</w:t>
      </w:r>
    </w:p>
    <w:p>
      <w:pPr>
        <w:spacing w:line="600" w:lineRule="exact"/>
        <w:rPr>
          <w:rFonts w:ascii="宋体" w:hAnsi="宋体"/>
          <w:color w:val="auto"/>
          <w:spacing w:val="20"/>
          <w:szCs w:val="24"/>
          <w:highlight w:val="none"/>
        </w:rPr>
      </w:pPr>
    </w:p>
    <w:p>
      <w:pPr>
        <w:spacing w:line="440" w:lineRule="exact"/>
        <w:rPr>
          <w:color w:val="auto"/>
          <w:szCs w:val="24"/>
          <w:highlight w:val="none"/>
        </w:rPr>
      </w:pPr>
    </w:p>
    <w:p>
      <w:pPr>
        <w:spacing w:line="440" w:lineRule="exact"/>
        <w:rPr>
          <w:color w:val="auto"/>
          <w:szCs w:val="24"/>
          <w:highlight w:val="none"/>
        </w:rPr>
      </w:pPr>
    </w:p>
    <w:p>
      <w:pPr>
        <w:keepNext/>
        <w:keepLines/>
        <w:spacing w:before="260" w:after="260" w:line="412" w:lineRule="auto"/>
        <w:ind w:firstLine="137" w:firstLineChars="49"/>
        <w:outlineLvl w:val="2"/>
        <w:rPr>
          <w:rFonts w:hint="eastAsia" w:ascii="宋体" w:hAnsi="宋体" w:eastAsia="黑体"/>
          <w:color w:val="auto"/>
          <w:sz w:val="28"/>
          <w:szCs w:val="20"/>
          <w:highlight w:val="none"/>
        </w:rPr>
        <w:sectPr>
          <w:endnotePr>
            <w:numFmt w:val="decimal"/>
          </w:endnotePr>
          <w:pgSz w:w="11907" w:h="16839"/>
          <w:pgMar w:top="1134" w:right="1134" w:bottom="1134" w:left="1134" w:header="851" w:footer="593" w:gutter="0"/>
          <w:pgNumType w:fmt="decimal"/>
          <w:cols w:space="720" w:num="1"/>
          <w:docGrid w:type="lines" w:linePitch="312" w:charSpace="0"/>
        </w:sectPr>
      </w:pPr>
      <w:bookmarkStart w:id="1760" w:name="_Toc16349"/>
      <w:bookmarkStart w:id="1761" w:name="_Toc170804682"/>
      <w:bookmarkStart w:id="1762" w:name="_Toc17019"/>
    </w:p>
    <w:p>
      <w:pPr>
        <w:keepNext/>
        <w:keepLines/>
        <w:spacing w:before="260" w:after="260" w:line="412" w:lineRule="auto"/>
        <w:ind w:firstLine="137" w:firstLineChars="49"/>
        <w:outlineLvl w:val="2"/>
        <w:rPr>
          <w:rFonts w:ascii="宋体" w:hAnsi="宋体" w:eastAsia="黑体"/>
          <w:color w:val="auto"/>
          <w:sz w:val="28"/>
          <w:szCs w:val="20"/>
          <w:highlight w:val="none"/>
        </w:rPr>
      </w:pPr>
      <w:bookmarkStart w:id="1763" w:name="_Toc969874436"/>
      <w:bookmarkStart w:id="1764" w:name="_Toc23521"/>
      <w:bookmarkStart w:id="1765" w:name="_Toc7630"/>
      <w:bookmarkStart w:id="1766" w:name="_Toc15936"/>
      <w:bookmarkStart w:id="1767" w:name="_Toc27889"/>
      <w:bookmarkStart w:id="1768" w:name="_Toc30449"/>
      <w:bookmarkStart w:id="1769" w:name="_Toc31169"/>
      <w:bookmarkStart w:id="1770" w:name="_Toc24501"/>
      <w:r>
        <w:rPr>
          <w:rFonts w:hint="eastAsia" w:ascii="宋体" w:hAnsi="宋体" w:eastAsia="黑体"/>
          <w:color w:val="auto"/>
          <w:sz w:val="28"/>
          <w:szCs w:val="20"/>
          <w:highlight w:val="none"/>
        </w:rPr>
        <w:t>（五）投标申请人声明格式</w:t>
      </w:r>
      <w:bookmarkEnd w:id="1760"/>
      <w:bookmarkEnd w:id="1761"/>
      <w:bookmarkEnd w:id="1762"/>
      <w:bookmarkEnd w:id="1763"/>
      <w:bookmarkEnd w:id="1764"/>
      <w:bookmarkEnd w:id="1765"/>
      <w:bookmarkEnd w:id="1766"/>
      <w:bookmarkEnd w:id="1767"/>
      <w:bookmarkEnd w:id="1768"/>
      <w:bookmarkEnd w:id="1769"/>
      <w:bookmarkEnd w:id="1770"/>
    </w:p>
    <w:p>
      <w:pPr>
        <w:widowControl/>
        <w:adjustRightInd w:val="0"/>
        <w:snapToGrid w:val="0"/>
        <w:spacing w:line="360" w:lineRule="auto"/>
        <w:ind w:firstLine="2409" w:firstLineChars="750"/>
        <w:rPr>
          <w:rFonts w:ascii="宋体" w:hAnsi="宋体" w:cs="宋体"/>
          <w:b/>
          <w:bCs/>
          <w:color w:val="auto"/>
          <w:kern w:val="0"/>
          <w:sz w:val="32"/>
          <w:szCs w:val="32"/>
          <w:highlight w:val="none"/>
        </w:rPr>
      </w:pPr>
    </w:p>
    <w:p>
      <w:pPr>
        <w:ind w:firstLine="495" w:firstLineChars="177"/>
        <w:rPr>
          <w:color w:val="auto"/>
          <w:sz w:val="28"/>
          <w:szCs w:val="28"/>
          <w:highlight w:val="none"/>
        </w:rPr>
      </w:pPr>
      <w:r>
        <w:rPr>
          <w:rFonts w:hint="eastAsia" w:ascii="宋体" w:hAnsi="宋体" w:cs="宋体"/>
          <w:bCs/>
          <w:color w:val="auto"/>
          <w:kern w:val="0"/>
          <w:sz w:val="28"/>
          <w:szCs w:val="28"/>
          <w:highlight w:val="none"/>
        </w:rPr>
        <w:t>投标申请人声明格式详见</w:t>
      </w:r>
      <w:r>
        <w:rPr>
          <w:rFonts w:hint="eastAsia" w:ascii="宋体" w:hAnsi="宋体" w:cs="宋体"/>
          <w:bCs/>
          <w:color w:val="auto"/>
          <w:kern w:val="0"/>
          <w:sz w:val="28"/>
          <w:szCs w:val="28"/>
          <w:highlight w:val="none"/>
          <w:u w:val="single"/>
        </w:rPr>
        <w:t>招标公告附件一</w:t>
      </w:r>
      <w:r>
        <w:rPr>
          <w:rFonts w:hint="eastAsia" w:ascii="宋体" w:hAnsi="宋体" w:cs="宋体"/>
          <w:bCs/>
          <w:color w:val="auto"/>
          <w:kern w:val="0"/>
          <w:sz w:val="28"/>
          <w:szCs w:val="28"/>
          <w:highlight w:val="none"/>
        </w:rPr>
        <w:t>。</w:t>
      </w:r>
    </w:p>
    <w:p>
      <w:pPr>
        <w:widowControl/>
        <w:jc w:val="left"/>
        <w:rPr>
          <w:color w:val="auto"/>
          <w:szCs w:val="24"/>
          <w:highlight w:val="none"/>
        </w:rPr>
      </w:pPr>
      <w:r>
        <w:rPr>
          <w:color w:val="auto"/>
          <w:szCs w:val="24"/>
          <w:highlight w:val="none"/>
        </w:rPr>
        <w:br w:type="page"/>
      </w:r>
    </w:p>
    <w:p>
      <w:pPr>
        <w:keepNext/>
        <w:keepLines/>
        <w:spacing w:before="260" w:after="260" w:line="412" w:lineRule="auto"/>
        <w:ind w:firstLine="137" w:firstLineChars="49"/>
        <w:outlineLvl w:val="2"/>
        <w:rPr>
          <w:rFonts w:ascii="宋体" w:hAnsi="宋体" w:eastAsia="黑体"/>
          <w:color w:val="auto"/>
          <w:sz w:val="28"/>
          <w:szCs w:val="20"/>
          <w:highlight w:val="none"/>
        </w:rPr>
      </w:pPr>
      <w:r>
        <w:rPr>
          <w:rFonts w:ascii="宋体" w:hAnsi="宋体" w:eastAsia="黑体" w:cs="Tahoma"/>
          <w:color w:val="auto"/>
          <w:sz w:val="28"/>
          <w:szCs w:val="20"/>
          <w:highlight w:val="none"/>
        </w:rPr>
        <w:t xml:space="preserve"> </w:t>
      </w:r>
      <w:bookmarkStart w:id="1771" w:name="_Toc26288"/>
      <w:bookmarkStart w:id="1772" w:name="_Toc32174"/>
      <w:bookmarkStart w:id="1773" w:name="_Toc25690"/>
      <w:bookmarkStart w:id="1774" w:name="_Toc1278765122"/>
      <w:bookmarkStart w:id="1775" w:name="_Toc16501"/>
      <w:bookmarkStart w:id="1776" w:name="_Toc10550"/>
      <w:bookmarkStart w:id="1777" w:name="_Toc170804684"/>
      <w:bookmarkStart w:id="1778" w:name="_Toc16975"/>
      <w:bookmarkStart w:id="1779" w:name="_Toc24400"/>
      <w:bookmarkStart w:id="1780" w:name="_Toc32685"/>
      <w:bookmarkStart w:id="1781" w:name="_Toc17288"/>
      <w:r>
        <w:rPr>
          <w:rFonts w:ascii="宋体" w:hAnsi="宋体" w:eastAsia="黑体" w:cs="Tahoma"/>
          <w:color w:val="auto"/>
          <w:sz w:val="28"/>
          <w:szCs w:val="20"/>
          <w:highlight w:val="none"/>
        </w:rPr>
        <w:t>(</w:t>
      </w:r>
      <w:r>
        <w:rPr>
          <w:rFonts w:hint="eastAsia" w:ascii="宋体" w:hAnsi="宋体" w:eastAsia="黑体" w:cs="Tahoma"/>
          <w:color w:val="auto"/>
          <w:sz w:val="28"/>
          <w:szCs w:val="20"/>
          <w:highlight w:val="none"/>
        </w:rPr>
        <w:t>六</w:t>
      </w:r>
      <w:r>
        <w:rPr>
          <w:rFonts w:ascii="宋体" w:hAnsi="宋体" w:eastAsia="黑体" w:cs="Tahoma"/>
          <w:color w:val="auto"/>
          <w:sz w:val="28"/>
          <w:szCs w:val="20"/>
          <w:highlight w:val="none"/>
        </w:rPr>
        <w:t>)</w:t>
      </w:r>
      <w:r>
        <w:rPr>
          <w:rFonts w:hint="eastAsia" w:ascii="宋体" w:hAnsi="宋体" w:eastAsia="黑体"/>
          <w:color w:val="auto"/>
          <w:sz w:val="28"/>
          <w:szCs w:val="20"/>
          <w:highlight w:val="none"/>
        </w:rPr>
        <w:t>投标保函格式</w:t>
      </w:r>
      <w:bookmarkEnd w:id="1771"/>
      <w:bookmarkEnd w:id="1772"/>
      <w:bookmarkEnd w:id="1773"/>
      <w:bookmarkEnd w:id="1774"/>
      <w:bookmarkEnd w:id="1775"/>
      <w:bookmarkEnd w:id="1776"/>
      <w:bookmarkEnd w:id="1777"/>
      <w:bookmarkEnd w:id="1778"/>
      <w:bookmarkEnd w:id="1779"/>
      <w:bookmarkEnd w:id="1780"/>
      <w:bookmarkEnd w:id="1781"/>
    </w:p>
    <w:p>
      <w:pPr>
        <w:spacing w:before="312" w:beforeLines="100" w:after="312" w:afterLines="100" w:line="360" w:lineRule="auto"/>
        <w:jc w:val="center"/>
        <w:rPr>
          <w:rFonts w:ascii="宋体" w:hAnsi="宋体"/>
          <w:b/>
          <w:color w:val="auto"/>
          <w:spacing w:val="20"/>
          <w:sz w:val="22"/>
          <w:szCs w:val="22"/>
          <w:highlight w:val="none"/>
        </w:rPr>
      </w:pPr>
      <w:r>
        <w:rPr>
          <w:rFonts w:hint="eastAsia" w:ascii="宋体" w:hAnsi="宋体"/>
          <w:b/>
          <w:color w:val="auto"/>
          <w:spacing w:val="20"/>
          <w:sz w:val="22"/>
          <w:szCs w:val="22"/>
          <w:highlight w:val="none"/>
        </w:rPr>
        <w:t>投标担保函</w:t>
      </w:r>
    </w:p>
    <w:p>
      <w:pPr>
        <w:spacing w:line="360" w:lineRule="auto"/>
        <w:ind w:firstLine="6560" w:firstLineChars="2970"/>
        <w:rPr>
          <w:rFonts w:ascii="宋体" w:hAnsi="宋体"/>
          <w:b/>
          <w:color w:val="auto"/>
          <w:sz w:val="22"/>
          <w:szCs w:val="22"/>
          <w:highlight w:val="none"/>
        </w:rPr>
      </w:pPr>
      <w:r>
        <w:rPr>
          <w:rFonts w:hint="eastAsia" w:ascii="宋体" w:hAnsi="宋体"/>
          <w:b/>
          <w:color w:val="auto"/>
          <w:sz w:val="22"/>
          <w:szCs w:val="22"/>
          <w:highlight w:val="none"/>
        </w:rPr>
        <w:t>编号：</w:t>
      </w:r>
    </w:p>
    <w:p>
      <w:pPr>
        <w:spacing w:line="360" w:lineRule="auto"/>
        <w:rPr>
          <w:rFonts w:ascii="宋体" w:hAnsi="宋体"/>
          <w:color w:val="auto"/>
          <w:sz w:val="22"/>
          <w:szCs w:val="22"/>
          <w:highlight w:val="none"/>
          <w:u w:val="single"/>
        </w:rPr>
      </w:pP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(招标人或招标代理机构)：</w:t>
      </w:r>
    </w:p>
    <w:p>
      <w:pPr>
        <w:spacing w:line="360" w:lineRule="auto"/>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鉴于</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(以下筒称“投标人”)拟参加编号为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的</w:t>
      </w:r>
      <w:r>
        <w:rPr>
          <w:rFonts w:hint="eastAsia" w:ascii="宋体" w:hAnsi="宋体"/>
          <w:color w:val="auto"/>
          <w:sz w:val="22"/>
          <w:szCs w:val="22"/>
          <w:highlight w:val="none"/>
          <w:u w:val="single"/>
        </w:rPr>
        <w:t xml:space="preserve">      </w:t>
      </w:r>
    </w:p>
    <w:p>
      <w:pPr>
        <w:spacing w:line="360" w:lineRule="auto"/>
        <w:rPr>
          <w:rFonts w:ascii="宋体" w:hAnsi="宋体"/>
          <w:color w:val="auto"/>
          <w:sz w:val="22"/>
          <w:szCs w:val="22"/>
          <w:highlight w:val="none"/>
          <w:u w:val="single"/>
        </w:rPr>
      </w:pP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项目(以下简称“本项目”)投标，根据本项目招标文件，</w:t>
      </w:r>
      <w:r>
        <w:rPr>
          <w:rFonts w:hint="eastAsia" w:ascii="宋体" w:hAnsi="宋体"/>
          <w:color w:val="auto"/>
          <w:sz w:val="22"/>
          <w:szCs w:val="22"/>
          <w:highlight w:val="none"/>
          <w:lang w:val="en-US" w:eastAsia="zh-CN"/>
        </w:rPr>
        <w:t>投标人</w:t>
      </w:r>
      <w:r>
        <w:rPr>
          <w:rFonts w:hint="eastAsia" w:ascii="宋体" w:hAnsi="宋体"/>
          <w:color w:val="auto"/>
          <w:sz w:val="22"/>
          <w:szCs w:val="22"/>
          <w:highlight w:val="none"/>
        </w:rPr>
        <w:t>参加投标时应向你方交纳投标保证金,且可以投标担保函的形式交纳投标保证金。应</w:t>
      </w:r>
      <w:r>
        <w:rPr>
          <w:rFonts w:hint="eastAsia" w:ascii="宋体" w:hAnsi="宋体"/>
          <w:color w:val="auto"/>
          <w:sz w:val="22"/>
          <w:szCs w:val="22"/>
          <w:highlight w:val="none"/>
          <w:lang w:val="en-US" w:eastAsia="zh-CN"/>
        </w:rPr>
        <w:t>投标人</w:t>
      </w:r>
      <w:r>
        <w:rPr>
          <w:rFonts w:hint="eastAsia" w:ascii="宋体" w:hAnsi="宋体"/>
          <w:color w:val="auto"/>
          <w:sz w:val="22"/>
          <w:szCs w:val="22"/>
          <w:highlight w:val="none"/>
        </w:rPr>
        <w:t>的申请，我方以保证的方式向你方提供如下投标保证金担保：</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一、保证责任的情形及保证金额</w:t>
      </w:r>
    </w:p>
    <w:p>
      <w:pPr>
        <w:tabs>
          <w:tab w:val="left" w:pos="284"/>
        </w:tabs>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(一)在投标人出现下列情形之一时,，我方承担保证责任：</w:t>
      </w:r>
    </w:p>
    <w:p>
      <w:pPr>
        <w:tabs>
          <w:tab w:val="left" w:pos="284"/>
        </w:tabs>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1.中标后投标人无正当理由不与招标人或者招标代理机构签订《合同》；</w:t>
      </w:r>
    </w:p>
    <w:p>
      <w:pPr>
        <w:tabs>
          <w:tab w:val="left" w:pos="284"/>
        </w:tabs>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2.招标文件规定的投标人应当缴纳保证金的其他情形。</w:t>
      </w:r>
    </w:p>
    <w:p>
      <w:pPr>
        <w:tabs>
          <w:tab w:val="left" w:pos="284"/>
        </w:tabs>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(二)我方承担保证责任的最高金额为人民币</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元(大写：</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)；即本项目的投标保证金金额。</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二、保证的方式及保证期间</w:t>
      </w:r>
    </w:p>
    <w:p>
      <w:pPr>
        <w:tabs>
          <w:tab w:val="left" w:pos="142"/>
          <w:tab w:val="left" w:pos="284"/>
        </w:tabs>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我方保证的方式为：连带责任保证。</w:t>
      </w:r>
    </w:p>
    <w:p>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我方的保证期间为：自本保函生效之日起</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个月止。</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三、承担保证责任的程序</w:t>
      </w:r>
    </w:p>
    <w:p>
      <w:pPr>
        <w:spacing w:line="360" w:lineRule="auto"/>
        <w:ind w:left="281" w:leftChars="134"/>
        <w:rPr>
          <w:rFonts w:ascii="宋体" w:hAnsi="宋体"/>
          <w:color w:val="auto"/>
          <w:sz w:val="22"/>
          <w:szCs w:val="22"/>
          <w:highlight w:val="none"/>
        </w:rPr>
      </w:pPr>
      <w:r>
        <w:rPr>
          <w:rFonts w:hint="eastAsia" w:ascii="宋体" w:hAnsi="宋体"/>
          <w:color w:val="auto"/>
          <w:sz w:val="22"/>
          <w:szCs w:val="22"/>
          <w:highlight w:val="none"/>
        </w:rPr>
        <w:t>1.你方要求我方承担保证责任的，应在本保函保证期间内向我方发出书面索赔通知,索赔通知应写明要求索赔的金额，支付款项应到达的账号，无需受益人提供任何证明。</w:t>
      </w:r>
    </w:p>
    <w:p>
      <w:pPr>
        <w:spacing w:line="360" w:lineRule="auto"/>
        <w:ind w:left="281" w:leftChars="134"/>
        <w:rPr>
          <w:rFonts w:ascii="宋体" w:hAnsi="宋体"/>
          <w:color w:val="auto"/>
          <w:sz w:val="22"/>
          <w:szCs w:val="22"/>
          <w:highlight w:val="none"/>
        </w:rPr>
      </w:pPr>
      <w:r>
        <w:rPr>
          <w:rFonts w:hint="eastAsia" w:ascii="宋体" w:hAnsi="宋体"/>
          <w:color w:val="auto"/>
          <w:sz w:val="22"/>
          <w:szCs w:val="22"/>
          <w:highlight w:val="none"/>
        </w:rPr>
        <w:t>2.我方在收到索赔通知及相关证明材料后，在</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个工作日内进行审查，我方应按照你方的要求代投标人向你方支付投标保证金。</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四、保证责任的终止</w:t>
      </w:r>
    </w:p>
    <w:p>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1.保证期间届满你方未向我方书面主张保证责任的，自保证期间届满次日起，我方保证责任自动终止。</w:t>
      </w:r>
    </w:p>
    <w:p>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2.我方按照本保函向你贵方履行了保证责任后，自我方向你贵方支付款项(支付款项从我方账户划出)之日起,保证责任终止。</w:t>
      </w:r>
    </w:p>
    <w:p>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3.按照法律法规的规定或出现我方保证责任终止的其它情形的，我方在本保函项下的保证责任亦终止。</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五、免责条款</w:t>
      </w:r>
    </w:p>
    <w:p>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1.依照法律规定或你方与投标人的另行约定，全部或者部分免除投标人投标保证金义务时，我方亦免除相应的保证责任。</w:t>
      </w:r>
    </w:p>
    <w:p>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2.因你方原因致使投标入发生本保函第一条第（一）款约定情形的，我方不承担保证责任。</w:t>
      </w:r>
    </w:p>
    <w:p>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3.因不可抗力造成投断人发生本保函第一条约定情形的，我方不承担保证责任。</w:t>
      </w:r>
    </w:p>
    <w:p>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4.你方或其他有权机关对招标文件进行任何澄清或修改，加重我方保证责任的，我方对加重部分不承担保证责任，但该澄清或修改经我方事先书面同意的除外。</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六、争议的解决</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因本保函发生的纠纷，由你我双方协商解决，协商不成的，通过诉讼程序解决,诉讼管辖地法院为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法院。</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七、保函的生效</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本保函自我方加盖公章之日起生效。</w:t>
      </w:r>
    </w:p>
    <w:p>
      <w:pPr>
        <w:spacing w:line="360" w:lineRule="auto"/>
        <w:ind w:firstLine="440" w:firstLineChars="200"/>
        <w:rPr>
          <w:rFonts w:ascii="宋体" w:hAnsi="宋体"/>
          <w:color w:val="auto"/>
          <w:sz w:val="22"/>
          <w:szCs w:val="22"/>
          <w:highlight w:val="none"/>
        </w:rPr>
      </w:pPr>
    </w:p>
    <w:p>
      <w:pPr>
        <w:spacing w:line="360" w:lineRule="auto"/>
        <w:ind w:firstLine="440" w:firstLineChars="200"/>
        <w:rPr>
          <w:rFonts w:hint="eastAsia" w:ascii="宋体" w:hAnsi="宋体"/>
          <w:color w:val="auto"/>
          <w:sz w:val="22"/>
          <w:szCs w:val="22"/>
          <w:highlight w:val="none"/>
        </w:rPr>
      </w:pPr>
    </w:p>
    <w:p>
      <w:pPr>
        <w:spacing w:line="360" w:lineRule="auto"/>
        <w:ind w:firstLine="5080" w:firstLineChars="2117"/>
        <w:rPr>
          <w:rFonts w:ascii="宋体" w:hAnsi="宋体" w:cs="宋体"/>
          <w:color w:val="auto"/>
          <w:sz w:val="24"/>
          <w:szCs w:val="22"/>
          <w:highlight w:val="none"/>
        </w:rPr>
      </w:pPr>
      <w:r>
        <w:rPr>
          <w:rFonts w:hint="eastAsia" w:ascii="宋体" w:hAnsi="宋体" w:cs="宋体"/>
          <w:color w:val="auto"/>
          <w:sz w:val="24"/>
          <w:szCs w:val="22"/>
          <w:highlight w:val="none"/>
        </w:rPr>
        <w:t>担 保 银行：</w:t>
      </w:r>
      <w:r>
        <w:rPr>
          <w:rFonts w:hint="eastAsia" w:ascii="宋体" w:hAnsi="宋体" w:cs="宋体"/>
          <w:color w:val="auto"/>
          <w:sz w:val="24"/>
          <w:szCs w:val="22"/>
          <w:highlight w:val="none"/>
          <w:u w:val="single"/>
        </w:rPr>
        <w:t>（全称）</w:t>
      </w:r>
      <w:r>
        <w:rPr>
          <w:rFonts w:hint="eastAsia" w:ascii="宋体" w:hAnsi="宋体" w:cs="宋体"/>
          <w:color w:val="auto"/>
          <w:sz w:val="24"/>
          <w:szCs w:val="22"/>
          <w:highlight w:val="none"/>
        </w:rPr>
        <w:t>（盖章）</w:t>
      </w:r>
    </w:p>
    <w:p>
      <w:pPr>
        <w:spacing w:line="360" w:lineRule="auto"/>
        <w:ind w:right="660"/>
        <w:jc w:val="right"/>
        <w:rPr>
          <w:rFonts w:ascii="宋体" w:hAnsi="宋体"/>
          <w:color w:val="auto"/>
          <w:sz w:val="22"/>
          <w:szCs w:val="22"/>
          <w:highlight w:val="none"/>
        </w:rPr>
      </w:pPr>
      <w:r>
        <w:rPr>
          <w:rFonts w:hint="eastAsia" w:ascii="宋体" w:hAnsi="宋体"/>
          <w:color w:val="auto"/>
          <w:sz w:val="22"/>
          <w:szCs w:val="22"/>
          <w:highlight w:val="none"/>
        </w:rPr>
        <w:t>年   月   日</w:t>
      </w:r>
    </w:p>
    <w:p>
      <w:pPr>
        <w:rPr>
          <w:rFonts w:hint="eastAsia" w:ascii="宋体" w:hAnsi="宋体" w:cs="宋体"/>
          <w:color w:val="auto"/>
          <w:sz w:val="24"/>
          <w:szCs w:val="22"/>
          <w:highlight w:val="none"/>
        </w:rPr>
      </w:pPr>
    </w:p>
    <w:p>
      <w:pPr>
        <w:pStyle w:val="26"/>
        <w:rPr>
          <w:rFonts w:hint="eastAsia" w:ascii="Times New Roman" w:hAnsi="Times New Roman" w:eastAsia="黑体" w:cs="Times New Roman"/>
          <w:color w:val="auto"/>
          <w:kern w:val="0"/>
          <w:sz w:val="24"/>
          <w:szCs w:val="20"/>
          <w:highlight w:val="none"/>
          <w:lang w:val="en-US" w:eastAsia="zh-CN" w:bidi="ar-SA"/>
        </w:rPr>
      </w:pPr>
      <w:r>
        <w:rPr>
          <w:rFonts w:hint="eastAsia" w:ascii="宋体" w:hAnsi="宋体" w:cs="宋体"/>
          <w:color w:val="auto"/>
          <w:sz w:val="24"/>
          <w:szCs w:val="22"/>
          <w:highlight w:val="none"/>
        </w:rPr>
        <w:t>备注：保函应由</w:t>
      </w:r>
      <w:r>
        <w:rPr>
          <w:rFonts w:ascii="宋体" w:hAnsi="宋体" w:cs="宋体"/>
          <w:color w:val="auto"/>
          <w:sz w:val="24"/>
          <w:szCs w:val="22"/>
          <w:highlight w:val="none"/>
        </w:rPr>
        <w:t>国有商业银行或股份制商业</w:t>
      </w:r>
      <w:r>
        <w:rPr>
          <w:rFonts w:hint="eastAsia" w:ascii="宋体" w:hAnsi="宋体" w:cs="宋体"/>
          <w:color w:val="auto"/>
          <w:sz w:val="24"/>
          <w:szCs w:val="22"/>
          <w:highlight w:val="none"/>
        </w:rPr>
        <w:t>银行支行一级以上机构出具。</w:t>
      </w:r>
    </w:p>
    <w:p>
      <w:pPr>
        <w:keepNext/>
        <w:keepLines/>
        <w:adjustRightInd w:val="0"/>
        <w:spacing w:before="240" w:after="120" w:line="360" w:lineRule="auto"/>
        <w:textAlignment w:val="baseline"/>
        <w:outlineLvl w:val="1"/>
        <w:rPr>
          <w:rFonts w:ascii="黑体" w:hAnsi="黑体" w:eastAsia="黑体"/>
          <w:color w:val="auto"/>
          <w:kern w:val="0"/>
          <w:sz w:val="28"/>
          <w:szCs w:val="28"/>
          <w:highlight w:val="none"/>
        </w:rPr>
        <w:sectPr>
          <w:endnotePr>
            <w:numFmt w:val="decimal"/>
          </w:endnotePr>
          <w:pgSz w:w="11907" w:h="16839"/>
          <w:pgMar w:top="1134" w:right="1134" w:bottom="1134" w:left="1134" w:header="851" w:footer="593" w:gutter="0"/>
          <w:pgNumType w:fmt="decimal"/>
          <w:cols w:space="720" w:num="1"/>
          <w:docGrid w:type="lines" w:linePitch="312" w:charSpace="0"/>
        </w:sectPr>
      </w:pPr>
      <w:bookmarkStart w:id="1782" w:name="_Toc20293"/>
      <w:bookmarkStart w:id="1783" w:name="_Toc30368"/>
      <w:bookmarkStart w:id="1784" w:name="_Toc170804685"/>
    </w:p>
    <w:p>
      <w:pPr>
        <w:keepNext/>
        <w:keepLines/>
        <w:adjustRightInd w:val="0"/>
        <w:spacing w:before="240" w:after="120" w:line="360" w:lineRule="auto"/>
        <w:textAlignment w:val="baseline"/>
        <w:outlineLvl w:val="1"/>
        <w:rPr>
          <w:rFonts w:ascii="黑体" w:hAnsi="黑体" w:eastAsia="黑体"/>
          <w:color w:val="auto"/>
          <w:kern w:val="0"/>
          <w:sz w:val="28"/>
          <w:szCs w:val="28"/>
          <w:highlight w:val="none"/>
        </w:rPr>
      </w:pPr>
      <w:bookmarkStart w:id="1785" w:name="_Toc13770"/>
      <w:bookmarkStart w:id="1786" w:name="_Toc20415"/>
      <w:bookmarkStart w:id="1787" w:name="_Toc6353"/>
      <w:bookmarkStart w:id="1788" w:name="_Toc189066278"/>
      <w:bookmarkStart w:id="1789" w:name="_Toc1759"/>
      <w:bookmarkStart w:id="1790" w:name="_Toc29745"/>
      <w:bookmarkStart w:id="1791" w:name="_Toc19129"/>
      <w:bookmarkStart w:id="1792" w:name="_Toc26744"/>
      <w:r>
        <w:rPr>
          <w:rFonts w:ascii="黑体" w:hAnsi="黑体" w:eastAsia="黑体"/>
          <w:color w:val="auto"/>
          <w:kern w:val="0"/>
          <w:sz w:val="28"/>
          <w:szCs w:val="28"/>
          <w:highlight w:val="none"/>
        </w:rPr>
        <w:t>1</w:t>
      </w:r>
      <w:r>
        <w:rPr>
          <w:rFonts w:hint="eastAsia" w:ascii="黑体" w:hAnsi="黑体" w:eastAsia="黑体"/>
          <w:color w:val="auto"/>
          <w:kern w:val="0"/>
          <w:sz w:val="28"/>
          <w:szCs w:val="28"/>
          <w:highlight w:val="none"/>
        </w:rPr>
        <w:t>1</w:t>
      </w:r>
      <w:r>
        <w:rPr>
          <w:rFonts w:ascii="黑体" w:hAnsi="黑体" w:eastAsia="黑体"/>
          <w:color w:val="auto"/>
          <w:kern w:val="0"/>
          <w:sz w:val="28"/>
          <w:szCs w:val="28"/>
          <w:highlight w:val="none"/>
        </w:rPr>
        <w:t>.</w:t>
      </w:r>
      <w:r>
        <w:rPr>
          <w:rFonts w:hint="eastAsia" w:ascii="黑体" w:hAnsi="黑体" w:eastAsia="黑体"/>
          <w:color w:val="auto"/>
          <w:kern w:val="0"/>
          <w:sz w:val="28"/>
          <w:szCs w:val="28"/>
          <w:highlight w:val="none"/>
        </w:rPr>
        <w:t>须评审的其他资料（包含但不限于：含</w:t>
      </w:r>
      <w:r>
        <w:rPr>
          <w:rFonts w:hint="eastAsia" w:ascii="黑体" w:hAnsi="黑体" w:eastAsia="黑体"/>
          <w:color w:val="auto"/>
          <w:kern w:val="0"/>
          <w:sz w:val="28"/>
          <w:szCs w:val="28"/>
          <w:highlight w:val="none"/>
          <w:lang w:val="en-US" w:eastAsia="zh-CN"/>
        </w:rPr>
        <w:t>业主评价、</w:t>
      </w:r>
      <w:r>
        <w:rPr>
          <w:rFonts w:hint="eastAsia" w:ascii="黑体" w:hAnsi="黑体" w:eastAsia="黑体"/>
          <w:color w:val="auto"/>
          <w:kern w:val="0"/>
          <w:sz w:val="28"/>
          <w:szCs w:val="28"/>
          <w:highlight w:val="none"/>
        </w:rPr>
        <w:t>奖项荣誉证书等相关证明材料，格式自拟）</w:t>
      </w:r>
      <w:bookmarkEnd w:id="1782"/>
      <w:bookmarkEnd w:id="1783"/>
      <w:bookmarkEnd w:id="1784"/>
      <w:bookmarkEnd w:id="1785"/>
      <w:bookmarkEnd w:id="1786"/>
      <w:bookmarkEnd w:id="1787"/>
      <w:bookmarkEnd w:id="1788"/>
      <w:bookmarkEnd w:id="1789"/>
      <w:bookmarkEnd w:id="1790"/>
      <w:bookmarkEnd w:id="1791"/>
      <w:bookmarkEnd w:id="1792"/>
    </w:p>
    <w:p>
      <w:pPr>
        <w:spacing w:line="440" w:lineRule="exact"/>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highlight w:val="none"/>
        </w:rPr>
      </w:pPr>
      <w:bookmarkStart w:id="1793" w:name="_Toc247085834"/>
      <w:bookmarkEnd w:id="1793"/>
      <w:bookmarkStart w:id="1794" w:name="_Toc184635117"/>
      <w:bookmarkEnd w:id="1794"/>
      <w:bookmarkStart w:id="1795" w:name="_Toc246996319"/>
      <w:bookmarkEnd w:id="1795"/>
      <w:bookmarkStart w:id="1796" w:name="_Toc246997062"/>
      <w:bookmarkEnd w:id="1796"/>
      <w:bookmarkStart w:id="1797" w:name="_Toc29298"/>
      <w:bookmarkEnd w:id="1797"/>
      <w:bookmarkStart w:id="1798" w:name="_Toc369531675"/>
      <w:bookmarkEnd w:id="1798"/>
      <w:bookmarkStart w:id="1799" w:name="_Toc9766"/>
      <w:bookmarkEnd w:id="1799"/>
      <w:bookmarkStart w:id="1800" w:name="_Toc296602565"/>
      <w:bookmarkEnd w:id="1800"/>
      <w:bookmarkStart w:id="1801" w:name="_Toc369531676"/>
      <w:bookmarkEnd w:id="1801"/>
    </w:p>
    <w:sectPr>
      <w:endnotePr>
        <w:numFmt w:val="decimal"/>
      </w:endnotePr>
      <w:pgSz w:w="11907" w:h="16839"/>
      <w:pgMar w:top="1134" w:right="1134" w:bottom="1134" w:left="1134" w:header="851" w:footer="593"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仿宋"/>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华文细黑">
    <w:panose1 w:val="02010600040101010101"/>
    <w:charset w:val="86"/>
    <w:family w:val="auto"/>
    <w:pitch w:val="default"/>
    <w:sig w:usb0="00000287" w:usb1="080F0000" w:usb2="00000000" w:usb3="00000000" w:csb0="0004009F" w:csb1="DFD7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Style w:val="45"/>
                            </w:rPr>
                          </w:pPr>
                          <w:r>
                            <w:rPr>
                              <w:rStyle w:val="45"/>
                            </w:rPr>
                            <w:t xml:space="preserve">第 </w:t>
                          </w:r>
                          <w:r>
                            <w:rPr>
                              <w:rStyle w:val="45"/>
                            </w:rPr>
                            <w:fldChar w:fldCharType="begin"/>
                          </w:r>
                          <w:r>
                            <w:rPr>
                              <w:rStyle w:val="45"/>
                            </w:rPr>
                            <w:instrText xml:space="preserve"> PAGE  \* MERGEFORMAT </w:instrText>
                          </w:r>
                          <w:r>
                            <w:rPr>
                              <w:rStyle w:val="45"/>
                            </w:rPr>
                            <w:fldChar w:fldCharType="separate"/>
                          </w:r>
                          <w:r>
                            <w:rPr>
                              <w:rStyle w:val="45"/>
                            </w:rPr>
                            <w:t>59</w:t>
                          </w:r>
                          <w:r>
                            <w:rPr>
                              <w:rStyle w:val="45"/>
                            </w:rPr>
                            <w:fldChar w:fldCharType="end"/>
                          </w:r>
                          <w:r>
                            <w:rPr>
                              <w:rStyle w:val="45"/>
                            </w:rPr>
                            <w:t xml:space="preserve"> 页 共 </w:t>
                          </w:r>
                          <w:r>
                            <w:rPr>
                              <w:rStyle w:val="45"/>
                              <w:rFonts w:hint="eastAsia"/>
                              <w:lang w:val="en-US" w:eastAsia="zh-CN"/>
                            </w:rPr>
                            <w:t>97</w:t>
                          </w:r>
                          <w:r>
                            <w:rPr>
                              <w:rStyle w:val="45"/>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6"/>
                      <w:rPr>
                        <w:rStyle w:val="45"/>
                      </w:rPr>
                    </w:pPr>
                    <w:r>
                      <w:rPr>
                        <w:rStyle w:val="45"/>
                      </w:rPr>
                      <w:t xml:space="preserve">第 </w:t>
                    </w:r>
                    <w:r>
                      <w:rPr>
                        <w:rStyle w:val="45"/>
                      </w:rPr>
                      <w:fldChar w:fldCharType="begin"/>
                    </w:r>
                    <w:r>
                      <w:rPr>
                        <w:rStyle w:val="45"/>
                      </w:rPr>
                      <w:instrText xml:space="preserve"> PAGE  \* MERGEFORMAT </w:instrText>
                    </w:r>
                    <w:r>
                      <w:rPr>
                        <w:rStyle w:val="45"/>
                      </w:rPr>
                      <w:fldChar w:fldCharType="separate"/>
                    </w:r>
                    <w:r>
                      <w:rPr>
                        <w:rStyle w:val="45"/>
                      </w:rPr>
                      <w:t>59</w:t>
                    </w:r>
                    <w:r>
                      <w:rPr>
                        <w:rStyle w:val="45"/>
                      </w:rPr>
                      <w:fldChar w:fldCharType="end"/>
                    </w:r>
                    <w:r>
                      <w:rPr>
                        <w:rStyle w:val="45"/>
                      </w:rPr>
                      <w:t xml:space="preserve"> 页 共 </w:t>
                    </w:r>
                    <w:r>
                      <w:rPr>
                        <w:rStyle w:val="45"/>
                        <w:rFonts w:hint="eastAsia"/>
                        <w:lang w:val="en-US" w:eastAsia="zh-CN"/>
                      </w:rPr>
                      <w:t>97</w:t>
                    </w:r>
                    <w:r>
                      <w:rPr>
                        <w:rStyle w:val="45"/>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rPr>
        <w:rStyle w:val="45"/>
      </w:rPr>
      <w:fldChar w:fldCharType="begin"/>
    </w:r>
    <w:r>
      <w:rPr>
        <w:rStyle w:val="45"/>
      </w:rPr>
      <w:instrText xml:space="preserve">PAGE  </w:instrText>
    </w:r>
    <w:r>
      <w:rPr>
        <w:rStyle w:val="45"/>
      </w:rPr>
      <w:fldChar w:fldCharType="separate"/>
    </w:r>
    <w:r>
      <w:rPr>
        <w:rStyle w:val="45"/>
      </w:rPr>
      <w:t>1</w:t>
    </w:r>
    <w:r>
      <w:rPr>
        <w:rStyle w:val="45"/>
      </w:rPr>
      <w:fldChar w:fldCharType="end"/>
    </w:r>
  </w:p>
  <w:p>
    <w:pPr>
      <w:pStyle w:val="2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FABEA"/>
    <w:multiLevelType w:val="singleLevel"/>
    <w:tmpl w:val="A82FABEA"/>
    <w:lvl w:ilvl="0" w:tentative="0">
      <w:start w:val="2"/>
      <w:numFmt w:val="decimal"/>
      <w:suff w:val="nothing"/>
      <w:lvlText w:val="%1）"/>
      <w:lvlJc w:val="left"/>
    </w:lvl>
  </w:abstractNum>
  <w:abstractNum w:abstractNumId="1">
    <w:nsid w:val="B8A96E5C"/>
    <w:multiLevelType w:val="singleLevel"/>
    <w:tmpl w:val="B8A96E5C"/>
    <w:lvl w:ilvl="0" w:tentative="0">
      <w:start w:val="1"/>
      <w:numFmt w:val="decimal"/>
      <w:suff w:val="nothing"/>
      <w:lvlText w:val="（%1）"/>
      <w:lvlJc w:val="left"/>
    </w:lvl>
  </w:abstractNum>
  <w:abstractNum w:abstractNumId="2">
    <w:nsid w:val="D39A0038"/>
    <w:multiLevelType w:val="singleLevel"/>
    <w:tmpl w:val="D39A0038"/>
    <w:lvl w:ilvl="0" w:tentative="0">
      <w:start w:val="2"/>
      <w:numFmt w:val="decimal"/>
      <w:suff w:val="nothing"/>
      <w:lvlText w:val="%1）"/>
      <w:lvlJc w:val="left"/>
    </w:lvl>
  </w:abstractNum>
  <w:abstractNum w:abstractNumId="3">
    <w:nsid w:val="26A07CF5"/>
    <w:multiLevelType w:val="multilevel"/>
    <w:tmpl w:val="26A07CF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6AD6337"/>
    <w:multiLevelType w:val="multilevel"/>
    <w:tmpl w:val="26AD6337"/>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29E917BF"/>
    <w:multiLevelType w:val="multilevel"/>
    <w:tmpl w:val="29E917BF"/>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
    <w:nsid w:val="2B0E4745"/>
    <w:multiLevelType w:val="singleLevel"/>
    <w:tmpl w:val="2B0E4745"/>
    <w:lvl w:ilvl="0" w:tentative="0">
      <w:start w:val="2"/>
      <w:numFmt w:val="chineseCounting"/>
      <w:suff w:val="nothing"/>
      <w:lvlText w:val="%1、"/>
      <w:lvlJc w:val="left"/>
      <w:rPr>
        <w:rFonts w:hint="eastAsia"/>
      </w:rPr>
    </w:lvl>
  </w:abstractNum>
  <w:abstractNum w:abstractNumId="7">
    <w:nsid w:val="35F37B7B"/>
    <w:multiLevelType w:val="multilevel"/>
    <w:tmpl w:val="35F37B7B"/>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8">
    <w:nsid w:val="4F2D402F"/>
    <w:multiLevelType w:val="multilevel"/>
    <w:tmpl w:val="4F2D402F"/>
    <w:lvl w:ilvl="0" w:tentative="0">
      <w:start w:val="1"/>
      <w:numFmt w:val="decimal"/>
      <w:suff w:val="space"/>
      <w:lvlText w:val="%1."/>
      <w:lvlJc w:val="left"/>
      <w:pPr>
        <w:ind w:left="425" w:hanging="425"/>
      </w:pPr>
      <w:rPr>
        <w:rFonts w:hint="eastAsia"/>
      </w:rPr>
    </w:lvl>
    <w:lvl w:ilvl="1" w:tentative="0">
      <w:start w:val="1"/>
      <w:numFmt w:val="decimal"/>
      <w:suff w:val="space"/>
      <w:lvlText w:val="%1.%2."/>
      <w:lvlJc w:val="left"/>
      <w:pPr>
        <w:ind w:left="4395" w:hanging="567"/>
      </w:pPr>
      <w:rPr>
        <w:rFonts w:hint="default"/>
        <w:b/>
        <w:bCs/>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710F1468"/>
    <w:multiLevelType w:val="multilevel"/>
    <w:tmpl w:val="710F1468"/>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3"/>
  </w:num>
  <w:num w:numId="2">
    <w:abstractNumId w:val="1"/>
  </w:num>
  <w:num w:numId="3">
    <w:abstractNumId w:val="8"/>
  </w:num>
  <w:num w:numId="4">
    <w:abstractNumId w:val="6"/>
  </w:num>
  <w:num w:numId="5">
    <w:abstractNumId w:val="0"/>
  </w:num>
  <w:num w:numId="6">
    <w:abstractNumId w:val="2"/>
  </w:num>
  <w:num w:numId="7">
    <w:abstractNumId w:val="4"/>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ZTQ3YjQzZGEzMDE2NjBjZWE4MjY4NmUxNjRiZjQifQ=="/>
  </w:docVars>
  <w:rsids>
    <w:rsidRoot w:val="00172A27"/>
    <w:rsid w:val="00012A97"/>
    <w:rsid w:val="00015892"/>
    <w:rsid w:val="00025AE6"/>
    <w:rsid w:val="0002647F"/>
    <w:rsid w:val="000305C9"/>
    <w:rsid w:val="00034310"/>
    <w:rsid w:val="00040968"/>
    <w:rsid w:val="000423C4"/>
    <w:rsid w:val="000476F7"/>
    <w:rsid w:val="00050A09"/>
    <w:rsid w:val="00051B12"/>
    <w:rsid w:val="0005353C"/>
    <w:rsid w:val="000549D6"/>
    <w:rsid w:val="00055465"/>
    <w:rsid w:val="00061ED6"/>
    <w:rsid w:val="0007099E"/>
    <w:rsid w:val="00076D35"/>
    <w:rsid w:val="00080F3F"/>
    <w:rsid w:val="00085F3A"/>
    <w:rsid w:val="0009230D"/>
    <w:rsid w:val="000B108D"/>
    <w:rsid w:val="000B62C8"/>
    <w:rsid w:val="000C57EC"/>
    <w:rsid w:val="000C689B"/>
    <w:rsid w:val="000D2FFA"/>
    <w:rsid w:val="000E43FC"/>
    <w:rsid w:val="000F0044"/>
    <w:rsid w:val="000F6FAF"/>
    <w:rsid w:val="000F7C67"/>
    <w:rsid w:val="001124EB"/>
    <w:rsid w:val="001164BA"/>
    <w:rsid w:val="00127181"/>
    <w:rsid w:val="0013117C"/>
    <w:rsid w:val="001317A4"/>
    <w:rsid w:val="00133EE3"/>
    <w:rsid w:val="0013467D"/>
    <w:rsid w:val="0013525B"/>
    <w:rsid w:val="0014136E"/>
    <w:rsid w:val="00150E50"/>
    <w:rsid w:val="001524B1"/>
    <w:rsid w:val="00156DEA"/>
    <w:rsid w:val="0016022F"/>
    <w:rsid w:val="00164A2E"/>
    <w:rsid w:val="00164F36"/>
    <w:rsid w:val="001666CC"/>
    <w:rsid w:val="00172A27"/>
    <w:rsid w:val="001901F5"/>
    <w:rsid w:val="00195B05"/>
    <w:rsid w:val="001966EF"/>
    <w:rsid w:val="00197451"/>
    <w:rsid w:val="001A20AD"/>
    <w:rsid w:val="001A572F"/>
    <w:rsid w:val="001B23D4"/>
    <w:rsid w:val="001C5694"/>
    <w:rsid w:val="001C7824"/>
    <w:rsid w:val="001D1502"/>
    <w:rsid w:val="001D1CA4"/>
    <w:rsid w:val="001D3F40"/>
    <w:rsid w:val="001E2EE9"/>
    <w:rsid w:val="001E3A78"/>
    <w:rsid w:val="001E4FE3"/>
    <w:rsid w:val="001E778F"/>
    <w:rsid w:val="001F0B05"/>
    <w:rsid w:val="001F3478"/>
    <w:rsid w:val="001F64E2"/>
    <w:rsid w:val="00201578"/>
    <w:rsid w:val="0020537A"/>
    <w:rsid w:val="0021156C"/>
    <w:rsid w:val="00213241"/>
    <w:rsid w:val="00213322"/>
    <w:rsid w:val="00215394"/>
    <w:rsid w:val="002200B2"/>
    <w:rsid w:val="002374B1"/>
    <w:rsid w:val="00241CBE"/>
    <w:rsid w:val="00250271"/>
    <w:rsid w:val="00250E39"/>
    <w:rsid w:val="00253682"/>
    <w:rsid w:val="00253867"/>
    <w:rsid w:val="00257BF6"/>
    <w:rsid w:val="002607CD"/>
    <w:rsid w:val="00264213"/>
    <w:rsid w:val="00270629"/>
    <w:rsid w:val="00271F61"/>
    <w:rsid w:val="0027451A"/>
    <w:rsid w:val="00282176"/>
    <w:rsid w:val="002A5096"/>
    <w:rsid w:val="002B0555"/>
    <w:rsid w:val="002B242B"/>
    <w:rsid w:val="002C6129"/>
    <w:rsid w:val="002E5F9A"/>
    <w:rsid w:val="002E7086"/>
    <w:rsid w:val="002F01F1"/>
    <w:rsid w:val="002F281F"/>
    <w:rsid w:val="002F33DF"/>
    <w:rsid w:val="002F55F6"/>
    <w:rsid w:val="002F77B1"/>
    <w:rsid w:val="00301F0E"/>
    <w:rsid w:val="0030219C"/>
    <w:rsid w:val="00304A79"/>
    <w:rsid w:val="00306B51"/>
    <w:rsid w:val="003072A2"/>
    <w:rsid w:val="00324B9F"/>
    <w:rsid w:val="00327801"/>
    <w:rsid w:val="00346020"/>
    <w:rsid w:val="0035478C"/>
    <w:rsid w:val="00354AF8"/>
    <w:rsid w:val="003639A8"/>
    <w:rsid w:val="003644C9"/>
    <w:rsid w:val="003647DA"/>
    <w:rsid w:val="00364CBE"/>
    <w:rsid w:val="00365C44"/>
    <w:rsid w:val="00367453"/>
    <w:rsid w:val="0037752E"/>
    <w:rsid w:val="00385E4F"/>
    <w:rsid w:val="0039133D"/>
    <w:rsid w:val="0039789B"/>
    <w:rsid w:val="003A1FA4"/>
    <w:rsid w:val="003A2398"/>
    <w:rsid w:val="003A3AA8"/>
    <w:rsid w:val="003A42B3"/>
    <w:rsid w:val="003B0673"/>
    <w:rsid w:val="003D7B1C"/>
    <w:rsid w:val="003F788A"/>
    <w:rsid w:val="004123A6"/>
    <w:rsid w:val="00414D61"/>
    <w:rsid w:val="0042017D"/>
    <w:rsid w:val="00420483"/>
    <w:rsid w:val="004225F8"/>
    <w:rsid w:val="00427965"/>
    <w:rsid w:val="0043040A"/>
    <w:rsid w:val="004309D1"/>
    <w:rsid w:val="00430F6A"/>
    <w:rsid w:val="00441B45"/>
    <w:rsid w:val="004464CA"/>
    <w:rsid w:val="004531B6"/>
    <w:rsid w:val="0045451A"/>
    <w:rsid w:val="00454DFD"/>
    <w:rsid w:val="004555DC"/>
    <w:rsid w:val="00467791"/>
    <w:rsid w:val="00472A97"/>
    <w:rsid w:val="0049027F"/>
    <w:rsid w:val="004A246C"/>
    <w:rsid w:val="004A2ECC"/>
    <w:rsid w:val="004A3937"/>
    <w:rsid w:val="004A624B"/>
    <w:rsid w:val="004B25BE"/>
    <w:rsid w:val="004D01D4"/>
    <w:rsid w:val="004D4F40"/>
    <w:rsid w:val="004D5413"/>
    <w:rsid w:val="004E2FFC"/>
    <w:rsid w:val="004F19C1"/>
    <w:rsid w:val="00500C37"/>
    <w:rsid w:val="00505D01"/>
    <w:rsid w:val="00513F31"/>
    <w:rsid w:val="00517288"/>
    <w:rsid w:val="00532F57"/>
    <w:rsid w:val="00546BDA"/>
    <w:rsid w:val="005537E6"/>
    <w:rsid w:val="00556C8D"/>
    <w:rsid w:val="00566C31"/>
    <w:rsid w:val="00572DA2"/>
    <w:rsid w:val="00574A17"/>
    <w:rsid w:val="00576ECE"/>
    <w:rsid w:val="00582655"/>
    <w:rsid w:val="0058411C"/>
    <w:rsid w:val="00584C81"/>
    <w:rsid w:val="00586A4E"/>
    <w:rsid w:val="005A2D47"/>
    <w:rsid w:val="005B7A13"/>
    <w:rsid w:val="005C0C40"/>
    <w:rsid w:val="005C486C"/>
    <w:rsid w:val="005D408E"/>
    <w:rsid w:val="005D45FE"/>
    <w:rsid w:val="005D6CA9"/>
    <w:rsid w:val="005E4C36"/>
    <w:rsid w:val="005F336E"/>
    <w:rsid w:val="005F4095"/>
    <w:rsid w:val="005F4A88"/>
    <w:rsid w:val="005F4BA9"/>
    <w:rsid w:val="005F60B9"/>
    <w:rsid w:val="00600E10"/>
    <w:rsid w:val="006020D5"/>
    <w:rsid w:val="0061320D"/>
    <w:rsid w:val="00621C91"/>
    <w:rsid w:val="00623A4F"/>
    <w:rsid w:val="006339AF"/>
    <w:rsid w:val="0064121B"/>
    <w:rsid w:val="00653CEA"/>
    <w:rsid w:val="0066009B"/>
    <w:rsid w:val="006613DD"/>
    <w:rsid w:val="00664764"/>
    <w:rsid w:val="0067669A"/>
    <w:rsid w:val="00680A24"/>
    <w:rsid w:val="006840B7"/>
    <w:rsid w:val="006848E8"/>
    <w:rsid w:val="00692D26"/>
    <w:rsid w:val="00693E16"/>
    <w:rsid w:val="006958DF"/>
    <w:rsid w:val="00695A15"/>
    <w:rsid w:val="006A20D9"/>
    <w:rsid w:val="006A4316"/>
    <w:rsid w:val="006B2811"/>
    <w:rsid w:val="006B6EB9"/>
    <w:rsid w:val="006D2BCD"/>
    <w:rsid w:val="006D503A"/>
    <w:rsid w:val="006D5640"/>
    <w:rsid w:val="006D65AB"/>
    <w:rsid w:val="006F009E"/>
    <w:rsid w:val="006F6E32"/>
    <w:rsid w:val="007033A5"/>
    <w:rsid w:val="00705D3C"/>
    <w:rsid w:val="00710B25"/>
    <w:rsid w:val="00711288"/>
    <w:rsid w:val="0072031B"/>
    <w:rsid w:val="00726846"/>
    <w:rsid w:val="0073335C"/>
    <w:rsid w:val="00735AC9"/>
    <w:rsid w:val="00744D7E"/>
    <w:rsid w:val="00744E27"/>
    <w:rsid w:val="007467A9"/>
    <w:rsid w:val="00747873"/>
    <w:rsid w:val="00761403"/>
    <w:rsid w:val="00766107"/>
    <w:rsid w:val="0077605F"/>
    <w:rsid w:val="007773B6"/>
    <w:rsid w:val="007913C0"/>
    <w:rsid w:val="00791C19"/>
    <w:rsid w:val="00792BA9"/>
    <w:rsid w:val="007962E0"/>
    <w:rsid w:val="007A2042"/>
    <w:rsid w:val="007A6BF2"/>
    <w:rsid w:val="007B05D6"/>
    <w:rsid w:val="007B0666"/>
    <w:rsid w:val="007B5CA0"/>
    <w:rsid w:val="007C35F9"/>
    <w:rsid w:val="007C4D5C"/>
    <w:rsid w:val="007C647E"/>
    <w:rsid w:val="007D1EDB"/>
    <w:rsid w:val="007D6C41"/>
    <w:rsid w:val="007E3B36"/>
    <w:rsid w:val="007F7F10"/>
    <w:rsid w:val="0080238C"/>
    <w:rsid w:val="00803F75"/>
    <w:rsid w:val="00810C3A"/>
    <w:rsid w:val="00817469"/>
    <w:rsid w:val="00831457"/>
    <w:rsid w:val="008315C8"/>
    <w:rsid w:val="0083180C"/>
    <w:rsid w:val="00831B65"/>
    <w:rsid w:val="00835892"/>
    <w:rsid w:val="00844C22"/>
    <w:rsid w:val="008513B0"/>
    <w:rsid w:val="008541BC"/>
    <w:rsid w:val="008601CC"/>
    <w:rsid w:val="00865529"/>
    <w:rsid w:val="00870240"/>
    <w:rsid w:val="00885706"/>
    <w:rsid w:val="00893B30"/>
    <w:rsid w:val="00895395"/>
    <w:rsid w:val="008A08D0"/>
    <w:rsid w:val="008A1396"/>
    <w:rsid w:val="008A16D6"/>
    <w:rsid w:val="008B178E"/>
    <w:rsid w:val="008D27B1"/>
    <w:rsid w:val="008E29FE"/>
    <w:rsid w:val="008E66EB"/>
    <w:rsid w:val="008F45C5"/>
    <w:rsid w:val="0090791E"/>
    <w:rsid w:val="009106F9"/>
    <w:rsid w:val="009108A7"/>
    <w:rsid w:val="00914CD9"/>
    <w:rsid w:val="00917F3B"/>
    <w:rsid w:val="009203F2"/>
    <w:rsid w:val="00926D59"/>
    <w:rsid w:val="00933A26"/>
    <w:rsid w:val="009369F7"/>
    <w:rsid w:val="009432A8"/>
    <w:rsid w:val="00950B2C"/>
    <w:rsid w:val="00963065"/>
    <w:rsid w:val="0096560D"/>
    <w:rsid w:val="0097397E"/>
    <w:rsid w:val="00975C91"/>
    <w:rsid w:val="009774E2"/>
    <w:rsid w:val="0098076A"/>
    <w:rsid w:val="009914C6"/>
    <w:rsid w:val="00991A79"/>
    <w:rsid w:val="00993DF4"/>
    <w:rsid w:val="00996B7F"/>
    <w:rsid w:val="009C69DC"/>
    <w:rsid w:val="009C6BAE"/>
    <w:rsid w:val="009C7778"/>
    <w:rsid w:val="009D0CF2"/>
    <w:rsid w:val="009E4982"/>
    <w:rsid w:val="009E64DB"/>
    <w:rsid w:val="009E7097"/>
    <w:rsid w:val="009F5C09"/>
    <w:rsid w:val="009F660B"/>
    <w:rsid w:val="009F73E5"/>
    <w:rsid w:val="00A13FB9"/>
    <w:rsid w:val="00A158FF"/>
    <w:rsid w:val="00A25E32"/>
    <w:rsid w:val="00A343F0"/>
    <w:rsid w:val="00A37F23"/>
    <w:rsid w:val="00A45DF0"/>
    <w:rsid w:val="00A532E5"/>
    <w:rsid w:val="00A54545"/>
    <w:rsid w:val="00A95643"/>
    <w:rsid w:val="00A96A8D"/>
    <w:rsid w:val="00AB2371"/>
    <w:rsid w:val="00AB5087"/>
    <w:rsid w:val="00AC3CB6"/>
    <w:rsid w:val="00AC6EE6"/>
    <w:rsid w:val="00AD024B"/>
    <w:rsid w:val="00AD56C1"/>
    <w:rsid w:val="00AE68BE"/>
    <w:rsid w:val="00AF51C4"/>
    <w:rsid w:val="00B1210F"/>
    <w:rsid w:val="00B14743"/>
    <w:rsid w:val="00B31769"/>
    <w:rsid w:val="00B32F0C"/>
    <w:rsid w:val="00B337D1"/>
    <w:rsid w:val="00B45B76"/>
    <w:rsid w:val="00B45E42"/>
    <w:rsid w:val="00B47E71"/>
    <w:rsid w:val="00B508CD"/>
    <w:rsid w:val="00B52B38"/>
    <w:rsid w:val="00B53AEA"/>
    <w:rsid w:val="00B5400A"/>
    <w:rsid w:val="00B5553A"/>
    <w:rsid w:val="00B564B4"/>
    <w:rsid w:val="00B61F7F"/>
    <w:rsid w:val="00B805D5"/>
    <w:rsid w:val="00B80815"/>
    <w:rsid w:val="00B82A11"/>
    <w:rsid w:val="00B83B1A"/>
    <w:rsid w:val="00B84DAA"/>
    <w:rsid w:val="00B84ED9"/>
    <w:rsid w:val="00B8796B"/>
    <w:rsid w:val="00B914FC"/>
    <w:rsid w:val="00B978DC"/>
    <w:rsid w:val="00BA388D"/>
    <w:rsid w:val="00BA7609"/>
    <w:rsid w:val="00BA7C26"/>
    <w:rsid w:val="00BB35DC"/>
    <w:rsid w:val="00BB760F"/>
    <w:rsid w:val="00BC1E64"/>
    <w:rsid w:val="00BC3400"/>
    <w:rsid w:val="00BC6394"/>
    <w:rsid w:val="00BC650A"/>
    <w:rsid w:val="00BF48A0"/>
    <w:rsid w:val="00BF4A06"/>
    <w:rsid w:val="00C00267"/>
    <w:rsid w:val="00C06FBE"/>
    <w:rsid w:val="00C320B0"/>
    <w:rsid w:val="00C42312"/>
    <w:rsid w:val="00C42454"/>
    <w:rsid w:val="00C45170"/>
    <w:rsid w:val="00C52030"/>
    <w:rsid w:val="00C62B1F"/>
    <w:rsid w:val="00C673A9"/>
    <w:rsid w:val="00C71307"/>
    <w:rsid w:val="00C77989"/>
    <w:rsid w:val="00C816A1"/>
    <w:rsid w:val="00C82B08"/>
    <w:rsid w:val="00C85EC1"/>
    <w:rsid w:val="00C92E80"/>
    <w:rsid w:val="00C95754"/>
    <w:rsid w:val="00C9753E"/>
    <w:rsid w:val="00C9786C"/>
    <w:rsid w:val="00CA1009"/>
    <w:rsid w:val="00CA1263"/>
    <w:rsid w:val="00CA25CC"/>
    <w:rsid w:val="00CB2707"/>
    <w:rsid w:val="00CB32AF"/>
    <w:rsid w:val="00CC2F1C"/>
    <w:rsid w:val="00CC7F5D"/>
    <w:rsid w:val="00CD0974"/>
    <w:rsid w:val="00CD5EEC"/>
    <w:rsid w:val="00CE29EA"/>
    <w:rsid w:val="00CE4754"/>
    <w:rsid w:val="00CF4789"/>
    <w:rsid w:val="00D018F5"/>
    <w:rsid w:val="00D07304"/>
    <w:rsid w:val="00D27585"/>
    <w:rsid w:val="00D30CC2"/>
    <w:rsid w:val="00D350D9"/>
    <w:rsid w:val="00D366A0"/>
    <w:rsid w:val="00D431AA"/>
    <w:rsid w:val="00D47D67"/>
    <w:rsid w:val="00D531B6"/>
    <w:rsid w:val="00D549E4"/>
    <w:rsid w:val="00D5605B"/>
    <w:rsid w:val="00D635F4"/>
    <w:rsid w:val="00D709B3"/>
    <w:rsid w:val="00D75569"/>
    <w:rsid w:val="00D950BF"/>
    <w:rsid w:val="00D952CF"/>
    <w:rsid w:val="00D960F5"/>
    <w:rsid w:val="00DA555A"/>
    <w:rsid w:val="00DA71BC"/>
    <w:rsid w:val="00DB1380"/>
    <w:rsid w:val="00DB1A4C"/>
    <w:rsid w:val="00DB519A"/>
    <w:rsid w:val="00DC7215"/>
    <w:rsid w:val="00DD3FC4"/>
    <w:rsid w:val="00DE6554"/>
    <w:rsid w:val="00DF0585"/>
    <w:rsid w:val="00DF0F8A"/>
    <w:rsid w:val="00E11952"/>
    <w:rsid w:val="00E12F14"/>
    <w:rsid w:val="00E135D5"/>
    <w:rsid w:val="00E247A2"/>
    <w:rsid w:val="00E42079"/>
    <w:rsid w:val="00E46369"/>
    <w:rsid w:val="00E5532D"/>
    <w:rsid w:val="00E55A57"/>
    <w:rsid w:val="00E60264"/>
    <w:rsid w:val="00E61C90"/>
    <w:rsid w:val="00E73C27"/>
    <w:rsid w:val="00E852BE"/>
    <w:rsid w:val="00E861B5"/>
    <w:rsid w:val="00E918EF"/>
    <w:rsid w:val="00EA621D"/>
    <w:rsid w:val="00EA710D"/>
    <w:rsid w:val="00EB6084"/>
    <w:rsid w:val="00EE0590"/>
    <w:rsid w:val="00EE07D7"/>
    <w:rsid w:val="00EE3233"/>
    <w:rsid w:val="00EE6949"/>
    <w:rsid w:val="00EE7C43"/>
    <w:rsid w:val="00EF295D"/>
    <w:rsid w:val="00F1156C"/>
    <w:rsid w:val="00F22319"/>
    <w:rsid w:val="00F336F2"/>
    <w:rsid w:val="00F3656C"/>
    <w:rsid w:val="00F46020"/>
    <w:rsid w:val="00F50590"/>
    <w:rsid w:val="00F55400"/>
    <w:rsid w:val="00F60D55"/>
    <w:rsid w:val="00F610EF"/>
    <w:rsid w:val="00F62D26"/>
    <w:rsid w:val="00F62E4B"/>
    <w:rsid w:val="00F67C14"/>
    <w:rsid w:val="00F709E2"/>
    <w:rsid w:val="00F770B9"/>
    <w:rsid w:val="00F82948"/>
    <w:rsid w:val="00F85AB5"/>
    <w:rsid w:val="00F93C50"/>
    <w:rsid w:val="00F97EAB"/>
    <w:rsid w:val="00FE3DC5"/>
    <w:rsid w:val="01027C03"/>
    <w:rsid w:val="010D43DA"/>
    <w:rsid w:val="01137516"/>
    <w:rsid w:val="01273D49"/>
    <w:rsid w:val="012A5F18"/>
    <w:rsid w:val="012E4C7E"/>
    <w:rsid w:val="01386A37"/>
    <w:rsid w:val="013F5DCD"/>
    <w:rsid w:val="014225B5"/>
    <w:rsid w:val="01493FC5"/>
    <w:rsid w:val="014A18D4"/>
    <w:rsid w:val="0151442E"/>
    <w:rsid w:val="01514831"/>
    <w:rsid w:val="01590AF7"/>
    <w:rsid w:val="015F184B"/>
    <w:rsid w:val="016B16AD"/>
    <w:rsid w:val="01702246"/>
    <w:rsid w:val="01771A73"/>
    <w:rsid w:val="017E2CA2"/>
    <w:rsid w:val="018C1803"/>
    <w:rsid w:val="018D0E96"/>
    <w:rsid w:val="018E6A45"/>
    <w:rsid w:val="0192410E"/>
    <w:rsid w:val="01924695"/>
    <w:rsid w:val="01925626"/>
    <w:rsid w:val="01962964"/>
    <w:rsid w:val="019E0997"/>
    <w:rsid w:val="01A86B9F"/>
    <w:rsid w:val="01B75590"/>
    <w:rsid w:val="01BC5D59"/>
    <w:rsid w:val="01C03B7F"/>
    <w:rsid w:val="01C31322"/>
    <w:rsid w:val="01C41DA0"/>
    <w:rsid w:val="01D02B4A"/>
    <w:rsid w:val="01D513EA"/>
    <w:rsid w:val="01D63D6A"/>
    <w:rsid w:val="01DF180A"/>
    <w:rsid w:val="01ED754C"/>
    <w:rsid w:val="01F04C8C"/>
    <w:rsid w:val="01F63112"/>
    <w:rsid w:val="01FD06C6"/>
    <w:rsid w:val="0207455B"/>
    <w:rsid w:val="02074EDB"/>
    <w:rsid w:val="020A7F53"/>
    <w:rsid w:val="020F3E58"/>
    <w:rsid w:val="02166885"/>
    <w:rsid w:val="022D2A4B"/>
    <w:rsid w:val="022E3C66"/>
    <w:rsid w:val="023C36AE"/>
    <w:rsid w:val="02443130"/>
    <w:rsid w:val="025169D4"/>
    <w:rsid w:val="026D02C7"/>
    <w:rsid w:val="027670E7"/>
    <w:rsid w:val="027831FD"/>
    <w:rsid w:val="02866F15"/>
    <w:rsid w:val="0293437B"/>
    <w:rsid w:val="029564A2"/>
    <w:rsid w:val="029D5E89"/>
    <w:rsid w:val="029D701D"/>
    <w:rsid w:val="029E6DB1"/>
    <w:rsid w:val="02A077F2"/>
    <w:rsid w:val="02A54197"/>
    <w:rsid w:val="02AA0179"/>
    <w:rsid w:val="02AE72AD"/>
    <w:rsid w:val="02B20016"/>
    <w:rsid w:val="02B5747C"/>
    <w:rsid w:val="02BD28BB"/>
    <w:rsid w:val="02C07920"/>
    <w:rsid w:val="02D33A91"/>
    <w:rsid w:val="02D81A24"/>
    <w:rsid w:val="02D822B0"/>
    <w:rsid w:val="02DB2642"/>
    <w:rsid w:val="02DD27F4"/>
    <w:rsid w:val="02E664E3"/>
    <w:rsid w:val="02EA1478"/>
    <w:rsid w:val="02EC4697"/>
    <w:rsid w:val="02F23A07"/>
    <w:rsid w:val="02F745A6"/>
    <w:rsid w:val="02FD28D1"/>
    <w:rsid w:val="030F72FD"/>
    <w:rsid w:val="03114A5C"/>
    <w:rsid w:val="031F43DF"/>
    <w:rsid w:val="0344162B"/>
    <w:rsid w:val="036267B8"/>
    <w:rsid w:val="03673A3E"/>
    <w:rsid w:val="03695861"/>
    <w:rsid w:val="036F64CD"/>
    <w:rsid w:val="037E2A86"/>
    <w:rsid w:val="037E4B89"/>
    <w:rsid w:val="038468EC"/>
    <w:rsid w:val="038C212B"/>
    <w:rsid w:val="038F24E7"/>
    <w:rsid w:val="03934D43"/>
    <w:rsid w:val="03946FE3"/>
    <w:rsid w:val="03980B67"/>
    <w:rsid w:val="03A2480A"/>
    <w:rsid w:val="03A6017E"/>
    <w:rsid w:val="03A71431"/>
    <w:rsid w:val="03A71974"/>
    <w:rsid w:val="03A90FC1"/>
    <w:rsid w:val="03B76D25"/>
    <w:rsid w:val="03C463CE"/>
    <w:rsid w:val="03C8550E"/>
    <w:rsid w:val="03CB181E"/>
    <w:rsid w:val="03CE2126"/>
    <w:rsid w:val="03D46933"/>
    <w:rsid w:val="03DC6782"/>
    <w:rsid w:val="03E53264"/>
    <w:rsid w:val="03E56B8F"/>
    <w:rsid w:val="03F12886"/>
    <w:rsid w:val="04060622"/>
    <w:rsid w:val="040F1ECA"/>
    <w:rsid w:val="0414035E"/>
    <w:rsid w:val="04147FAD"/>
    <w:rsid w:val="042320C3"/>
    <w:rsid w:val="042F33FF"/>
    <w:rsid w:val="0431147A"/>
    <w:rsid w:val="04360D72"/>
    <w:rsid w:val="045804A9"/>
    <w:rsid w:val="045D30D9"/>
    <w:rsid w:val="04662D41"/>
    <w:rsid w:val="047517EB"/>
    <w:rsid w:val="047545E5"/>
    <w:rsid w:val="047E151B"/>
    <w:rsid w:val="04803C97"/>
    <w:rsid w:val="048C7DAD"/>
    <w:rsid w:val="049A1C4D"/>
    <w:rsid w:val="049B442E"/>
    <w:rsid w:val="04A13725"/>
    <w:rsid w:val="04A272DF"/>
    <w:rsid w:val="04A377C5"/>
    <w:rsid w:val="04A96D51"/>
    <w:rsid w:val="04AB69CC"/>
    <w:rsid w:val="04B15746"/>
    <w:rsid w:val="04B263A0"/>
    <w:rsid w:val="04B570BE"/>
    <w:rsid w:val="04BA29E3"/>
    <w:rsid w:val="04C66BCA"/>
    <w:rsid w:val="04D33D1E"/>
    <w:rsid w:val="04DB7112"/>
    <w:rsid w:val="04DC3733"/>
    <w:rsid w:val="04E21D8F"/>
    <w:rsid w:val="050C2094"/>
    <w:rsid w:val="050D3930"/>
    <w:rsid w:val="050F31C0"/>
    <w:rsid w:val="0514450D"/>
    <w:rsid w:val="05292ECF"/>
    <w:rsid w:val="05384DF0"/>
    <w:rsid w:val="05414C42"/>
    <w:rsid w:val="054A51C0"/>
    <w:rsid w:val="0550074C"/>
    <w:rsid w:val="05510C7A"/>
    <w:rsid w:val="05564FA5"/>
    <w:rsid w:val="05596CB5"/>
    <w:rsid w:val="055D4232"/>
    <w:rsid w:val="057100DE"/>
    <w:rsid w:val="057447C5"/>
    <w:rsid w:val="057971A8"/>
    <w:rsid w:val="058254C7"/>
    <w:rsid w:val="05850837"/>
    <w:rsid w:val="0588632B"/>
    <w:rsid w:val="05A22F9E"/>
    <w:rsid w:val="05A34426"/>
    <w:rsid w:val="05A34602"/>
    <w:rsid w:val="05A97268"/>
    <w:rsid w:val="05AB30CF"/>
    <w:rsid w:val="05AC1AB3"/>
    <w:rsid w:val="05AE3670"/>
    <w:rsid w:val="05B77EB3"/>
    <w:rsid w:val="05C21574"/>
    <w:rsid w:val="05C94E98"/>
    <w:rsid w:val="05CE10D5"/>
    <w:rsid w:val="05CE6887"/>
    <w:rsid w:val="05D5246E"/>
    <w:rsid w:val="05E155B5"/>
    <w:rsid w:val="05F66A96"/>
    <w:rsid w:val="05F87820"/>
    <w:rsid w:val="0601209E"/>
    <w:rsid w:val="06016AF9"/>
    <w:rsid w:val="06071DE1"/>
    <w:rsid w:val="060D78E7"/>
    <w:rsid w:val="060F44B3"/>
    <w:rsid w:val="06115F56"/>
    <w:rsid w:val="06131D7E"/>
    <w:rsid w:val="06192EF2"/>
    <w:rsid w:val="063901C2"/>
    <w:rsid w:val="064028B8"/>
    <w:rsid w:val="064743AD"/>
    <w:rsid w:val="06523D0E"/>
    <w:rsid w:val="06570119"/>
    <w:rsid w:val="06601F13"/>
    <w:rsid w:val="066A259F"/>
    <w:rsid w:val="06782662"/>
    <w:rsid w:val="06787D87"/>
    <w:rsid w:val="068A244B"/>
    <w:rsid w:val="06A32E06"/>
    <w:rsid w:val="06B12CD6"/>
    <w:rsid w:val="06B42618"/>
    <w:rsid w:val="06B663BF"/>
    <w:rsid w:val="06BD34FE"/>
    <w:rsid w:val="06C02132"/>
    <w:rsid w:val="06C75735"/>
    <w:rsid w:val="06CF5359"/>
    <w:rsid w:val="06E375E1"/>
    <w:rsid w:val="07022E84"/>
    <w:rsid w:val="07065C41"/>
    <w:rsid w:val="070B195C"/>
    <w:rsid w:val="0710418A"/>
    <w:rsid w:val="071556B6"/>
    <w:rsid w:val="071659B5"/>
    <w:rsid w:val="071804D8"/>
    <w:rsid w:val="071A66E2"/>
    <w:rsid w:val="07284618"/>
    <w:rsid w:val="07312308"/>
    <w:rsid w:val="07376C63"/>
    <w:rsid w:val="073A185C"/>
    <w:rsid w:val="073D2291"/>
    <w:rsid w:val="073F0D55"/>
    <w:rsid w:val="0741150B"/>
    <w:rsid w:val="07511112"/>
    <w:rsid w:val="07566345"/>
    <w:rsid w:val="07581B7B"/>
    <w:rsid w:val="075B58F4"/>
    <w:rsid w:val="076756D6"/>
    <w:rsid w:val="076A5106"/>
    <w:rsid w:val="0770763B"/>
    <w:rsid w:val="07714682"/>
    <w:rsid w:val="07790660"/>
    <w:rsid w:val="07924363"/>
    <w:rsid w:val="07925705"/>
    <w:rsid w:val="07997D75"/>
    <w:rsid w:val="07A01EE8"/>
    <w:rsid w:val="07A359A3"/>
    <w:rsid w:val="07A441B5"/>
    <w:rsid w:val="07AF4160"/>
    <w:rsid w:val="07B24346"/>
    <w:rsid w:val="07BD13FF"/>
    <w:rsid w:val="07BD67A7"/>
    <w:rsid w:val="07BE4B96"/>
    <w:rsid w:val="07BF1541"/>
    <w:rsid w:val="07C102AD"/>
    <w:rsid w:val="07C33EBA"/>
    <w:rsid w:val="07C82897"/>
    <w:rsid w:val="07E427FD"/>
    <w:rsid w:val="07E46B03"/>
    <w:rsid w:val="07EB738E"/>
    <w:rsid w:val="07ED19EC"/>
    <w:rsid w:val="080E44A3"/>
    <w:rsid w:val="081A20C1"/>
    <w:rsid w:val="08215304"/>
    <w:rsid w:val="0827733A"/>
    <w:rsid w:val="082E719A"/>
    <w:rsid w:val="083874F5"/>
    <w:rsid w:val="08413F4C"/>
    <w:rsid w:val="08542426"/>
    <w:rsid w:val="085960C6"/>
    <w:rsid w:val="086251AF"/>
    <w:rsid w:val="08666E34"/>
    <w:rsid w:val="086F2BB5"/>
    <w:rsid w:val="086F6229"/>
    <w:rsid w:val="08703D2C"/>
    <w:rsid w:val="0873119F"/>
    <w:rsid w:val="088D33B5"/>
    <w:rsid w:val="0892055A"/>
    <w:rsid w:val="08966833"/>
    <w:rsid w:val="08A33C3F"/>
    <w:rsid w:val="08A77CE7"/>
    <w:rsid w:val="08AA49CF"/>
    <w:rsid w:val="08AE1997"/>
    <w:rsid w:val="08B97259"/>
    <w:rsid w:val="08C10F29"/>
    <w:rsid w:val="08C11DC6"/>
    <w:rsid w:val="08D510E1"/>
    <w:rsid w:val="09013B8F"/>
    <w:rsid w:val="09067537"/>
    <w:rsid w:val="0907280A"/>
    <w:rsid w:val="0911198B"/>
    <w:rsid w:val="091E5770"/>
    <w:rsid w:val="091F5FCC"/>
    <w:rsid w:val="092041C2"/>
    <w:rsid w:val="09266D05"/>
    <w:rsid w:val="092835D9"/>
    <w:rsid w:val="092A13EB"/>
    <w:rsid w:val="09327761"/>
    <w:rsid w:val="0948072F"/>
    <w:rsid w:val="095767C7"/>
    <w:rsid w:val="09596F88"/>
    <w:rsid w:val="09631888"/>
    <w:rsid w:val="096707B1"/>
    <w:rsid w:val="09773BAB"/>
    <w:rsid w:val="097D42F4"/>
    <w:rsid w:val="097E1DF0"/>
    <w:rsid w:val="0981070C"/>
    <w:rsid w:val="09830E8D"/>
    <w:rsid w:val="09856FBF"/>
    <w:rsid w:val="09863F84"/>
    <w:rsid w:val="098B524D"/>
    <w:rsid w:val="098D45F6"/>
    <w:rsid w:val="09A40679"/>
    <w:rsid w:val="09AD497A"/>
    <w:rsid w:val="09B73F98"/>
    <w:rsid w:val="09B8399D"/>
    <w:rsid w:val="09BA3D4B"/>
    <w:rsid w:val="09C157DE"/>
    <w:rsid w:val="09C5205D"/>
    <w:rsid w:val="09C7722C"/>
    <w:rsid w:val="09CA698C"/>
    <w:rsid w:val="09CF0326"/>
    <w:rsid w:val="09D007BA"/>
    <w:rsid w:val="09D44EF9"/>
    <w:rsid w:val="09D62E9A"/>
    <w:rsid w:val="09DC33E0"/>
    <w:rsid w:val="09DE380D"/>
    <w:rsid w:val="09E14071"/>
    <w:rsid w:val="09E86CD9"/>
    <w:rsid w:val="09F77B3E"/>
    <w:rsid w:val="0A0A0EEC"/>
    <w:rsid w:val="0A0B3F8B"/>
    <w:rsid w:val="0A171521"/>
    <w:rsid w:val="0A18011E"/>
    <w:rsid w:val="0A274EF5"/>
    <w:rsid w:val="0A334701"/>
    <w:rsid w:val="0A344FDA"/>
    <w:rsid w:val="0A3716E8"/>
    <w:rsid w:val="0A4243E0"/>
    <w:rsid w:val="0A4B6374"/>
    <w:rsid w:val="0A4D224E"/>
    <w:rsid w:val="0A50422B"/>
    <w:rsid w:val="0A5555E5"/>
    <w:rsid w:val="0A556660"/>
    <w:rsid w:val="0A5C540E"/>
    <w:rsid w:val="0A5F7A7D"/>
    <w:rsid w:val="0A622F5B"/>
    <w:rsid w:val="0A623CFE"/>
    <w:rsid w:val="0A736546"/>
    <w:rsid w:val="0A756700"/>
    <w:rsid w:val="0A7851C4"/>
    <w:rsid w:val="0A7A71A1"/>
    <w:rsid w:val="0A8762C0"/>
    <w:rsid w:val="0A9D2F96"/>
    <w:rsid w:val="0AA27C5C"/>
    <w:rsid w:val="0AAA202E"/>
    <w:rsid w:val="0AAF2F15"/>
    <w:rsid w:val="0AB10B23"/>
    <w:rsid w:val="0AC24768"/>
    <w:rsid w:val="0ACC5FF6"/>
    <w:rsid w:val="0ACC70D4"/>
    <w:rsid w:val="0ADC2112"/>
    <w:rsid w:val="0AE33E5C"/>
    <w:rsid w:val="0AEC0DEA"/>
    <w:rsid w:val="0AF60E09"/>
    <w:rsid w:val="0AFA7187"/>
    <w:rsid w:val="0B0144B2"/>
    <w:rsid w:val="0B101F15"/>
    <w:rsid w:val="0B105492"/>
    <w:rsid w:val="0B133E82"/>
    <w:rsid w:val="0B1B194E"/>
    <w:rsid w:val="0B201A93"/>
    <w:rsid w:val="0B2A68C2"/>
    <w:rsid w:val="0B2B03F1"/>
    <w:rsid w:val="0B2F2FD1"/>
    <w:rsid w:val="0B4422C2"/>
    <w:rsid w:val="0B4F1DAE"/>
    <w:rsid w:val="0B5317F5"/>
    <w:rsid w:val="0B5A6A7D"/>
    <w:rsid w:val="0B6417C6"/>
    <w:rsid w:val="0B6533BB"/>
    <w:rsid w:val="0B67399E"/>
    <w:rsid w:val="0B675A91"/>
    <w:rsid w:val="0B6F4082"/>
    <w:rsid w:val="0B731901"/>
    <w:rsid w:val="0B7F3C73"/>
    <w:rsid w:val="0B81389B"/>
    <w:rsid w:val="0B822185"/>
    <w:rsid w:val="0B86530F"/>
    <w:rsid w:val="0B8A0776"/>
    <w:rsid w:val="0B9601E7"/>
    <w:rsid w:val="0B977E3B"/>
    <w:rsid w:val="0B983FF4"/>
    <w:rsid w:val="0BAA3DE2"/>
    <w:rsid w:val="0BAB26D6"/>
    <w:rsid w:val="0BBD1B7B"/>
    <w:rsid w:val="0BBD43E1"/>
    <w:rsid w:val="0BC6464B"/>
    <w:rsid w:val="0BD85383"/>
    <w:rsid w:val="0BE22072"/>
    <w:rsid w:val="0BF00BC1"/>
    <w:rsid w:val="0BF50C3E"/>
    <w:rsid w:val="0C0D7756"/>
    <w:rsid w:val="0C147734"/>
    <w:rsid w:val="0C155EFE"/>
    <w:rsid w:val="0C1A684F"/>
    <w:rsid w:val="0C2601A0"/>
    <w:rsid w:val="0C271708"/>
    <w:rsid w:val="0C276A13"/>
    <w:rsid w:val="0C293603"/>
    <w:rsid w:val="0C2A3FCA"/>
    <w:rsid w:val="0C2B5E76"/>
    <w:rsid w:val="0C321525"/>
    <w:rsid w:val="0C3346C0"/>
    <w:rsid w:val="0C3F22E6"/>
    <w:rsid w:val="0C421611"/>
    <w:rsid w:val="0C4D55A2"/>
    <w:rsid w:val="0C6704C9"/>
    <w:rsid w:val="0C6B16A9"/>
    <w:rsid w:val="0C6D2EA7"/>
    <w:rsid w:val="0C751F7F"/>
    <w:rsid w:val="0C7C7464"/>
    <w:rsid w:val="0C8A5BA5"/>
    <w:rsid w:val="0CA54717"/>
    <w:rsid w:val="0CA70777"/>
    <w:rsid w:val="0CA722F0"/>
    <w:rsid w:val="0CAA0441"/>
    <w:rsid w:val="0CAA7ABF"/>
    <w:rsid w:val="0CAC528E"/>
    <w:rsid w:val="0CAF5E77"/>
    <w:rsid w:val="0CAF6433"/>
    <w:rsid w:val="0CB058DB"/>
    <w:rsid w:val="0CB45EAD"/>
    <w:rsid w:val="0CC404F3"/>
    <w:rsid w:val="0CCE1F2B"/>
    <w:rsid w:val="0CDB3B43"/>
    <w:rsid w:val="0CDD2620"/>
    <w:rsid w:val="0CEA274B"/>
    <w:rsid w:val="0CEA7DD2"/>
    <w:rsid w:val="0CFC0ED5"/>
    <w:rsid w:val="0CFC7469"/>
    <w:rsid w:val="0CFD3DBE"/>
    <w:rsid w:val="0D005BC0"/>
    <w:rsid w:val="0D02529C"/>
    <w:rsid w:val="0D0E3CA4"/>
    <w:rsid w:val="0D1068A9"/>
    <w:rsid w:val="0D143282"/>
    <w:rsid w:val="0D151D38"/>
    <w:rsid w:val="0D1A407C"/>
    <w:rsid w:val="0D1B1A2F"/>
    <w:rsid w:val="0D282AD2"/>
    <w:rsid w:val="0D2B34C3"/>
    <w:rsid w:val="0D317547"/>
    <w:rsid w:val="0D3A3564"/>
    <w:rsid w:val="0D3B6AC5"/>
    <w:rsid w:val="0D4366BE"/>
    <w:rsid w:val="0D493D21"/>
    <w:rsid w:val="0D54105C"/>
    <w:rsid w:val="0D5E16B6"/>
    <w:rsid w:val="0D840231"/>
    <w:rsid w:val="0D8A7FAD"/>
    <w:rsid w:val="0D984461"/>
    <w:rsid w:val="0DA10F4B"/>
    <w:rsid w:val="0DC74EA2"/>
    <w:rsid w:val="0DCB4E9A"/>
    <w:rsid w:val="0DD205C1"/>
    <w:rsid w:val="0DD26874"/>
    <w:rsid w:val="0DDA7331"/>
    <w:rsid w:val="0DDB3DB2"/>
    <w:rsid w:val="0DE33755"/>
    <w:rsid w:val="0DE45156"/>
    <w:rsid w:val="0DEB0FD2"/>
    <w:rsid w:val="0DF249F7"/>
    <w:rsid w:val="0DF350A4"/>
    <w:rsid w:val="0DF95F05"/>
    <w:rsid w:val="0E1E7972"/>
    <w:rsid w:val="0E2A72D8"/>
    <w:rsid w:val="0E2C578A"/>
    <w:rsid w:val="0E333B38"/>
    <w:rsid w:val="0E491545"/>
    <w:rsid w:val="0E4941F2"/>
    <w:rsid w:val="0E4B6F5C"/>
    <w:rsid w:val="0E4D303F"/>
    <w:rsid w:val="0E547241"/>
    <w:rsid w:val="0E6409D2"/>
    <w:rsid w:val="0E695BDB"/>
    <w:rsid w:val="0E6C5662"/>
    <w:rsid w:val="0E7076A4"/>
    <w:rsid w:val="0E76312C"/>
    <w:rsid w:val="0E7B7B92"/>
    <w:rsid w:val="0E814D92"/>
    <w:rsid w:val="0E8C2E33"/>
    <w:rsid w:val="0E910F59"/>
    <w:rsid w:val="0E960199"/>
    <w:rsid w:val="0E984F77"/>
    <w:rsid w:val="0EA05CEE"/>
    <w:rsid w:val="0EA51350"/>
    <w:rsid w:val="0EB446F1"/>
    <w:rsid w:val="0EB61243"/>
    <w:rsid w:val="0EB74480"/>
    <w:rsid w:val="0EB749F8"/>
    <w:rsid w:val="0EC8051A"/>
    <w:rsid w:val="0ED734ED"/>
    <w:rsid w:val="0EF4559C"/>
    <w:rsid w:val="0EF771AB"/>
    <w:rsid w:val="0EFB35DB"/>
    <w:rsid w:val="0EFC1BF9"/>
    <w:rsid w:val="0EFD4223"/>
    <w:rsid w:val="0F03485C"/>
    <w:rsid w:val="0F0D23AB"/>
    <w:rsid w:val="0F121A28"/>
    <w:rsid w:val="0F124148"/>
    <w:rsid w:val="0F19058B"/>
    <w:rsid w:val="0F19357B"/>
    <w:rsid w:val="0F252800"/>
    <w:rsid w:val="0F282051"/>
    <w:rsid w:val="0F2858FA"/>
    <w:rsid w:val="0F2B696C"/>
    <w:rsid w:val="0F423313"/>
    <w:rsid w:val="0F4B5549"/>
    <w:rsid w:val="0F4D6424"/>
    <w:rsid w:val="0F62139A"/>
    <w:rsid w:val="0F77328B"/>
    <w:rsid w:val="0F820058"/>
    <w:rsid w:val="0F8403D5"/>
    <w:rsid w:val="0F843A47"/>
    <w:rsid w:val="0F856364"/>
    <w:rsid w:val="0F884226"/>
    <w:rsid w:val="0F8B7FB8"/>
    <w:rsid w:val="0FAD652E"/>
    <w:rsid w:val="0FB31E98"/>
    <w:rsid w:val="0FBA6D6D"/>
    <w:rsid w:val="0FBE79CB"/>
    <w:rsid w:val="0FBF6DF9"/>
    <w:rsid w:val="0FC01D8F"/>
    <w:rsid w:val="0FD10113"/>
    <w:rsid w:val="0FD109B7"/>
    <w:rsid w:val="0FD16C35"/>
    <w:rsid w:val="0FDD10BA"/>
    <w:rsid w:val="0FE536BE"/>
    <w:rsid w:val="10037537"/>
    <w:rsid w:val="1008315D"/>
    <w:rsid w:val="100A5D0B"/>
    <w:rsid w:val="100A7E4E"/>
    <w:rsid w:val="100B4614"/>
    <w:rsid w:val="100C2C13"/>
    <w:rsid w:val="10105B6E"/>
    <w:rsid w:val="10133D07"/>
    <w:rsid w:val="10236ACF"/>
    <w:rsid w:val="102A04BE"/>
    <w:rsid w:val="10304E98"/>
    <w:rsid w:val="103D21D2"/>
    <w:rsid w:val="103E63CF"/>
    <w:rsid w:val="10405FCE"/>
    <w:rsid w:val="104B0EBF"/>
    <w:rsid w:val="10560D64"/>
    <w:rsid w:val="10656557"/>
    <w:rsid w:val="107934AA"/>
    <w:rsid w:val="107A2800"/>
    <w:rsid w:val="107F61BE"/>
    <w:rsid w:val="10840B0B"/>
    <w:rsid w:val="109C60B6"/>
    <w:rsid w:val="10A565D8"/>
    <w:rsid w:val="10A66A09"/>
    <w:rsid w:val="10AB020B"/>
    <w:rsid w:val="10C10B52"/>
    <w:rsid w:val="10CF3BC9"/>
    <w:rsid w:val="10DF5547"/>
    <w:rsid w:val="10FE27C7"/>
    <w:rsid w:val="11002145"/>
    <w:rsid w:val="110260C7"/>
    <w:rsid w:val="11034C0D"/>
    <w:rsid w:val="110B139B"/>
    <w:rsid w:val="110E0007"/>
    <w:rsid w:val="11182F0A"/>
    <w:rsid w:val="1128409F"/>
    <w:rsid w:val="11353FE1"/>
    <w:rsid w:val="11414C8F"/>
    <w:rsid w:val="115501A9"/>
    <w:rsid w:val="11655F5F"/>
    <w:rsid w:val="116A0AE9"/>
    <w:rsid w:val="116C09B9"/>
    <w:rsid w:val="117001A1"/>
    <w:rsid w:val="117114CB"/>
    <w:rsid w:val="11830BF6"/>
    <w:rsid w:val="118964DF"/>
    <w:rsid w:val="118C440A"/>
    <w:rsid w:val="119E2D8C"/>
    <w:rsid w:val="11A47D17"/>
    <w:rsid w:val="11C60EE2"/>
    <w:rsid w:val="11C60EF7"/>
    <w:rsid w:val="11CB279A"/>
    <w:rsid w:val="11E06104"/>
    <w:rsid w:val="11F1091B"/>
    <w:rsid w:val="11F82166"/>
    <w:rsid w:val="11FB1D02"/>
    <w:rsid w:val="11FC43EE"/>
    <w:rsid w:val="12025BA6"/>
    <w:rsid w:val="12187127"/>
    <w:rsid w:val="121A1816"/>
    <w:rsid w:val="121A4838"/>
    <w:rsid w:val="121A4CD6"/>
    <w:rsid w:val="122C2FC0"/>
    <w:rsid w:val="1249181C"/>
    <w:rsid w:val="124A34A6"/>
    <w:rsid w:val="124A587A"/>
    <w:rsid w:val="12535661"/>
    <w:rsid w:val="125B23E2"/>
    <w:rsid w:val="126A67D5"/>
    <w:rsid w:val="127D6D94"/>
    <w:rsid w:val="128630D1"/>
    <w:rsid w:val="12A914FF"/>
    <w:rsid w:val="12AA456E"/>
    <w:rsid w:val="12AB4E6D"/>
    <w:rsid w:val="12AB5CED"/>
    <w:rsid w:val="12C473DB"/>
    <w:rsid w:val="12C63840"/>
    <w:rsid w:val="12CC3B3E"/>
    <w:rsid w:val="12CF494E"/>
    <w:rsid w:val="12D778B0"/>
    <w:rsid w:val="12D82920"/>
    <w:rsid w:val="12DB3D94"/>
    <w:rsid w:val="12E457D7"/>
    <w:rsid w:val="12F3386E"/>
    <w:rsid w:val="12F42C09"/>
    <w:rsid w:val="130153DC"/>
    <w:rsid w:val="13043EAC"/>
    <w:rsid w:val="130F5DDC"/>
    <w:rsid w:val="13155DB7"/>
    <w:rsid w:val="13182FB8"/>
    <w:rsid w:val="13197ED9"/>
    <w:rsid w:val="132802B0"/>
    <w:rsid w:val="13317013"/>
    <w:rsid w:val="13321ECB"/>
    <w:rsid w:val="13501866"/>
    <w:rsid w:val="13507417"/>
    <w:rsid w:val="13522E26"/>
    <w:rsid w:val="136051B9"/>
    <w:rsid w:val="13673F1A"/>
    <w:rsid w:val="1374001D"/>
    <w:rsid w:val="137551B4"/>
    <w:rsid w:val="13776EE4"/>
    <w:rsid w:val="13827E61"/>
    <w:rsid w:val="13880155"/>
    <w:rsid w:val="138879C1"/>
    <w:rsid w:val="138B3FF6"/>
    <w:rsid w:val="138E497A"/>
    <w:rsid w:val="138F3D9D"/>
    <w:rsid w:val="13941A4D"/>
    <w:rsid w:val="1397139E"/>
    <w:rsid w:val="139B2979"/>
    <w:rsid w:val="139F30B4"/>
    <w:rsid w:val="13A36167"/>
    <w:rsid w:val="13BB5193"/>
    <w:rsid w:val="13BB74AB"/>
    <w:rsid w:val="13C31543"/>
    <w:rsid w:val="13DC107C"/>
    <w:rsid w:val="13DD177A"/>
    <w:rsid w:val="13EA4D2D"/>
    <w:rsid w:val="13EF1502"/>
    <w:rsid w:val="13F97E74"/>
    <w:rsid w:val="141318A7"/>
    <w:rsid w:val="141C7564"/>
    <w:rsid w:val="1468238B"/>
    <w:rsid w:val="147369D5"/>
    <w:rsid w:val="147B161D"/>
    <w:rsid w:val="147B5010"/>
    <w:rsid w:val="1488042B"/>
    <w:rsid w:val="148B7CB8"/>
    <w:rsid w:val="149C0329"/>
    <w:rsid w:val="149C5B43"/>
    <w:rsid w:val="14AB04A7"/>
    <w:rsid w:val="14AE2B3F"/>
    <w:rsid w:val="14BA7CC7"/>
    <w:rsid w:val="14BE7B97"/>
    <w:rsid w:val="14CE46AE"/>
    <w:rsid w:val="14D238F3"/>
    <w:rsid w:val="14E23FCF"/>
    <w:rsid w:val="14E316CC"/>
    <w:rsid w:val="14F00DCF"/>
    <w:rsid w:val="14F06923"/>
    <w:rsid w:val="14F5288F"/>
    <w:rsid w:val="14F77748"/>
    <w:rsid w:val="150521FC"/>
    <w:rsid w:val="150A559F"/>
    <w:rsid w:val="150B34E5"/>
    <w:rsid w:val="150E0491"/>
    <w:rsid w:val="151A4527"/>
    <w:rsid w:val="151E3433"/>
    <w:rsid w:val="152E688A"/>
    <w:rsid w:val="15345232"/>
    <w:rsid w:val="154C6AA3"/>
    <w:rsid w:val="15501CB1"/>
    <w:rsid w:val="15716DFF"/>
    <w:rsid w:val="157F375B"/>
    <w:rsid w:val="15816F6E"/>
    <w:rsid w:val="1584578D"/>
    <w:rsid w:val="15852578"/>
    <w:rsid w:val="1588260D"/>
    <w:rsid w:val="158F361B"/>
    <w:rsid w:val="15A23391"/>
    <w:rsid w:val="15A60EF9"/>
    <w:rsid w:val="15A805BB"/>
    <w:rsid w:val="15B80DDD"/>
    <w:rsid w:val="15B9711B"/>
    <w:rsid w:val="15BB23F6"/>
    <w:rsid w:val="15BC40BE"/>
    <w:rsid w:val="15BD3A68"/>
    <w:rsid w:val="15BF08F5"/>
    <w:rsid w:val="15D70664"/>
    <w:rsid w:val="15D8503A"/>
    <w:rsid w:val="15DA7136"/>
    <w:rsid w:val="15E25A07"/>
    <w:rsid w:val="15E91370"/>
    <w:rsid w:val="15EE153F"/>
    <w:rsid w:val="15F17BDE"/>
    <w:rsid w:val="15F9223B"/>
    <w:rsid w:val="15FD5471"/>
    <w:rsid w:val="15FE60B3"/>
    <w:rsid w:val="160452D1"/>
    <w:rsid w:val="16192AFD"/>
    <w:rsid w:val="16294986"/>
    <w:rsid w:val="16297CAC"/>
    <w:rsid w:val="162D7C5C"/>
    <w:rsid w:val="162F5540"/>
    <w:rsid w:val="16310914"/>
    <w:rsid w:val="16396C5A"/>
    <w:rsid w:val="163F7B4A"/>
    <w:rsid w:val="16404CEF"/>
    <w:rsid w:val="164428B8"/>
    <w:rsid w:val="16450FA3"/>
    <w:rsid w:val="164A60D5"/>
    <w:rsid w:val="165A1305"/>
    <w:rsid w:val="165C631B"/>
    <w:rsid w:val="165E7149"/>
    <w:rsid w:val="16610780"/>
    <w:rsid w:val="16680084"/>
    <w:rsid w:val="166803C7"/>
    <w:rsid w:val="167A2425"/>
    <w:rsid w:val="168042F8"/>
    <w:rsid w:val="168713C8"/>
    <w:rsid w:val="1688789A"/>
    <w:rsid w:val="16944351"/>
    <w:rsid w:val="169A7FCE"/>
    <w:rsid w:val="16A54598"/>
    <w:rsid w:val="16A814AB"/>
    <w:rsid w:val="16AE21AD"/>
    <w:rsid w:val="16AF5B9E"/>
    <w:rsid w:val="16C0012B"/>
    <w:rsid w:val="16C458C1"/>
    <w:rsid w:val="16D47489"/>
    <w:rsid w:val="16DE4794"/>
    <w:rsid w:val="16E7149F"/>
    <w:rsid w:val="16E7574A"/>
    <w:rsid w:val="170755C7"/>
    <w:rsid w:val="171F0222"/>
    <w:rsid w:val="171F2E25"/>
    <w:rsid w:val="17261146"/>
    <w:rsid w:val="17396879"/>
    <w:rsid w:val="173A2ECC"/>
    <w:rsid w:val="173A403D"/>
    <w:rsid w:val="17511277"/>
    <w:rsid w:val="175362C5"/>
    <w:rsid w:val="17597FDF"/>
    <w:rsid w:val="176F7D90"/>
    <w:rsid w:val="17766431"/>
    <w:rsid w:val="177C0876"/>
    <w:rsid w:val="1783470F"/>
    <w:rsid w:val="178843AE"/>
    <w:rsid w:val="17884E0B"/>
    <w:rsid w:val="178E2F34"/>
    <w:rsid w:val="17903AC5"/>
    <w:rsid w:val="17903BBA"/>
    <w:rsid w:val="179E4F9D"/>
    <w:rsid w:val="17A43932"/>
    <w:rsid w:val="17BD3EAD"/>
    <w:rsid w:val="17D226BF"/>
    <w:rsid w:val="17D83D10"/>
    <w:rsid w:val="17E96EAC"/>
    <w:rsid w:val="17F0318B"/>
    <w:rsid w:val="17F26CB3"/>
    <w:rsid w:val="17FB6ADA"/>
    <w:rsid w:val="18057142"/>
    <w:rsid w:val="180C6096"/>
    <w:rsid w:val="181043AA"/>
    <w:rsid w:val="18176858"/>
    <w:rsid w:val="182D76A3"/>
    <w:rsid w:val="1831302C"/>
    <w:rsid w:val="18363A0D"/>
    <w:rsid w:val="183A23D7"/>
    <w:rsid w:val="184E0C8C"/>
    <w:rsid w:val="18532521"/>
    <w:rsid w:val="186C5E2F"/>
    <w:rsid w:val="18775531"/>
    <w:rsid w:val="18783017"/>
    <w:rsid w:val="187A2FD4"/>
    <w:rsid w:val="187C3BBF"/>
    <w:rsid w:val="18850FA8"/>
    <w:rsid w:val="188D60C4"/>
    <w:rsid w:val="189029D9"/>
    <w:rsid w:val="1895537E"/>
    <w:rsid w:val="189A54E0"/>
    <w:rsid w:val="189E2B3B"/>
    <w:rsid w:val="18AC1A07"/>
    <w:rsid w:val="18B70EE4"/>
    <w:rsid w:val="18BD7C85"/>
    <w:rsid w:val="18C360C3"/>
    <w:rsid w:val="18CD51F6"/>
    <w:rsid w:val="18D219FB"/>
    <w:rsid w:val="18D22C3C"/>
    <w:rsid w:val="18E3525C"/>
    <w:rsid w:val="18EB2611"/>
    <w:rsid w:val="18F37103"/>
    <w:rsid w:val="18F602BB"/>
    <w:rsid w:val="18FA331C"/>
    <w:rsid w:val="18FB3C05"/>
    <w:rsid w:val="190209D1"/>
    <w:rsid w:val="191948B3"/>
    <w:rsid w:val="191D0CEC"/>
    <w:rsid w:val="19237530"/>
    <w:rsid w:val="19254D66"/>
    <w:rsid w:val="1935316D"/>
    <w:rsid w:val="19363CD6"/>
    <w:rsid w:val="193D5B79"/>
    <w:rsid w:val="193F0BAC"/>
    <w:rsid w:val="194E0AE6"/>
    <w:rsid w:val="195E473A"/>
    <w:rsid w:val="198A6B3D"/>
    <w:rsid w:val="19951BAC"/>
    <w:rsid w:val="19987A48"/>
    <w:rsid w:val="199906DE"/>
    <w:rsid w:val="199D2AB9"/>
    <w:rsid w:val="199D35D2"/>
    <w:rsid w:val="19A57547"/>
    <w:rsid w:val="19B44FB1"/>
    <w:rsid w:val="19B83CAC"/>
    <w:rsid w:val="19B95F77"/>
    <w:rsid w:val="19CA0F21"/>
    <w:rsid w:val="19CE5990"/>
    <w:rsid w:val="19D3343E"/>
    <w:rsid w:val="19DC36F3"/>
    <w:rsid w:val="19E148D7"/>
    <w:rsid w:val="19E80F89"/>
    <w:rsid w:val="19F455D3"/>
    <w:rsid w:val="19F676BA"/>
    <w:rsid w:val="19FA6A24"/>
    <w:rsid w:val="1A051147"/>
    <w:rsid w:val="1A06318E"/>
    <w:rsid w:val="1A0A72A1"/>
    <w:rsid w:val="1A0E2CB2"/>
    <w:rsid w:val="1A14073B"/>
    <w:rsid w:val="1A204790"/>
    <w:rsid w:val="1A245CCC"/>
    <w:rsid w:val="1A331AB3"/>
    <w:rsid w:val="1A3A15F5"/>
    <w:rsid w:val="1A3E3AA7"/>
    <w:rsid w:val="1A4134C4"/>
    <w:rsid w:val="1A424996"/>
    <w:rsid w:val="1A4F13D2"/>
    <w:rsid w:val="1A502465"/>
    <w:rsid w:val="1A783FD2"/>
    <w:rsid w:val="1A821AE3"/>
    <w:rsid w:val="1A94338F"/>
    <w:rsid w:val="1A987006"/>
    <w:rsid w:val="1A9D7D59"/>
    <w:rsid w:val="1AA2518D"/>
    <w:rsid w:val="1AA25613"/>
    <w:rsid w:val="1AA73555"/>
    <w:rsid w:val="1AA87535"/>
    <w:rsid w:val="1AAE3DBF"/>
    <w:rsid w:val="1AB26605"/>
    <w:rsid w:val="1AB377A5"/>
    <w:rsid w:val="1ABB26E0"/>
    <w:rsid w:val="1ABD27AB"/>
    <w:rsid w:val="1AD05256"/>
    <w:rsid w:val="1AD5621B"/>
    <w:rsid w:val="1AE937BF"/>
    <w:rsid w:val="1AEA139C"/>
    <w:rsid w:val="1AF1151A"/>
    <w:rsid w:val="1AF70D64"/>
    <w:rsid w:val="1AFA5D26"/>
    <w:rsid w:val="1AFE28E0"/>
    <w:rsid w:val="1B016DDE"/>
    <w:rsid w:val="1B0E7294"/>
    <w:rsid w:val="1B104699"/>
    <w:rsid w:val="1B144CB7"/>
    <w:rsid w:val="1B1A6193"/>
    <w:rsid w:val="1B2232C6"/>
    <w:rsid w:val="1B365A0E"/>
    <w:rsid w:val="1B405172"/>
    <w:rsid w:val="1B42716D"/>
    <w:rsid w:val="1B44040A"/>
    <w:rsid w:val="1B475BB0"/>
    <w:rsid w:val="1B4F703C"/>
    <w:rsid w:val="1B5A4121"/>
    <w:rsid w:val="1B5C571C"/>
    <w:rsid w:val="1B6157DA"/>
    <w:rsid w:val="1B6D05B8"/>
    <w:rsid w:val="1B7033CD"/>
    <w:rsid w:val="1B73510F"/>
    <w:rsid w:val="1B786E0D"/>
    <w:rsid w:val="1B8A5F0B"/>
    <w:rsid w:val="1B905762"/>
    <w:rsid w:val="1B9058B3"/>
    <w:rsid w:val="1B9178BC"/>
    <w:rsid w:val="1B965A89"/>
    <w:rsid w:val="1B98566F"/>
    <w:rsid w:val="1BB55FD9"/>
    <w:rsid w:val="1BB731E6"/>
    <w:rsid w:val="1BBA716E"/>
    <w:rsid w:val="1BBC2D20"/>
    <w:rsid w:val="1BD86713"/>
    <w:rsid w:val="1BDB1C6D"/>
    <w:rsid w:val="1BE15C06"/>
    <w:rsid w:val="1BE475D5"/>
    <w:rsid w:val="1BEA0FE8"/>
    <w:rsid w:val="1BF972FB"/>
    <w:rsid w:val="1BFD05EF"/>
    <w:rsid w:val="1C096065"/>
    <w:rsid w:val="1C0A2F86"/>
    <w:rsid w:val="1C0C0F55"/>
    <w:rsid w:val="1C0F4209"/>
    <w:rsid w:val="1C127759"/>
    <w:rsid w:val="1C1D15D3"/>
    <w:rsid w:val="1C296B4A"/>
    <w:rsid w:val="1C374FD8"/>
    <w:rsid w:val="1C43003C"/>
    <w:rsid w:val="1C561919"/>
    <w:rsid w:val="1C5906BF"/>
    <w:rsid w:val="1C5B01C8"/>
    <w:rsid w:val="1C5E7F04"/>
    <w:rsid w:val="1C635CDA"/>
    <w:rsid w:val="1C6C52C9"/>
    <w:rsid w:val="1C7013D9"/>
    <w:rsid w:val="1C760C59"/>
    <w:rsid w:val="1C7729BA"/>
    <w:rsid w:val="1C7D492C"/>
    <w:rsid w:val="1C806F1E"/>
    <w:rsid w:val="1C8124B2"/>
    <w:rsid w:val="1C902392"/>
    <w:rsid w:val="1C9354B7"/>
    <w:rsid w:val="1C9A0360"/>
    <w:rsid w:val="1CA71E15"/>
    <w:rsid w:val="1CB36026"/>
    <w:rsid w:val="1CBF18E0"/>
    <w:rsid w:val="1CC07A11"/>
    <w:rsid w:val="1CD067CB"/>
    <w:rsid w:val="1CD0690F"/>
    <w:rsid w:val="1CD97BC2"/>
    <w:rsid w:val="1CDB53D0"/>
    <w:rsid w:val="1CDF4367"/>
    <w:rsid w:val="1CDF4636"/>
    <w:rsid w:val="1CE14E6F"/>
    <w:rsid w:val="1CE212BD"/>
    <w:rsid w:val="1CE7672A"/>
    <w:rsid w:val="1CE81584"/>
    <w:rsid w:val="1CED5984"/>
    <w:rsid w:val="1CEF7858"/>
    <w:rsid w:val="1CF247A9"/>
    <w:rsid w:val="1CF72666"/>
    <w:rsid w:val="1CFA52DE"/>
    <w:rsid w:val="1D046EC7"/>
    <w:rsid w:val="1D134080"/>
    <w:rsid w:val="1D2378B4"/>
    <w:rsid w:val="1D294F16"/>
    <w:rsid w:val="1D2C593A"/>
    <w:rsid w:val="1D324CF5"/>
    <w:rsid w:val="1D3654BC"/>
    <w:rsid w:val="1D3922D2"/>
    <w:rsid w:val="1D3C6723"/>
    <w:rsid w:val="1D462E92"/>
    <w:rsid w:val="1D48680F"/>
    <w:rsid w:val="1D4B6F07"/>
    <w:rsid w:val="1D4F2D2E"/>
    <w:rsid w:val="1D5544FF"/>
    <w:rsid w:val="1D5951DE"/>
    <w:rsid w:val="1D5C3DB0"/>
    <w:rsid w:val="1D6E0BA4"/>
    <w:rsid w:val="1D70212D"/>
    <w:rsid w:val="1D79435C"/>
    <w:rsid w:val="1D8C2971"/>
    <w:rsid w:val="1D8C4A68"/>
    <w:rsid w:val="1D9B69B0"/>
    <w:rsid w:val="1D9C12BA"/>
    <w:rsid w:val="1D9F2F7F"/>
    <w:rsid w:val="1DA8225C"/>
    <w:rsid w:val="1DAC1F34"/>
    <w:rsid w:val="1DB61572"/>
    <w:rsid w:val="1DBB3CE3"/>
    <w:rsid w:val="1DD3306D"/>
    <w:rsid w:val="1DD43066"/>
    <w:rsid w:val="1DDA54C6"/>
    <w:rsid w:val="1DE228BA"/>
    <w:rsid w:val="1DE71393"/>
    <w:rsid w:val="1DE72D9B"/>
    <w:rsid w:val="1DF11E20"/>
    <w:rsid w:val="1DF96EE8"/>
    <w:rsid w:val="1E046E66"/>
    <w:rsid w:val="1E0E3CDB"/>
    <w:rsid w:val="1E131EB9"/>
    <w:rsid w:val="1E1B6479"/>
    <w:rsid w:val="1E2162A8"/>
    <w:rsid w:val="1E22054E"/>
    <w:rsid w:val="1E232DFD"/>
    <w:rsid w:val="1E2C4A0D"/>
    <w:rsid w:val="1E2D2D23"/>
    <w:rsid w:val="1E371497"/>
    <w:rsid w:val="1E4813FC"/>
    <w:rsid w:val="1E5137D4"/>
    <w:rsid w:val="1E51784D"/>
    <w:rsid w:val="1E531BC5"/>
    <w:rsid w:val="1E5C1C92"/>
    <w:rsid w:val="1E5C6415"/>
    <w:rsid w:val="1E6F6709"/>
    <w:rsid w:val="1E7A364E"/>
    <w:rsid w:val="1E831B9D"/>
    <w:rsid w:val="1E99737E"/>
    <w:rsid w:val="1EA33DC3"/>
    <w:rsid w:val="1EA5504D"/>
    <w:rsid w:val="1EA61463"/>
    <w:rsid w:val="1EA8393D"/>
    <w:rsid w:val="1EB15DEE"/>
    <w:rsid w:val="1EB31B3A"/>
    <w:rsid w:val="1EC54021"/>
    <w:rsid w:val="1ECA197F"/>
    <w:rsid w:val="1ECB2BBC"/>
    <w:rsid w:val="1ECE0A68"/>
    <w:rsid w:val="1ECF4440"/>
    <w:rsid w:val="1ECF78FA"/>
    <w:rsid w:val="1ED76F36"/>
    <w:rsid w:val="1EE478F8"/>
    <w:rsid w:val="1EE7722E"/>
    <w:rsid w:val="1EE96B05"/>
    <w:rsid w:val="1EEE01AC"/>
    <w:rsid w:val="1EF22B32"/>
    <w:rsid w:val="1EFB47AA"/>
    <w:rsid w:val="1F036ECC"/>
    <w:rsid w:val="1F111021"/>
    <w:rsid w:val="1F1247B0"/>
    <w:rsid w:val="1F197206"/>
    <w:rsid w:val="1F1F7F71"/>
    <w:rsid w:val="1F2D4857"/>
    <w:rsid w:val="1F317652"/>
    <w:rsid w:val="1F341A16"/>
    <w:rsid w:val="1F343A59"/>
    <w:rsid w:val="1F370681"/>
    <w:rsid w:val="1F4131E5"/>
    <w:rsid w:val="1F5210EB"/>
    <w:rsid w:val="1F562F39"/>
    <w:rsid w:val="1F634220"/>
    <w:rsid w:val="1F635C73"/>
    <w:rsid w:val="1F6B3984"/>
    <w:rsid w:val="1F7E1891"/>
    <w:rsid w:val="1F884750"/>
    <w:rsid w:val="1F917B17"/>
    <w:rsid w:val="1F9B19F0"/>
    <w:rsid w:val="1F9B5044"/>
    <w:rsid w:val="1FC409FC"/>
    <w:rsid w:val="1FCB2BD8"/>
    <w:rsid w:val="1FD53E8F"/>
    <w:rsid w:val="1FE36B12"/>
    <w:rsid w:val="1FEA4AF1"/>
    <w:rsid w:val="1FED3021"/>
    <w:rsid w:val="1FF1791E"/>
    <w:rsid w:val="20016E0A"/>
    <w:rsid w:val="20037DF2"/>
    <w:rsid w:val="2010207E"/>
    <w:rsid w:val="20143EB1"/>
    <w:rsid w:val="20195B27"/>
    <w:rsid w:val="201A37FB"/>
    <w:rsid w:val="202B319A"/>
    <w:rsid w:val="202B3C8C"/>
    <w:rsid w:val="204E4D4F"/>
    <w:rsid w:val="204F33AE"/>
    <w:rsid w:val="2050291E"/>
    <w:rsid w:val="205D295A"/>
    <w:rsid w:val="2060724B"/>
    <w:rsid w:val="206101A0"/>
    <w:rsid w:val="2067704C"/>
    <w:rsid w:val="206A60F9"/>
    <w:rsid w:val="206B62E0"/>
    <w:rsid w:val="206D7CFB"/>
    <w:rsid w:val="207606E4"/>
    <w:rsid w:val="208011A2"/>
    <w:rsid w:val="20827F54"/>
    <w:rsid w:val="209343A9"/>
    <w:rsid w:val="2098542C"/>
    <w:rsid w:val="20AA4341"/>
    <w:rsid w:val="20BA4FE2"/>
    <w:rsid w:val="20BC2B8F"/>
    <w:rsid w:val="20C145EE"/>
    <w:rsid w:val="20C44AF2"/>
    <w:rsid w:val="20C9517A"/>
    <w:rsid w:val="20CF25B8"/>
    <w:rsid w:val="20E10472"/>
    <w:rsid w:val="20E65327"/>
    <w:rsid w:val="20E971E5"/>
    <w:rsid w:val="20ED1A14"/>
    <w:rsid w:val="20F776F0"/>
    <w:rsid w:val="20FF1F8D"/>
    <w:rsid w:val="20FF3A2A"/>
    <w:rsid w:val="20FF6470"/>
    <w:rsid w:val="210442EF"/>
    <w:rsid w:val="2109364F"/>
    <w:rsid w:val="210C5FC8"/>
    <w:rsid w:val="211D4988"/>
    <w:rsid w:val="21210264"/>
    <w:rsid w:val="212152E8"/>
    <w:rsid w:val="212562D7"/>
    <w:rsid w:val="212F673D"/>
    <w:rsid w:val="21346CA0"/>
    <w:rsid w:val="214106BF"/>
    <w:rsid w:val="214F57BA"/>
    <w:rsid w:val="21500057"/>
    <w:rsid w:val="215F48FE"/>
    <w:rsid w:val="21620639"/>
    <w:rsid w:val="216C6661"/>
    <w:rsid w:val="217D0AF3"/>
    <w:rsid w:val="218F4531"/>
    <w:rsid w:val="21916C7A"/>
    <w:rsid w:val="219A720E"/>
    <w:rsid w:val="219F2290"/>
    <w:rsid w:val="21A60ADE"/>
    <w:rsid w:val="21B7522E"/>
    <w:rsid w:val="21C051BF"/>
    <w:rsid w:val="21CF211A"/>
    <w:rsid w:val="21D003C6"/>
    <w:rsid w:val="21D27F99"/>
    <w:rsid w:val="21DC48C4"/>
    <w:rsid w:val="21EF18CC"/>
    <w:rsid w:val="21F55FE2"/>
    <w:rsid w:val="21FF6C70"/>
    <w:rsid w:val="22001BA8"/>
    <w:rsid w:val="22087DF9"/>
    <w:rsid w:val="22113AAD"/>
    <w:rsid w:val="22145040"/>
    <w:rsid w:val="222368A2"/>
    <w:rsid w:val="22273697"/>
    <w:rsid w:val="2232697B"/>
    <w:rsid w:val="223B38FD"/>
    <w:rsid w:val="224206F0"/>
    <w:rsid w:val="22457C8E"/>
    <w:rsid w:val="225142EA"/>
    <w:rsid w:val="225F78F3"/>
    <w:rsid w:val="226243E6"/>
    <w:rsid w:val="22687529"/>
    <w:rsid w:val="22704ABA"/>
    <w:rsid w:val="22750A21"/>
    <w:rsid w:val="22787EEF"/>
    <w:rsid w:val="22807560"/>
    <w:rsid w:val="22880467"/>
    <w:rsid w:val="22937014"/>
    <w:rsid w:val="22943AA8"/>
    <w:rsid w:val="2297271D"/>
    <w:rsid w:val="229A7F74"/>
    <w:rsid w:val="229E4934"/>
    <w:rsid w:val="22A201B6"/>
    <w:rsid w:val="22A864C6"/>
    <w:rsid w:val="22B137EE"/>
    <w:rsid w:val="22C4488F"/>
    <w:rsid w:val="22C5087D"/>
    <w:rsid w:val="22C918FD"/>
    <w:rsid w:val="22CB245E"/>
    <w:rsid w:val="22CE51C0"/>
    <w:rsid w:val="22CF30DF"/>
    <w:rsid w:val="22D25153"/>
    <w:rsid w:val="22D605DE"/>
    <w:rsid w:val="22E23704"/>
    <w:rsid w:val="22E34DC0"/>
    <w:rsid w:val="230F6D73"/>
    <w:rsid w:val="23145167"/>
    <w:rsid w:val="231C2707"/>
    <w:rsid w:val="231C3E29"/>
    <w:rsid w:val="2320295A"/>
    <w:rsid w:val="23215956"/>
    <w:rsid w:val="232B58E2"/>
    <w:rsid w:val="23394D84"/>
    <w:rsid w:val="234331EC"/>
    <w:rsid w:val="234512B5"/>
    <w:rsid w:val="23530109"/>
    <w:rsid w:val="2353032D"/>
    <w:rsid w:val="23560AD2"/>
    <w:rsid w:val="235906C3"/>
    <w:rsid w:val="23680709"/>
    <w:rsid w:val="236B0F9F"/>
    <w:rsid w:val="2373550D"/>
    <w:rsid w:val="23755A7F"/>
    <w:rsid w:val="238C42AF"/>
    <w:rsid w:val="238C5EEC"/>
    <w:rsid w:val="238F57B7"/>
    <w:rsid w:val="238F6333"/>
    <w:rsid w:val="23A4038B"/>
    <w:rsid w:val="23AA5FB1"/>
    <w:rsid w:val="23AA69A2"/>
    <w:rsid w:val="23B4284D"/>
    <w:rsid w:val="23B949C8"/>
    <w:rsid w:val="23B969A0"/>
    <w:rsid w:val="23C3435F"/>
    <w:rsid w:val="23C72833"/>
    <w:rsid w:val="23E35E1B"/>
    <w:rsid w:val="23F155A1"/>
    <w:rsid w:val="23FB09E4"/>
    <w:rsid w:val="241466B0"/>
    <w:rsid w:val="241E4F80"/>
    <w:rsid w:val="24293C14"/>
    <w:rsid w:val="24335983"/>
    <w:rsid w:val="2442242A"/>
    <w:rsid w:val="24435E3A"/>
    <w:rsid w:val="245E7982"/>
    <w:rsid w:val="245F409F"/>
    <w:rsid w:val="248824A3"/>
    <w:rsid w:val="248D665C"/>
    <w:rsid w:val="249134AB"/>
    <w:rsid w:val="249716D0"/>
    <w:rsid w:val="24A6080D"/>
    <w:rsid w:val="24AF5E04"/>
    <w:rsid w:val="24DC49DF"/>
    <w:rsid w:val="24E06BA0"/>
    <w:rsid w:val="24E33E02"/>
    <w:rsid w:val="24E57F27"/>
    <w:rsid w:val="24F22002"/>
    <w:rsid w:val="25115AB7"/>
    <w:rsid w:val="251F7DF1"/>
    <w:rsid w:val="252428DF"/>
    <w:rsid w:val="252738CD"/>
    <w:rsid w:val="252C1051"/>
    <w:rsid w:val="253A3792"/>
    <w:rsid w:val="253E663F"/>
    <w:rsid w:val="2544737C"/>
    <w:rsid w:val="25486A5D"/>
    <w:rsid w:val="25646424"/>
    <w:rsid w:val="25677C05"/>
    <w:rsid w:val="256F17EE"/>
    <w:rsid w:val="25702F9F"/>
    <w:rsid w:val="25766337"/>
    <w:rsid w:val="25806E9D"/>
    <w:rsid w:val="258340E3"/>
    <w:rsid w:val="25834D01"/>
    <w:rsid w:val="25897A55"/>
    <w:rsid w:val="258B5769"/>
    <w:rsid w:val="25976F7C"/>
    <w:rsid w:val="25AB44B7"/>
    <w:rsid w:val="25B27EFA"/>
    <w:rsid w:val="25B551B6"/>
    <w:rsid w:val="25B608BD"/>
    <w:rsid w:val="25B61C27"/>
    <w:rsid w:val="25C06381"/>
    <w:rsid w:val="25C112D4"/>
    <w:rsid w:val="25C12191"/>
    <w:rsid w:val="25CB1501"/>
    <w:rsid w:val="25CD6670"/>
    <w:rsid w:val="25CF3B1F"/>
    <w:rsid w:val="25D0443F"/>
    <w:rsid w:val="25D32751"/>
    <w:rsid w:val="25DE4127"/>
    <w:rsid w:val="25DF02A1"/>
    <w:rsid w:val="25E80801"/>
    <w:rsid w:val="25E96BA5"/>
    <w:rsid w:val="25EE3A17"/>
    <w:rsid w:val="25FC0269"/>
    <w:rsid w:val="25FE6289"/>
    <w:rsid w:val="26047E56"/>
    <w:rsid w:val="261429B2"/>
    <w:rsid w:val="261D37B7"/>
    <w:rsid w:val="26246627"/>
    <w:rsid w:val="2633197C"/>
    <w:rsid w:val="263340C2"/>
    <w:rsid w:val="26353FCE"/>
    <w:rsid w:val="26367B33"/>
    <w:rsid w:val="263702E4"/>
    <w:rsid w:val="26382D8C"/>
    <w:rsid w:val="26533CAA"/>
    <w:rsid w:val="26577EB7"/>
    <w:rsid w:val="265B7A48"/>
    <w:rsid w:val="2668596B"/>
    <w:rsid w:val="266B4295"/>
    <w:rsid w:val="266D3BAC"/>
    <w:rsid w:val="267714AA"/>
    <w:rsid w:val="267A539E"/>
    <w:rsid w:val="267A6795"/>
    <w:rsid w:val="267F61F6"/>
    <w:rsid w:val="268E1124"/>
    <w:rsid w:val="2692489C"/>
    <w:rsid w:val="26971A22"/>
    <w:rsid w:val="269F05C6"/>
    <w:rsid w:val="26A0390C"/>
    <w:rsid w:val="26A52A9E"/>
    <w:rsid w:val="26A56488"/>
    <w:rsid w:val="26AA26A8"/>
    <w:rsid w:val="26AF2F82"/>
    <w:rsid w:val="26AF62D0"/>
    <w:rsid w:val="26B018FF"/>
    <w:rsid w:val="26B26386"/>
    <w:rsid w:val="26B30E8A"/>
    <w:rsid w:val="26B350E8"/>
    <w:rsid w:val="26C6104F"/>
    <w:rsid w:val="26C93B42"/>
    <w:rsid w:val="26D177D5"/>
    <w:rsid w:val="26D4294D"/>
    <w:rsid w:val="26D95CC0"/>
    <w:rsid w:val="26DE3139"/>
    <w:rsid w:val="26E12FA9"/>
    <w:rsid w:val="26F2476C"/>
    <w:rsid w:val="26FB036E"/>
    <w:rsid w:val="26FE1370"/>
    <w:rsid w:val="27132839"/>
    <w:rsid w:val="27164795"/>
    <w:rsid w:val="27167116"/>
    <w:rsid w:val="271F1E87"/>
    <w:rsid w:val="27224656"/>
    <w:rsid w:val="272C3C7F"/>
    <w:rsid w:val="273576E3"/>
    <w:rsid w:val="273A20B1"/>
    <w:rsid w:val="27473493"/>
    <w:rsid w:val="274C7B54"/>
    <w:rsid w:val="27511B39"/>
    <w:rsid w:val="2753084D"/>
    <w:rsid w:val="27534406"/>
    <w:rsid w:val="275411F9"/>
    <w:rsid w:val="27597D48"/>
    <w:rsid w:val="275A5EB5"/>
    <w:rsid w:val="275D28C9"/>
    <w:rsid w:val="27747277"/>
    <w:rsid w:val="277D5700"/>
    <w:rsid w:val="27804221"/>
    <w:rsid w:val="27853272"/>
    <w:rsid w:val="278625C0"/>
    <w:rsid w:val="278A3A8C"/>
    <w:rsid w:val="278F1C38"/>
    <w:rsid w:val="27947FD4"/>
    <w:rsid w:val="279F51B4"/>
    <w:rsid w:val="27A10AAC"/>
    <w:rsid w:val="27AC4199"/>
    <w:rsid w:val="27AE37B8"/>
    <w:rsid w:val="27AF160A"/>
    <w:rsid w:val="27B25862"/>
    <w:rsid w:val="27BA773A"/>
    <w:rsid w:val="27C315F6"/>
    <w:rsid w:val="27C50966"/>
    <w:rsid w:val="27C61EAE"/>
    <w:rsid w:val="27E60988"/>
    <w:rsid w:val="27FB136C"/>
    <w:rsid w:val="28080A3F"/>
    <w:rsid w:val="28084A9A"/>
    <w:rsid w:val="280C78BA"/>
    <w:rsid w:val="28130DE2"/>
    <w:rsid w:val="28160991"/>
    <w:rsid w:val="28175155"/>
    <w:rsid w:val="28195935"/>
    <w:rsid w:val="281F1FBD"/>
    <w:rsid w:val="282251B3"/>
    <w:rsid w:val="28273760"/>
    <w:rsid w:val="28293026"/>
    <w:rsid w:val="282B2835"/>
    <w:rsid w:val="282D2228"/>
    <w:rsid w:val="28324AC9"/>
    <w:rsid w:val="2834048E"/>
    <w:rsid w:val="28373821"/>
    <w:rsid w:val="284177F0"/>
    <w:rsid w:val="28481F42"/>
    <w:rsid w:val="28494F6E"/>
    <w:rsid w:val="285C7725"/>
    <w:rsid w:val="285D03B6"/>
    <w:rsid w:val="286337F7"/>
    <w:rsid w:val="286C3C74"/>
    <w:rsid w:val="28726C98"/>
    <w:rsid w:val="28785CF9"/>
    <w:rsid w:val="287B0B55"/>
    <w:rsid w:val="28835C65"/>
    <w:rsid w:val="28840250"/>
    <w:rsid w:val="28957AC6"/>
    <w:rsid w:val="28971B31"/>
    <w:rsid w:val="289E024A"/>
    <w:rsid w:val="28A63321"/>
    <w:rsid w:val="28A66DDB"/>
    <w:rsid w:val="28B51242"/>
    <w:rsid w:val="28BC2F70"/>
    <w:rsid w:val="28BD68C7"/>
    <w:rsid w:val="28BF12AB"/>
    <w:rsid w:val="28C059B9"/>
    <w:rsid w:val="28C05B55"/>
    <w:rsid w:val="28C46E15"/>
    <w:rsid w:val="28C735FF"/>
    <w:rsid w:val="28D0391E"/>
    <w:rsid w:val="28D74FED"/>
    <w:rsid w:val="28DF2462"/>
    <w:rsid w:val="28DF44E8"/>
    <w:rsid w:val="28E1311E"/>
    <w:rsid w:val="28E65F2F"/>
    <w:rsid w:val="28F013D0"/>
    <w:rsid w:val="28F41246"/>
    <w:rsid w:val="28F82A0A"/>
    <w:rsid w:val="29006859"/>
    <w:rsid w:val="2904119E"/>
    <w:rsid w:val="29083F16"/>
    <w:rsid w:val="291507FF"/>
    <w:rsid w:val="291D5D69"/>
    <w:rsid w:val="29287549"/>
    <w:rsid w:val="292A2924"/>
    <w:rsid w:val="29301E82"/>
    <w:rsid w:val="293C4333"/>
    <w:rsid w:val="294D71EE"/>
    <w:rsid w:val="29525843"/>
    <w:rsid w:val="296772A9"/>
    <w:rsid w:val="296E18D9"/>
    <w:rsid w:val="296E5AFE"/>
    <w:rsid w:val="297459B7"/>
    <w:rsid w:val="2975207E"/>
    <w:rsid w:val="297D68B1"/>
    <w:rsid w:val="297F2AF2"/>
    <w:rsid w:val="29905613"/>
    <w:rsid w:val="299707EE"/>
    <w:rsid w:val="299D6A98"/>
    <w:rsid w:val="29A93D35"/>
    <w:rsid w:val="29B637E1"/>
    <w:rsid w:val="29BE17A5"/>
    <w:rsid w:val="29BE3FDF"/>
    <w:rsid w:val="29C13775"/>
    <w:rsid w:val="29C61AF1"/>
    <w:rsid w:val="29D50AAA"/>
    <w:rsid w:val="29D653B0"/>
    <w:rsid w:val="29E67BF5"/>
    <w:rsid w:val="29ED2AF2"/>
    <w:rsid w:val="29F065B6"/>
    <w:rsid w:val="29F13F27"/>
    <w:rsid w:val="29F92117"/>
    <w:rsid w:val="29FC46E7"/>
    <w:rsid w:val="2A0D745A"/>
    <w:rsid w:val="2A1536AD"/>
    <w:rsid w:val="2A1A21CB"/>
    <w:rsid w:val="2A1F365C"/>
    <w:rsid w:val="2A234C44"/>
    <w:rsid w:val="2A2A3268"/>
    <w:rsid w:val="2A316AA8"/>
    <w:rsid w:val="2A317487"/>
    <w:rsid w:val="2A380D53"/>
    <w:rsid w:val="2A413E06"/>
    <w:rsid w:val="2A5F2C48"/>
    <w:rsid w:val="2A603894"/>
    <w:rsid w:val="2A613DAE"/>
    <w:rsid w:val="2A6359F1"/>
    <w:rsid w:val="2A681F94"/>
    <w:rsid w:val="2A740441"/>
    <w:rsid w:val="2A790251"/>
    <w:rsid w:val="2A8020EB"/>
    <w:rsid w:val="2A8A1B03"/>
    <w:rsid w:val="2A8C3B13"/>
    <w:rsid w:val="2A9061C3"/>
    <w:rsid w:val="2AA144AA"/>
    <w:rsid w:val="2AA70184"/>
    <w:rsid w:val="2AB01E4B"/>
    <w:rsid w:val="2AB321BA"/>
    <w:rsid w:val="2AB74CFA"/>
    <w:rsid w:val="2AB91629"/>
    <w:rsid w:val="2ACF0AAD"/>
    <w:rsid w:val="2ACF2402"/>
    <w:rsid w:val="2AD72C79"/>
    <w:rsid w:val="2AD800AD"/>
    <w:rsid w:val="2AE32A1A"/>
    <w:rsid w:val="2AE9093B"/>
    <w:rsid w:val="2AF31087"/>
    <w:rsid w:val="2AF65568"/>
    <w:rsid w:val="2AFC6CA1"/>
    <w:rsid w:val="2B026EC1"/>
    <w:rsid w:val="2B040BEF"/>
    <w:rsid w:val="2B110A36"/>
    <w:rsid w:val="2B1A19FE"/>
    <w:rsid w:val="2B226918"/>
    <w:rsid w:val="2B3C3F0C"/>
    <w:rsid w:val="2B3D1DBA"/>
    <w:rsid w:val="2B54243C"/>
    <w:rsid w:val="2B552714"/>
    <w:rsid w:val="2B565508"/>
    <w:rsid w:val="2B610C67"/>
    <w:rsid w:val="2B6F5332"/>
    <w:rsid w:val="2B87677E"/>
    <w:rsid w:val="2B89413D"/>
    <w:rsid w:val="2B8F7DFF"/>
    <w:rsid w:val="2B950581"/>
    <w:rsid w:val="2BA143AA"/>
    <w:rsid w:val="2BBB7580"/>
    <w:rsid w:val="2BC51977"/>
    <w:rsid w:val="2BC95875"/>
    <w:rsid w:val="2BCC404C"/>
    <w:rsid w:val="2BCD580A"/>
    <w:rsid w:val="2BD256CC"/>
    <w:rsid w:val="2BDF68F9"/>
    <w:rsid w:val="2BE43AF2"/>
    <w:rsid w:val="2BE814C8"/>
    <w:rsid w:val="2BF46BBA"/>
    <w:rsid w:val="2BFB0701"/>
    <w:rsid w:val="2BFC4734"/>
    <w:rsid w:val="2C0502BE"/>
    <w:rsid w:val="2C0F01D2"/>
    <w:rsid w:val="2C122576"/>
    <w:rsid w:val="2C14198B"/>
    <w:rsid w:val="2C1976FB"/>
    <w:rsid w:val="2C1E27E2"/>
    <w:rsid w:val="2C1F476C"/>
    <w:rsid w:val="2C3C0019"/>
    <w:rsid w:val="2C457A72"/>
    <w:rsid w:val="2C4D387F"/>
    <w:rsid w:val="2C515BE3"/>
    <w:rsid w:val="2C6C2B67"/>
    <w:rsid w:val="2C74468D"/>
    <w:rsid w:val="2C7B0BA7"/>
    <w:rsid w:val="2C7E6DEB"/>
    <w:rsid w:val="2C8F1769"/>
    <w:rsid w:val="2C9016E0"/>
    <w:rsid w:val="2C903F7F"/>
    <w:rsid w:val="2C9452F4"/>
    <w:rsid w:val="2C9E3A9B"/>
    <w:rsid w:val="2C9E4FDA"/>
    <w:rsid w:val="2CAE218F"/>
    <w:rsid w:val="2CBD2758"/>
    <w:rsid w:val="2CCC175C"/>
    <w:rsid w:val="2CCD2EBA"/>
    <w:rsid w:val="2CD0101C"/>
    <w:rsid w:val="2CD27D56"/>
    <w:rsid w:val="2CD524E0"/>
    <w:rsid w:val="2CF47E70"/>
    <w:rsid w:val="2CF646C6"/>
    <w:rsid w:val="2D111DBD"/>
    <w:rsid w:val="2D153177"/>
    <w:rsid w:val="2D18783E"/>
    <w:rsid w:val="2D194E99"/>
    <w:rsid w:val="2D1D69D1"/>
    <w:rsid w:val="2D284A25"/>
    <w:rsid w:val="2D2E0B54"/>
    <w:rsid w:val="2D330351"/>
    <w:rsid w:val="2D6E1C50"/>
    <w:rsid w:val="2D6F0644"/>
    <w:rsid w:val="2D6F48FA"/>
    <w:rsid w:val="2D741979"/>
    <w:rsid w:val="2D8B2B4E"/>
    <w:rsid w:val="2D9F6970"/>
    <w:rsid w:val="2DA97F05"/>
    <w:rsid w:val="2DAA53FD"/>
    <w:rsid w:val="2DC27EDF"/>
    <w:rsid w:val="2DD30E1F"/>
    <w:rsid w:val="2DDF543C"/>
    <w:rsid w:val="2E067C40"/>
    <w:rsid w:val="2E1D452C"/>
    <w:rsid w:val="2E256B65"/>
    <w:rsid w:val="2E262DB3"/>
    <w:rsid w:val="2E295F22"/>
    <w:rsid w:val="2E2B0517"/>
    <w:rsid w:val="2E3F2026"/>
    <w:rsid w:val="2E4142ED"/>
    <w:rsid w:val="2E487666"/>
    <w:rsid w:val="2E515271"/>
    <w:rsid w:val="2E6C0A48"/>
    <w:rsid w:val="2E71198B"/>
    <w:rsid w:val="2EA23D44"/>
    <w:rsid w:val="2EA74BEC"/>
    <w:rsid w:val="2EBD2AFB"/>
    <w:rsid w:val="2EC61F4C"/>
    <w:rsid w:val="2EC65F94"/>
    <w:rsid w:val="2ECF3FFA"/>
    <w:rsid w:val="2ED70C98"/>
    <w:rsid w:val="2EEA0CD5"/>
    <w:rsid w:val="2EFE7FF3"/>
    <w:rsid w:val="2F0B0C99"/>
    <w:rsid w:val="2F123954"/>
    <w:rsid w:val="2F142FD6"/>
    <w:rsid w:val="2F153D9C"/>
    <w:rsid w:val="2F29229E"/>
    <w:rsid w:val="2F355299"/>
    <w:rsid w:val="2F3C5883"/>
    <w:rsid w:val="2F4D65A9"/>
    <w:rsid w:val="2F527966"/>
    <w:rsid w:val="2F5C6BC6"/>
    <w:rsid w:val="2F6440B2"/>
    <w:rsid w:val="2F69262E"/>
    <w:rsid w:val="2F702EA7"/>
    <w:rsid w:val="2F716EA4"/>
    <w:rsid w:val="2F7178C7"/>
    <w:rsid w:val="2F8A6F75"/>
    <w:rsid w:val="2F926D7D"/>
    <w:rsid w:val="2F9B0EFA"/>
    <w:rsid w:val="2FA60DC6"/>
    <w:rsid w:val="2FA95C8A"/>
    <w:rsid w:val="2FAA672F"/>
    <w:rsid w:val="2FAD5332"/>
    <w:rsid w:val="2FB47B7E"/>
    <w:rsid w:val="2FB52E07"/>
    <w:rsid w:val="2FB833FA"/>
    <w:rsid w:val="2FC0222E"/>
    <w:rsid w:val="2FC24D6B"/>
    <w:rsid w:val="2FC61B55"/>
    <w:rsid w:val="2FCD3EB4"/>
    <w:rsid w:val="2FCF7CAC"/>
    <w:rsid w:val="2FD437D5"/>
    <w:rsid w:val="2FD67B90"/>
    <w:rsid w:val="2FE121CE"/>
    <w:rsid w:val="2FE81930"/>
    <w:rsid w:val="2FFF4319"/>
    <w:rsid w:val="30010F84"/>
    <w:rsid w:val="30050B13"/>
    <w:rsid w:val="300F3126"/>
    <w:rsid w:val="302164D4"/>
    <w:rsid w:val="303B134C"/>
    <w:rsid w:val="304325BD"/>
    <w:rsid w:val="30432E0B"/>
    <w:rsid w:val="30497CD4"/>
    <w:rsid w:val="304F1524"/>
    <w:rsid w:val="305658E0"/>
    <w:rsid w:val="305B645F"/>
    <w:rsid w:val="305C6E01"/>
    <w:rsid w:val="3060398C"/>
    <w:rsid w:val="306546C3"/>
    <w:rsid w:val="306E0383"/>
    <w:rsid w:val="306E7D5E"/>
    <w:rsid w:val="3077794D"/>
    <w:rsid w:val="307D0A14"/>
    <w:rsid w:val="30810FEF"/>
    <w:rsid w:val="308F1AC9"/>
    <w:rsid w:val="30A032B5"/>
    <w:rsid w:val="30BE7AC0"/>
    <w:rsid w:val="30BF5DB7"/>
    <w:rsid w:val="30C9199D"/>
    <w:rsid w:val="30CB5A9B"/>
    <w:rsid w:val="30CD354E"/>
    <w:rsid w:val="30D97DF1"/>
    <w:rsid w:val="30DA5D09"/>
    <w:rsid w:val="30DF312E"/>
    <w:rsid w:val="30ED4793"/>
    <w:rsid w:val="31004114"/>
    <w:rsid w:val="31044C28"/>
    <w:rsid w:val="310C76AD"/>
    <w:rsid w:val="31127FB2"/>
    <w:rsid w:val="3118596F"/>
    <w:rsid w:val="311F6183"/>
    <w:rsid w:val="31297D6B"/>
    <w:rsid w:val="312C5CB3"/>
    <w:rsid w:val="313413D4"/>
    <w:rsid w:val="31441B89"/>
    <w:rsid w:val="314852EE"/>
    <w:rsid w:val="31573840"/>
    <w:rsid w:val="31580309"/>
    <w:rsid w:val="315A048A"/>
    <w:rsid w:val="315A2315"/>
    <w:rsid w:val="317D79FE"/>
    <w:rsid w:val="317F3C74"/>
    <w:rsid w:val="31824B13"/>
    <w:rsid w:val="31865FF4"/>
    <w:rsid w:val="31870A1F"/>
    <w:rsid w:val="31913C51"/>
    <w:rsid w:val="31926A3D"/>
    <w:rsid w:val="31940E81"/>
    <w:rsid w:val="31BA36E3"/>
    <w:rsid w:val="31C217FF"/>
    <w:rsid w:val="31C22E82"/>
    <w:rsid w:val="31C567C8"/>
    <w:rsid w:val="31C9657D"/>
    <w:rsid w:val="31CB7186"/>
    <w:rsid w:val="31D15630"/>
    <w:rsid w:val="31D17F6D"/>
    <w:rsid w:val="31D8404C"/>
    <w:rsid w:val="31E10191"/>
    <w:rsid w:val="31E143B2"/>
    <w:rsid w:val="31EF7C50"/>
    <w:rsid w:val="31F41592"/>
    <w:rsid w:val="31F4644E"/>
    <w:rsid w:val="31FB47D8"/>
    <w:rsid w:val="320B6C12"/>
    <w:rsid w:val="32203D7A"/>
    <w:rsid w:val="322258B0"/>
    <w:rsid w:val="322347E4"/>
    <w:rsid w:val="32236B71"/>
    <w:rsid w:val="324A7D01"/>
    <w:rsid w:val="324E4E0A"/>
    <w:rsid w:val="324E6A8D"/>
    <w:rsid w:val="32530A5B"/>
    <w:rsid w:val="32574C7B"/>
    <w:rsid w:val="32587E5B"/>
    <w:rsid w:val="326553D8"/>
    <w:rsid w:val="326764AD"/>
    <w:rsid w:val="32747F6B"/>
    <w:rsid w:val="32907EAF"/>
    <w:rsid w:val="329321EA"/>
    <w:rsid w:val="32940E88"/>
    <w:rsid w:val="32970CDD"/>
    <w:rsid w:val="32A0509A"/>
    <w:rsid w:val="32A455AE"/>
    <w:rsid w:val="32A52684"/>
    <w:rsid w:val="32BE16C6"/>
    <w:rsid w:val="32C2322A"/>
    <w:rsid w:val="32CA473A"/>
    <w:rsid w:val="32D31A32"/>
    <w:rsid w:val="32DD5EF9"/>
    <w:rsid w:val="32DF3E2B"/>
    <w:rsid w:val="32E11F2A"/>
    <w:rsid w:val="32E3175D"/>
    <w:rsid w:val="32E90BC5"/>
    <w:rsid w:val="32E97C74"/>
    <w:rsid w:val="32F83337"/>
    <w:rsid w:val="33090A05"/>
    <w:rsid w:val="33152D24"/>
    <w:rsid w:val="3317797E"/>
    <w:rsid w:val="33182507"/>
    <w:rsid w:val="331B6A12"/>
    <w:rsid w:val="33237740"/>
    <w:rsid w:val="33380813"/>
    <w:rsid w:val="334927CD"/>
    <w:rsid w:val="33520BA9"/>
    <w:rsid w:val="33564B25"/>
    <w:rsid w:val="33576397"/>
    <w:rsid w:val="335D72ED"/>
    <w:rsid w:val="335E0C67"/>
    <w:rsid w:val="33657633"/>
    <w:rsid w:val="33670DD0"/>
    <w:rsid w:val="3376319B"/>
    <w:rsid w:val="33790700"/>
    <w:rsid w:val="337A573D"/>
    <w:rsid w:val="337C242B"/>
    <w:rsid w:val="33811DE2"/>
    <w:rsid w:val="33835D36"/>
    <w:rsid w:val="33853888"/>
    <w:rsid w:val="338A11C8"/>
    <w:rsid w:val="338B0A7B"/>
    <w:rsid w:val="338F7352"/>
    <w:rsid w:val="33951BDF"/>
    <w:rsid w:val="33955104"/>
    <w:rsid w:val="33962B6B"/>
    <w:rsid w:val="339D3ED2"/>
    <w:rsid w:val="33A25D1C"/>
    <w:rsid w:val="33A37D0E"/>
    <w:rsid w:val="33BA4A72"/>
    <w:rsid w:val="33BD5D32"/>
    <w:rsid w:val="33C45034"/>
    <w:rsid w:val="33C609C6"/>
    <w:rsid w:val="33CC0891"/>
    <w:rsid w:val="33CF4292"/>
    <w:rsid w:val="33ED5548"/>
    <w:rsid w:val="33F16BFA"/>
    <w:rsid w:val="34001C8A"/>
    <w:rsid w:val="340151FA"/>
    <w:rsid w:val="34165689"/>
    <w:rsid w:val="342E2C26"/>
    <w:rsid w:val="34336BDA"/>
    <w:rsid w:val="3446478D"/>
    <w:rsid w:val="3458157B"/>
    <w:rsid w:val="34600801"/>
    <w:rsid w:val="34627F19"/>
    <w:rsid w:val="346A1673"/>
    <w:rsid w:val="347732FC"/>
    <w:rsid w:val="34875CB9"/>
    <w:rsid w:val="34944FF3"/>
    <w:rsid w:val="34A37214"/>
    <w:rsid w:val="34A57656"/>
    <w:rsid w:val="34AC084E"/>
    <w:rsid w:val="34B831CE"/>
    <w:rsid w:val="34BD0509"/>
    <w:rsid w:val="34BE5EE9"/>
    <w:rsid w:val="34BF3BEF"/>
    <w:rsid w:val="34C851CB"/>
    <w:rsid w:val="34D13D70"/>
    <w:rsid w:val="34D75DD9"/>
    <w:rsid w:val="34D91391"/>
    <w:rsid w:val="34E800BA"/>
    <w:rsid w:val="34EA7502"/>
    <w:rsid w:val="34EF567A"/>
    <w:rsid w:val="3508662F"/>
    <w:rsid w:val="350F6C90"/>
    <w:rsid w:val="351F2F6F"/>
    <w:rsid w:val="35226E45"/>
    <w:rsid w:val="352766DF"/>
    <w:rsid w:val="352B7B03"/>
    <w:rsid w:val="35346765"/>
    <w:rsid w:val="353D598E"/>
    <w:rsid w:val="35421CD5"/>
    <w:rsid w:val="3552672D"/>
    <w:rsid w:val="355B25D2"/>
    <w:rsid w:val="355C6677"/>
    <w:rsid w:val="356E4DE6"/>
    <w:rsid w:val="35731CEF"/>
    <w:rsid w:val="35797288"/>
    <w:rsid w:val="35876B1F"/>
    <w:rsid w:val="3589297D"/>
    <w:rsid w:val="35893B7B"/>
    <w:rsid w:val="358C406F"/>
    <w:rsid w:val="358C60DC"/>
    <w:rsid w:val="35982248"/>
    <w:rsid w:val="359F1717"/>
    <w:rsid w:val="35A8569B"/>
    <w:rsid w:val="35A86448"/>
    <w:rsid w:val="35AA1031"/>
    <w:rsid w:val="35BC132F"/>
    <w:rsid w:val="35BE0B1A"/>
    <w:rsid w:val="35C9660E"/>
    <w:rsid w:val="35D35245"/>
    <w:rsid w:val="35D579E0"/>
    <w:rsid w:val="35DC0532"/>
    <w:rsid w:val="35DD412D"/>
    <w:rsid w:val="35DE41BE"/>
    <w:rsid w:val="35F300E9"/>
    <w:rsid w:val="35FB4C72"/>
    <w:rsid w:val="360530AB"/>
    <w:rsid w:val="36054F7B"/>
    <w:rsid w:val="3606312E"/>
    <w:rsid w:val="36154F37"/>
    <w:rsid w:val="3626761E"/>
    <w:rsid w:val="3627578A"/>
    <w:rsid w:val="36294C41"/>
    <w:rsid w:val="36344E05"/>
    <w:rsid w:val="3634520F"/>
    <w:rsid w:val="3643469A"/>
    <w:rsid w:val="3648624A"/>
    <w:rsid w:val="365F7600"/>
    <w:rsid w:val="3663300E"/>
    <w:rsid w:val="36634EC6"/>
    <w:rsid w:val="366D1814"/>
    <w:rsid w:val="36707EDF"/>
    <w:rsid w:val="3686630F"/>
    <w:rsid w:val="368F576D"/>
    <w:rsid w:val="369617D8"/>
    <w:rsid w:val="369E4CAE"/>
    <w:rsid w:val="36A37A13"/>
    <w:rsid w:val="36A700E1"/>
    <w:rsid w:val="36A855CF"/>
    <w:rsid w:val="36A9767C"/>
    <w:rsid w:val="36B37265"/>
    <w:rsid w:val="36B550A3"/>
    <w:rsid w:val="36B6024A"/>
    <w:rsid w:val="36C733A1"/>
    <w:rsid w:val="36D41CD2"/>
    <w:rsid w:val="36D613BC"/>
    <w:rsid w:val="36DC1F45"/>
    <w:rsid w:val="36DD498F"/>
    <w:rsid w:val="36F008F7"/>
    <w:rsid w:val="36F9035C"/>
    <w:rsid w:val="36F92E88"/>
    <w:rsid w:val="36FF437B"/>
    <w:rsid w:val="3714340A"/>
    <w:rsid w:val="37194049"/>
    <w:rsid w:val="372801E5"/>
    <w:rsid w:val="373B0A13"/>
    <w:rsid w:val="374C6B65"/>
    <w:rsid w:val="375565CE"/>
    <w:rsid w:val="37587B5C"/>
    <w:rsid w:val="375F7A1D"/>
    <w:rsid w:val="376456D7"/>
    <w:rsid w:val="37680B93"/>
    <w:rsid w:val="376C2A2B"/>
    <w:rsid w:val="3778106F"/>
    <w:rsid w:val="37787293"/>
    <w:rsid w:val="377A3652"/>
    <w:rsid w:val="37874F7D"/>
    <w:rsid w:val="37896009"/>
    <w:rsid w:val="37912DA0"/>
    <w:rsid w:val="379B5F50"/>
    <w:rsid w:val="379D7982"/>
    <w:rsid w:val="37AB4965"/>
    <w:rsid w:val="37B27B3D"/>
    <w:rsid w:val="37B376E3"/>
    <w:rsid w:val="37B86634"/>
    <w:rsid w:val="37B90EE3"/>
    <w:rsid w:val="37B934A2"/>
    <w:rsid w:val="37BA5450"/>
    <w:rsid w:val="37BC7AF4"/>
    <w:rsid w:val="37BE0FA1"/>
    <w:rsid w:val="37BF6E97"/>
    <w:rsid w:val="37CF33C3"/>
    <w:rsid w:val="37D04334"/>
    <w:rsid w:val="37D87672"/>
    <w:rsid w:val="37FC0538"/>
    <w:rsid w:val="380152E8"/>
    <w:rsid w:val="38096F0B"/>
    <w:rsid w:val="380E6E48"/>
    <w:rsid w:val="3810746D"/>
    <w:rsid w:val="3813443A"/>
    <w:rsid w:val="381B033E"/>
    <w:rsid w:val="381B6511"/>
    <w:rsid w:val="381C3C81"/>
    <w:rsid w:val="381C4158"/>
    <w:rsid w:val="381D2508"/>
    <w:rsid w:val="382E70BE"/>
    <w:rsid w:val="383008F6"/>
    <w:rsid w:val="383C42FA"/>
    <w:rsid w:val="383D76CA"/>
    <w:rsid w:val="383F5BD4"/>
    <w:rsid w:val="38427925"/>
    <w:rsid w:val="384A060D"/>
    <w:rsid w:val="38585F8E"/>
    <w:rsid w:val="385E4E4C"/>
    <w:rsid w:val="38603932"/>
    <w:rsid w:val="3865751C"/>
    <w:rsid w:val="3869032A"/>
    <w:rsid w:val="386C0628"/>
    <w:rsid w:val="386E694E"/>
    <w:rsid w:val="38705B66"/>
    <w:rsid w:val="38785A35"/>
    <w:rsid w:val="3885263A"/>
    <w:rsid w:val="38863B99"/>
    <w:rsid w:val="388A76C5"/>
    <w:rsid w:val="389851B5"/>
    <w:rsid w:val="389C4404"/>
    <w:rsid w:val="389F29D2"/>
    <w:rsid w:val="38A177DE"/>
    <w:rsid w:val="38A40ED6"/>
    <w:rsid w:val="38B93319"/>
    <w:rsid w:val="38BB28D9"/>
    <w:rsid w:val="38BC35E9"/>
    <w:rsid w:val="38BC5B1A"/>
    <w:rsid w:val="38CB0DF9"/>
    <w:rsid w:val="38DE3CA8"/>
    <w:rsid w:val="38E131EE"/>
    <w:rsid w:val="38E500C6"/>
    <w:rsid w:val="38ED721C"/>
    <w:rsid w:val="38F467E1"/>
    <w:rsid w:val="38F57857"/>
    <w:rsid w:val="38F904B3"/>
    <w:rsid w:val="38FB153E"/>
    <w:rsid w:val="38FE4614"/>
    <w:rsid w:val="3901702F"/>
    <w:rsid w:val="3905700A"/>
    <w:rsid w:val="39164C12"/>
    <w:rsid w:val="391D7717"/>
    <w:rsid w:val="391F21F1"/>
    <w:rsid w:val="393D7FDD"/>
    <w:rsid w:val="394858CC"/>
    <w:rsid w:val="394C44AC"/>
    <w:rsid w:val="394F1BB2"/>
    <w:rsid w:val="39663CDA"/>
    <w:rsid w:val="396F7C47"/>
    <w:rsid w:val="397F79CA"/>
    <w:rsid w:val="398B583F"/>
    <w:rsid w:val="39995E5F"/>
    <w:rsid w:val="39A71D47"/>
    <w:rsid w:val="39C51490"/>
    <w:rsid w:val="39CF22D4"/>
    <w:rsid w:val="39D219E5"/>
    <w:rsid w:val="39D773A2"/>
    <w:rsid w:val="39E046F5"/>
    <w:rsid w:val="39EC0811"/>
    <w:rsid w:val="39FD5248"/>
    <w:rsid w:val="3A031673"/>
    <w:rsid w:val="3A0649ED"/>
    <w:rsid w:val="3A0A484F"/>
    <w:rsid w:val="3A10383A"/>
    <w:rsid w:val="3A276B8B"/>
    <w:rsid w:val="3A2A1898"/>
    <w:rsid w:val="3A2B3D7D"/>
    <w:rsid w:val="3A356B25"/>
    <w:rsid w:val="3A3B6684"/>
    <w:rsid w:val="3A3C7F0F"/>
    <w:rsid w:val="3A4C26D0"/>
    <w:rsid w:val="3A524858"/>
    <w:rsid w:val="3A553E74"/>
    <w:rsid w:val="3A564E6B"/>
    <w:rsid w:val="3A5C0F0C"/>
    <w:rsid w:val="3A5C56CD"/>
    <w:rsid w:val="3A5D7D24"/>
    <w:rsid w:val="3A6549EA"/>
    <w:rsid w:val="3A6625C5"/>
    <w:rsid w:val="3A6956BF"/>
    <w:rsid w:val="3A744CF4"/>
    <w:rsid w:val="3A750DA0"/>
    <w:rsid w:val="3A7606BB"/>
    <w:rsid w:val="3A89635D"/>
    <w:rsid w:val="3A9666B2"/>
    <w:rsid w:val="3A9F06F6"/>
    <w:rsid w:val="3AA04C7E"/>
    <w:rsid w:val="3AA941E1"/>
    <w:rsid w:val="3AB11713"/>
    <w:rsid w:val="3AB27582"/>
    <w:rsid w:val="3AB779BF"/>
    <w:rsid w:val="3ABE612A"/>
    <w:rsid w:val="3AC83328"/>
    <w:rsid w:val="3AC9362B"/>
    <w:rsid w:val="3ACE2833"/>
    <w:rsid w:val="3AD044D7"/>
    <w:rsid w:val="3AD36B3F"/>
    <w:rsid w:val="3AD53150"/>
    <w:rsid w:val="3ADA3B78"/>
    <w:rsid w:val="3AE371E3"/>
    <w:rsid w:val="3AE500CD"/>
    <w:rsid w:val="3AE52C17"/>
    <w:rsid w:val="3AE9181A"/>
    <w:rsid w:val="3AF37D65"/>
    <w:rsid w:val="3B0032AD"/>
    <w:rsid w:val="3B111F01"/>
    <w:rsid w:val="3B12362F"/>
    <w:rsid w:val="3B23686B"/>
    <w:rsid w:val="3B242B88"/>
    <w:rsid w:val="3B38154F"/>
    <w:rsid w:val="3B3C5D82"/>
    <w:rsid w:val="3B3D422F"/>
    <w:rsid w:val="3B473CE6"/>
    <w:rsid w:val="3B4B4EC9"/>
    <w:rsid w:val="3B5D2E8F"/>
    <w:rsid w:val="3B5F2EDE"/>
    <w:rsid w:val="3B6F1ADD"/>
    <w:rsid w:val="3B745F97"/>
    <w:rsid w:val="3B747095"/>
    <w:rsid w:val="3B7A502D"/>
    <w:rsid w:val="3B7C09A0"/>
    <w:rsid w:val="3B801FF9"/>
    <w:rsid w:val="3B8165FE"/>
    <w:rsid w:val="3B887F80"/>
    <w:rsid w:val="3B900F94"/>
    <w:rsid w:val="3B941D18"/>
    <w:rsid w:val="3BA930A1"/>
    <w:rsid w:val="3BAE1A9C"/>
    <w:rsid w:val="3BB17D9D"/>
    <w:rsid w:val="3BB905FE"/>
    <w:rsid w:val="3BC75CE4"/>
    <w:rsid w:val="3BCF27CE"/>
    <w:rsid w:val="3BDE4688"/>
    <w:rsid w:val="3BE046AD"/>
    <w:rsid w:val="3BED4F91"/>
    <w:rsid w:val="3BF91B5C"/>
    <w:rsid w:val="3BFB423C"/>
    <w:rsid w:val="3BFE75BB"/>
    <w:rsid w:val="3C0F7704"/>
    <w:rsid w:val="3C133AC4"/>
    <w:rsid w:val="3C143386"/>
    <w:rsid w:val="3C1A5EF9"/>
    <w:rsid w:val="3C1D4B03"/>
    <w:rsid w:val="3C1F08DF"/>
    <w:rsid w:val="3C2D2577"/>
    <w:rsid w:val="3C3036EC"/>
    <w:rsid w:val="3C323F6F"/>
    <w:rsid w:val="3C3D535F"/>
    <w:rsid w:val="3C44745C"/>
    <w:rsid w:val="3C497DA5"/>
    <w:rsid w:val="3C513352"/>
    <w:rsid w:val="3C62190A"/>
    <w:rsid w:val="3C6F5521"/>
    <w:rsid w:val="3C8204A2"/>
    <w:rsid w:val="3C8712DA"/>
    <w:rsid w:val="3C9C754D"/>
    <w:rsid w:val="3CAC1598"/>
    <w:rsid w:val="3CCA43D9"/>
    <w:rsid w:val="3CD14C23"/>
    <w:rsid w:val="3CD2359E"/>
    <w:rsid w:val="3CD83ADE"/>
    <w:rsid w:val="3CD967E3"/>
    <w:rsid w:val="3CDC3C40"/>
    <w:rsid w:val="3CDE18E9"/>
    <w:rsid w:val="3CE33F15"/>
    <w:rsid w:val="3CEC25AD"/>
    <w:rsid w:val="3CED228F"/>
    <w:rsid w:val="3CEE7248"/>
    <w:rsid w:val="3CF14B13"/>
    <w:rsid w:val="3CF37125"/>
    <w:rsid w:val="3CFA41D9"/>
    <w:rsid w:val="3D0B0C60"/>
    <w:rsid w:val="3D274D12"/>
    <w:rsid w:val="3D354E6A"/>
    <w:rsid w:val="3D3A6E3E"/>
    <w:rsid w:val="3D4170AA"/>
    <w:rsid w:val="3D4934E9"/>
    <w:rsid w:val="3D4B178C"/>
    <w:rsid w:val="3D625DB0"/>
    <w:rsid w:val="3D6D20F7"/>
    <w:rsid w:val="3D6D69E2"/>
    <w:rsid w:val="3D777B95"/>
    <w:rsid w:val="3D910493"/>
    <w:rsid w:val="3D9418FB"/>
    <w:rsid w:val="3D9A0B8E"/>
    <w:rsid w:val="3DA25E00"/>
    <w:rsid w:val="3DAF4289"/>
    <w:rsid w:val="3DBF3893"/>
    <w:rsid w:val="3DC5106A"/>
    <w:rsid w:val="3DCE3FFF"/>
    <w:rsid w:val="3DEE2DBC"/>
    <w:rsid w:val="3DF74F1B"/>
    <w:rsid w:val="3DF81F92"/>
    <w:rsid w:val="3DF97EB9"/>
    <w:rsid w:val="3DFD01DB"/>
    <w:rsid w:val="3DFF0D0F"/>
    <w:rsid w:val="3E1541FA"/>
    <w:rsid w:val="3E1566BA"/>
    <w:rsid w:val="3E4073E4"/>
    <w:rsid w:val="3E4E21C0"/>
    <w:rsid w:val="3E581A9A"/>
    <w:rsid w:val="3E590E52"/>
    <w:rsid w:val="3E5A0E32"/>
    <w:rsid w:val="3E6135BE"/>
    <w:rsid w:val="3E6D4E7C"/>
    <w:rsid w:val="3E6F10AC"/>
    <w:rsid w:val="3E7A01B9"/>
    <w:rsid w:val="3E7B62D4"/>
    <w:rsid w:val="3E7F7B0B"/>
    <w:rsid w:val="3E8836C7"/>
    <w:rsid w:val="3E8B1C26"/>
    <w:rsid w:val="3E905952"/>
    <w:rsid w:val="3E9211E0"/>
    <w:rsid w:val="3E9C5632"/>
    <w:rsid w:val="3EA157DC"/>
    <w:rsid w:val="3EB92DBC"/>
    <w:rsid w:val="3EBA67B4"/>
    <w:rsid w:val="3EBC3115"/>
    <w:rsid w:val="3EC05408"/>
    <w:rsid w:val="3EC14A20"/>
    <w:rsid w:val="3EC27924"/>
    <w:rsid w:val="3ECC23CF"/>
    <w:rsid w:val="3ECD559B"/>
    <w:rsid w:val="3EDA718B"/>
    <w:rsid w:val="3EE3059E"/>
    <w:rsid w:val="3EED3E95"/>
    <w:rsid w:val="3EEE5DBE"/>
    <w:rsid w:val="3EFE0E9C"/>
    <w:rsid w:val="3F057D64"/>
    <w:rsid w:val="3F067EF3"/>
    <w:rsid w:val="3F0E5147"/>
    <w:rsid w:val="3F1517B9"/>
    <w:rsid w:val="3F2C251F"/>
    <w:rsid w:val="3F324F4D"/>
    <w:rsid w:val="3F352229"/>
    <w:rsid w:val="3F374C52"/>
    <w:rsid w:val="3F55238F"/>
    <w:rsid w:val="3F584190"/>
    <w:rsid w:val="3F5E030E"/>
    <w:rsid w:val="3F695B43"/>
    <w:rsid w:val="3F760855"/>
    <w:rsid w:val="3F7A1896"/>
    <w:rsid w:val="3F7B331B"/>
    <w:rsid w:val="3F7E13F1"/>
    <w:rsid w:val="3F811D23"/>
    <w:rsid w:val="3F8164DD"/>
    <w:rsid w:val="3F8605F7"/>
    <w:rsid w:val="3F891C3E"/>
    <w:rsid w:val="3F8952AE"/>
    <w:rsid w:val="3F967FB2"/>
    <w:rsid w:val="3F9C26EE"/>
    <w:rsid w:val="3FA23770"/>
    <w:rsid w:val="3FA61B58"/>
    <w:rsid w:val="3FBA025D"/>
    <w:rsid w:val="3FC25895"/>
    <w:rsid w:val="3FC37A10"/>
    <w:rsid w:val="3FC82F35"/>
    <w:rsid w:val="3FCB76F4"/>
    <w:rsid w:val="3FD0503C"/>
    <w:rsid w:val="3FD2655F"/>
    <w:rsid w:val="3FD46B91"/>
    <w:rsid w:val="3FE0050F"/>
    <w:rsid w:val="3FE31361"/>
    <w:rsid w:val="3FE569F6"/>
    <w:rsid w:val="3FF14CE6"/>
    <w:rsid w:val="40041A7C"/>
    <w:rsid w:val="40051294"/>
    <w:rsid w:val="40143BB5"/>
    <w:rsid w:val="401D2F99"/>
    <w:rsid w:val="402374EF"/>
    <w:rsid w:val="4029073F"/>
    <w:rsid w:val="403D13A5"/>
    <w:rsid w:val="40450E03"/>
    <w:rsid w:val="40467845"/>
    <w:rsid w:val="405D09FC"/>
    <w:rsid w:val="405E3376"/>
    <w:rsid w:val="4060717E"/>
    <w:rsid w:val="40713277"/>
    <w:rsid w:val="407D0634"/>
    <w:rsid w:val="407E2FF4"/>
    <w:rsid w:val="407E40A8"/>
    <w:rsid w:val="408B0E24"/>
    <w:rsid w:val="408C42AB"/>
    <w:rsid w:val="40911985"/>
    <w:rsid w:val="409522E1"/>
    <w:rsid w:val="40981AFA"/>
    <w:rsid w:val="4099222D"/>
    <w:rsid w:val="409B37C3"/>
    <w:rsid w:val="40A103F1"/>
    <w:rsid w:val="40A71CE9"/>
    <w:rsid w:val="40B46FEB"/>
    <w:rsid w:val="40BE5F4E"/>
    <w:rsid w:val="40CC4AD4"/>
    <w:rsid w:val="40D56D26"/>
    <w:rsid w:val="40D90356"/>
    <w:rsid w:val="40F75A98"/>
    <w:rsid w:val="4100597D"/>
    <w:rsid w:val="41036527"/>
    <w:rsid w:val="41074581"/>
    <w:rsid w:val="410D51B0"/>
    <w:rsid w:val="411308CC"/>
    <w:rsid w:val="412167F4"/>
    <w:rsid w:val="41271FD7"/>
    <w:rsid w:val="4132084A"/>
    <w:rsid w:val="4134642C"/>
    <w:rsid w:val="413E0C57"/>
    <w:rsid w:val="413E2B4D"/>
    <w:rsid w:val="41501865"/>
    <w:rsid w:val="415218B2"/>
    <w:rsid w:val="4158454D"/>
    <w:rsid w:val="415A30F8"/>
    <w:rsid w:val="4171762C"/>
    <w:rsid w:val="417940DB"/>
    <w:rsid w:val="417A4F53"/>
    <w:rsid w:val="418B46F8"/>
    <w:rsid w:val="418D0967"/>
    <w:rsid w:val="41904197"/>
    <w:rsid w:val="41982087"/>
    <w:rsid w:val="419A0756"/>
    <w:rsid w:val="41AB4834"/>
    <w:rsid w:val="41AB7416"/>
    <w:rsid w:val="41B35408"/>
    <w:rsid w:val="41C515A5"/>
    <w:rsid w:val="41CD22D6"/>
    <w:rsid w:val="41E06DF8"/>
    <w:rsid w:val="41FF5C9B"/>
    <w:rsid w:val="420737E1"/>
    <w:rsid w:val="420C62F4"/>
    <w:rsid w:val="42145344"/>
    <w:rsid w:val="421E3400"/>
    <w:rsid w:val="421F46C5"/>
    <w:rsid w:val="42244438"/>
    <w:rsid w:val="422A542C"/>
    <w:rsid w:val="422F285A"/>
    <w:rsid w:val="42381279"/>
    <w:rsid w:val="42422FC2"/>
    <w:rsid w:val="4249248A"/>
    <w:rsid w:val="424A5C86"/>
    <w:rsid w:val="42547938"/>
    <w:rsid w:val="425F2222"/>
    <w:rsid w:val="427214BE"/>
    <w:rsid w:val="42B74E18"/>
    <w:rsid w:val="42BB0412"/>
    <w:rsid w:val="42C30B0F"/>
    <w:rsid w:val="42C56BF4"/>
    <w:rsid w:val="42D137EE"/>
    <w:rsid w:val="42D7096E"/>
    <w:rsid w:val="42DD6B06"/>
    <w:rsid w:val="42F75331"/>
    <w:rsid w:val="42FC7B98"/>
    <w:rsid w:val="43024C0F"/>
    <w:rsid w:val="430805BD"/>
    <w:rsid w:val="43086416"/>
    <w:rsid w:val="431C456E"/>
    <w:rsid w:val="431D2466"/>
    <w:rsid w:val="431F0716"/>
    <w:rsid w:val="43221F98"/>
    <w:rsid w:val="4328527F"/>
    <w:rsid w:val="432A4C6C"/>
    <w:rsid w:val="43350B33"/>
    <w:rsid w:val="43432349"/>
    <w:rsid w:val="43471BCF"/>
    <w:rsid w:val="434B3593"/>
    <w:rsid w:val="43534ECD"/>
    <w:rsid w:val="435441E2"/>
    <w:rsid w:val="43555A98"/>
    <w:rsid w:val="435741B5"/>
    <w:rsid w:val="435F2310"/>
    <w:rsid w:val="43612C86"/>
    <w:rsid w:val="43653E3B"/>
    <w:rsid w:val="436D7B1C"/>
    <w:rsid w:val="437344FD"/>
    <w:rsid w:val="437C5BA6"/>
    <w:rsid w:val="437E7B88"/>
    <w:rsid w:val="438437B7"/>
    <w:rsid w:val="438A3983"/>
    <w:rsid w:val="43914B9E"/>
    <w:rsid w:val="4396198F"/>
    <w:rsid w:val="43A02153"/>
    <w:rsid w:val="43A3295D"/>
    <w:rsid w:val="43AA4813"/>
    <w:rsid w:val="43D56285"/>
    <w:rsid w:val="43D563FF"/>
    <w:rsid w:val="43D84DEE"/>
    <w:rsid w:val="43E46DF3"/>
    <w:rsid w:val="43ED321F"/>
    <w:rsid w:val="43FD1D56"/>
    <w:rsid w:val="440A4C38"/>
    <w:rsid w:val="440F245D"/>
    <w:rsid w:val="441E5E3E"/>
    <w:rsid w:val="442430DD"/>
    <w:rsid w:val="44265BFC"/>
    <w:rsid w:val="443A0291"/>
    <w:rsid w:val="443A59DB"/>
    <w:rsid w:val="44414E9B"/>
    <w:rsid w:val="44495FBD"/>
    <w:rsid w:val="444D0608"/>
    <w:rsid w:val="445217D2"/>
    <w:rsid w:val="445B3445"/>
    <w:rsid w:val="445F45C7"/>
    <w:rsid w:val="447262B0"/>
    <w:rsid w:val="447378CA"/>
    <w:rsid w:val="44753F64"/>
    <w:rsid w:val="44825376"/>
    <w:rsid w:val="44855F6C"/>
    <w:rsid w:val="448A7486"/>
    <w:rsid w:val="44903DAE"/>
    <w:rsid w:val="449249BE"/>
    <w:rsid w:val="44945694"/>
    <w:rsid w:val="44982F1B"/>
    <w:rsid w:val="449A3F9D"/>
    <w:rsid w:val="449F0C82"/>
    <w:rsid w:val="44A17EDE"/>
    <w:rsid w:val="44A86ED8"/>
    <w:rsid w:val="44B2674D"/>
    <w:rsid w:val="44B52268"/>
    <w:rsid w:val="44B81507"/>
    <w:rsid w:val="44B822ED"/>
    <w:rsid w:val="44BB1911"/>
    <w:rsid w:val="44C72019"/>
    <w:rsid w:val="44C96CB0"/>
    <w:rsid w:val="44D05BCE"/>
    <w:rsid w:val="44D27BCE"/>
    <w:rsid w:val="44D72163"/>
    <w:rsid w:val="44D82670"/>
    <w:rsid w:val="44D82EF9"/>
    <w:rsid w:val="44DE4CCF"/>
    <w:rsid w:val="44E739B8"/>
    <w:rsid w:val="44E92903"/>
    <w:rsid w:val="44F0276A"/>
    <w:rsid w:val="44F404FA"/>
    <w:rsid w:val="45061216"/>
    <w:rsid w:val="451A32BF"/>
    <w:rsid w:val="451B043C"/>
    <w:rsid w:val="452E00FE"/>
    <w:rsid w:val="453132BC"/>
    <w:rsid w:val="453E0145"/>
    <w:rsid w:val="4544023F"/>
    <w:rsid w:val="45466035"/>
    <w:rsid w:val="454766E3"/>
    <w:rsid w:val="454F30DB"/>
    <w:rsid w:val="455A5397"/>
    <w:rsid w:val="455F18DF"/>
    <w:rsid w:val="45693407"/>
    <w:rsid w:val="456C4AFD"/>
    <w:rsid w:val="456E6F10"/>
    <w:rsid w:val="45704D24"/>
    <w:rsid w:val="4574725F"/>
    <w:rsid w:val="45806B97"/>
    <w:rsid w:val="45931287"/>
    <w:rsid w:val="45956D23"/>
    <w:rsid w:val="45975C2F"/>
    <w:rsid w:val="45A17608"/>
    <w:rsid w:val="45A8096D"/>
    <w:rsid w:val="45AB3123"/>
    <w:rsid w:val="45B35E21"/>
    <w:rsid w:val="45B3639F"/>
    <w:rsid w:val="45B62FC6"/>
    <w:rsid w:val="45BB5DA9"/>
    <w:rsid w:val="45C60E83"/>
    <w:rsid w:val="45C911B4"/>
    <w:rsid w:val="45CE3807"/>
    <w:rsid w:val="45CF4B9A"/>
    <w:rsid w:val="45E1332F"/>
    <w:rsid w:val="45E6536F"/>
    <w:rsid w:val="45EA3B89"/>
    <w:rsid w:val="45F36437"/>
    <w:rsid w:val="462D1E0F"/>
    <w:rsid w:val="462D7E0F"/>
    <w:rsid w:val="462F26F2"/>
    <w:rsid w:val="4632708F"/>
    <w:rsid w:val="464318DB"/>
    <w:rsid w:val="46451B4E"/>
    <w:rsid w:val="464642AD"/>
    <w:rsid w:val="464E79EB"/>
    <w:rsid w:val="46511AA3"/>
    <w:rsid w:val="465C1351"/>
    <w:rsid w:val="465D5071"/>
    <w:rsid w:val="465E2AAF"/>
    <w:rsid w:val="46647475"/>
    <w:rsid w:val="46664F6C"/>
    <w:rsid w:val="46734500"/>
    <w:rsid w:val="467E4C86"/>
    <w:rsid w:val="4680344F"/>
    <w:rsid w:val="468763CE"/>
    <w:rsid w:val="468769A3"/>
    <w:rsid w:val="468E1C86"/>
    <w:rsid w:val="46924BAD"/>
    <w:rsid w:val="46A64A8D"/>
    <w:rsid w:val="46A74476"/>
    <w:rsid w:val="46B44D08"/>
    <w:rsid w:val="46B84926"/>
    <w:rsid w:val="46CB7E57"/>
    <w:rsid w:val="46CF38ED"/>
    <w:rsid w:val="46E522CB"/>
    <w:rsid w:val="46F759FB"/>
    <w:rsid w:val="46FC4E71"/>
    <w:rsid w:val="470760B9"/>
    <w:rsid w:val="47232983"/>
    <w:rsid w:val="47274A93"/>
    <w:rsid w:val="472E5B9F"/>
    <w:rsid w:val="473049BF"/>
    <w:rsid w:val="475213EB"/>
    <w:rsid w:val="47547B1E"/>
    <w:rsid w:val="475A15D9"/>
    <w:rsid w:val="476D1996"/>
    <w:rsid w:val="476E4461"/>
    <w:rsid w:val="477543FE"/>
    <w:rsid w:val="47785890"/>
    <w:rsid w:val="47851104"/>
    <w:rsid w:val="478C484D"/>
    <w:rsid w:val="47915D4B"/>
    <w:rsid w:val="47A57E5A"/>
    <w:rsid w:val="47A60DDB"/>
    <w:rsid w:val="47A63298"/>
    <w:rsid w:val="47CB5490"/>
    <w:rsid w:val="47D27C51"/>
    <w:rsid w:val="47DC0E6A"/>
    <w:rsid w:val="47DD7BB2"/>
    <w:rsid w:val="47DF18CB"/>
    <w:rsid w:val="47E364E2"/>
    <w:rsid w:val="47E57A99"/>
    <w:rsid w:val="47F10AFF"/>
    <w:rsid w:val="47FC343F"/>
    <w:rsid w:val="47FE7A50"/>
    <w:rsid w:val="480B1103"/>
    <w:rsid w:val="48191DEB"/>
    <w:rsid w:val="48240E32"/>
    <w:rsid w:val="482A19A7"/>
    <w:rsid w:val="482F58C4"/>
    <w:rsid w:val="48353BF2"/>
    <w:rsid w:val="483A0CAD"/>
    <w:rsid w:val="483C37D4"/>
    <w:rsid w:val="48450EDD"/>
    <w:rsid w:val="48507C06"/>
    <w:rsid w:val="48514CA6"/>
    <w:rsid w:val="485B7CD7"/>
    <w:rsid w:val="485C5875"/>
    <w:rsid w:val="485F1A2A"/>
    <w:rsid w:val="48603E50"/>
    <w:rsid w:val="48632C25"/>
    <w:rsid w:val="4865478F"/>
    <w:rsid w:val="486737E5"/>
    <w:rsid w:val="4867643A"/>
    <w:rsid w:val="48694880"/>
    <w:rsid w:val="486B07E0"/>
    <w:rsid w:val="486C54D7"/>
    <w:rsid w:val="48735E99"/>
    <w:rsid w:val="48796E3E"/>
    <w:rsid w:val="487E2084"/>
    <w:rsid w:val="487F38BC"/>
    <w:rsid w:val="488337FE"/>
    <w:rsid w:val="48854A85"/>
    <w:rsid w:val="488A7268"/>
    <w:rsid w:val="48956CF8"/>
    <w:rsid w:val="48A10003"/>
    <w:rsid w:val="48A84C71"/>
    <w:rsid w:val="48AC7759"/>
    <w:rsid w:val="48B05589"/>
    <w:rsid w:val="48B66F57"/>
    <w:rsid w:val="48BA5512"/>
    <w:rsid w:val="48BA6A65"/>
    <w:rsid w:val="48BE3BF5"/>
    <w:rsid w:val="48BF178B"/>
    <w:rsid w:val="48CE78C3"/>
    <w:rsid w:val="48E25A3A"/>
    <w:rsid w:val="48EB433C"/>
    <w:rsid w:val="48EF12DA"/>
    <w:rsid w:val="49006390"/>
    <w:rsid w:val="49044C5C"/>
    <w:rsid w:val="49085855"/>
    <w:rsid w:val="490978B9"/>
    <w:rsid w:val="49115550"/>
    <w:rsid w:val="491B082B"/>
    <w:rsid w:val="492E64BC"/>
    <w:rsid w:val="492F30F6"/>
    <w:rsid w:val="4932077F"/>
    <w:rsid w:val="493243C8"/>
    <w:rsid w:val="49351345"/>
    <w:rsid w:val="49376C61"/>
    <w:rsid w:val="493A1482"/>
    <w:rsid w:val="493D772D"/>
    <w:rsid w:val="493F2BEA"/>
    <w:rsid w:val="49404DFC"/>
    <w:rsid w:val="49453811"/>
    <w:rsid w:val="49455A89"/>
    <w:rsid w:val="49481169"/>
    <w:rsid w:val="49482D39"/>
    <w:rsid w:val="494A24EF"/>
    <w:rsid w:val="4950580C"/>
    <w:rsid w:val="49521647"/>
    <w:rsid w:val="49635789"/>
    <w:rsid w:val="49704E78"/>
    <w:rsid w:val="49727842"/>
    <w:rsid w:val="497412A8"/>
    <w:rsid w:val="49760874"/>
    <w:rsid w:val="497850C9"/>
    <w:rsid w:val="497D3AD8"/>
    <w:rsid w:val="49866F01"/>
    <w:rsid w:val="498E34CA"/>
    <w:rsid w:val="49A81E68"/>
    <w:rsid w:val="49AD1688"/>
    <w:rsid w:val="49AD4A62"/>
    <w:rsid w:val="49B0171E"/>
    <w:rsid w:val="49B4356C"/>
    <w:rsid w:val="49BC6CFE"/>
    <w:rsid w:val="49C20E76"/>
    <w:rsid w:val="49C33C24"/>
    <w:rsid w:val="49C45A61"/>
    <w:rsid w:val="49C662E7"/>
    <w:rsid w:val="49D1749E"/>
    <w:rsid w:val="49DC4D9C"/>
    <w:rsid w:val="49E03137"/>
    <w:rsid w:val="49E330A6"/>
    <w:rsid w:val="4A0C0FA1"/>
    <w:rsid w:val="4A242F48"/>
    <w:rsid w:val="4A27786D"/>
    <w:rsid w:val="4A285A2F"/>
    <w:rsid w:val="4A2B3833"/>
    <w:rsid w:val="4A385DAC"/>
    <w:rsid w:val="4A3D6F87"/>
    <w:rsid w:val="4A4B72AE"/>
    <w:rsid w:val="4A4C7EB7"/>
    <w:rsid w:val="4A5019C4"/>
    <w:rsid w:val="4A592FC3"/>
    <w:rsid w:val="4A5D003A"/>
    <w:rsid w:val="4A5E2E25"/>
    <w:rsid w:val="4A777437"/>
    <w:rsid w:val="4A7F6DC4"/>
    <w:rsid w:val="4A807CEC"/>
    <w:rsid w:val="4A827014"/>
    <w:rsid w:val="4A8507B7"/>
    <w:rsid w:val="4A8B45AF"/>
    <w:rsid w:val="4A8D38DD"/>
    <w:rsid w:val="4A944D81"/>
    <w:rsid w:val="4AB10FD3"/>
    <w:rsid w:val="4AB16A9B"/>
    <w:rsid w:val="4AB51B2A"/>
    <w:rsid w:val="4ABF2449"/>
    <w:rsid w:val="4AC5087C"/>
    <w:rsid w:val="4AC875ED"/>
    <w:rsid w:val="4ACE46A2"/>
    <w:rsid w:val="4ACF5E1A"/>
    <w:rsid w:val="4AF9076E"/>
    <w:rsid w:val="4AFB356C"/>
    <w:rsid w:val="4B014540"/>
    <w:rsid w:val="4B182628"/>
    <w:rsid w:val="4B195B67"/>
    <w:rsid w:val="4B205344"/>
    <w:rsid w:val="4B2F5590"/>
    <w:rsid w:val="4B3D367F"/>
    <w:rsid w:val="4B4010F6"/>
    <w:rsid w:val="4B4530BF"/>
    <w:rsid w:val="4B475E14"/>
    <w:rsid w:val="4B633DFB"/>
    <w:rsid w:val="4B6623D2"/>
    <w:rsid w:val="4B775C4E"/>
    <w:rsid w:val="4B8770FD"/>
    <w:rsid w:val="4B92085E"/>
    <w:rsid w:val="4B9352FD"/>
    <w:rsid w:val="4BA16CC7"/>
    <w:rsid w:val="4BAA42F2"/>
    <w:rsid w:val="4BB0581C"/>
    <w:rsid w:val="4BB846E2"/>
    <w:rsid w:val="4BBE04C1"/>
    <w:rsid w:val="4BCC3BDC"/>
    <w:rsid w:val="4BD37B9F"/>
    <w:rsid w:val="4BD75521"/>
    <w:rsid w:val="4BDE27CD"/>
    <w:rsid w:val="4BDE37A2"/>
    <w:rsid w:val="4BE036D9"/>
    <w:rsid w:val="4BEC3841"/>
    <w:rsid w:val="4BEF0246"/>
    <w:rsid w:val="4BF12BBD"/>
    <w:rsid w:val="4BF31210"/>
    <w:rsid w:val="4BFB5105"/>
    <w:rsid w:val="4C030092"/>
    <w:rsid w:val="4C0641E1"/>
    <w:rsid w:val="4C075BBF"/>
    <w:rsid w:val="4C0C587B"/>
    <w:rsid w:val="4C201C1B"/>
    <w:rsid w:val="4C261F71"/>
    <w:rsid w:val="4C282F83"/>
    <w:rsid w:val="4C302A73"/>
    <w:rsid w:val="4C361A3C"/>
    <w:rsid w:val="4C381D09"/>
    <w:rsid w:val="4C3C68BA"/>
    <w:rsid w:val="4C410F82"/>
    <w:rsid w:val="4C462395"/>
    <w:rsid w:val="4C474EAF"/>
    <w:rsid w:val="4C554DF6"/>
    <w:rsid w:val="4C6466D4"/>
    <w:rsid w:val="4C683EA1"/>
    <w:rsid w:val="4C7530F3"/>
    <w:rsid w:val="4C7D5430"/>
    <w:rsid w:val="4C880468"/>
    <w:rsid w:val="4C88404B"/>
    <w:rsid w:val="4C892FAF"/>
    <w:rsid w:val="4C8A033B"/>
    <w:rsid w:val="4C8A3239"/>
    <w:rsid w:val="4C91097D"/>
    <w:rsid w:val="4C915731"/>
    <w:rsid w:val="4CB26AF5"/>
    <w:rsid w:val="4CB75A52"/>
    <w:rsid w:val="4CB764A8"/>
    <w:rsid w:val="4CBB2AF9"/>
    <w:rsid w:val="4CC43256"/>
    <w:rsid w:val="4CC76D51"/>
    <w:rsid w:val="4CC8623A"/>
    <w:rsid w:val="4CCB6982"/>
    <w:rsid w:val="4CD309E6"/>
    <w:rsid w:val="4CD5129C"/>
    <w:rsid w:val="4CD83C1A"/>
    <w:rsid w:val="4CE7503C"/>
    <w:rsid w:val="4CEF5ECF"/>
    <w:rsid w:val="4CF83323"/>
    <w:rsid w:val="4CF95437"/>
    <w:rsid w:val="4D04450E"/>
    <w:rsid w:val="4D092E92"/>
    <w:rsid w:val="4D1E057F"/>
    <w:rsid w:val="4D1F4A69"/>
    <w:rsid w:val="4D264B22"/>
    <w:rsid w:val="4D285FB6"/>
    <w:rsid w:val="4D30021A"/>
    <w:rsid w:val="4D4A2506"/>
    <w:rsid w:val="4D5011C0"/>
    <w:rsid w:val="4D547BA5"/>
    <w:rsid w:val="4D5538F0"/>
    <w:rsid w:val="4D576A5E"/>
    <w:rsid w:val="4D5A1AFB"/>
    <w:rsid w:val="4D612E76"/>
    <w:rsid w:val="4D637852"/>
    <w:rsid w:val="4D641F25"/>
    <w:rsid w:val="4D6C1AE7"/>
    <w:rsid w:val="4D6C77FF"/>
    <w:rsid w:val="4D6F2FE0"/>
    <w:rsid w:val="4D766327"/>
    <w:rsid w:val="4D7D0337"/>
    <w:rsid w:val="4D9270CA"/>
    <w:rsid w:val="4D9356ED"/>
    <w:rsid w:val="4D9F0104"/>
    <w:rsid w:val="4DA51B74"/>
    <w:rsid w:val="4DB15235"/>
    <w:rsid w:val="4DC66910"/>
    <w:rsid w:val="4DC71011"/>
    <w:rsid w:val="4DCC205D"/>
    <w:rsid w:val="4DD06F83"/>
    <w:rsid w:val="4DD30335"/>
    <w:rsid w:val="4DD94392"/>
    <w:rsid w:val="4DDB0A75"/>
    <w:rsid w:val="4DDD0FE3"/>
    <w:rsid w:val="4DDD5EC3"/>
    <w:rsid w:val="4DE41DD9"/>
    <w:rsid w:val="4DE43A6D"/>
    <w:rsid w:val="4DF54777"/>
    <w:rsid w:val="4DF66212"/>
    <w:rsid w:val="4DF91262"/>
    <w:rsid w:val="4DF968FB"/>
    <w:rsid w:val="4DFB3D22"/>
    <w:rsid w:val="4E027E18"/>
    <w:rsid w:val="4E093854"/>
    <w:rsid w:val="4E1C2D7F"/>
    <w:rsid w:val="4E1F1FED"/>
    <w:rsid w:val="4E222CAE"/>
    <w:rsid w:val="4E2C1301"/>
    <w:rsid w:val="4E2F1654"/>
    <w:rsid w:val="4E344F98"/>
    <w:rsid w:val="4E3828FA"/>
    <w:rsid w:val="4E3C666E"/>
    <w:rsid w:val="4E3E7494"/>
    <w:rsid w:val="4E41629A"/>
    <w:rsid w:val="4E475080"/>
    <w:rsid w:val="4E4C1C72"/>
    <w:rsid w:val="4E6102FD"/>
    <w:rsid w:val="4E680B47"/>
    <w:rsid w:val="4E6A3FD2"/>
    <w:rsid w:val="4E722B37"/>
    <w:rsid w:val="4E740546"/>
    <w:rsid w:val="4E8140D1"/>
    <w:rsid w:val="4E841B60"/>
    <w:rsid w:val="4E876C86"/>
    <w:rsid w:val="4E897A15"/>
    <w:rsid w:val="4E8F1FAF"/>
    <w:rsid w:val="4E900803"/>
    <w:rsid w:val="4E9B3565"/>
    <w:rsid w:val="4E9D6CD1"/>
    <w:rsid w:val="4EA17FB8"/>
    <w:rsid w:val="4EAF7980"/>
    <w:rsid w:val="4EB16C1E"/>
    <w:rsid w:val="4EBB6A10"/>
    <w:rsid w:val="4ECA2AB9"/>
    <w:rsid w:val="4ED50B11"/>
    <w:rsid w:val="4EDF3661"/>
    <w:rsid w:val="4EE56016"/>
    <w:rsid w:val="4EEC0150"/>
    <w:rsid w:val="4EEC4AB3"/>
    <w:rsid w:val="4EF24D16"/>
    <w:rsid w:val="4EF6699E"/>
    <w:rsid w:val="4EFE2C51"/>
    <w:rsid w:val="4EFF4E84"/>
    <w:rsid w:val="4F073BE2"/>
    <w:rsid w:val="4F0F35FA"/>
    <w:rsid w:val="4F220CDB"/>
    <w:rsid w:val="4F230EB0"/>
    <w:rsid w:val="4F2C3035"/>
    <w:rsid w:val="4F2E6C46"/>
    <w:rsid w:val="4F373E3B"/>
    <w:rsid w:val="4F3F227F"/>
    <w:rsid w:val="4F516FDC"/>
    <w:rsid w:val="4F564E8B"/>
    <w:rsid w:val="4F660BC3"/>
    <w:rsid w:val="4F6A1D1A"/>
    <w:rsid w:val="4F6B17B1"/>
    <w:rsid w:val="4F746A6E"/>
    <w:rsid w:val="4F7D6FB1"/>
    <w:rsid w:val="4F883B3F"/>
    <w:rsid w:val="4F8D643F"/>
    <w:rsid w:val="4F927126"/>
    <w:rsid w:val="4F9352EA"/>
    <w:rsid w:val="4F981794"/>
    <w:rsid w:val="4F9D10D4"/>
    <w:rsid w:val="4FAC6FF8"/>
    <w:rsid w:val="4FAD281F"/>
    <w:rsid w:val="4FB97DFC"/>
    <w:rsid w:val="4FBC2632"/>
    <w:rsid w:val="4FBD4F14"/>
    <w:rsid w:val="4FC2560F"/>
    <w:rsid w:val="4FD248BE"/>
    <w:rsid w:val="4FDF1ED0"/>
    <w:rsid w:val="4FE979B2"/>
    <w:rsid w:val="4FEA19D2"/>
    <w:rsid w:val="4FF30647"/>
    <w:rsid w:val="4FF86EAC"/>
    <w:rsid w:val="500A265C"/>
    <w:rsid w:val="500C1F28"/>
    <w:rsid w:val="501E2AFD"/>
    <w:rsid w:val="5027287F"/>
    <w:rsid w:val="502B17AE"/>
    <w:rsid w:val="5042451B"/>
    <w:rsid w:val="504634BA"/>
    <w:rsid w:val="50505307"/>
    <w:rsid w:val="5052773F"/>
    <w:rsid w:val="50577EE2"/>
    <w:rsid w:val="50691E9D"/>
    <w:rsid w:val="50741BC7"/>
    <w:rsid w:val="50744D49"/>
    <w:rsid w:val="508959E8"/>
    <w:rsid w:val="508F7CF0"/>
    <w:rsid w:val="5091491B"/>
    <w:rsid w:val="50915BD6"/>
    <w:rsid w:val="50940FF8"/>
    <w:rsid w:val="50A6611A"/>
    <w:rsid w:val="50A81E8B"/>
    <w:rsid w:val="50A86F2D"/>
    <w:rsid w:val="50C05B0D"/>
    <w:rsid w:val="50C51BE8"/>
    <w:rsid w:val="50D36A66"/>
    <w:rsid w:val="50E26FBA"/>
    <w:rsid w:val="50E53E18"/>
    <w:rsid w:val="50EC2172"/>
    <w:rsid w:val="51045BC9"/>
    <w:rsid w:val="51053DDA"/>
    <w:rsid w:val="51064165"/>
    <w:rsid w:val="510F7F6C"/>
    <w:rsid w:val="511122C3"/>
    <w:rsid w:val="51170253"/>
    <w:rsid w:val="51260B8E"/>
    <w:rsid w:val="513901FD"/>
    <w:rsid w:val="51397A8B"/>
    <w:rsid w:val="51433B54"/>
    <w:rsid w:val="51470169"/>
    <w:rsid w:val="514829B6"/>
    <w:rsid w:val="51491192"/>
    <w:rsid w:val="515D24E6"/>
    <w:rsid w:val="51632847"/>
    <w:rsid w:val="516D4175"/>
    <w:rsid w:val="51777E6A"/>
    <w:rsid w:val="517C36BC"/>
    <w:rsid w:val="518A04C7"/>
    <w:rsid w:val="518E5433"/>
    <w:rsid w:val="51937283"/>
    <w:rsid w:val="519647FB"/>
    <w:rsid w:val="5197055D"/>
    <w:rsid w:val="51977435"/>
    <w:rsid w:val="519874D7"/>
    <w:rsid w:val="519F31E4"/>
    <w:rsid w:val="51A93006"/>
    <w:rsid w:val="51BB5F5D"/>
    <w:rsid w:val="51BE530A"/>
    <w:rsid w:val="51BE5C86"/>
    <w:rsid w:val="51BF55A2"/>
    <w:rsid w:val="51C91267"/>
    <w:rsid w:val="51CD2A31"/>
    <w:rsid w:val="51CF7836"/>
    <w:rsid w:val="51E25460"/>
    <w:rsid w:val="51E568BA"/>
    <w:rsid w:val="51F0740D"/>
    <w:rsid w:val="52006AA4"/>
    <w:rsid w:val="520430AC"/>
    <w:rsid w:val="52072F9F"/>
    <w:rsid w:val="52082C4E"/>
    <w:rsid w:val="520A7604"/>
    <w:rsid w:val="520E75A4"/>
    <w:rsid w:val="522C3E63"/>
    <w:rsid w:val="52330ADA"/>
    <w:rsid w:val="52362B05"/>
    <w:rsid w:val="524100A6"/>
    <w:rsid w:val="5249391F"/>
    <w:rsid w:val="524A0948"/>
    <w:rsid w:val="524F70DA"/>
    <w:rsid w:val="52514FFD"/>
    <w:rsid w:val="52595288"/>
    <w:rsid w:val="5277595A"/>
    <w:rsid w:val="527A7919"/>
    <w:rsid w:val="527B6608"/>
    <w:rsid w:val="527E11AD"/>
    <w:rsid w:val="52801A63"/>
    <w:rsid w:val="528662F0"/>
    <w:rsid w:val="528E4FF7"/>
    <w:rsid w:val="529328D5"/>
    <w:rsid w:val="52944CA3"/>
    <w:rsid w:val="52957519"/>
    <w:rsid w:val="5296383F"/>
    <w:rsid w:val="529A3AF4"/>
    <w:rsid w:val="52A02D1C"/>
    <w:rsid w:val="52A458E0"/>
    <w:rsid w:val="52AC3028"/>
    <w:rsid w:val="52AC67D6"/>
    <w:rsid w:val="52B76C41"/>
    <w:rsid w:val="52BB3BE8"/>
    <w:rsid w:val="52C832A8"/>
    <w:rsid w:val="52CC6032"/>
    <w:rsid w:val="52D75849"/>
    <w:rsid w:val="52DB2A6E"/>
    <w:rsid w:val="52DF4844"/>
    <w:rsid w:val="52E70D33"/>
    <w:rsid w:val="52EC3BBC"/>
    <w:rsid w:val="52FC07B0"/>
    <w:rsid w:val="53010A2F"/>
    <w:rsid w:val="530238D4"/>
    <w:rsid w:val="530352A2"/>
    <w:rsid w:val="530C600A"/>
    <w:rsid w:val="530D7296"/>
    <w:rsid w:val="53183440"/>
    <w:rsid w:val="531948D1"/>
    <w:rsid w:val="531A63DF"/>
    <w:rsid w:val="53203A19"/>
    <w:rsid w:val="532115DE"/>
    <w:rsid w:val="5331763C"/>
    <w:rsid w:val="53324FAB"/>
    <w:rsid w:val="533972A4"/>
    <w:rsid w:val="533A1816"/>
    <w:rsid w:val="533B35C9"/>
    <w:rsid w:val="534372E0"/>
    <w:rsid w:val="53442F58"/>
    <w:rsid w:val="53487E8A"/>
    <w:rsid w:val="53540E74"/>
    <w:rsid w:val="536768A5"/>
    <w:rsid w:val="536C5A49"/>
    <w:rsid w:val="536C7411"/>
    <w:rsid w:val="536D555B"/>
    <w:rsid w:val="536D6EC0"/>
    <w:rsid w:val="53714D89"/>
    <w:rsid w:val="539530A7"/>
    <w:rsid w:val="53994891"/>
    <w:rsid w:val="539F2DAE"/>
    <w:rsid w:val="53B30465"/>
    <w:rsid w:val="53B971E3"/>
    <w:rsid w:val="53BA3664"/>
    <w:rsid w:val="53BB3DEE"/>
    <w:rsid w:val="53C2010B"/>
    <w:rsid w:val="53C40E22"/>
    <w:rsid w:val="53DD6109"/>
    <w:rsid w:val="53DF5FC0"/>
    <w:rsid w:val="53E16321"/>
    <w:rsid w:val="53F24AB8"/>
    <w:rsid w:val="53FD444B"/>
    <w:rsid w:val="54021B0D"/>
    <w:rsid w:val="54037A2C"/>
    <w:rsid w:val="540B65DE"/>
    <w:rsid w:val="54110786"/>
    <w:rsid w:val="54183E76"/>
    <w:rsid w:val="541A5253"/>
    <w:rsid w:val="54303380"/>
    <w:rsid w:val="54320728"/>
    <w:rsid w:val="543A5423"/>
    <w:rsid w:val="543B560F"/>
    <w:rsid w:val="544563AE"/>
    <w:rsid w:val="54490F42"/>
    <w:rsid w:val="544D0926"/>
    <w:rsid w:val="544D0F6A"/>
    <w:rsid w:val="546A74E6"/>
    <w:rsid w:val="54734495"/>
    <w:rsid w:val="548247EA"/>
    <w:rsid w:val="548815BB"/>
    <w:rsid w:val="548E6B6D"/>
    <w:rsid w:val="549537CE"/>
    <w:rsid w:val="54954AE2"/>
    <w:rsid w:val="5496036E"/>
    <w:rsid w:val="549E596E"/>
    <w:rsid w:val="54A1410A"/>
    <w:rsid w:val="54A24586"/>
    <w:rsid w:val="54A51522"/>
    <w:rsid w:val="54A648A4"/>
    <w:rsid w:val="54A6585C"/>
    <w:rsid w:val="54A66E5A"/>
    <w:rsid w:val="54B36C7A"/>
    <w:rsid w:val="54C30629"/>
    <w:rsid w:val="54CE1F02"/>
    <w:rsid w:val="54DB65D3"/>
    <w:rsid w:val="54DF6FFD"/>
    <w:rsid w:val="54F52C54"/>
    <w:rsid w:val="54FC3798"/>
    <w:rsid w:val="54FC3EF8"/>
    <w:rsid w:val="54FE41AE"/>
    <w:rsid w:val="55080C05"/>
    <w:rsid w:val="55093A31"/>
    <w:rsid w:val="55254A7E"/>
    <w:rsid w:val="55261DA2"/>
    <w:rsid w:val="5533075D"/>
    <w:rsid w:val="55345DC2"/>
    <w:rsid w:val="553F2550"/>
    <w:rsid w:val="5541478F"/>
    <w:rsid w:val="55463549"/>
    <w:rsid w:val="554B4E60"/>
    <w:rsid w:val="554B6FC8"/>
    <w:rsid w:val="555615D9"/>
    <w:rsid w:val="55580E26"/>
    <w:rsid w:val="555916F7"/>
    <w:rsid w:val="556D3F89"/>
    <w:rsid w:val="556D6340"/>
    <w:rsid w:val="5574552F"/>
    <w:rsid w:val="557E13F3"/>
    <w:rsid w:val="55823A2B"/>
    <w:rsid w:val="558F74C6"/>
    <w:rsid w:val="55A27893"/>
    <w:rsid w:val="55A844FE"/>
    <w:rsid w:val="55A92695"/>
    <w:rsid w:val="55B466D1"/>
    <w:rsid w:val="55B81BD6"/>
    <w:rsid w:val="55B83895"/>
    <w:rsid w:val="55C92FB0"/>
    <w:rsid w:val="55D754FF"/>
    <w:rsid w:val="55EB14CC"/>
    <w:rsid w:val="55EF0F03"/>
    <w:rsid w:val="55F15BA3"/>
    <w:rsid w:val="55F653F7"/>
    <w:rsid w:val="560074C5"/>
    <w:rsid w:val="56031493"/>
    <w:rsid w:val="56092D07"/>
    <w:rsid w:val="560C3CA8"/>
    <w:rsid w:val="560F58BD"/>
    <w:rsid w:val="56126F57"/>
    <w:rsid w:val="561A070A"/>
    <w:rsid w:val="56204584"/>
    <w:rsid w:val="562F0141"/>
    <w:rsid w:val="563B5BB7"/>
    <w:rsid w:val="56406D24"/>
    <w:rsid w:val="56411624"/>
    <w:rsid w:val="56452BC3"/>
    <w:rsid w:val="5649526A"/>
    <w:rsid w:val="564C2F1A"/>
    <w:rsid w:val="56572179"/>
    <w:rsid w:val="5657587E"/>
    <w:rsid w:val="56594424"/>
    <w:rsid w:val="565D1F6E"/>
    <w:rsid w:val="566B3CCD"/>
    <w:rsid w:val="566B40BB"/>
    <w:rsid w:val="566D02A4"/>
    <w:rsid w:val="5671720B"/>
    <w:rsid w:val="567D7C27"/>
    <w:rsid w:val="5681222C"/>
    <w:rsid w:val="56883108"/>
    <w:rsid w:val="56887391"/>
    <w:rsid w:val="568E201B"/>
    <w:rsid w:val="569F6FE1"/>
    <w:rsid w:val="56A220AF"/>
    <w:rsid w:val="56A80855"/>
    <w:rsid w:val="56AB1C36"/>
    <w:rsid w:val="56AC07F3"/>
    <w:rsid w:val="56B441E5"/>
    <w:rsid w:val="56C82241"/>
    <w:rsid w:val="56CD0A69"/>
    <w:rsid w:val="56CE2687"/>
    <w:rsid w:val="56DC1C7F"/>
    <w:rsid w:val="56DD2F69"/>
    <w:rsid w:val="56DE1109"/>
    <w:rsid w:val="56E439A1"/>
    <w:rsid w:val="56ED528D"/>
    <w:rsid w:val="56FC3D57"/>
    <w:rsid w:val="570570F2"/>
    <w:rsid w:val="570927D4"/>
    <w:rsid w:val="570F2A0D"/>
    <w:rsid w:val="57146571"/>
    <w:rsid w:val="57163AC0"/>
    <w:rsid w:val="571A4A00"/>
    <w:rsid w:val="572073A5"/>
    <w:rsid w:val="57232260"/>
    <w:rsid w:val="57250328"/>
    <w:rsid w:val="5726203A"/>
    <w:rsid w:val="57350EF3"/>
    <w:rsid w:val="57580D70"/>
    <w:rsid w:val="576E2455"/>
    <w:rsid w:val="57771B64"/>
    <w:rsid w:val="577A3EBE"/>
    <w:rsid w:val="578161F8"/>
    <w:rsid w:val="5785060B"/>
    <w:rsid w:val="5787057D"/>
    <w:rsid w:val="578C09A7"/>
    <w:rsid w:val="578E0FF4"/>
    <w:rsid w:val="57934D64"/>
    <w:rsid w:val="57962560"/>
    <w:rsid w:val="57974CCF"/>
    <w:rsid w:val="57A250A7"/>
    <w:rsid w:val="57A67A71"/>
    <w:rsid w:val="57AD2616"/>
    <w:rsid w:val="57AF638E"/>
    <w:rsid w:val="57B67120"/>
    <w:rsid w:val="57BD0C78"/>
    <w:rsid w:val="57C03832"/>
    <w:rsid w:val="57D067F4"/>
    <w:rsid w:val="57E16E06"/>
    <w:rsid w:val="57E718AB"/>
    <w:rsid w:val="57FB7864"/>
    <w:rsid w:val="57FE3466"/>
    <w:rsid w:val="580115B7"/>
    <w:rsid w:val="58106D39"/>
    <w:rsid w:val="581B0900"/>
    <w:rsid w:val="58313599"/>
    <w:rsid w:val="58367F7E"/>
    <w:rsid w:val="5838177F"/>
    <w:rsid w:val="58447BB5"/>
    <w:rsid w:val="58476C5A"/>
    <w:rsid w:val="58486C35"/>
    <w:rsid w:val="584D4CB6"/>
    <w:rsid w:val="584E3B8E"/>
    <w:rsid w:val="58513E4A"/>
    <w:rsid w:val="58521BD3"/>
    <w:rsid w:val="585353CE"/>
    <w:rsid w:val="585E7F2B"/>
    <w:rsid w:val="58613475"/>
    <w:rsid w:val="58652414"/>
    <w:rsid w:val="5881068D"/>
    <w:rsid w:val="58831544"/>
    <w:rsid w:val="588E2163"/>
    <w:rsid w:val="5896597E"/>
    <w:rsid w:val="589A71BE"/>
    <w:rsid w:val="589C66F3"/>
    <w:rsid w:val="589D7893"/>
    <w:rsid w:val="589F7F92"/>
    <w:rsid w:val="58A6097D"/>
    <w:rsid w:val="58AA23BF"/>
    <w:rsid w:val="58BE2D66"/>
    <w:rsid w:val="58C1505C"/>
    <w:rsid w:val="58C24C6F"/>
    <w:rsid w:val="58CC6A19"/>
    <w:rsid w:val="58D47A94"/>
    <w:rsid w:val="58DE02C5"/>
    <w:rsid w:val="58E54E7E"/>
    <w:rsid w:val="58E87F6E"/>
    <w:rsid w:val="58EB195A"/>
    <w:rsid w:val="5900296C"/>
    <w:rsid w:val="590869E9"/>
    <w:rsid w:val="590F6604"/>
    <w:rsid w:val="591045E8"/>
    <w:rsid w:val="591154C3"/>
    <w:rsid w:val="59140029"/>
    <w:rsid w:val="59173DC0"/>
    <w:rsid w:val="5938766D"/>
    <w:rsid w:val="593B5595"/>
    <w:rsid w:val="593D2128"/>
    <w:rsid w:val="594C532D"/>
    <w:rsid w:val="594F08E9"/>
    <w:rsid w:val="59500411"/>
    <w:rsid w:val="5957464C"/>
    <w:rsid w:val="596D4D3E"/>
    <w:rsid w:val="597A15F4"/>
    <w:rsid w:val="597A257B"/>
    <w:rsid w:val="597C14B1"/>
    <w:rsid w:val="598C5FF9"/>
    <w:rsid w:val="598C7A27"/>
    <w:rsid w:val="598C7D72"/>
    <w:rsid w:val="59902C94"/>
    <w:rsid w:val="599A77CD"/>
    <w:rsid w:val="59A07112"/>
    <w:rsid w:val="59A8203B"/>
    <w:rsid w:val="59AB611C"/>
    <w:rsid w:val="59AE619C"/>
    <w:rsid w:val="59B874BC"/>
    <w:rsid w:val="59D26648"/>
    <w:rsid w:val="59DE74A6"/>
    <w:rsid w:val="59E44A57"/>
    <w:rsid w:val="59E5556E"/>
    <w:rsid w:val="59FA3B4F"/>
    <w:rsid w:val="59FA3B57"/>
    <w:rsid w:val="5A0A4006"/>
    <w:rsid w:val="5A151F3E"/>
    <w:rsid w:val="5A1C5E06"/>
    <w:rsid w:val="5A1D511E"/>
    <w:rsid w:val="5A21353B"/>
    <w:rsid w:val="5A246B53"/>
    <w:rsid w:val="5A250E62"/>
    <w:rsid w:val="5A2775C0"/>
    <w:rsid w:val="5A291579"/>
    <w:rsid w:val="5A2C503D"/>
    <w:rsid w:val="5A4F0F76"/>
    <w:rsid w:val="5A506D53"/>
    <w:rsid w:val="5A520E40"/>
    <w:rsid w:val="5A535F7B"/>
    <w:rsid w:val="5A570E8F"/>
    <w:rsid w:val="5A5B7EB1"/>
    <w:rsid w:val="5A5E26B2"/>
    <w:rsid w:val="5A6B03E7"/>
    <w:rsid w:val="5A7B5DD9"/>
    <w:rsid w:val="5A7F3481"/>
    <w:rsid w:val="5A8C63B4"/>
    <w:rsid w:val="5A8D58BC"/>
    <w:rsid w:val="5AA37F01"/>
    <w:rsid w:val="5AB756BD"/>
    <w:rsid w:val="5AB9640F"/>
    <w:rsid w:val="5ABF1C43"/>
    <w:rsid w:val="5ACB767B"/>
    <w:rsid w:val="5ACC01D7"/>
    <w:rsid w:val="5AE16A0A"/>
    <w:rsid w:val="5AE656F2"/>
    <w:rsid w:val="5AED2B91"/>
    <w:rsid w:val="5AEE0AAD"/>
    <w:rsid w:val="5AF0353F"/>
    <w:rsid w:val="5AF24BA9"/>
    <w:rsid w:val="5AF553A4"/>
    <w:rsid w:val="5AFB08D8"/>
    <w:rsid w:val="5AFD54C3"/>
    <w:rsid w:val="5B0E50F1"/>
    <w:rsid w:val="5B0F3AE1"/>
    <w:rsid w:val="5B144945"/>
    <w:rsid w:val="5B183173"/>
    <w:rsid w:val="5B1A1CB3"/>
    <w:rsid w:val="5B1C7B77"/>
    <w:rsid w:val="5B256952"/>
    <w:rsid w:val="5B3028E8"/>
    <w:rsid w:val="5B307EB5"/>
    <w:rsid w:val="5B366551"/>
    <w:rsid w:val="5B3F336A"/>
    <w:rsid w:val="5B401306"/>
    <w:rsid w:val="5B4464C2"/>
    <w:rsid w:val="5B5C101C"/>
    <w:rsid w:val="5B5E7342"/>
    <w:rsid w:val="5B692149"/>
    <w:rsid w:val="5B694B46"/>
    <w:rsid w:val="5B6D79D3"/>
    <w:rsid w:val="5B71543E"/>
    <w:rsid w:val="5B760132"/>
    <w:rsid w:val="5B7A51E9"/>
    <w:rsid w:val="5B841BF4"/>
    <w:rsid w:val="5B892AB5"/>
    <w:rsid w:val="5B8B754D"/>
    <w:rsid w:val="5B8C746E"/>
    <w:rsid w:val="5B9039F3"/>
    <w:rsid w:val="5B9415E6"/>
    <w:rsid w:val="5B942E71"/>
    <w:rsid w:val="5B9C1289"/>
    <w:rsid w:val="5BA61970"/>
    <w:rsid w:val="5BAD5D4A"/>
    <w:rsid w:val="5BAF0951"/>
    <w:rsid w:val="5BB70533"/>
    <w:rsid w:val="5BB94C87"/>
    <w:rsid w:val="5BBD4065"/>
    <w:rsid w:val="5BBD7BE1"/>
    <w:rsid w:val="5BC01AF8"/>
    <w:rsid w:val="5BD1591F"/>
    <w:rsid w:val="5BD409DE"/>
    <w:rsid w:val="5BD65A09"/>
    <w:rsid w:val="5BDC585E"/>
    <w:rsid w:val="5BE24543"/>
    <w:rsid w:val="5BE778C7"/>
    <w:rsid w:val="5BE93CB3"/>
    <w:rsid w:val="5BF3318A"/>
    <w:rsid w:val="5BF35D6A"/>
    <w:rsid w:val="5BF547DB"/>
    <w:rsid w:val="5BF56334"/>
    <w:rsid w:val="5C010768"/>
    <w:rsid w:val="5C024369"/>
    <w:rsid w:val="5C0B0931"/>
    <w:rsid w:val="5C186A5B"/>
    <w:rsid w:val="5C1A30A7"/>
    <w:rsid w:val="5C1E01C3"/>
    <w:rsid w:val="5C22252A"/>
    <w:rsid w:val="5C31421B"/>
    <w:rsid w:val="5C404F71"/>
    <w:rsid w:val="5C481DCE"/>
    <w:rsid w:val="5C4963C7"/>
    <w:rsid w:val="5C4A3243"/>
    <w:rsid w:val="5C51746B"/>
    <w:rsid w:val="5C594A6B"/>
    <w:rsid w:val="5C600852"/>
    <w:rsid w:val="5C6B312B"/>
    <w:rsid w:val="5C791462"/>
    <w:rsid w:val="5C800847"/>
    <w:rsid w:val="5C885396"/>
    <w:rsid w:val="5C8B4BCE"/>
    <w:rsid w:val="5C8D7F98"/>
    <w:rsid w:val="5C8F609C"/>
    <w:rsid w:val="5C982B69"/>
    <w:rsid w:val="5CA3138D"/>
    <w:rsid w:val="5CA601AA"/>
    <w:rsid w:val="5CA663B2"/>
    <w:rsid w:val="5CA876DA"/>
    <w:rsid w:val="5CAB7E7C"/>
    <w:rsid w:val="5CAE4E26"/>
    <w:rsid w:val="5CB376CF"/>
    <w:rsid w:val="5CB7341E"/>
    <w:rsid w:val="5CBA789C"/>
    <w:rsid w:val="5CBC103B"/>
    <w:rsid w:val="5CBC779D"/>
    <w:rsid w:val="5CC70497"/>
    <w:rsid w:val="5CC80A39"/>
    <w:rsid w:val="5CDA7D46"/>
    <w:rsid w:val="5CDE05C7"/>
    <w:rsid w:val="5CE44D7F"/>
    <w:rsid w:val="5CE62D2F"/>
    <w:rsid w:val="5CE70DDD"/>
    <w:rsid w:val="5CEB4D66"/>
    <w:rsid w:val="5CEE1AA4"/>
    <w:rsid w:val="5CEE5876"/>
    <w:rsid w:val="5CF17C39"/>
    <w:rsid w:val="5CF277A0"/>
    <w:rsid w:val="5CF418E1"/>
    <w:rsid w:val="5CFC3E63"/>
    <w:rsid w:val="5D0707F9"/>
    <w:rsid w:val="5D105B19"/>
    <w:rsid w:val="5D13493F"/>
    <w:rsid w:val="5D146CFF"/>
    <w:rsid w:val="5D166255"/>
    <w:rsid w:val="5D1F0721"/>
    <w:rsid w:val="5D2207B5"/>
    <w:rsid w:val="5D2957CD"/>
    <w:rsid w:val="5D2B14FB"/>
    <w:rsid w:val="5D2D653B"/>
    <w:rsid w:val="5D365AD7"/>
    <w:rsid w:val="5D3B14D5"/>
    <w:rsid w:val="5D3E3E7B"/>
    <w:rsid w:val="5D3F0E61"/>
    <w:rsid w:val="5D42542E"/>
    <w:rsid w:val="5D4E06B7"/>
    <w:rsid w:val="5D575138"/>
    <w:rsid w:val="5D6104FC"/>
    <w:rsid w:val="5D6717A4"/>
    <w:rsid w:val="5D84002E"/>
    <w:rsid w:val="5D960D2C"/>
    <w:rsid w:val="5D9C7588"/>
    <w:rsid w:val="5DBC2EDD"/>
    <w:rsid w:val="5DC14D8C"/>
    <w:rsid w:val="5DC4405B"/>
    <w:rsid w:val="5DCB2F00"/>
    <w:rsid w:val="5DCE431E"/>
    <w:rsid w:val="5DD42CB6"/>
    <w:rsid w:val="5DD945C3"/>
    <w:rsid w:val="5DDF5C0F"/>
    <w:rsid w:val="5DE92EA9"/>
    <w:rsid w:val="5DED4CE1"/>
    <w:rsid w:val="5DFA61A6"/>
    <w:rsid w:val="5DFC089E"/>
    <w:rsid w:val="5DFD147F"/>
    <w:rsid w:val="5E096A5E"/>
    <w:rsid w:val="5E0B41F3"/>
    <w:rsid w:val="5E1611EE"/>
    <w:rsid w:val="5E1D387D"/>
    <w:rsid w:val="5E1D3F64"/>
    <w:rsid w:val="5E1F3366"/>
    <w:rsid w:val="5E2A0E27"/>
    <w:rsid w:val="5E38099E"/>
    <w:rsid w:val="5E387512"/>
    <w:rsid w:val="5E510952"/>
    <w:rsid w:val="5E551C4D"/>
    <w:rsid w:val="5E552BB5"/>
    <w:rsid w:val="5E602129"/>
    <w:rsid w:val="5E6418AD"/>
    <w:rsid w:val="5E6716E2"/>
    <w:rsid w:val="5E6724A7"/>
    <w:rsid w:val="5E691101"/>
    <w:rsid w:val="5E6F7064"/>
    <w:rsid w:val="5E754F5A"/>
    <w:rsid w:val="5E7B54BA"/>
    <w:rsid w:val="5E7D4041"/>
    <w:rsid w:val="5E803EA2"/>
    <w:rsid w:val="5E8347A7"/>
    <w:rsid w:val="5E9674DB"/>
    <w:rsid w:val="5E97115F"/>
    <w:rsid w:val="5EA56BDA"/>
    <w:rsid w:val="5EA65765"/>
    <w:rsid w:val="5EAB4C4E"/>
    <w:rsid w:val="5EB2190D"/>
    <w:rsid w:val="5EB653B2"/>
    <w:rsid w:val="5EC51270"/>
    <w:rsid w:val="5EC549C2"/>
    <w:rsid w:val="5ECB28C4"/>
    <w:rsid w:val="5ECC3811"/>
    <w:rsid w:val="5EDB5CA2"/>
    <w:rsid w:val="5EE02439"/>
    <w:rsid w:val="5EEC23A0"/>
    <w:rsid w:val="5EF4598D"/>
    <w:rsid w:val="5EF568CE"/>
    <w:rsid w:val="5EF80D27"/>
    <w:rsid w:val="5EFF40A8"/>
    <w:rsid w:val="5F080542"/>
    <w:rsid w:val="5F0A7246"/>
    <w:rsid w:val="5F0B2829"/>
    <w:rsid w:val="5F0D2698"/>
    <w:rsid w:val="5F172EC3"/>
    <w:rsid w:val="5F1A747E"/>
    <w:rsid w:val="5F1E09CD"/>
    <w:rsid w:val="5F3F129F"/>
    <w:rsid w:val="5F41045E"/>
    <w:rsid w:val="5F485934"/>
    <w:rsid w:val="5F4F5CFE"/>
    <w:rsid w:val="5F595265"/>
    <w:rsid w:val="5F5C2BB0"/>
    <w:rsid w:val="5F5F2DE8"/>
    <w:rsid w:val="5F6B1FF2"/>
    <w:rsid w:val="5F6E7CFB"/>
    <w:rsid w:val="5F6F4B6E"/>
    <w:rsid w:val="5F715902"/>
    <w:rsid w:val="5F7739BB"/>
    <w:rsid w:val="5F7B7970"/>
    <w:rsid w:val="5F8E424B"/>
    <w:rsid w:val="5FA21FE1"/>
    <w:rsid w:val="5FA4562B"/>
    <w:rsid w:val="5FA510BF"/>
    <w:rsid w:val="5FA55C42"/>
    <w:rsid w:val="5FB225F4"/>
    <w:rsid w:val="5FB34697"/>
    <w:rsid w:val="5FBA2B89"/>
    <w:rsid w:val="5FC01189"/>
    <w:rsid w:val="5FC6563F"/>
    <w:rsid w:val="5FCA106F"/>
    <w:rsid w:val="5FCC7B78"/>
    <w:rsid w:val="5FD138C9"/>
    <w:rsid w:val="5FD1712A"/>
    <w:rsid w:val="5FD4701E"/>
    <w:rsid w:val="5FEC18E8"/>
    <w:rsid w:val="5FED3110"/>
    <w:rsid w:val="6002633A"/>
    <w:rsid w:val="60054F08"/>
    <w:rsid w:val="60061479"/>
    <w:rsid w:val="6013094F"/>
    <w:rsid w:val="60143320"/>
    <w:rsid w:val="60156859"/>
    <w:rsid w:val="60184030"/>
    <w:rsid w:val="601D78B8"/>
    <w:rsid w:val="601E441A"/>
    <w:rsid w:val="60257CF2"/>
    <w:rsid w:val="60275EAB"/>
    <w:rsid w:val="603706E1"/>
    <w:rsid w:val="603E43DC"/>
    <w:rsid w:val="603E65C7"/>
    <w:rsid w:val="60467D4F"/>
    <w:rsid w:val="60587A9F"/>
    <w:rsid w:val="60602553"/>
    <w:rsid w:val="6060307A"/>
    <w:rsid w:val="606464DE"/>
    <w:rsid w:val="607A40FD"/>
    <w:rsid w:val="60933028"/>
    <w:rsid w:val="60A22B13"/>
    <w:rsid w:val="60A5620B"/>
    <w:rsid w:val="60AD2674"/>
    <w:rsid w:val="60AD6291"/>
    <w:rsid w:val="60B06785"/>
    <w:rsid w:val="60B17620"/>
    <w:rsid w:val="60B50704"/>
    <w:rsid w:val="60C25C2D"/>
    <w:rsid w:val="60CA44DD"/>
    <w:rsid w:val="60CD4D60"/>
    <w:rsid w:val="60D11A93"/>
    <w:rsid w:val="60D311BA"/>
    <w:rsid w:val="60D54D18"/>
    <w:rsid w:val="60D756D1"/>
    <w:rsid w:val="60D9356C"/>
    <w:rsid w:val="60DA70BE"/>
    <w:rsid w:val="60E624AC"/>
    <w:rsid w:val="60F1790C"/>
    <w:rsid w:val="610667E0"/>
    <w:rsid w:val="610F7299"/>
    <w:rsid w:val="61101CDF"/>
    <w:rsid w:val="611F0612"/>
    <w:rsid w:val="612149C4"/>
    <w:rsid w:val="613C4FB2"/>
    <w:rsid w:val="613C53BD"/>
    <w:rsid w:val="613E4F57"/>
    <w:rsid w:val="61434D59"/>
    <w:rsid w:val="615B2ABD"/>
    <w:rsid w:val="616B1D82"/>
    <w:rsid w:val="61736B80"/>
    <w:rsid w:val="61737AA2"/>
    <w:rsid w:val="617448FB"/>
    <w:rsid w:val="61792315"/>
    <w:rsid w:val="617C29B3"/>
    <w:rsid w:val="617F370E"/>
    <w:rsid w:val="618A4DED"/>
    <w:rsid w:val="61906070"/>
    <w:rsid w:val="619D562A"/>
    <w:rsid w:val="61A270F0"/>
    <w:rsid w:val="61B67A5F"/>
    <w:rsid w:val="61B8630B"/>
    <w:rsid w:val="61B976AF"/>
    <w:rsid w:val="61C8741D"/>
    <w:rsid w:val="61CD411A"/>
    <w:rsid w:val="61D26B6B"/>
    <w:rsid w:val="61DE0261"/>
    <w:rsid w:val="61E71E9C"/>
    <w:rsid w:val="61F47E98"/>
    <w:rsid w:val="61F662FF"/>
    <w:rsid w:val="61F72E2F"/>
    <w:rsid w:val="62024692"/>
    <w:rsid w:val="62024CF0"/>
    <w:rsid w:val="622840C9"/>
    <w:rsid w:val="62297624"/>
    <w:rsid w:val="622D09BB"/>
    <w:rsid w:val="623214B7"/>
    <w:rsid w:val="62336F88"/>
    <w:rsid w:val="623468BE"/>
    <w:rsid w:val="623512AD"/>
    <w:rsid w:val="623757B2"/>
    <w:rsid w:val="623B01D1"/>
    <w:rsid w:val="623B4CF1"/>
    <w:rsid w:val="623C7180"/>
    <w:rsid w:val="624F3428"/>
    <w:rsid w:val="625660DD"/>
    <w:rsid w:val="62584A54"/>
    <w:rsid w:val="62595B4D"/>
    <w:rsid w:val="62602E65"/>
    <w:rsid w:val="626245C1"/>
    <w:rsid w:val="626A3A72"/>
    <w:rsid w:val="626C0090"/>
    <w:rsid w:val="626D031A"/>
    <w:rsid w:val="627829EB"/>
    <w:rsid w:val="62786E80"/>
    <w:rsid w:val="628459D5"/>
    <w:rsid w:val="628A52B0"/>
    <w:rsid w:val="628B0593"/>
    <w:rsid w:val="629541F4"/>
    <w:rsid w:val="629C6179"/>
    <w:rsid w:val="629E15C1"/>
    <w:rsid w:val="62A05262"/>
    <w:rsid w:val="62A920CA"/>
    <w:rsid w:val="62AA61C4"/>
    <w:rsid w:val="62B35535"/>
    <w:rsid w:val="62B5490A"/>
    <w:rsid w:val="62CB2E23"/>
    <w:rsid w:val="62CF44B5"/>
    <w:rsid w:val="62DB0689"/>
    <w:rsid w:val="62EA7AC3"/>
    <w:rsid w:val="62F23B0C"/>
    <w:rsid w:val="630014D5"/>
    <w:rsid w:val="6300340C"/>
    <w:rsid w:val="63007C0A"/>
    <w:rsid w:val="6309537D"/>
    <w:rsid w:val="630A429D"/>
    <w:rsid w:val="63207FE7"/>
    <w:rsid w:val="63265AF9"/>
    <w:rsid w:val="63301ACE"/>
    <w:rsid w:val="63387DCB"/>
    <w:rsid w:val="63393EE0"/>
    <w:rsid w:val="633D145D"/>
    <w:rsid w:val="63456869"/>
    <w:rsid w:val="635431BC"/>
    <w:rsid w:val="636D77EC"/>
    <w:rsid w:val="636F1989"/>
    <w:rsid w:val="638913F6"/>
    <w:rsid w:val="638E7454"/>
    <w:rsid w:val="63903D69"/>
    <w:rsid w:val="639472D8"/>
    <w:rsid w:val="639A4CFF"/>
    <w:rsid w:val="639B03B3"/>
    <w:rsid w:val="639D3420"/>
    <w:rsid w:val="63A17BAC"/>
    <w:rsid w:val="63A33701"/>
    <w:rsid w:val="63AB4B9D"/>
    <w:rsid w:val="63B77DD3"/>
    <w:rsid w:val="63C07E35"/>
    <w:rsid w:val="63C86E42"/>
    <w:rsid w:val="63CC441E"/>
    <w:rsid w:val="63D53165"/>
    <w:rsid w:val="63E22B63"/>
    <w:rsid w:val="63E417B7"/>
    <w:rsid w:val="63E7036C"/>
    <w:rsid w:val="63EA537C"/>
    <w:rsid w:val="63EF3F77"/>
    <w:rsid w:val="63F27217"/>
    <w:rsid w:val="63F6612E"/>
    <w:rsid w:val="64052ECC"/>
    <w:rsid w:val="64133D97"/>
    <w:rsid w:val="641517A5"/>
    <w:rsid w:val="641A1C1C"/>
    <w:rsid w:val="641B3358"/>
    <w:rsid w:val="641C1A4B"/>
    <w:rsid w:val="64227EA1"/>
    <w:rsid w:val="64251A2E"/>
    <w:rsid w:val="6427600D"/>
    <w:rsid w:val="642A503A"/>
    <w:rsid w:val="64350D4E"/>
    <w:rsid w:val="6436598A"/>
    <w:rsid w:val="643D3A2B"/>
    <w:rsid w:val="64432809"/>
    <w:rsid w:val="64544522"/>
    <w:rsid w:val="6454569F"/>
    <w:rsid w:val="6458636D"/>
    <w:rsid w:val="645B4D5D"/>
    <w:rsid w:val="646A7FE5"/>
    <w:rsid w:val="646E00A5"/>
    <w:rsid w:val="64815C1A"/>
    <w:rsid w:val="648E1A03"/>
    <w:rsid w:val="6490327A"/>
    <w:rsid w:val="64906DC3"/>
    <w:rsid w:val="6493640C"/>
    <w:rsid w:val="6498717F"/>
    <w:rsid w:val="649C4198"/>
    <w:rsid w:val="64A705F2"/>
    <w:rsid w:val="64AB79B8"/>
    <w:rsid w:val="64AF021D"/>
    <w:rsid w:val="64BB38B7"/>
    <w:rsid w:val="64BD2F46"/>
    <w:rsid w:val="64C52206"/>
    <w:rsid w:val="64CC5D72"/>
    <w:rsid w:val="64D144D7"/>
    <w:rsid w:val="64E366F2"/>
    <w:rsid w:val="64E469B9"/>
    <w:rsid w:val="64F60BFF"/>
    <w:rsid w:val="65097AF5"/>
    <w:rsid w:val="650C33D8"/>
    <w:rsid w:val="650E086A"/>
    <w:rsid w:val="650E5333"/>
    <w:rsid w:val="650F4111"/>
    <w:rsid w:val="651D1705"/>
    <w:rsid w:val="651D339A"/>
    <w:rsid w:val="6520379B"/>
    <w:rsid w:val="65282E53"/>
    <w:rsid w:val="652E6747"/>
    <w:rsid w:val="65326837"/>
    <w:rsid w:val="653B59DE"/>
    <w:rsid w:val="65455F72"/>
    <w:rsid w:val="65485C7B"/>
    <w:rsid w:val="654F19C5"/>
    <w:rsid w:val="654F5366"/>
    <w:rsid w:val="65543CB1"/>
    <w:rsid w:val="65555265"/>
    <w:rsid w:val="655B548F"/>
    <w:rsid w:val="65612C82"/>
    <w:rsid w:val="6565274F"/>
    <w:rsid w:val="65780E7E"/>
    <w:rsid w:val="657B70C4"/>
    <w:rsid w:val="657F1E6B"/>
    <w:rsid w:val="65851347"/>
    <w:rsid w:val="65854424"/>
    <w:rsid w:val="65881D70"/>
    <w:rsid w:val="658A654B"/>
    <w:rsid w:val="658C02FA"/>
    <w:rsid w:val="65933567"/>
    <w:rsid w:val="65934ECE"/>
    <w:rsid w:val="65961E9A"/>
    <w:rsid w:val="65974F02"/>
    <w:rsid w:val="65A56E7E"/>
    <w:rsid w:val="65AC0168"/>
    <w:rsid w:val="65B24D1D"/>
    <w:rsid w:val="65B26F43"/>
    <w:rsid w:val="65C77355"/>
    <w:rsid w:val="65CE1D2E"/>
    <w:rsid w:val="65D85A7A"/>
    <w:rsid w:val="65D914D6"/>
    <w:rsid w:val="65DB6AF9"/>
    <w:rsid w:val="65DC78DF"/>
    <w:rsid w:val="65E9001B"/>
    <w:rsid w:val="66054786"/>
    <w:rsid w:val="66064878"/>
    <w:rsid w:val="6627254C"/>
    <w:rsid w:val="66282AD4"/>
    <w:rsid w:val="66284B8D"/>
    <w:rsid w:val="662B74EA"/>
    <w:rsid w:val="66360708"/>
    <w:rsid w:val="663C2A80"/>
    <w:rsid w:val="663E2959"/>
    <w:rsid w:val="663F2C00"/>
    <w:rsid w:val="66435E27"/>
    <w:rsid w:val="664572DD"/>
    <w:rsid w:val="6649122B"/>
    <w:rsid w:val="66596696"/>
    <w:rsid w:val="665C23DA"/>
    <w:rsid w:val="66624E5D"/>
    <w:rsid w:val="66673AF1"/>
    <w:rsid w:val="66763FF6"/>
    <w:rsid w:val="668B00B1"/>
    <w:rsid w:val="668C43ED"/>
    <w:rsid w:val="668F0954"/>
    <w:rsid w:val="66945310"/>
    <w:rsid w:val="66987FB0"/>
    <w:rsid w:val="66AF03A8"/>
    <w:rsid w:val="66AF6E17"/>
    <w:rsid w:val="66B12192"/>
    <w:rsid w:val="66B4773D"/>
    <w:rsid w:val="66B66290"/>
    <w:rsid w:val="66D64B8F"/>
    <w:rsid w:val="66DB0D7E"/>
    <w:rsid w:val="66E61E2F"/>
    <w:rsid w:val="66EF7D3C"/>
    <w:rsid w:val="66F34D94"/>
    <w:rsid w:val="66F84245"/>
    <w:rsid w:val="66FD0BB6"/>
    <w:rsid w:val="66FD2F08"/>
    <w:rsid w:val="67010756"/>
    <w:rsid w:val="6706559F"/>
    <w:rsid w:val="67084F17"/>
    <w:rsid w:val="670F46C8"/>
    <w:rsid w:val="67156087"/>
    <w:rsid w:val="6717370B"/>
    <w:rsid w:val="67180834"/>
    <w:rsid w:val="671907F3"/>
    <w:rsid w:val="671D6083"/>
    <w:rsid w:val="671E1A89"/>
    <w:rsid w:val="67226981"/>
    <w:rsid w:val="67260746"/>
    <w:rsid w:val="6728653E"/>
    <w:rsid w:val="67341441"/>
    <w:rsid w:val="673A7956"/>
    <w:rsid w:val="673E4DCD"/>
    <w:rsid w:val="6744521B"/>
    <w:rsid w:val="6745716D"/>
    <w:rsid w:val="674D0E23"/>
    <w:rsid w:val="675C7CC9"/>
    <w:rsid w:val="675D314B"/>
    <w:rsid w:val="675F32A0"/>
    <w:rsid w:val="67630D7B"/>
    <w:rsid w:val="67632099"/>
    <w:rsid w:val="676422BD"/>
    <w:rsid w:val="67687B4D"/>
    <w:rsid w:val="676E0E17"/>
    <w:rsid w:val="67717339"/>
    <w:rsid w:val="67724EC8"/>
    <w:rsid w:val="67806723"/>
    <w:rsid w:val="678872FD"/>
    <w:rsid w:val="67927740"/>
    <w:rsid w:val="67A8000F"/>
    <w:rsid w:val="67AA6F61"/>
    <w:rsid w:val="67AD25AD"/>
    <w:rsid w:val="67B73B39"/>
    <w:rsid w:val="67B754F4"/>
    <w:rsid w:val="67C84BEC"/>
    <w:rsid w:val="67C967EC"/>
    <w:rsid w:val="67CC490C"/>
    <w:rsid w:val="67D33E6A"/>
    <w:rsid w:val="67DC0A89"/>
    <w:rsid w:val="67E47EC2"/>
    <w:rsid w:val="67F177E0"/>
    <w:rsid w:val="67F24FAC"/>
    <w:rsid w:val="67F403DC"/>
    <w:rsid w:val="68025528"/>
    <w:rsid w:val="680A3C8D"/>
    <w:rsid w:val="6813401C"/>
    <w:rsid w:val="681D6900"/>
    <w:rsid w:val="6822617B"/>
    <w:rsid w:val="68226BE9"/>
    <w:rsid w:val="68254435"/>
    <w:rsid w:val="68470301"/>
    <w:rsid w:val="68485F15"/>
    <w:rsid w:val="68487688"/>
    <w:rsid w:val="68553CF3"/>
    <w:rsid w:val="68594D6F"/>
    <w:rsid w:val="686A7E87"/>
    <w:rsid w:val="686C5EF3"/>
    <w:rsid w:val="687F1E28"/>
    <w:rsid w:val="68891591"/>
    <w:rsid w:val="68893D14"/>
    <w:rsid w:val="689D4391"/>
    <w:rsid w:val="689E670D"/>
    <w:rsid w:val="68A534CA"/>
    <w:rsid w:val="68A91D39"/>
    <w:rsid w:val="68AB186A"/>
    <w:rsid w:val="68B363C7"/>
    <w:rsid w:val="68CB32FE"/>
    <w:rsid w:val="68D73A4D"/>
    <w:rsid w:val="68D820DD"/>
    <w:rsid w:val="68D90A5C"/>
    <w:rsid w:val="68E102CF"/>
    <w:rsid w:val="68E40C8F"/>
    <w:rsid w:val="68E80D07"/>
    <w:rsid w:val="68F81EF9"/>
    <w:rsid w:val="68F96934"/>
    <w:rsid w:val="69010211"/>
    <w:rsid w:val="690408B1"/>
    <w:rsid w:val="69132C60"/>
    <w:rsid w:val="69181C89"/>
    <w:rsid w:val="692807ED"/>
    <w:rsid w:val="6937540A"/>
    <w:rsid w:val="693A0E04"/>
    <w:rsid w:val="693C05A1"/>
    <w:rsid w:val="69481F4A"/>
    <w:rsid w:val="694D7188"/>
    <w:rsid w:val="69592F27"/>
    <w:rsid w:val="69615BD9"/>
    <w:rsid w:val="696261E0"/>
    <w:rsid w:val="69653F69"/>
    <w:rsid w:val="696F20FA"/>
    <w:rsid w:val="69847C99"/>
    <w:rsid w:val="698B30DD"/>
    <w:rsid w:val="69916DBC"/>
    <w:rsid w:val="699672F2"/>
    <w:rsid w:val="69A07D6C"/>
    <w:rsid w:val="69A44CC2"/>
    <w:rsid w:val="69B633F6"/>
    <w:rsid w:val="69C30412"/>
    <w:rsid w:val="69C67D4B"/>
    <w:rsid w:val="69C928CA"/>
    <w:rsid w:val="69CC5681"/>
    <w:rsid w:val="69D846EA"/>
    <w:rsid w:val="69DC6A6E"/>
    <w:rsid w:val="69DE2151"/>
    <w:rsid w:val="69E03F11"/>
    <w:rsid w:val="69E07E02"/>
    <w:rsid w:val="69E24AAC"/>
    <w:rsid w:val="69FE7D8D"/>
    <w:rsid w:val="6A0B0196"/>
    <w:rsid w:val="6A2236DC"/>
    <w:rsid w:val="6A26716E"/>
    <w:rsid w:val="6A271346"/>
    <w:rsid w:val="6A2B7C54"/>
    <w:rsid w:val="6A324C5D"/>
    <w:rsid w:val="6A480B47"/>
    <w:rsid w:val="6A55701E"/>
    <w:rsid w:val="6A560495"/>
    <w:rsid w:val="6A716D3E"/>
    <w:rsid w:val="6A77014D"/>
    <w:rsid w:val="6A8D009A"/>
    <w:rsid w:val="6A9B64ED"/>
    <w:rsid w:val="6AA344BB"/>
    <w:rsid w:val="6AAC0714"/>
    <w:rsid w:val="6ABD05C6"/>
    <w:rsid w:val="6ABD365B"/>
    <w:rsid w:val="6ABF0B60"/>
    <w:rsid w:val="6ABF4847"/>
    <w:rsid w:val="6AC50090"/>
    <w:rsid w:val="6AD904CA"/>
    <w:rsid w:val="6ADD592B"/>
    <w:rsid w:val="6B0171F3"/>
    <w:rsid w:val="6B0434A4"/>
    <w:rsid w:val="6B083969"/>
    <w:rsid w:val="6B11248A"/>
    <w:rsid w:val="6B145A21"/>
    <w:rsid w:val="6B184948"/>
    <w:rsid w:val="6B1A7005"/>
    <w:rsid w:val="6B1C00AC"/>
    <w:rsid w:val="6B2302FF"/>
    <w:rsid w:val="6B3F7751"/>
    <w:rsid w:val="6B462FB0"/>
    <w:rsid w:val="6B5528FB"/>
    <w:rsid w:val="6B5C3D45"/>
    <w:rsid w:val="6B642D2E"/>
    <w:rsid w:val="6B6B35D9"/>
    <w:rsid w:val="6B6D6CCA"/>
    <w:rsid w:val="6B763B03"/>
    <w:rsid w:val="6B7D2217"/>
    <w:rsid w:val="6B813236"/>
    <w:rsid w:val="6B8D6849"/>
    <w:rsid w:val="6BA3652E"/>
    <w:rsid w:val="6BAD18FC"/>
    <w:rsid w:val="6BAD45FE"/>
    <w:rsid w:val="6BB0282A"/>
    <w:rsid w:val="6BB36EB0"/>
    <w:rsid w:val="6BBA09BC"/>
    <w:rsid w:val="6BD23FF3"/>
    <w:rsid w:val="6BD3071E"/>
    <w:rsid w:val="6BD33670"/>
    <w:rsid w:val="6BE75021"/>
    <w:rsid w:val="6BF25A92"/>
    <w:rsid w:val="6BF27472"/>
    <w:rsid w:val="6BF657A7"/>
    <w:rsid w:val="6BFC25A2"/>
    <w:rsid w:val="6C011221"/>
    <w:rsid w:val="6C0670F7"/>
    <w:rsid w:val="6C0E45CF"/>
    <w:rsid w:val="6C1B17B1"/>
    <w:rsid w:val="6C1B630D"/>
    <w:rsid w:val="6C1E0475"/>
    <w:rsid w:val="6C242F43"/>
    <w:rsid w:val="6C2D20E6"/>
    <w:rsid w:val="6C2E3987"/>
    <w:rsid w:val="6C3E5AE6"/>
    <w:rsid w:val="6C441DC7"/>
    <w:rsid w:val="6C5637F1"/>
    <w:rsid w:val="6C60584A"/>
    <w:rsid w:val="6C633436"/>
    <w:rsid w:val="6C6973EC"/>
    <w:rsid w:val="6C6E52B0"/>
    <w:rsid w:val="6C7B3FE4"/>
    <w:rsid w:val="6C7E22BC"/>
    <w:rsid w:val="6C8020F3"/>
    <w:rsid w:val="6C8207ED"/>
    <w:rsid w:val="6C8928F3"/>
    <w:rsid w:val="6C924E57"/>
    <w:rsid w:val="6CA02708"/>
    <w:rsid w:val="6CAD6643"/>
    <w:rsid w:val="6CB65D17"/>
    <w:rsid w:val="6CCF5125"/>
    <w:rsid w:val="6CE75F98"/>
    <w:rsid w:val="6CEC6854"/>
    <w:rsid w:val="6CF37988"/>
    <w:rsid w:val="6CF81E93"/>
    <w:rsid w:val="6CF91DA7"/>
    <w:rsid w:val="6D0D3E68"/>
    <w:rsid w:val="6D0E104D"/>
    <w:rsid w:val="6D121B1F"/>
    <w:rsid w:val="6D150BD8"/>
    <w:rsid w:val="6D1D7FA9"/>
    <w:rsid w:val="6D1F2D9D"/>
    <w:rsid w:val="6D2309B7"/>
    <w:rsid w:val="6D2431E8"/>
    <w:rsid w:val="6D3D7FAE"/>
    <w:rsid w:val="6D460B0C"/>
    <w:rsid w:val="6D4C7FEC"/>
    <w:rsid w:val="6D5D485F"/>
    <w:rsid w:val="6D630104"/>
    <w:rsid w:val="6D662195"/>
    <w:rsid w:val="6D6F105E"/>
    <w:rsid w:val="6D7E5D0F"/>
    <w:rsid w:val="6D8635A7"/>
    <w:rsid w:val="6D8E1017"/>
    <w:rsid w:val="6DA3008E"/>
    <w:rsid w:val="6DA7697C"/>
    <w:rsid w:val="6DA82D8D"/>
    <w:rsid w:val="6DA8631F"/>
    <w:rsid w:val="6DA92555"/>
    <w:rsid w:val="6DBB42A6"/>
    <w:rsid w:val="6DCA71EC"/>
    <w:rsid w:val="6DCE5684"/>
    <w:rsid w:val="6DE94A7A"/>
    <w:rsid w:val="6DEA54F5"/>
    <w:rsid w:val="6DF63C4A"/>
    <w:rsid w:val="6E074845"/>
    <w:rsid w:val="6E0E5F4B"/>
    <w:rsid w:val="6E0F0BA9"/>
    <w:rsid w:val="6E184416"/>
    <w:rsid w:val="6E1D2C75"/>
    <w:rsid w:val="6E2D3FAB"/>
    <w:rsid w:val="6E3B07B2"/>
    <w:rsid w:val="6E4341D1"/>
    <w:rsid w:val="6E456A63"/>
    <w:rsid w:val="6E4A362B"/>
    <w:rsid w:val="6E6E4D52"/>
    <w:rsid w:val="6E72350E"/>
    <w:rsid w:val="6E72601E"/>
    <w:rsid w:val="6E772540"/>
    <w:rsid w:val="6E7E7AEB"/>
    <w:rsid w:val="6E7F1DBE"/>
    <w:rsid w:val="6E840AA7"/>
    <w:rsid w:val="6E854A0C"/>
    <w:rsid w:val="6E984E18"/>
    <w:rsid w:val="6EA03FD6"/>
    <w:rsid w:val="6EA171AE"/>
    <w:rsid w:val="6EA27592"/>
    <w:rsid w:val="6EA70066"/>
    <w:rsid w:val="6EAE3CC8"/>
    <w:rsid w:val="6ECE660E"/>
    <w:rsid w:val="6ED868E9"/>
    <w:rsid w:val="6EDA00BA"/>
    <w:rsid w:val="6EDB3805"/>
    <w:rsid w:val="6EE21ABE"/>
    <w:rsid w:val="6EE91F76"/>
    <w:rsid w:val="6EF063BE"/>
    <w:rsid w:val="6EF15690"/>
    <w:rsid w:val="6EFA5F07"/>
    <w:rsid w:val="6F025568"/>
    <w:rsid w:val="6F093652"/>
    <w:rsid w:val="6F0F041D"/>
    <w:rsid w:val="6F153141"/>
    <w:rsid w:val="6F1E1247"/>
    <w:rsid w:val="6F2839F9"/>
    <w:rsid w:val="6F2C2F9D"/>
    <w:rsid w:val="6F2E307D"/>
    <w:rsid w:val="6F301D7B"/>
    <w:rsid w:val="6F322207"/>
    <w:rsid w:val="6F6A4F4C"/>
    <w:rsid w:val="6F6D2EDE"/>
    <w:rsid w:val="6F7C4E38"/>
    <w:rsid w:val="6F7E3D60"/>
    <w:rsid w:val="6F866C5E"/>
    <w:rsid w:val="6F8F74A6"/>
    <w:rsid w:val="6F90728B"/>
    <w:rsid w:val="6F941CC7"/>
    <w:rsid w:val="6F992653"/>
    <w:rsid w:val="6F99403F"/>
    <w:rsid w:val="6FA34143"/>
    <w:rsid w:val="6FA473BD"/>
    <w:rsid w:val="6FA531D8"/>
    <w:rsid w:val="6FA81452"/>
    <w:rsid w:val="6FBA2705"/>
    <w:rsid w:val="6FC05555"/>
    <w:rsid w:val="6FC22602"/>
    <w:rsid w:val="6FE460FF"/>
    <w:rsid w:val="700112E3"/>
    <w:rsid w:val="70111157"/>
    <w:rsid w:val="70133ECA"/>
    <w:rsid w:val="701666C5"/>
    <w:rsid w:val="70337040"/>
    <w:rsid w:val="70442AB3"/>
    <w:rsid w:val="705111EE"/>
    <w:rsid w:val="70525E73"/>
    <w:rsid w:val="705267B9"/>
    <w:rsid w:val="70581A24"/>
    <w:rsid w:val="705F3EE3"/>
    <w:rsid w:val="70633C44"/>
    <w:rsid w:val="706423CA"/>
    <w:rsid w:val="706937FD"/>
    <w:rsid w:val="706B37BD"/>
    <w:rsid w:val="707B1321"/>
    <w:rsid w:val="70867EAA"/>
    <w:rsid w:val="70937476"/>
    <w:rsid w:val="70973B26"/>
    <w:rsid w:val="70A33742"/>
    <w:rsid w:val="70A438EF"/>
    <w:rsid w:val="70A80A99"/>
    <w:rsid w:val="70A92BE5"/>
    <w:rsid w:val="70B37C5E"/>
    <w:rsid w:val="70C46A7E"/>
    <w:rsid w:val="70C760EF"/>
    <w:rsid w:val="70C92053"/>
    <w:rsid w:val="70E33446"/>
    <w:rsid w:val="70E96407"/>
    <w:rsid w:val="70EE130A"/>
    <w:rsid w:val="70EE147C"/>
    <w:rsid w:val="70F05F60"/>
    <w:rsid w:val="70F2725A"/>
    <w:rsid w:val="70F87A35"/>
    <w:rsid w:val="710C7331"/>
    <w:rsid w:val="711D2C9E"/>
    <w:rsid w:val="71263A35"/>
    <w:rsid w:val="71345962"/>
    <w:rsid w:val="71371DAC"/>
    <w:rsid w:val="713F62D6"/>
    <w:rsid w:val="71430086"/>
    <w:rsid w:val="71434D09"/>
    <w:rsid w:val="71445C1A"/>
    <w:rsid w:val="714947C5"/>
    <w:rsid w:val="714C7A88"/>
    <w:rsid w:val="714E3BDE"/>
    <w:rsid w:val="71554855"/>
    <w:rsid w:val="715A2483"/>
    <w:rsid w:val="7170152B"/>
    <w:rsid w:val="7174221B"/>
    <w:rsid w:val="71795630"/>
    <w:rsid w:val="717C6FA4"/>
    <w:rsid w:val="717E37A3"/>
    <w:rsid w:val="718162DA"/>
    <w:rsid w:val="718902BF"/>
    <w:rsid w:val="71943F5F"/>
    <w:rsid w:val="7195094C"/>
    <w:rsid w:val="719B53AC"/>
    <w:rsid w:val="71A61142"/>
    <w:rsid w:val="71A6414C"/>
    <w:rsid w:val="71B3110F"/>
    <w:rsid w:val="71B3738E"/>
    <w:rsid w:val="71CA109B"/>
    <w:rsid w:val="71CF1EA8"/>
    <w:rsid w:val="71D90DDF"/>
    <w:rsid w:val="71E75969"/>
    <w:rsid w:val="71E84FC5"/>
    <w:rsid w:val="71ED5E21"/>
    <w:rsid w:val="71F035D0"/>
    <w:rsid w:val="71F16E51"/>
    <w:rsid w:val="71F6544B"/>
    <w:rsid w:val="71F76706"/>
    <w:rsid w:val="71FE3E4E"/>
    <w:rsid w:val="72011517"/>
    <w:rsid w:val="72103B9A"/>
    <w:rsid w:val="72187AA2"/>
    <w:rsid w:val="7223160C"/>
    <w:rsid w:val="722D57CB"/>
    <w:rsid w:val="72352A56"/>
    <w:rsid w:val="72473780"/>
    <w:rsid w:val="724741DF"/>
    <w:rsid w:val="724B4FA7"/>
    <w:rsid w:val="724E05D9"/>
    <w:rsid w:val="724E599A"/>
    <w:rsid w:val="72513E1A"/>
    <w:rsid w:val="72555A7F"/>
    <w:rsid w:val="726009C9"/>
    <w:rsid w:val="72614819"/>
    <w:rsid w:val="7265679C"/>
    <w:rsid w:val="726842F5"/>
    <w:rsid w:val="726E056C"/>
    <w:rsid w:val="727E4C72"/>
    <w:rsid w:val="728371CC"/>
    <w:rsid w:val="72840F87"/>
    <w:rsid w:val="72894C2F"/>
    <w:rsid w:val="728E09AB"/>
    <w:rsid w:val="729429F3"/>
    <w:rsid w:val="7298210F"/>
    <w:rsid w:val="729D67E4"/>
    <w:rsid w:val="72A23605"/>
    <w:rsid w:val="72A72FF7"/>
    <w:rsid w:val="72B10C15"/>
    <w:rsid w:val="72B618D5"/>
    <w:rsid w:val="72B8373B"/>
    <w:rsid w:val="72BD6505"/>
    <w:rsid w:val="72BE50A3"/>
    <w:rsid w:val="72C254E9"/>
    <w:rsid w:val="72C83D35"/>
    <w:rsid w:val="72D231E5"/>
    <w:rsid w:val="72EB568E"/>
    <w:rsid w:val="72EC315A"/>
    <w:rsid w:val="72EF30B8"/>
    <w:rsid w:val="72F646DE"/>
    <w:rsid w:val="72FF6BBF"/>
    <w:rsid w:val="730438A4"/>
    <w:rsid w:val="73054349"/>
    <w:rsid w:val="73076622"/>
    <w:rsid w:val="73161950"/>
    <w:rsid w:val="731771C7"/>
    <w:rsid w:val="73212F8F"/>
    <w:rsid w:val="7335391A"/>
    <w:rsid w:val="7339021B"/>
    <w:rsid w:val="733A5360"/>
    <w:rsid w:val="733D2892"/>
    <w:rsid w:val="73405344"/>
    <w:rsid w:val="734B66FB"/>
    <w:rsid w:val="73512CCA"/>
    <w:rsid w:val="73620074"/>
    <w:rsid w:val="73643912"/>
    <w:rsid w:val="73703FAF"/>
    <w:rsid w:val="7370548C"/>
    <w:rsid w:val="7377177D"/>
    <w:rsid w:val="737B51D1"/>
    <w:rsid w:val="7384507C"/>
    <w:rsid w:val="7398516B"/>
    <w:rsid w:val="73B258A4"/>
    <w:rsid w:val="73B54D59"/>
    <w:rsid w:val="73BA0C14"/>
    <w:rsid w:val="73C169CD"/>
    <w:rsid w:val="73C62069"/>
    <w:rsid w:val="73C72696"/>
    <w:rsid w:val="73C82115"/>
    <w:rsid w:val="73CD002D"/>
    <w:rsid w:val="73CE1EB0"/>
    <w:rsid w:val="73D24E34"/>
    <w:rsid w:val="73D26C09"/>
    <w:rsid w:val="73E30DC7"/>
    <w:rsid w:val="73EC3030"/>
    <w:rsid w:val="73EE29B0"/>
    <w:rsid w:val="73F722B6"/>
    <w:rsid w:val="73FB64A7"/>
    <w:rsid w:val="740F0F16"/>
    <w:rsid w:val="7410510E"/>
    <w:rsid w:val="74130042"/>
    <w:rsid w:val="74144137"/>
    <w:rsid w:val="741D6D4E"/>
    <w:rsid w:val="742148F9"/>
    <w:rsid w:val="74336289"/>
    <w:rsid w:val="74466209"/>
    <w:rsid w:val="744B2E1E"/>
    <w:rsid w:val="745064DA"/>
    <w:rsid w:val="745E6B0D"/>
    <w:rsid w:val="7461272C"/>
    <w:rsid w:val="74642F97"/>
    <w:rsid w:val="746901BB"/>
    <w:rsid w:val="746C1192"/>
    <w:rsid w:val="746E0EFD"/>
    <w:rsid w:val="746F1C02"/>
    <w:rsid w:val="747A1A1A"/>
    <w:rsid w:val="74874CC4"/>
    <w:rsid w:val="74984A19"/>
    <w:rsid w:val="749D75A7"/>
    <w:rsid w:val="749E0774"/>
    <w:rsid w:val="74A83A97"/>
    <w:rsid w:val="74AD0BED"/>
    <w:rsid w:val="74B64DA9"/>
    <w:rsid w:val="74BA22A6"/>
    <w:rsid w:val="74BE2B72"/>
    <w:rsid w:val="74D569E4"/>
    <w:rsid w:val="74DD37CB"/>
    <w:rsid w:val="74E4102D"/>
    <w:rsid w:val="74E42470"/>
    <w:rsid w:val="74E81102"/>
    <w:rsid w:val="74E9432D"/>
    <w:rsid w:val="74ED5500"/>
    <w:rsid w:val="74F16343"/>
    <w:rsid w:val="74F85F75"/>
    <w:rsid w:val="75257D12"/>
    <w:rsid w:val="752D2336"/>
    <w:rsid w:val="75332FFD"/>
    <w:rsid w:val="75394F82"/>
    <w:rsid w:val="753B7E9A"/>
    <w:rsid w:val="754544E6"/>
    <w:rsid w:val="754553C9"/>
    <w:rsid w:val="754647D6"/>
    <w:rsid w:val="75486677"/>
    <w:rsid w:val="754944E8"/>
    <w:rsid w:val="755346B3"/>
    <w:rsid w:val="75586277"/>
    <w:rsid w:val="756230EB"/>
    <w:rsid w:val="75662EAE"/>
    <w:rsid w:val="75681DB8"/>
    <w:rsid w:val="75686B4D"/>
    <w:rsid w:val="75706041"/>
    <w:rsid w:val="75713024"/>
    <w:rsid w:val="7578284C"/>
    <w:rsid w:val="758176BF"/>
    <w:rsid w:val="758A55A2"/>
    <w:rsid w:val="758C7909"/>
    <w:rsid w:val="75942E34"/>
    <w:rsid w:val="759466EF"/>
    <w:rsid w:val="7596368F"/>
    <w:rsid w:val="759741BB"/>
    <w:rsid w:val="759E49D7"/>
    <w:rsid w:val="75AC6FC9"/>
    <w:rsid w:val="75AF535D"/>
    <w:rsid w:val="75C6103C"/>
    <w:rsid w:val="75CD2BF7"/>
    <w:rsid w:val="75DA39EB"/>
    <w:rsid w:val="75E626D9"/>
    <w:rsid w:val="75E83AEB"/>
    <w:rsid w:val="75EA6BA5"/>
    <w:rsid w:val="75EE0454"/>
    <w:rsid w:val="75F17D4F"/>
    <w:rsid w:val="75F319E6"/>
    <w:rsid w:val="75F41254"/>
    <w:rsid w:val="75FF3A62"/>
    <w:rsid w:val="76042EEF"/>
    <w:rsid w:val="761A35D8"/>
    <w:rsid w:val="761F1C34"/>
    <w:rsid w:val="762E6D37"/>
    <w:rsid w:val="762E736D"/>
    <w:rsid w:val="762F5965"/>
    <w:rsid w:val="7630284A"/>
    <w:rsid w:val="76344F1E"/>
    <w:rsid w:val="76422029"/>
    <w:rsid w:val="76453534"/>
    <w:rsid w:val="764669FD"/>
    <w:rsid w:val="764A35FD"/>
    <w:rsid w:val="764C7650"/>
    <w:rsid w:val="76585928"/>
    <w:rsid w:val="76646A9D"/>
    <w:rsid w:val="76677BFC"/>
    <w:rsid w:val="76704AAF"/>
    <w:rsid w:val="76773887"/>
    <w:rsid w:val="76775BC5"/>
    <w:rsid w:val="7678560D"/>
    <w:rsid w:val="767F3AFB"/>
    <w:rsid w:val="76804300"/>
    <w:rsid w:val="768C3307"/>
    <w:rsid w:val="7690328F"/>
    <w:rsid w:val="76A45F5F"/>
    <w:rsid w:val="76A86155"/>
    <w:rsid w:val="76AC6FF8"/>
    <w:rsid w:val="76AE646F"/>
    <w:rsid w:val="76B018D7"/>
    <w:rsid w:val="76B74225"/>
    <w:rsid w:val="76BD2A16"/>
    <w:rsid w:val="76BE537C"/>
    <w:rsid w:val="76C0483E"/>
    <w:rsid w:val="76CA636C"/>
    <w:rsid w:val="76CF20DD"/>
    <w:rsid w:val="76D62CE3"/>
    <w:rsid w:val="76DD6B4B"/>
    <w:rsid w:val="76DF2A34"/>
    <w:rsid w:val="76E35AAA"/>
    <w:rsid w:val="76EF139D"/>
    <w:rsid w:val="76F43292"/>
    <w:rsid w:val="76FD31AB"/>
    <w:rsid w:val="76FF3302"/>
    <w:rsid w:val="77054CF0"/>
    <w:rsid w:val="7716162F"/>
    <w:rsid w:val="77174E20"/>
    <w:rsid w:val="77196746"/>
    <w:rsid w:val="77217FE4"/>
    <w:rsid w:val="77221EB9"/>
    <w:rsid w:val="7724765B"/>
    <w:rsid w:val="772C207A"/>
    <w:rsid w:val="772D43D6"/>
    <w:rsid w:val="773B4A4C"/>
    <w:rsid w:val="773D3FBE"/>
    <w:rsid w:val="773D78D0"/>
    <w:rsid w:val="774A659A"/>
    <w:rsid w:val="774E7984"/>
    <w:rsid w:val="77610BC6"/>
    <w:rsid w:val="77647A6E"/>
    <w:rsid w:val="77684CF7"/>
    <w:rsid w:val="777F16A4"/>
    <w:rsid w:val="77885F2B"/>
    <w:rsid w:val="778C284B"/>
    <w:rsid w:val="779E2011"/>
    <w:rsid w:val="77A327F3"/>
    <w:rsid w:val="77B90B21"/>
    <w:rsid w:val="77B97A23"/>
    <w:rsid w:val="77BA055A"/>
    <w:rsid w:val="77BE0F20"/>
    <w:rsid w:val="77C23B18"/>
    <w:rsid w:val="77C30D1D"/>
    <w:rsid w:val="77C40B31"/>
    <w:rsid w:val="77C618BD"/>
    <w:rsid w:val="77D16C98"/>
    <w:rsid w:val="77D6554D"/>
    <w:rsid w:val="77DF6E08"/>
    <w:rsid w:val="77E30ED1"/>
    <w:rsid w:val="77E53DE5"/>
    <w:rsid w:val="77E92B55"/>
    <w:rsid w:val="77ED58A2"/>
    <w:rsid w:val="77EE621E"/>
    <w:rsid w:val="77F11E9A"/>
    <w:rsid w:val="78032E9E"/>
    <w:rsid w:val="78105DC4"/>
    <w:rsid w:val="781374FC"/>
    <w:rsid w:val="78175AD5"/>
    <w:rsid w:val="78183540"/>
    <w:rsid w:val="781A5A02"/>
    <w:rsid w:val="781B359E"/>
    <w:rsid w:val="78210F1F"/>
    <w:rsid w:val="78260D63"/>
    <w:rsid w:val="782A0FF7"/>
    <w:rsid w:val="782C0CDB"/>
    <w:rsid w:val="7840400D"/>
    <w:rsid w:val="784446B5"/>
    <w:rsid w:val="78446352"/>
    <w:rsid w:val="784F7772"/>
    <w:rsid w:val="78801987"/>
    <w:rsid w:val="788A3E2E"/>
    <w:rsid w:val="789557F3"/>
    <w:rsid w:val="789A479F"/>
    <w:rsid w:val="789D54A7"/>
    <w:rsid w:val="78A44F46"/>
    <w:rsid w:val="78A54B14"/>
    <w:rsid w:val="78AD580D"/>
    <w:rsid w:val="78AE0240"/>
    <w:rsid w:val="78BD0E11"/>
    <w:rsid w:val="78D03711"/>
    <w:rsid w:val="78D2551B"/>
    <w:rsid w:val="78D84E4A"/>
    <w:rsid w:val="78DE7CB9"/>
    <w:rsid w:val="78DF767B"/>
    <w:rsid w:val="78EE3851"/>
    <w:rsid w:val="78F108CA"/>
    <w:rsid w:val="78F1367A"/>
    <w:rsid w:val="78FD14DB"/>
    <w:rsid w:val="79004BA4"/>
    <w:rsid w:val="79012677"/>
    <w:rsid w:val="79057392"/>
    <w:rsid w:val="79205078"/>
    <w:rsid w:val="792228AA"/>
    <w:rsid w:val="79242718"/>
    <w:rsid w:val="79267DA8"/>
    <w:rsid w:val="792B5442"/>
    <w:rsid w:val="794305DF"/>
    <w:rsid w:val="794D7E47"/>
    <w:rsid w:val="795076D2"/>
    <w:rsid w:val="795802B3"/>
    <w:rsid w:val="79636828"/>
    <w:rsid w:val="7965035A"/>
    <w:rsid w:val="796C1BF0"/>
    <w:rsid w:val="796D6ACC"/>
    <w:rsid w:val="796E04EC"/>
    <w:rsid w:val="797B20F4"/>
    <w:rsid w:val="797B75E2"/>
    <w:rsid w:val="797F3181"/>
    <w:rsid w:val="79894EAD"/>
    <w:rsid w:val="799A4FFD"/>
    <w:rsid w:val="799B75AD"/>
    <w:rsid w:val="799C5FFB"/>
    <w:rsid w:val="79C225D7"/>
    <w:rsid w:val="79CB1B78"/>
    <w:rsid w:val="79D03C3F"/>
    <w:rsid w:val="79D87E55"/>
    <w:rsid w:val="79DB6C17"/>
    <w:rsid w:val="79ED2AF8"/>
    <w:rsid w:val="79F424BF"/>
    <w:rsid w:val="79F74D77"/>
    <w:rsid w:val="79F7676A"/>
    <w:rsid w:val="79FC50B4"/>
    <w:rsid w:val="7A061AD4"/>
    <w:rsid w:val="7A1C045A"/>
    <w:rsid w:val="7A1F3FD8"/>
    <w:rsid w:val="7A2118E1"/>
    <w:rsid w:val="7A274F97"/>
    <w:rsid w:val="7A2F7628"/>
    <w:rsid w:val="7A3322E7"/>
    <w:rsid w:val="7A333CF2"/>
    <w:rsid w:val="7A3530A3"/>
    <w:rsid w:val="7A3633FE"/>
    <w:rsid w:val="7A384355"/>
    <w:rsid w:val="7A402062"/>
    <w:rsid w:val="7A46053B"/>
    <w:rsid w:val="7A472239"/>
    <w:rsid w:val="7A54736C"/>
    <w:rsid w:val="7A5E13F0"/>
    <w:rsid w:val="7A647D44"/>
    <w:rsid w:val="7A67122E"/>
    <w:rsid w:val="7A7F10B5"/>
    <w:rsid w:val="7A856191"/>
    <w:rsid w:val="7A9279C5"/>
    <w:rsid w:val="7A97654F"/>
    <w:rsid w:val="7AA01F0C"/>
    <w:rsid w:val="7AA74FE9"/>
    <w:rsid w:val="7AAA4C82"/>
    <w:rsid w:val="7AB4349D"/>
    <w:rsid w:val="7AB5460E"/>
    <w:rsid w:val="7AB72F63"/>
    <w:rsid w:val="7ABC1564"/>
    <w:rsid w:val="7ABF28B6"/>
    <w:rsid w:val="7AC42DCE"/>
    <w:rsid w:val="7AC524F7"/>
    <w:rsid w:val="7ACD3C1A"/>
    <w:rsid w:val="7AD37B94"/>
    <w:rsid w:val="7AD65800"/>
    <w:rsid w:val="7AE16B22"/>
    <w:rsid w:val="7AE21A2D"/>
    <w:rsid w:val="7AE2786D"/>
    <w:rsid w:val="7AF16153"/>
    <w:rsid w:val="7AF81C36"/>
    <w:rsid w:val="7AFE0813"/>
    <w:rsid w:val="7B006898"/>
    <w:rsid w:val="7B0E5731"/>
    <w:rsid w:val="7B14591F"/>
    <w:rsid w:val="7B151D78"/>
    <w:rsid w:val="7B1C57D8"/>
    <w:rsid w:val="7B251947"/>
    <w:rsid w:val="7B2556C0"/>
    <w:rsid w:val="7B2744CA"/>
    <w:rsid w:val="7B277195"/>
    <w:rsid w:val="7B2807ED"/>
    <w:rsid w:val="7B286EF1"/>
    <w:rsid w:val="7B4F19C7"/>
    <w:rsid w:val="7B5F0A37"/>
    <w:rsid w:val="7B7322CC"/>
    <w:rsid w:val="7B7E2866"/>
    <w:rsid w:val="7B85369B"/>
    <w:rsid w:val="7BA07DB2"/>
    <w:rsid w:val="7BA25A52"/>
    <w:rsid w:val="7BAD47F0"/>
    <w:rsid w:val="7BB57536"/>
    <w:rsid w:val="7BB91ECD"/>
    <w:rsid w:val="7BB963D7"/>
    <w:rsid w:val="7BC15F69"/>
    <w:rsid w:val="7BC54CBF"/>
    <w:rsid w:val="7BCD7189"/>
    <w:rsid w:val="7BD46A09"/>
    <w:rsid w:val="7BD54B4C"/>
    <w:rsid w:val="7BE74031"/>
    <w:rsid w:val="7BF243BF"/>
    <w:rsid w:val="7C054291"/>
    <w:rsid w:val="7C0A1BD9"/>
    <w:rsid w:val="7C0F3260"/>
    <w:rsid w:val="7C107F58"/>
    <w:rsid w:val="7C1C4225"/>
    <w:rsid w:val="7C1D4411"/>
    <w:rsid w:val="7C25215D"/>
    <w:rsid w:val="7C2B2360"/>
    <w:rsid w:val="7C364C78"/>
    <w:rsid w:val="7C3B2DF2"/>
    <w:rsid w:val="7C473622"/>
    <w:rsid w:val="7C592D60"/>
    <w:rsid w:val="7C606F39"/>
    <w:rsid w:val="7C617813"/>
    <w:rsid w:val="7C6A692D"/>
    <w:rsid w:val="7C6D7894"/>
    <w:rsid w:val="7C6F0886"/>
    <w:rsid w:val="7C743518"/>
    <w:rsid w:val="7C7C0D43"/>
    <w:rsid w:val="7C7D7A2E"/>
    <w:rsid w:val="7C863018"/>
    <w:rsid w:val="7C897449"/>
    <w:rsid w:val="7C961216"/>
    <w:rsid w:val="7C967A8D"/>
    <w:rsid w:val="7C9D1E30"/>
    <w:rsid w:val="7CA27F10"/>
    <w:rsid w:val="7CBC116A"/>
    <w:rsid w:val="7CD53F28"/>
    <w:rsid w:val="7CD70BD2"/>
    <w:rsid w:val="7CDC30B8"/>
    <w:rsid w:val="7CF366E5"/>
    <w:rsid w:val="7CF71534"/>
    <w:rsid w:val="7CF96443"/>
    <w:rsid w:val="7CFA2F9B"/>
    <w:rsid w:val="7D056BFC"/>
    <w:rsid w:val="7D074754"/>
    <w:rsid w:val="7D1D475E"/>
    <w:rsid w:val="7D1E4F9D"/>
    <w:rsid w:val="7D252A74"/>
    <w:rsid w:val="7D285914"/>
    <w:rsid w:val="7D320949"/>
    <w:rsid w:val="7D372E5A"/>
    <w:rsid w:val="7D4C3F3B"/>
    <w:rsid w:val="7D66342E"/>
    <w:rsid w:val="7D6A06ED"/>
    <w:rsid w:val="7D84052B"/>
    <w:rsid w:val="7D870DE9"/>
    <w:rsid w:val="7D8756F4"/>
    <w:rsid w:val="7D886CE8"/>
    <w:rsid w:val="7D92371D"/>
    <w:rsid w:val="7DB1509A"/>
    <w:rsid w:val="7DBA1D89"/>
    <w:rsid w:val="7DC433CA"/>
    <w:rsid w:val="7DD11B6A"/>
    <w:rsid w:val="7DD379B6"/>
    <w:rsid w:val="7DDD2B3B"/>
    <w:rsid w:val="7DDF525F"/>
    <w:rsid w:val="7DF44DA0"/>
    <w:rsid w:val="7DF84D9C"/>
    <w:rsid w:val="7E023A91"/>
    <w:rsid w:val="7E03703D"/>
    <w:rsid w:val="7E046C82"/>
    <w:rsid w:val="7E0D40AA"/>
    <w:rsid w:val="7E132FA2"/>
    <w:rsid w:val="7E1665E4"/>
    <w:rsid w:val="7E2073DD"/>
    <w:rsid w:val="7E3155E8"/>
    <w:rsid w:val="7E477561"/>
    <w:rsid w:val="7E4C0744"/>
    <w:rsid w:val="7E5A4FBA"/>
    <w:rsid w:val="7E65024E"/>
    <w:rsid w:val="7E6B47E6"/>
    <w:rsid w:val="7E6B57BA"/>
    <w:rsid w:val="7E795155"/>
    <w:rsid w:val="7E84129B"/>
    <w:rsid w:val="7E87026A"/>
    <w:rsid w:val="7E873742"/>
    <w:rsid w:val="7E882EDA"/>
    <w:rsid w:val="7EA855E3"/>
    <w:rsid w:val="7EB04BED"/>
    <w:rsid w:val="7EB4444D"/>
    <w:rsid w:val="7EB86C61"/>
    <w:rsid w:val="7EC03095"/>
    <w:rsid w:val="7EC22758"/>
    <w:rsid w:val="7ED71038"/>
    <w:rsid w:val="7EDD1D7F"/>
    <w:rsid w:val="7EE363E4"/>
    <w:rsid w:val="7EE651A2"/>
    <w:rsid w:val="7EE678A6"/>
    <w:rsid w:val="7EF077E4"/>
    <w:rsid w:val="7EF42478"/>
    <w:rsid w:val="7EF4E0F2"/>
    <w:rsid w:val="7EF866C8"/>
    <w:rsid w:val="7EFF6210"/>
    <w:rsid w:val="7F0049AF"/>
    <w:rsid w:val="7F026902"/>
    <w:rsid w:val="7F026CAB"/>
    <w:rsid w:val="7F0646C1"/>
    <w:rsid w:val="7F115D37"/>
    <w:rsid w:val="7F180732"/>
    <w:rsid w:val="7F2133D0"/>
    <w:rsid w:val="7F2B6EAD"/>
    <w:rsid w:val="7F3F56EF"/>
    <w:rsid w:val="7F565FD1"/>
    <w:rsid w:val="7F6942BA"/>
    <w:rsid w:val="7F6A0DC8"/>
    <w:rsid w:val="7F6D27E0"/>
    <w:rsid w:val="7F82466D"/>
    <w:rsid w:val="7F857A77"/>
    <w:rsid w:val="7F9235C5"/>
    <w:rsid w:val="7F9237B2"/>
    <w:rsid w:val="7F9B5D99"/>
    <w:rsid w:val="7FA63CC7"/>
    <w:rsid w:val="7FA940F7"/>
    <w:rsid w:val="7FBD76B3"/>
    <w:rsid w:val="7FD10E44"/>
    <w:rsid w:val="7FD15E69"/>
    <w:rsid w:val="7FD348DE"/>
    <w:rsid w:val="7FD92423"/>
    <w:rsid w:val="7FDB3DF8"/>
    <w:rsid w:val="7FEF43E6"/>
    <w:rsid w:val="7FF801CA"/>
    <w:rsid w:val="7FF94B6F"/>
    <w:rsid w:val="B7B9A762"/>
    <w:rsid w:val="BDFFD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27"/>
    <w:qFormat/>
    <w:uiPriority w:val="0"/>
    <w:pPr>
      <w:keepNext/>
      <w:keepLines/>
      <w:adjustRightInd w:val="0"/>
      <w:spacing w:before="240" w:after="60" w:line="20" w:lineRule="exact"/>
      <w:textAlignment w:val="baseline"/>
      <w:outlineLvl w:val="0"/>
    </w:pPr>
    <w:rPr>
      <w:rFonts w:eastAsia="黑体"/>
      <w:color w:val="FF0000"/>
      <w:kern w:val="24"/>
      <w:sz w:val="28"/>
      <w:szCs w:val="20"/>
    </w:rPr>
  </w:style>
  <w:style w:type="paragraph" w:styleId="2">
    <w:name w:val="heading 2"/>
    <w:basedOn w:val="1"/>
    <w:next w:val="1"/>
    <w:link w:val="99"/>
    <w:qFormat/>
    <w:uiPriority w:val="0"/>
    <w:pPr>
      <w:keepNext/>
      <w:keepLines/>
      <w:adjustRightInd w:val="0"/>
      <w:spacing w:before="240" w:after="120" w:line="20" w:lineRule="exact"/>
      <w:textAlignment w:val="baseline"/>
      <w:outlineLvl w:val="1"/>
    </w:pPr>
    <w:rPr>
      <w:rFonts w:ascii="Arial" w:hAnsi="Arial" w:eastAsia="黑体"/>
      <w:color w:val="0000FF"/>
      <w:kern w:val="0"/>
      <w:sz w:val="24"/>
      <w:szCs w:val="20"/>
    </w:rPr>
  </w:style>
  <w:style w:type="paragraph" w:styleId="4">
    <w:name w:val="heading 3"/>
    <w:basedOn w:val="1"/>
    <w:next w:val="5"/>
    <w:link w:val="123"/>
    <w:qFormat/>
    <w:uiPriority w:val="0"/>
    <w:pPr>
      <w:keepNext/>
      <w:keepLines/>
      <w:spacing w:before="260" w:after="260" w:line="412" w:lineRule="auto"/>
      <w:ind w:firstLine="49" w:firstLineChars="49"/>
      <w:outlineLvl w:val="2"/>
    </w:pPr>
    <w:rPr>
      <w:rFonts w:ascii="黑体" w:eastAsia="黑体"/>
      <w:sz w:val="28"/>
      <w:szCs w:val="20"/>
    </w:rPr>
  </w:style>
  <w:style w:type="paragraph" w:styleId="6">
    <w:name w:val="heading 4"/>
    <w:basedOn w:val="1"/>
    <w:next w:val="1"/>
    <w:link w:val="106"/>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95"/>
    <w:qFormat/>
    <w:uiPriority w:val="9"/>
    <w:pPr>
      <w:keepNext/>
      <w:keepLines/>
      <w:spacing w:before="280" w:after="290" w:line="376" w:lineRule="auto"/>
      <w:outlineLvl w:val="4"/>
    </w:pPr>
    <w:rPr>
      <w:b/>
      <w:bCs/>
      <w:sz w:val="28"/>
      <w:szCs w:val="28"/>
    </w:rPr>
  </w:style>
  <w:style w:type="paragraph" w:styleId="8">
    <w:name w:val="heading 6"/>
    <w:basedOn w:val="1"/>
    <w:next w:val="1"/>
    <w:link w:val="126"/>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9">
    <w:name w:val="heading 7"/>
    <w:basedOn w:val="1"/>
    <w:next w:val="1"/>
    <w:link w:val="84"/>
    <w:qFormat/>
    <w:uiPriority w:val="99"/>
    <w:pPr>
      <w:keepNext/>
      <w:keepLines/>
      <w:widowControl/>
      <w:tabs>
        <w:tab w:val="left" w:pos="2520"/>
      </w:tabs>
      <w:spacing w:before="240" w:after="64" w:line="319" w:lineRule="auto"/>
      <w:ind w:left="1296" w:hanging="1296"/>
      <w:jc w:val="left"/>
      <w:outlineLvl w:val="6"/>
    </w:pPr>
    <w:rPr>
      <w:b/>
      <w:bCs/>
      <w:kern w:val="0"/>
      <w:sz w:val="24"/>
      <w:szCs w:val="20"/>
    </w:rPr>
  </w:style>
  <w:style w:type="paragraph" w:styleId="10">
    <w:name w:val="heading 8"/>
    <w:basedOn w:val="1"/>
    <w:next w:val="1"/>
    <w:link w:val="134"/>
    <w:qFormat/>
    <w:uiPriority w:val="99"/>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1">
    <w:name w:val="heading 9"/>
    <w:basedOn w:val="1"/>
    <w:next w:val="1"/>
    <w:link w:val="92"/>
    <w:qFormat/>
    <w:uiPriority w:val="99"/>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3">
    <w:name w:val="Default Paragraph Font"/>
    <w:unhideWhenUsed/>
    <w:qFormat/>
    <w:uiPriority w:val="1"/>
  </w:style>
  <w:style w:type="table" w:default="1" w:styleId="4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1"/>
    <w:qFormat/>
    <w:uiPriority w:val="99"/>
    <w:pPr>
      <w:ind w:firstLine="420"/>
    </w:pPr>
  </w:style>
  <w:style w:type="paragraph" w:styleId="12">
    <w:name w:val="toc 7"/>
    <w:basedOn w:val="1"/>
    <w:next w:val="1"/>
    <w:unhideWhenUsed/>
    <w:qFormat/>
    <w:uiPriority w:val="39"/>
    <w:pPr>
      <w:ind w:left="2520" w:leftChars="1200"/>
    </w:pPr>
  </w:style>
  <w:style w:type="paragraph" w:styleId="13">
    <w:name w:val="Document Map"/>
    <w:basedOn w:val="1"/>
    <w:link w:val="89"/>
    <w:qFormat/>
    <w:uiPriority w:val="0"/>
    <w:pPr>
      <w:shd w:val="clear" w:color="auto" w:fill="000080"/>
    </w:pPr>
    <w:rPr>
      <w:szCs w:val="24"/>
    </w:rPr>
  </w:style>
  <w:style w:type="paragraph" w:styleId="14">
    <w:name w:val="toa heading"/>
    <w:basedOn w:val="1"/>
    <w:next w:val="1"/>
    <w:qFormat/>
    <w:uiPriority w:val="0"/>
    <w:pPr>
      <w:spacing w:before="120"/>
    </w:pPr>
    <w:rPr>
      <w:rFonts w:ascii="Arial" w:hAnsi="Arial" w:cs="Arial"/>
      <w:sz w:val="24"/>
      <w:szCs w:val="24"/>
    </w:rPr>
  </w:style>
  <w:style w:type="paragraph" w:styleId="15">
    <w:name w:val="annotation text"/>
    <w:basedOn w:val="1"/>
    <w:link w:val="117"/>
    <w:unhideWhenUsed/>
    <w:qFormat/>
    <w:uiPriority w:val="99"/>
    <w:pPr>
      <w:jc w:val="left"/>
    </w:pPr>
    <w:rPr>
      <w:szCs w:val="24"/>
    </w:rPr>
  </w:style>
  <w:style w:type="paragraph" w:styleId="16">
    <w:name w:val="Body Text 3"/>
    <w:basedOn w:val="1"/>
    <w:link w:val="102"/>
    <w:qFormat/>
    <w:uiPriority w:val="0"/>
    <w:rPr>
      <w:rFonts w:ascii="宋体"/>
      <w:sz w:val="24"/>
      <w:szCs w:val="20"/>
    </w:rPr>
  </w:style>
  <w:style w:type="paragraph" w:styleId="17">
    <w:name w:val="Body Text"/>
    <w:basedOn w:val="1"/>
    <w:link w:val="112"/>
    <w:qFormat/>
    <w:uiPriority w:val="0"/>
    <w:pPr>
      <w:spacing w:after="120"/>
    </w:pPr>
    <w:rPr>
      <w:szCs w:val="24"/>
    </w:rPr>
  </w:style>
  <w:style w:type="paragraph" w:styleId="18">
    <w:name w:val="Body Text Indent"/>
    <w:basedOn w:val="1"/>
    <w:link w:val="91"/>
    <w:qFormat/>
    <w:uiPriority w:val="99"/>
    <w:pPr>
      <w:spacing w:line="300" w:lineRule="auto"/>
      <w:ind w:firstLine="480"/>
    </w:pPr>
    <w:rPr>
      <w:rFonts w:eastAsia="黑体"/>
      <w:b/>
      <w:bCs/>
      <w:szCs w:val="20"/>
    </w:rPr>
  </w:style>
  <w:style w:type="paragraph" w:styleId="19">
    <w:name w:val="toc 5"/>
    <w:basedOn w:val="1"/>
    <w:next w:val="1"/>
    <w:unhideWhenUsed/>
    <w:qFormat/>
    <w:uiPriority w:val="39"/>
    <w:pPr>
      <w:ind w:left="1680" w:leftChars="800"/>
    </w:pPr>
  </w:style>
  <w:style w:type="paragraph" w:styleId="20">
    <w:name w:val="toc 3"/>
    <w:basedOn w:val="1"/>
    <w:next w:val="1"/>
    <w:unhideWhenUsed/>
    <w:qFormat/>
    <w:uiPriority w:val="39"/>
    <w:pPr>
      <w:ind w:left="840" w:leftChars="400"/>
    </w:pPr>
  </w:style>
  <w:style w:type="paragraph" w:styleId="21">
    <w:name w:val="Plain Text"/>
    <w:basedOn w:val="1"/>
    <w:next w:val="1"/>
    <w:link w:val="101"/>
    <w:qFormat/>
    <w:uiPriority w:val="0"/>
    <w:rPr>
      <w:rFonts w:ascii="宋体"/>
    </w:rPr>
  </w:style>
  <w:style w:type="paragraph" w:styleId="22">
    <w:name w:val="toc 8"/>
    <w:basedOn w:val="1"/>
    <w:next w:val="1"/>
    <w:unhideWhenUsed/>
    <w:qFormat/>
    <w:uiPriority w:val="39"/>
    <w:pPr>
      <w:ind w:left="2940" w:leftChars="1400"/>
    </w:pPr>
  </w:style>
  <w:style w:type="paragraph" w:styleId="23">
    <w:name w:val="Date"/>
    <w:basedOn w:val="1"/>
    <w:next w:val="1"/>
    <w:link w:val="128"/>
    <w:qFormat/>
    <w:uiPriority w:val="99"/>
    <w:pPr>
      <w:ind w:left="2500" w:leftChars="2500"/>
    </w:pPr>
    <w:rPr>
      <w:szCs w:val="20"/>
    </w:rPr>
  </w:style>
  <w:style w:type="paragraph" w:styleId="24">
    <w:name w:val="Body Text Indent 2"/>
    <w:basedOn w:val="1"/>
    <w:link w:val="133"/>
    <w:qFormat/>
    <w:uiPriority w:val="0"/>
    <w:pPr>
      <w:spacing w:line="500" w:lineRule="exact"/>
      <w:ind w:firstLine="750"/>
    </w:pPr>
    <w:rPr>
      <w:rFonts w:ascii="宋体" w:hAnsi="宋体"/>
      <w:color w:val="000000"/>
      <w:spacing w:val="20"/>
      <w:sz w:val="30"/>
      <w:szCs w:val="20"/>
    </w:rPr>
  </w:style>
  <w:style w:type="paragraph" w:styleId="25">
    <w:name w:val="Balloon Text"/>
    <w:basedOn w:val="1"/>
    <w:link w:val="97"/>
    <w:qFormat/>
    <w:uiPriority w:val="0"/>
    <w:rPr>
      <w:sz w:val="18"/>
      <w:szCs w:val="18"/>
    </w:rPr>
  </w:style>
  <w:style w:type="paragraph" w:styleId="26">
    <w:name w:val="footer"/>
    <w:basedOn w:val="1"/>
    <w:link w:val="111"/>
    <w:qFormat/>
    <w:uiPriority w:val="99"/>
    <w:pPr>
      <w:tabs>
        <w:tab w:val="center" w:pos="4153"/>
        <w:tab w:val="right" w:pos="8306"/>
      </w:tabs>
      <w:snapToGrid w:val="0"/>
      <w:jc w:val="left"/>
    </w:pPr>
    <w:rPr>
      <w:sz w:val="18"/>
      <w:szCs w:val="18"/>
    </w:rPr>
  </w:style>
  <w:style w:type="paragraph" w:styleId="27">
    <w:name w:val="header"/>
    <w:basedOn w:val="1"/>
    <w:link w:val="110"/>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100"/>
      </w:tabs>
      <w:adjustRightInd w:val="0"/>
      <w:spacing w:before="120" w:after="120" w:line="312" w:lineRule="atLeast"/>
      <w:ind w:right="25" w:rightChars="12"/>
      <w:jc w:val="left"/>
      <w:textAlignment w:val="baseline"/>
    </w:pPr>
    <w:rPr>
      <w:rFonts w:eastAsia="长城仿宋"/>
      <w:b/>
      <w:caps/>
      <w:color w:val="000000"/>
      <w:kern w:val="0"/>
      <w:sz w:val="20"/>
      <w:szCs w:val="20"/>
    </w:rPr>
  </w:style>
  <w:style w:type="paragraph" w:styleId="29">
    <w:name w:val="toc 4"/>
    <w:basedOn w:val="1"/>
    <w:next w:val="1"/>
    <w:unhideWhenUsed/>
    <w:qFormat/>
    <w:uiPriority w:val="39"/>
    <w:pPr>
      <w:ind w:left="1260" w:leftChars="600"/>
    </w:pPr>
  </w:style>
  <w:style w:type="paragraph" w:styleId="30">
    <w:name w:val="toc 6"/>
    <w:basedOn w:val="1"/>
    <w:next w:val="1"/>
    <w:unhideWhenUsed/>
    <w:qFormat/>
    <w:uiPriority w:val="39"/>
    <w:pPr>
      <w:ind w:left="2100" w:leftChars="1000"/>
    </w:pPr>
  </w:style>
  <w:style w:type="paragraph" w:styleId="31">
    <w:name w:val="Body Text Indent 3"/>
    <w:basedOn w:val="1"/>
    <w:link w:val="135"/>
    <w:qFormat/>
    <w:uiPriority w:val="0"/>
    <w:pPr>
      <w:spacing w:after="120"/>
      <w:ind w:left="420" w:leftChars="200"/>
    </w:pPr>
    <w:rPr>
      <w:sz w:val="16"/>
      <w:szCs w:val="16"/>
    </w:rPr>
  </w:style>
  <w:style w:type="paragraph" w:styleId="32">
    <w:name w:val="toc 2"/>
    <w:basedOn w:val="1"/>
    <w:next w:val="1"/>
    <w:qFormat/>
    <w:uiPriority w:val="39"/>
    <w:pPr>
      <w:tabs>
        <w:tab w:val="right" w:leader="dot" w:pos="8460"/>
      </w:tabs>
      <w:adjustRightInd w:val="0"/>
      <w:spacing w:line="312" w:lineRule="atLeast"/>
      <w:ind w:left="240"/>
      <w:jc w:val="left"/>
      <w:textAlignment w:val="baseline"/>
    </w:pPr>
    <w:rPr>
      <w:rFonts w:eastAsia="长城仿宋"/>
      <w:smallCaps/>
      <w:color w:val="000000"/>
      <w:kern w:val="0"/>
      <w:sz w:val="20"/>
      <w:szCs w:val="20"/>
    </w:rPr>
  </w:style>
  <w:style w:type="paragraph" w:styleId="33">
    <w:name w:val="toc 9"/>
    <w:basedOn w:val="1"/>
    <w:next w:val="1"/>
    <w:unhideWhenUsed/>
    <w:qFormat/>
    <w:uiPriority w:val="39"/>
    <w:pPr>
      <w:ind w:left="3360" w:leftChars="1600"/>
    </w:pPr>
  </w:style>
  <w:style w:type="paragraph" w:styleId="34">
    <w:name w:val="Body Text 2"/>
    <w:basedOn w:val="1"/>
    <w:link w:val="85"/>
    <w:qFormat/>
    <w:uiPriority w:val="0"/>
    <w:pPr>
      <w:spacing w:after="120" w:line="480" w:lineRule="auto"/>
    </w:pPr>
    <w:rPr>
      <w:szCs w:val="24"/>
    </w:rPr>
  </w:style>
  <w:style w:type="paragraph" w:styleId="35">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6">
    <w:name w:val="index 1"/>
    <w:basedOn w:val="1"/>
    <w:next w:val="1"/>
    <w:qFormat/>
    <w:uiPriority w:val="99"/>
    <w:pPr>
      <w:spacing w:line="220" w:lineRule="exact"/>
      <w:jc w:val="center"/>
    </w:pPr>
    <w:rPr>
      <w:rFonts w:ascii="仿宋_GB2312" w:eastAsia="仿宋_GB2312"/>
      <w:szCs w:val="21"/>
    </w:rPr>
  </w:style>
  <w:style w:type="paragraph" w:styleId="37">
    <w:name w:val="Title"/>
    <w:basedOn w:val="1"/>
    <w:link w:val="121"/>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5"/>
    <w:next w:val="15"/>
    <w:link w:val="96"/>
    <w:qFormat/>
    <w:uiPriority w:val="99"/>
    <w:rPr>
      <w:szCs w:val="20"/>
    </w:rPr>
  </w:style>
  <w:style w:type="paragraph" w:styleId="39">
    <w:name w:val="Body Text First Indent"/>
    <w:basedOn w:val="17"/>
    <w:link w:val="131"/>
    <w:qFormat/>
    <w:uiPriority w:val="0"/>
    <w:pPr>
      <w:ind w:firstLine="420" w:firstLineChars="100"/>
    </w:pPr>
  </w:style>
  <w:style w:type="paragraph" w:styleId="40">
    <w:name w:val="Body Text First Indent 2"/>
    <w:basedOn w:val="18"/>
    <w:qFormat/>
    <w:uiPriority w:val="0"/>
    <w:pPr>
      <w:snapToGrid w:val="0"/>
      <w:spacing w:line="360" w:lineRule="auto"/>
      <w:ind w:firstLine="420" w:firstLineChars="200"/>
    </w:pPr>
    <w:rPr>
      <w:rFonts w:ascii="Tahoma" w:hAnsi="Tahoma" w:eastAsia="宋体"/>
      <w:sz w:val="28"/>
    </w:r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unhideWhenUsed/>
    <w:qFormat/>
    <w:uiPriority w:val="99"/>
    <w:rPr>
      <w:color w:val="800080"/>
      <w:u w:val="single"/>
    </w:rPr>
  </w:style>
  <w:style w:type="character" w:styleId="47">
    <w:name w:val="Emphasis"/>
    <w:basedOn w:val="43"/>
    <w:qFormat/>
    <w:uiPriority w:val="0"/>
    <w:rPr>
      <w:i/>
    </w:rPr>
  </w:style>
  <w:style w:type="character" w:styleId="48">
    <w:name w:val="Hyperlink"/>
    <w:qFormat/>
    <w:uiPriority w:val="99"/>
    <w:rPr>
      <w:color w:val="0000FF"/>
      <w:u w:val="single"/>
    </w:rPr>
  </w:style>
  <w:style w:type="character" w:styleId="49">
    <w:name w:val="annotation reference"/>
    <w:basedOn w:val="43"/>
    <w:qFormat/>
    <w:uiPriority w:val="0"/>
    <w:rPr>
      <w:sz w:val="21"/>
    </w:rPr>
  </w:style>
  <w:style w:type="character" w:styleId="50">
    <w:name w:val="footnote reference"/>
    <w:qFormat/>
    <w:uiPriority w:val="0"/>
    <w:rPr>
      <w:vertAlign w:val="superscript"/>
    </w:rPr>
  </w:style>
  <w:style w:type="paragraph" w:customStyle="1" w:styleId="51">
    <w:name w:val="样式1"/>
    <w:basedOn w:val="1"/>
    <w:next w:val="6"/>
    <w:qFormat/>
    <w:uiPriority w:val="99"/>
    <w:pPr>
      <w:spacing w:line="360" w:lineRule="auto"/>
      <w:ind w:firstLine="420" w:firstLineChars="200"/>
    </w:pPr>
    <w:rPr>
      <w:rFonts w:ascii="宋体" w:hAnsi="宋体"/>
      <w:szCs w:val="21"/>
    </w:rPr>
  </w:style>
  <w:style w:type="paragraph" w:customStyle="1" w:styleId="52">
    <w:name w:val="正文缩进1"/>
    <w:basedOn w:val="1"/>
    <w:qFormat/>
    <w:uiPriority w:val="0"/>
    <w:pPr>
      <w:ind w:firstLine="420"/>
    </w:pPr>
    <w:rPr>
      <w:rFonts w:ascii="宋体" w:hAnsi="宋体"/>
    </w:rPr>
  </w:style>
  <w:style w:type="paragraph" w:customStyle="1" w:styleId="53">
    <w:name w:val="表格文字"/>
    <w:basedOn w:val="1"/>
    <w:qFormat/>
    <w:uiPriority w:val="99"/>
    <w:pPr>
      <w:adjustRightInd w:val="0"/>
      <w:spacing w:line="420" w:lineRule="atLeast"/>
      <w:jc w:val="left"/>
      <w:textAlignment w:val="baseline"/>
    </w:pPr>
    <w:rPr>
      <w:kern w:val="0"/>
      <w:szCs w:val="20"/>
    </w:rPr>
  </w:style>
  <w:style w:type="character" w:customStyle="1" w:styleId="54">
    <w:name w:val="标题 2 Char"/>
    <w:qFormat/>
    <w:uiPriority w:val="0"/>
    <w:rPr>
      <w:rFonts w:ascii="Calibri Light" w:hAnsi="Calibri Light" w:eastAsia="宋体" w:cs="Times New Roman"/>
      <w:b/>
      <w:bCs/>
      <w:kern w:val="2"/>
      <w:sz w:val="32"/>
      <w:szCs w:val="32"/>
    </w:rPr>
  </w:style>
  <w:style w:type="paragraph" w:customStyle="1" w:styleId="55">
    <w:name w:val="样式2"/>
    <w:basedOn w:val="1"/>
    <w:qFormat/>
    <w:uiPriority w:val="99"/>
    <w:pPr>
      <w:adjustRightInd w:val="0"/>
      <w:spacing w:before="120" w:after="120" w:line="312" w:lineRule="atLeast"/>
      <w:jc w:val="center"/>
      <w:textAlignment w:val="baseline"/>
    </w:pPr>
    <w:rPr>
      <w:kern w:val="0"/>
      <w:sz w:val="24"/>
      <w:szCs w:val="20"/>
    </w:rPr>
  </w:style>
  <w:style w:type="paragraph" w:customStyle="1" w:styleId="56">
    <w:name w:val="修订2"/>
    <w:qFormat/>
    <w:uiPriority w:val="99"/>
    <w:rPr>
      <w:rFonts w:ascii="Times New Roman" w:hAnsi="Times New Roman" w:eastAsia="宋体" w:cs="Times New Roman"/>
      <w:kern w:val="2"/>
      <w:sz w:val="21"/>
      <w:szCs w:val="24"/>
      <w:lang w:val="en-US" w:eastAsia="zh-CN" w:bidi="ar-SA"/>
    </w:rPr>
  </w:style>
  <w:style w:type="paragraph" w:customStyle="1" w:styleId="57">
    <w:name w:val="Char1"/>
    <w:basedOn w:val="1"/>
    <w:qFormat/>
    <w:uiPriority w:val="99"/>
    <w:pPr>
      <w:tabs>
        <w:tab w:val="left" w:pos="360"/>
      </w:tabs>
    </w:pPr>
    <w:rPr>
      <w:sz w:val="24"/>
      <w:szCs w:val="20"/>
    </w:rPr>
  </w:style>
  <w:style w:type="paragraph" w:customStyle="1" w:styleId="58">
    <w:name w:val="格式2"/>
    <w:basedOn w:val="2"/>
    <w:qFormat/>
    <w:uiPriority w:val="99"/>
    <w:pPr>
      <w:autoSpaceDE w:val="0"/>
      <w:autoSpaceDN w:val="0"/>
      <w:spacing w:before="260" w:after="260" w:line="416" w:lineRule="atLeast"/>
    </w:pPr>
    <w:rPr>
      <w:rFonts w:ascii="黑体" w:hAnsi="Times New Roman"/>
      <w:b/>
      <w:color w:val="auto"/>
      <w:sz w:val="30"/>
    </w:rPr>
  </w:style>
  <w:style w:type="paragraph" w:customStyle="1" w:styleId="59">
    <w:name w:val="我的正文"/>
    <w:basedOn w:val="1"/>
    <w:qFormat/>
    <w:uiPriority w:val="99"/>
    <w:rPr>
      <w:rFonts w:ascii="宋体" w:hAnsi="宋体"/>
      <w:sz w:val="24"/>
      <w:szCs w:val="24"/>
    </w:rPr>
  </w:style>
  <w:style w:type="paragraph" w:styleId="60">
    <w:name w:val="List Paragraph"/>
    <w:basedOn w:val="1"/>
    <w:qFormat/>
    <w:uiPriority w:val="34"/>
    <w:pPr>
      <w:ind w:firstLine="420" w:firstLineChars="200"/>
    </w:pPr>
  </w:style>
  <w:style w:type="paragraph" w:customStyle="1" w:styleId="61">
    <w:name w:val="段"/>
    <w:next w:val="1"/>
    <w:unhideWhenUsed/>
    <w:qFormat/>
    <w:uiPriority w:val="0"/>
    <w:pPr>
      <w:autoSpaceDE w:val="0"/>
      <w:autoSpaceDN w:val="0"/>
      <w:ind w:firstLine="200"/>
      <w:jc w:val="both"/>
    </w:pPr>
    <w:rPr>
      <w:rFonts w:hint="eastAsia" w:ascii="宋体" w:hAnsi="Calibri" w:eastAsia="宋体" w:cs="Times New Roman"/>
      <w:sz w:val="21"/>
      <w:lang w:val="en-US" w:eastAsia="zh-CN" w:bidi="ar-SA"/>
    </w:rPr>
  </w:style>
  <w:style w:type="paragraph" w:customStyle="1" w:styleId="62">
    <w:name w:val="Body text|22"/>
    <w:basedOn w:val="1"/>
    <w:link w:val="147"/>
    <w:qFormat/>
    <w:uiPriority w:val="0"/>
    <w:pPr>
      <w:shd w:val="clear" w:color="auto" w:fill="FFFFFF"/>
      <w:spacing w:before="740" w:after="1520" w:line="260" w:lineRule="exact"/>
      <w:ind w:hanging="1380"/>
    </w:pPr>
    <w:rPr>
      <w:rFonts w:ascii="PMingLiU" w:hAnsi="PMingLiU" w:eastAsia="PMingLiU" w:cs="PMingLiU"/>
      <w:spacing w:val="20"/>
      <w:sz w:val="26"/>
      <w:szCs w:val="26"/>
    </w:rPr>
  </w:style>
  <w:style w:type="paragraph" w:customStyle="1" w:styleId="63">
    <w:name w:val="Char Char2"/>
    <w:basedOn w:val="1"/>
    <w:qFormat/>
    <w:uiPriority w:val="0"/>
    <w:rPr>
      <w:sz w:val="30"/>
      <w:szCs w:val="24"/>
    </w:rPr>
  </w:style>
  <w:style w:type="paragraph" w:customStyle="1" w:styleId="64">
    <w:name w:val="p15"/>
    <w:basedOn w:val="1"/>
    <w:qFormat/>
    <w:uiPriority w:val="99"/>
    <w:pPr>
      <w:widowControl/>
      <w:spacing w:line="360" w:lineRule="auto"/>
      <w:ind w:firstLine="420"/>
    </w:pPr>
    <w:rPr>
      <w:kern w:val="0"/>
      <w:szCs w:val="21"/>
    </w:rPr>
  </w:style>
  <w:style w:type="paragraph" w:customStyle="1" w:styleId="65">
    <w:name w:val="Char Char21"/>
    <w:basedOn w:val="1"/>
    <w:qFormat/>
    <w:uiPriority w:val="99"/>
    <w:rPr>
      <w:sz w:val="30"/>
      <w:szCs w:val="24"/>
    </w:rPr>
  </w:style>
  <w:style w:type="paragraph" w:customStyle="1" w:styleId="66">
    <w:name w:val="表格"/>
    <w:basedOn w:val="1"/>
    <w:qFormat/>
    <w:uiPriority w:val="99"/>
    <w:pPr>
      <w:jc w:val="center"/>
      <w:textAlignment w:val="center"/>
    </w:pPr>
    <w:rPr>
      <w:rFonts w:ascii="华文细黑" w:hAnsi="华文细黑"/>
      <w:kern w:val="0"/>
      <w:szCs w:val="20"/>
    </w:rPr>
  </w:style>
  <w:style w:type="paragraph" w:customStyle="1" w:styleId="67">
    <w:name w:val="_Style 23"/>
    <w:basedOn w:val="1"/>
    <w:qFormat/>
    <w:uiPriority w:val="99"/>
    <w:pPr>
      <w:widowControl/>
      <w:spacing w:after="160" w:line="240" w:lineRule="exact"/>
      <w:jc w:val="left"/>
    </w:pPr>
  </w:style>
  <w:style w:type="paragraph" w:customStyle="1" w:styleId="68">
    <w:name w:val="公文正文"/>
    <w:qFormat/>
    <w:uiPriority w:val="99"/>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69">
    <w:name w:val="样式 标题 2 + Times New Roman 四号 非加粗 段前: 5 磅 段后: 0 磅 行距: 固定值 20..."/>
    <w:basedOn w:val="2"/>
    <w:qFormat/>
    <w:uiPriority w:val="99"/>
    <w:pPr>
      <w:adjustRightInd/>
      <w:spacing w:before="100" w:after="0" w:line="400" w:lineRule="exact"/>
      <w:textAlignment w:val="auto"/>
    </w:pPr>
    <w:rPr>
      <w:rFonts w:ascii="Times New Roman" w:hAnsi="Times New Roman" w:cs="宋体"/>
      <w:color w:val="auto"/>
      <w:kern w:val="2"/>
      <w:sz w:val="28"/>
    </w:rPr>
  </w:style>
  <w:style w:type="paragraph" w:customStyle="1" w:styleId="70">
    <w:name w:val="p0"/>
    <w:basedOn w:val="1"/>
    <w:qFormat/>
    <w:uiPriority w:val="99"/>
    <w:pPr>
      <w:widowControl/>
    </w:pPr>
    <w:rPr>
      <w:kern w:val="0"/>
      <w:szCs w:val="21"/>
    </w:rPr>
  </w:style>
  <w:style w:type="paragraph" w:customStyle="1" w:styleId="71">
    <w:name w:val="_Style 65"/>
    <w:qFormat/>
    <w:uiPriority w:val="99"/>
    <w:rPr>
      <w:rFonts w:ascii="Times New Roman" w:hAnsi="Times New Roman" w:eastAsia="宋体" w:cs="Times New Roman"/>
      <w:kern w:val="2"/>
      <w:sz w:val="21"/>
      <w:lang w:val="en-US" w:eastAsia="zh-CN" w:bidi="ar-SA"/>
    </w:rPr>
  </w:style>
  <w:style w:type="paragraph" w:customStyle="1" w:styleId="72">
    <w:name w:val="修订1"/>
    <w:qFormat/>
    <w:uiPriority w:val="99"/>
    <w:rPr>
      <w:rFonts w:ascii="Times New Roman" w:hAnsi="Times New Roman" w:eastAsia="宋体" w:cs="Times New Roman"/>
      <w:kern w:val="2"/>
      <w:sz w:val="21"/>
      <w:szCs w:val="24"/>
      <w:lang w:val="en-US" w:eastAsia="zh-CN" w:bidi="ar-SA"/>
    </w:rPr>
  </w:style>
  <w:style w:type="paragraph" w:customStyle="1" w:styleId="73">
    <w:name w:val="_Style 67"/>
    <w:basedOn w:val="3"/>
    <w:next w:val="1"/>
    <w:qFormat/>
    <w:uiPriority w:val="99"/>
    <w:pPr>
      <w:widowControl/>
      <w:adjustRightInd/>
      <w:spacing w:before="480" w:after="0" w:line="276" w:lineRule="auto"/>
      <w:jc w:val="left"/>
      <w:textAlignment w:val="auto"/>
      <w:outlineLvl w:val="9"/>
    </w:pPr>
    <w:rPr>
      <w:rFonts w:ascii="Cambria" w:hAnsi="Cambria" w:eastAsia="宋体"/>
      <w:b/>
      <w:color w:val="365F91"/>
      <w:kern w:val="0"/>
    </w:rPr>
  </w:style>
  <w:style w:type="paragraph" w:customStyle="1" w:styleId="74">
    <w:name w:val="标准正文"/>
    <w:basedOn w:val="1"/>
    <w:link w:val="107"/>
    <w:qFormat/>
    <w:uiPriority w:val="0"/>
    <w:pPr>
      <w:tabs>
        <w:tab w:val="left" w:pos="720"/>
      </w:tabs>
      <w:spacing w:line="360" w:lineRule="auto"/>
      <w:ind w:firstLine="200" w:firstLineChars="200"/>
    </w:pPr>
    <w:rPr>
      <w:kern w:val="0"/>
      <w:sz w:val="20"/>
      <w:szCs w:val="24"/>
    </w:rPr>
  </w:style>
  <w:style w:type="paragraph" w:customStyle="1" w:styleId="75">
    <w:name w:val="样式 标题 1 + 黑体 三号 非加粗 居中 段前: 6 磅 段后: 6 磅 行距: 固定值 20 磅"/>
    <w:basedOn w:val="3"/>
    <w:qFormat/>
    <w:uiPriority w:val="99"/>
    <w:pPr>
      <w:adjustRightInd/>
      <w:spacing w:before="120" w:after="120" w:line="400" w:lineRule="exact"/>
      <w:jc w:val="center"/>
      <w:textAlignment w:val="auto"/>
    </w:pPr>
    <w:rPr>
      <w:rFonts w:ascii="黑体" w:hAnsi="黑体" w:cs="宋体"/>
      <w:color w:val="auto"/>
      <w:kern w:val="44"/>
      <w:sz w:val="32"/>
    </w:rPr>
  </w:style>
  <w:style w:type="paragraph" w:customStyle="1" w:styleId="76">
    <w:name w:val="样式 标题 3 + (中文) 黑体 小四 非加粗 段前: 7.8 磅 段后: 0 磅 行距: 固定值 20 磅"/>
    <w:basedOn w:val="4"/>
    <w:qFormat/>
    <w:uiPriority w:val="99"/>
    <w:pPr>
      <w:spacing w:before="0" w:after="0" w:line="400" w:lineRule="exact"/>
      <w:ind w:firstLine="137"/>
    </w:pPr>
    <w:rPr>
      <w:rFonts w:cs="宋体"/>
      <w:sz w:val="24"/>
    </w:rPr>
  </w:style>
  <w:style w:type="paragraph" w:customStyle="1" w:styleId="77">
    <w:name w:val="Char"/>
    <w:basedOn w:val="1"/>
    <w:qFormat/>
    <w:uiPriority w:val="99"/>
    <w:pPr>
      <w:widowControl/>
      <w:spacing w:before="100" w:beforeAutospacing="1" w:after="100" w:afterAutospacing="1" w:line="360" w:lineRule="auto"/>
      <w:jc w:val="left"/>
    </w:pPr>
    <w:rPr>
      <w:sz w:val="24"/>
      <w:szCs w:val="24"/>
    </w:rPr>
  </w:style>
  <w:style w:type="paragraph" w:customStyle="1" w:styleId="78">
    <w:name w:val="_Style 19"/>
    <w:basedOn w:val="1"/>
    <w:qFormat/>
    <w:uiPriority w:val="99"/>
    <w:rPr>
      <w:szCs w:val="24"/>
    </w:rPr>
  </w:style>
  <w:style w:type="paragraph" w:customStyle="1" w:styleId="79">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80">
    <w:name w:val="1"/>
    <w:basedOn w:val="1"/>
    <w:qFormat/>
    <w:uiPriority w:val="99"/>
    <w:rPr>
      <w:szCs w:val="20"/>
    </w:rPr>
  </w:style>
  <w:style w:type="character" w:customStyle="1" w:styleId="81">
    <w:name w:val="批注框文本 Char1"/>
    <w:semiHidden/>
    <w:qFormat/>
    <w:locked/>
    <w:uiPriority w:val="99"/>
    <w:rPr>
      <w:rFonts w:ascii="Times New Roman" w:hAnsi="Times New Roman" w:eastAsia="宋体"/>
      <w:kern w:val="2"/>
      <w:sz w:val="18"/>
      <w:szCs w:val="18"/>
    </w:rPr>
  </w:style>
  <w:style w:type="character" w:customStyle="1" w:styleId="82">
    <w:name w:val="font01"/>
    <w:qFormat/>
    <w:uiPriority w:val="0"/>
    <w:rPr>
      <w:rFonts w:hint="eastAsia" w:ascii="宋体" w:hAnsi="宋体" w:eastAsia="宋体" w:cs="宋体"/>
      <w:color w:val="00B0F0"/>
      <w:sz w:val="20"/>
      <w:szCs w:val="20"/>
      <w:u w:val="none"/>
    </w:rPr>
  </w:style>
  <w:style w:type="character" w:customStyle="1" w:styleId="83">
    <w:name w:val="正文文本 Char2"/>
    <w:semiHidden/>
    <w:qFormat/>
    <w:locked/>
    <w:uiPriority w:val="99"/>
    <w:rPr>
      <w:rFonts w:ascii="Times New Roman" w:hAnsi="Times New Roman" w:eastAsia="宋体"/>
      <w:kern w:val="2"/>
      <w:sz w:val="21"/>
      <w:szCs w:val="24"/>
    </w:rPr>
  </w:style>
  <w:style w:type="character" w:customStyle="1" w:styleId="84">
    <w:name w:val="标题 7 字符"/>
    <w:link w:val="9"/>
    <w:qFormat/>
    <w:uiPriority w:val="99"/>
    <w:rPr>
      <w:rFonts w:ascii="Times New Roman" w:hAnsi="Times New Roman"/>
      <w:b/>
      <w:bCs/>
      <w:sz w:val="24"/>
    </w:rPr>
  </w:style>
  <w:style w:type="character" w:customStyle="1" w:styleId="85">
    <w:name w:val="正文文本 2 字符"/>
    <w:link w:val="34"/>
    <w:qFormat/>
    <w:uiPriority w:val="0"/>
    <w:rPr>
      <w:rFonts w:ascii="Times New Roman" w:hAnsi="Times New Roman"/>
      <w:kern w:val="2"/>
      <w:sz w:val="21"/>
      <w:szCs w:val="24"/>
    </w:rPr>
  </w:style>
  <w:style w:type="character" w:customStyle="1" w:styleId="86">
    <w:name w:val="批注文字 Char1"/>
    <w:qFormat/>
    <w:uiPriority w:val="0"/>
    <w:rPr>
      <w:rFonts w:ascii="Times New Roman" w:hAnsi="Times New Roman" w:eastAsia="宋体" w:cs="Times New Roman"/>
      <w:sz w:val="20"/>
      <w:szCs w:val="20"/>
      <w:lang w:bidi="ar-SA"/>
    </w:rPr>
  </w:style>
  <w:style w:type="character" w:customStyle="1" w:styleId="87">
    <w:name w:val="文档结构图 Char"/>
    <w:qFormat/>
    <w:uiPriority w:val="0"/>
    <w:rPr>
      <w:rFonts w:ascii="Microsoft YaHei UI" w:eastAsia="Microsoft YaHei UI"/>
      <w:kern w:val="2"/>
      <w:sz w:val="18"/>
      <w:szCs w:val="18"/>
    </w:rPr>
  </w:style>
  <w:style w:type="character" w:customStyle="1" w:styleId="88">
    <w:name w:val="标题 2 Char1"/>
    <w:semiHidden/>
    <w:qFormat/>
    <w:locked/>
    <w:uiPriority w:val="0"/>
    <w:rPr>
      <w:rFonts w:ascii="Arial" w:hAnsi="Arial" w:eastAsia="黑体"/>
      <w:color w:val="0000FF"/>
      <w:sz w:val="24"/>
    </w:rPr>
  </w:style>
  <w:style w:type="character" w:customStyle="1" w:styleId="89">
    <w:name w:val="文档结构图 字符"/>
    <w:link w:val="13"/>
    <w:qFormat/>
    <w:uiPriority w:val="0"/>
    <w:rPr>
      <w:rFonts w:ascii="Times New Roman" w:hAnsi="Times New Roman"/>
      <w:kern w:val="2"/>
      <w:sz w:val="21"/>
      <w:szCs w:val="24"/>
      <w:shd w:val="clear" w:color="auto" w:fill="000080"/>
    </w:rPr>
  </w:style>
  <w:style w:type="character" w:customStyle="1" w:styleId="90">
    <w:name w:val="正文文本 2 Char1"/>
    <w:qFormat/>
    <w:uiPriority w:val="0"/>
    <w:rPr>
      <w:rFonts w:eastAsia="宋体"/>
      <w:kern w:val="2"/>
      <w:sz w:val="21"/>
      <w:szCs w:val="24"/>
    </w:rPr>
  </w:style>
  <w:style w:type="character" w:customStyle="1" w:styleId="91">
    <w:name w:val="正文文本缩进 字符1"/>
    <w:link w:val="18"/>
    <w:qFormat/>
    <w:uiPriority w:val="99"/>
    <w:rPr>
      <w:rFonts w:ascii="Times New Roman" w:hAnsi="Times New Roman" w:eastAsia="黑体"/>
      <w:b/>
      <w:bCs/>
      <w:kern w:val="2"/>
      <w:sz w:val="21"/>
    </w:rPr>
  </w:style>
  <w:style w:type="character" w:customStyle="1" w:styleId="92">
    <w:name w:val="标题 9 字符"/>
    <w:link w:val="11"/>
    <w:qFormat/>
    <w:uiPriority w:val="99"/>
    <w:rPr>
      <w:rFonts w:ascii="Arial" w:hAnsi="Arial" w:eastAsia="黑体"/>
      <w:sz w:val="21"/>
      <w:szCs w:val="21"/>
    </w:rPr>
  </w:style>
  <w:style w:type="character" w:customStyle="1" w:styleId="93">
    <w:name w:val="正文首行缩进 Char2"/>
    <w:semiHidden/>
    <w:qFormat/>
    <w:locked/>
    <w:uiPriority w:val="99"/>
  </w:style>
  <w:style w:type="character" w:customStyle="1" w:styleId="94">
    <w:name w:val="页脚 字符"/>
    <w:semiHidden/>
    <w:qFormat/>
    <w:uiPriority w:val="99"/>
    <w:rPr>
      <w:rFonts w:ascii="Times New Roman" w:hAnsi="Times New Roman" w:eastAsia="宋体" w:cs="Times New Roman"/>
      <w:sz w:val="18"/>
      <w:szCs w:val="18"/>
    </w:rPr>
  </w:style>
  <w:style w:type="character" w:customStyle="1" w:styleId="95">
    <w:name w:val="标题 5 字符"/>
    <w:link w:val="7"/>
    <w:qFormat/>
    <w:uiPriority w:val="9"/>
    <w:rPr>
      <w:rFonts w:ascii="Times New Roman" w:hAnsi="Times New Roman"/>
      <w:b/>
      <w:bCs/>
      <w:kern w:val="2"/>
      <w:sz w:val="28"/>
      <w:szCs w:val="28"/>
    </w:rPr>
  </w:style>
  <w:style w:type="character" w:customStyle="1" w:styleId="96">
    <w:name w:val="批注主题 字符"/>
    <w:link w:val="38"/>
    <w:qFormat/>
    <w:uiPriority w:val="99"/>
  </w:style>
  <w:style w:type="character" w:customStyle="1" w:styleId="97">
    <w:name w:val="批注框文本 字符"/>
    <w:link w:val="25"/>
    <w:qFormat/>
    <w:uiPriority w:val="0"/>
    <w:rPr>
      <w:rFonts w:ascii="Times New Roman" w:hAnsi="Times New Roman"/>
      <w:kern w:val="2"/>
      <w:sz w:val="18"/>
      <w:szCs w:val="18"/>
    </w:rPr>
  </w:style>
  <w:style w:type="character" w:customStyle="1" w:styleId="98">
    <w:name w:val="正文文本 Char"/>
    <w:qFormat/>
    <w:uiPriority w:val="0"/>
    <w:rPr>
      <w:kern w:val="2"/>
      <w:sz w:val="21"/>
      <w:szCs w:val="22"/>
    </w:rPr>
  </w:style>
  <w:style w:type="character" w:customStyle="1" w:styleId="99">
    <w:name w:val="标题 2 字符"/>
    <w:link w:val="2"/>
    <w:qFormat/>
    <w:uiPriority w:val="0"/>
    <w:rPr>
      <w:rFonts w:ascii="Arial" w:hAnsi="Arial" w:eastAsia="黑体"/>
      <w:color w:val="0000FF"/>
      <w:sz w:val="24"/>
    </w:rPr>
  </w:style>
  <w:style w:type="character" w:customStyle="1" w:styleId="100">
    <w:name w:val="正文文本缩进 3 Char1"/>
    <w:semiHidden/>
    <w:qFormat/>
    <w:locked/>
    <w:uiPriority w:val="99"/>
    <w:rPr>
      <w:rFonts w:ascii="Times New Roman" w:hAnsi="Times New Roman" w:eastAsia="宋体"/>
      <w:kern w:val="2"/>
      <w:sz w:val="16"/>
      <w:szCs w:val="16"/>
    </w:rPr>
  </w:style>
  <w:style w:type="character" w:customStyle="1" w:styleId="101">
    <w:name w:val="纯文本 字符"/>
    <w:link w:val="21"/>
    <w:qFormat/>
    <w:uiPriority w:val="0"/>
    <w:rPr>
      <w:rFonts w:ascii="宋体"/>
      <w:kern w:val="2"/>
      <w:sz w:val="21"/>
      <w:szCs w:val="22"/>
    </w:rPr>
  </w:style>
  <w:style w:type="character" w:customStyle="1" w:styleId="102">
    <w:name w:val="正文文本 3 字符"/>
    <w:link w:val="16"/>
    <w:qFormat/>
    <w:uiPriority w:val="0"/>
    <w:rPr>
      <w:rFonts w:ascii="宋体"/>
      <w:kern w:val="2"/>
      <w:sz w:val="24"/>
    </w:rPr>
  </w:style>
  <w:style w:type="character" w:customStyle="1" w:styleId="103">
    <w:name w:val="标题 1 字符"/>
    <w:qFormat/>
    <w:uiPriority w:val="9"/>
    <w:rPr>
      <w:rFonts w:ascii="Times New Roman" w:hAnsi="Times New Roman" w:eastAsia="宋体" w:cs="Times New Roman"/>
      <w:b/>
      <w:bCs/>
      <w:kern w:val="44"/>
      <w:sz w:val="44"/>
      <w:szCs w:val="44"/>
    </w:rPr>
  </w:style>
  <w:style w:type="character" w:customStyle="1" w:styleId="104">
    <w:name w:val="页眉 字符"/>
    <w:semiHidden/>
    <w:qFormat/>
    <w:uiPriority w:val="99"/>
    <w:rPr>
      <w:rFonts w:ascii="Times New Roman" w:hAnsi="Times New Roman" w:eastAsia="宋体" w:cs="Times New Roman"/>
      <w:sz w:val="18"/>
      <w:szCs w:val="18"/>
    </w:rPr>
  </w:style>
  <w:style w:type="character" w:customStyle="1" w:styleId="105">
    <w:name w:val="正文文本缩进 3 Char"/>
    <w:qFormat/>
    <w:uiPriority w:val="0"/>
    <w:rPr>
      <w:kern w:val="2"/>
      <w:sz w:val="16"/>
      <w:szCs w:val="16"/>
    </w:rPr>
  </w:style>
  <w:style w:type="character" w:customStyle="1" w:styleId="106">
    <w:name w:val="标题 4 字符"/>
    <w:link w:val="6"/>
    <w:qFormat/>
    <w:uiPriority w:val="0"/>
    <w:rPr>
      <w:rFonts w:ascii="Arial" w:hAnsi="Arial" w:eastAsia="黑体"/>
      <w:b/>
      <w:bCs/>
      <w:kern w:val="2"/>
      <w:sz w:val="28"/>
      <w:szCs w:val="28"/>
    </w:rPr>
  </w:style>
  <w:style w:type="character" w:customStyle="1" w:styleId="107">
    <w:name w:val="标准正文 Char Char"/>
    <w:link w:val="74"/>
    <w:qFormat/>
    <w:uiPriority w:val="0"/>
    <w:rPr>
      <w:szCs w:val="24"/>
    </w:rPr>
  </w:style>
  <w:style w:type="character" w:customStyle="1" w:styleId="108">
    <w:name w:val="正文文本缩进 2 Char"/>
    <w:semiHidden/>
    <w:qFormat/>
    <w:uiPriority w:val="0"/>
    <w:rPr>
      <w:kern w:val="2"/>
      <w:sz w:val="21"/>
      <w:szCs w:val="22"/>
    </w:rPr>
  </w:style>
  <w:style w:type="character" w:customStyle="1" w:styleId="109">
    <w:name w:val="正文文本 2 Char"/>
    <w:semiHidden/>
    <w:qFormat/>
    <w:uiPriority w:val="0"/>
    <w:rPr>
      <w:kern w:val="2"/>
      <w:sz w:val="21"/>
      <w:szCs w:val="22"/>
    </w:rPr>
  </w:style>
  <w:style w:type="character" w:customStyle="1" w:styleId="110">
    <w:name w:val="页眉 字符1"/>
    <w:link w:val="27"/>
    <w:qFormat/>
    <w:uiPriority w:val="0"/>
    <w:rPr>
      <w:rFonts w:ascii="Times New Roman" w:hAnsi="Times New Roman"/>
      <w:kern w:val="2"/>
      <w:sz w:val="18"/>
      <w:szCs w:val="18"/>
    </w:rPr>
  </w:style>
  <w:style w:type="character" w:customStyle="1" w:styleId="111">
    <w:name w:val="页脚 字符1"/>
    <w:link w:val="26"/>
    <w:qFormat/>
    <w:uiPriority w:val="0"/>
    <w:rPr>
      <w:rFonts w:ascii="Times New Roman" w:hAnsi="Times New Roman"/>
      <w:kern w:val="2"/>
      <w:sz w:val="18"/>
      <w:szCs w:val="18"/>
    </w:rPr>
  </w:style>
  <w:style w:type="character" w:customStyle="1" w:styleId="112">
    <w:name w:val="正文文本 字符"/>
    <w:link w:val="17"/>
    <w:qFormat/>
    <w:uiPriority w:val="0"/>
    <w:rPr>
      <w:rFonts w:ascii="Times New Roman" w:hAnsi="Times New Roman"/>
      <w:kern w:val="2"/>
      <w:sz w:val="21"/>
      <w:szCs w:val="24"/>
    </w:rPr>
  </w:style>
  <w:style w:type="character" w:customStyle="1" w:styleId="113">
    <w:name w:val="正文首行缩进 Char1"/>
    <w:qFormat/>
    <w:uiPriority w:val="99"/>
  </w:style>
  <w:style w:type="character" w:customStyle="1" w:styleId="114">
    <w:name w:val="正文文本 Char1"/>
    <w:qFormat/>
    <w:uiPriority w:val="0"/>
    <w:rPr>
      <w:rFonts w:eastAsia="宋体"/>
      <w:kern w:val="2"/>
      <w:sz w:val="21"/>
    </w:rPr>
  </w:style>
  <w:style w:type="character" w:customStyle="1" w:styleId="115">
    <w:name w:val="font161"/>
    <w:qFormat/>
    <w:uiPriority w:val="0"/>
    <w:rPr>
      <w:b/>
      <w:bCs/>
      <w:sz w:val="32"/>
      <w:szCs w:val="32"/>
    </w:rPr>
  </w:style>
  <w:style w:type="character" w:customStyle="1" w:styleId="116">
    <w:name w:val="页脚 Char1"/>
    <w:semiHidden/>
    <w:qFormat/>
    <w:uiPriority w:val="0"/>
    <w:rPr>
      <w:rFonts w:ascii="Times New Roman" w:hAnsi="Times New Roman" w:eastAsia="宋体"/>
      <w:kern w:val="2"/>
      <w:sz w:val="18"/>
      <w:szCs w:val="18"/>
    </w:rPr>
  </w:style>
  <w:style w:type="character" w:customStyle="1" w:styleId="117">
    <w:name w:val="批注文字 字符"/>
    <w:link w:val="15"/>
    <w:qFormat/>
    <w:uiPriority w:val="99"/>
    <w:rPr>
      <w:rFonts w:ascii="Times New Roman" w:hAnsi="Times New Roman"/>
      <w:kern w:val="2"/>
      <w:sz w:val="21"/>
      <w:szCs w:val="24"/>
    </w:rPr>
  </w:style>
  <w:style w:type="character" w:customStyle="1" w:styleId="118">
    <w:name w:val="正文文本 2 Char2"/>
    <w:semiHidden/>
    <w:qFormat/>
    <w:locked/>
    <w:uiPriority w:val="99"/>
    <w:rPr>
      <w:rFonts w:ascii="Times New Roman" w:hAnsi="Times New Roman" w:eastAsia="宋体"/>
      <w:kern w:val="2"/>
      <w:sz w:val="21"/>
      <w:szCs w:val="24"/>
    </w:rPr>
  </w:style>
  <w:style w:type="character" w:customStyle="1" w:styleId="119">
    <w:name w:val="style_kwd"/>
    <w:qFormat/>
    <w:uiPriority w:val="0"/>
  </w:style>
  <w:style w:type="character" w:customStyle="1" w:styleId="120">
    <w:name w:val="文档结构图 Char1"/>
    <w:semiHidden/>
    <w:qFormat/>
    <w:locked/>
    <w:uiPriority w:val="99"/>
    <w:rPr>
      <w:rFonts w:ascii="Times New Roman" w:hAnsi="Times New Roman" w:eastAsia="宋体"/>
      <w:kern w:val="2"/>
      <w:sz w:val="21"/>
      <w:szCs w:val="24"/>
      <w:shd w:val="clear" w:color="auto" w:fill="000080"/>
    </w:rPr>
  </w:style>
  <w:style w:type="character" w:customStyle="1" w:styleId="121">
    <w:name w:val="标题 字符"/>
    <w:link w:val="37"/>
    <w:qFormat/>
    <w:uiPriority w:val="99"/>
    <w:rPr>
      <w:rFonts w:ascii="Arial" w:hAnsi="Arial"/>
      <w:b/>
      <w:sz w:val="32"/>
    </w:rPr>
  </w:style>
  <w:style w:type="character" w:customStyle="1" w:styleId="122">
    <w:name w:val="批注框文本 Char"/>
    <w:qFormat/>
    <w:uiPriority w:val="0"/>
    <w:rPr>
      <w:kern w:val="2"/>
      <w:sz w:val="18"/>
      <w:szCs w:val="18"/>
    </w:rPr>
  </w:style>
  <w:style w:type="character" w:customStyle="1" w:styleId="123">
    <w:name w:val="标题 3 字符"/>
    <w:link w:val="4"/>
    <w:qFormat/>
    <w:uiPriority w:val="0"/>
    <w:rPr>
      <w:rFonts w:ascii="黑体" w:eastAsia="黑体"/>
      <w:kern w:val="2"/>
      <w:sz w:val="28"/>
    </w:rPr>
  </w:style>
  <w:style w:type="character" w:customStyle="1" w:styleId="124">
    <w:name w:val="Comment Text Char"/>
    <w:qFormat/>
    <w:uiPriority w:val="0"/>
  </w:style>
  <w:style w:type="character" w:customStyle="1" w:styleId="125">
    <w:name w:val="正文首行缩进 Char"/>
    <w:qFormat/>
    <w:uiPriority w:val="0"/>
  </w:style>
  <w:style w:type="character" w:customStyle="1" w:styleId="126">
    <w:name w:val="标题 6 字符"/>
    <w:link w:val="8"/>
    <w:qFormat/>
    <w:uiPriority w:val="0"/>
    <w:rPr>
      <w:rFonts w:ascii="Arial" w:hAnsi="Arial" w:eastAsia="黑体"/>
      <w:b/>
      <w:bCs/>
      <w:sz w:val="24"/>
    </w:rPr>
  </w:style>
  <w:style w:type="character" w:customStyle="1" w:styleId="127">
    <w:name w:val="标题 1 字符1"/>
    <w:link w:val="3"/>
    <w:qFormat/>
    <w:uiPriority w:val="0"/>
    <w:rPr>
      <w:rFonts w:ascii="Times New Roman" w:hAnsi="Times New Roman" w:eastAsia="黑体"/>
      <w:color w:val="FF0000"/>
      <w:kern w:val="24"/>
      <w:sz w:val="28"/>
    </w:rPr>
  </w:style>
  <w:style w:type="character" w:customStyle="1" w:styleId="128">
    <w:name w:val="日期 字符"/>
    <w:link w:val="23"/>
    <w:qFormat/>
    <w:uiPriority w:val="99"/>
    <w:rPr>
      <w:rFonts w:ascii="Times New Roman" w:hAnsi="Times New Roman"/>
      <w:kern w:val="2"/>
      <w:sz w:val="21"/>
    </w:rPr>
  </w:style>
  <w:style w:type="character" w:customStyle="1" w:styleId="129">
    <w:name w:val="正文文本缩进 2 Char1"/>
    <w:semiHidden/>
    <w:qFormat/>
    <w:locked/>
    <w:uiPriority w:val="99"/>
    <w:rPr>
      <w:rFonts w:ascii="宋体" w:hAnsi="宋体" w:eastAsia="宋体"/>
      <w:color w:val="000000"/>
      <w:spacing w:val="20"/>
      <w:kern w:val="2"/>
      <w:sz w:val="30"/>
    </w:rPr>
  </w:style>
  <w:style w:type="character" w:customStyle="1" w:styleId="130">
    <w:name w:val="页眉 Char2"/>
    <w:qFormat/>
    <w:uiPriority w:val="0"/>
    <w:rPr>
      <w:kern w:val="2"/>
      <w:sz w:val="18"/>
    </w:rPr>
  </w:style>
  <w:style w:type="character" w:customStyle="1" w:styleId="131">
    <w:name w:val="正文文本首行缩进 字符"/>
    <w:link w:val="39"/>
    <w:qFormat/>
    <w:uiPriority w:val="0"/>
    <w:rPr>
      <w:rFonts w:ascii="Times New Roman" w:hAnsi="Times New Roman"/>
      <w:kern w:val="2"/>
      <w:sz w:val="21"/>
      <w:szCs w:val="24"/>
    </w:rPr>
  </w:style>
  <w:style w:type="character" w:customStyle="1" w:styleId="132">
    <w:name w:val="正文文本缩进 字符"/>
    <w:semiHidden/>
    <w:qFormat/>
    <w:uiPriority w:val="99"/>
    <w:rPr>
      <w:rFonts w:ascii="Times New Roman" w:hAnsi="Times New Roman" w:eastAsia="宋体" w:cs="Times New Roman"/>
      <w:szCs w:val="24"/>
    </w:rPr>
  </w:style>
  <w:style w:type="character" w:customStyle="1" w:styleId="133">
    <w:name w:val="正文文本缩进 2 字符"/>
    <w:link w:val="24"/>
    <w:qFormat/>
    <w:uiPriority w:val="0"/>
    <w:rPr>
      <w:rFonts w:ascii="宋体" w:hAnsi="宋体"/>
      <w:color w:val="000000"/>
      <w:spacing w:val="20"/>
      <w:kern w:val="2"/>
      <w:sz w:val="30"/>
    </w:rPr>
  </w:style>
  <w:style w:type="character" w:customStyle="1" w:styleId="134">
    <w:name w:val="标题 8 字符"/>
    <w:link w:val="10"/>
    <w:qFormat/>
    <w:uiPriority w:val="99"/>
    <w:rPr>
      <w:rFonts w:ascii="Arial" w:hAnsi="Arial" w:eastAsia="黑体"/>
      <w:sz w:val="24"/>
    </w:rPr>
  </w:style>
  <w:style w:type="character" w:customStyle="1" w:styleId="135">
    <w:name w:val="正文文本缩进 3 字符"/>
    <w:link w:val="31"/>
    <w:qFormat/>
    <w:uiPriority w:val="0"/>
    <w:rPr>
      <w:rFonts w:ascii="Times New Roman" w:hAnsi="Times New Roman"/>
      <w:kern w:val="2"/>
      <w:sz w:val="16"/>
      <w:szCs w:val="16"/>
    </w:rPr>
  </w:style>
  <w:style w:type="character" w:customStyle="1" w:styleId="136">
    <w:name w:val="_Style 132"/>
    <w:unhideWhenUsed/>
    <w:qFormat/>
    <w:uiPriority w:val="99"/>
    <w:rPr>
      <w:color w:val="605E5C"/>
      <w:shd w:val="clear" w:color="auto" w:fill="E1DFDD"/>
    </w:rPr>
  </w:style>
  <w:style w:type="table" w:customStyle="1" w:styleId="137">
    <w:name w:val="网格型1"/>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
    <w:name w:val="网格型2"/>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9">
    <w:name w:val="未处理的提及1"/>
    <w:basedOn w:val="43"/>
    <w:semiHidden/>
    <w:unhideWhenUsed/>
    <w:qFormat/>
    <w:uiPriority w:val="99"/>
    <w:rPr>
      <w:color w:val="605E5C"/>
      <w:shd w:val="clear" w:color="auto" w:fill="E1DFDD"/>
    </w:rPr>
  </w:style>
  <w:style w:type="character" w:customStyle="1" w:styleId="140">
    <w:name w:val="font11"/>
    <w:basedOn w:val="43"/>
    <w:qFormat/>
    <w:uiPriority w:val="0"/>
    <w:rPr>
      <w:rFonts w:hint="eastAsia" w:ascii="宋体" w:hAnsi="宋体" w:eastAsia="宋体" w:cs="宋体"/>
      <w:color w:val="000000"/>
      <w:sz w:val="20"/>
      <w:szCs w:val="20"/>
      <w:u w:val="none"/>
    </w:rPr>
  </w:style>
  <w:style w:type="character" w:customStyle="1" w:styleId="141">
    <w:name w:val="font81"/>
    <w:basedOn w:val="43"/>
    <w:qFormat/>
    <w:uiPriority w:val="0"/>
    <w:rPr>
      <w:rFonts w:hint="default" w:ascii="Times New Roman" w:hAnsi="Times New Roman" w:cs="Times New Roman"/>
      <w:color w:val="000000"/>
      <w:sz w:val="20"/>
      <w:szCs w:val="20"/>
      <w:u w:val="none"/>
    </w:rPr>
  </w:style>
  <w:style w:type="character" w:customStyle="1" w:styleId="142">
    <w:name w:val="font61"/>
    <w:basedOn w:val="43"/>
    <w:qFormat/>
    <w:uiPriority w:val="0"/>
    <w:rPr>
      <w:rFonts w:ascii="宋体" w:hAnsi="宋体" w:eastAsia="宋体" w:cs="宋体"/>
      <w:color w:val="000000"/>
      <w:sz w:val="20"/>
      <w:szCs w:val="20"/>
      <w:u w:val="none"/>
    </w:rPr>
  </w:style>
  <w:style w:type="character" w:customStyle="1" w:styleId="143">
    <w:name w:val="font112"/>
    <w:basedOn w:val="43"/>
    <w:qFormat/>
    <w:uiPriority w:val="0"/>
    <w:rPr>
      <w:rFonts w:hint="default" w:ascii="Times New Roman" w:hAnsi="Times New Roman" w:cs="Times New Roman"/>
      <w:color w:val="000000"/>
      <w:sz w:val="20"/>
      <w:szCs w:val="20"/>
      <w:u w:val="none"/>
    </w:rPr>
  </w:style>
  <w:style w:type="character" w:customStyle="1" w:styleId="144">
    <w:name w:val="font91"/>
    <w:basedOn w:val="43"/>
    <w:qFormat/>
    <w:uiPriority w:val="0"/>
    <w:rPr>
      <w:rFonts w:hint="eastAsia" w:ascii="宋体" w:hAnsi="宋体" w:eastAsia="宋体" w:cs="宋体"/>
      <w:color w:val="000000"/>
      <w:sz w:val="20"/>
      <w:szCs w:val="20"/>
      <w:u w:val="none"/>
    </w:rPr>
  </w:style>
  <w:style w:type="paragraph" w:customStyle="1" w:styleId="145">
    <w:name w:val="Heading #1|1"/>
    <w:basedOn w:val="1"/>
    <w:qFormat/>
    <w:uiPriority w:val="0"/>
    <w:pPr>
      <w:keepNext/>
      <w:keepLines/>
      <w:adjustRightInd w:val="0"/>
      <w:snapToGrid w:val="0"/>
      <w:spacing w:line="360" w:lineRule="auto"/>
      <w:ind w:right="-11"/>
      <w:jc w:val="center"/>
      <w:outlineLvl w:val="0"/>
    </w:pPr>
    <w:rPr>
      <w:rFonts w:ascii="华文中宋" w:hAnsi="华文中宋" w:eastAsia="华文中宋" w:cs="华文中宋"/>
      <w:b/>
      <w:sz w:val="30"/>
      <w:szCs w:val="30"/>
    </w:rPr>
  </w:style>
  <w:style w:type="character" w:customStyle="1" w:styleId="146">
    <w:name w:val="Body text|2 + Spacing 0 pt"/>
    <w:basedOn w:val="147"/>
    <w:unhideWhenUsed/>
    <w:qFormat/>
    <w:uiPriority w:val="0"/>
    <w:rPr>
      <w:rFonts w:ascii="PMingLiU" w:hAnsi="PMingLiU" w:eastAsia="PMingLiU" w:cs="PMingLiU"/>
      <w:color w:val="000000"/>
      <w:spacing w:val="0"/>
      <w:w w:val="100"/>
      <w:position w:val="0"/>
      <w:sz w:val="26"/>
      <w:szCs w:val="26"/>
      <w:u w:val="single"/>
      <w:shd w:val="clear" w:color="auto" w:fill="FFFFFF"/>
      <w:lang w:val="en-US" w:eastAsia="en-US" w:bidi="en-US"/>
    </w:rPr>
  </w:style>
  <w:style w:type="character" w:customStyle="1" w:styleId="147">
    <w:name w:val="Body text|2_"/>
    <w:basedOn w:val="43"/>
    <w:link w:val="62"/>
    <w:qFormat/>
    <w:uiPriority w:val="0"/>
    <w:rPr>
      <w:rFonts w:ascii="PMingLiU" w:hAnsi="PMingLiU" w:eastAsia="PMingLiU" w:cs="PMingLiU"/>
      <w:spacing w:val="20"/>
      <w:sz w:val="26"/>
      <w:szCs w:val="26"/>
    </w:rPr>
  </w:style>
  <w:style w:type="character" w:customStyle="1" w:styleId="148">
    <w:name w:val="Body text|2"/>
    <w:basedOn w:val="147"/>
    <w:unhideWhenUsed/>
    <w:qFormat/>
    <w:uiPriority w:val="0"/>
    <w:rPr>
      <w:rFonts w:ascii="PMingLiU" w:hAnsi="PMingLiU" w:eastAsia="PMingLiU" w:cs="PMingLiU"/>
      <w:color w:val="000000"/>
      <w:spacing w:val="20"/>
      <w:w w:val="100"/>
      <w:position w:val="0"/>
      <w:sz w:val="26"/>
      <w:szCs w:val="26"/>
      <w:u w:val="single"/>
      <w:shd w:val="clear" w:color="auto" w:fill="FFFFFF"/>
      <w:lang w:val="zh-CN" w:eastAsia="zh-CN" w:bidi="zh-CN"/>
    </w:rPr>
  </w:style>
  <w:style w:type="paragraph" w:customStyle="1" w:styleId="149">
    <w:name w:val="正文文本缩进2"/>
    <w:basedOn w:val="1"/>
    <w:qFormat/>
    <w:uiPriority w:val="99"/>
    <w:pPr>
      <w:spacing w:after="120"/>
      <w:ind w:left="420" w:leftChars="200"/>
    </w:pPr>
  </w:style>
  <w:style w:type="character" w:customStyle="1" w:styleId="150">
    <w:name w:val="high151"/>
    <w:qFormat/>
    <w:uiPriority w:val="0"/>
    <w:rPr>
      <w:rFonts w:eastAsia="宋体"/>
      <w:kern w:val="2"/>
      <w:sz w:val="18"/>
      <w:lang w:val="en-US" w:eastAsia="zh-CN"/>
    </w:rPr>
  </w:style>
  <w:style w:type="character" w:customStyle="1" w:styleId="151">
    <w:name w:val="font41"/>
    <w:basedOn w:val="43"/>
    <w:qFormat/>
    <w:uiPriority w:val="0"/>
    <w:rPr>
      <w:rFonts w:hint="default" w:ascii="Times New Roman" w:hAnsi="Times New Roman" w:cs="Times New Roman"/>
      <w:color w:val="FF0000"/>
      <w:sz w:val="21"/>
      <w:szCs w:val="21"/>
      <w:u w:val="none"/>
    </w:rPr>
  </w:style>
  <w:style w:type="character" w:customStyle="1" w:styleId="152">
    <w:name w:val="font51"/>
    <w:basedOn w:val="43"/>
    <w:qFormat/>
    <w:uiPriority w:val="0"/>
    <w:rPr>
      <w:rFonts w:hint="default" w:ascii="Times New Roman" w:hAnsi="Times New Roman" w:cs="Times New Roman"/>
      <w:color w:val="000000"/>
      <w:sz w:val="21"/>
      <w:szCs w:val="21"/>
      <w:u w:val="none"/>
    </w:rPr>
  </w:style>
  <w:style w:type="character" w:customStyle="1" w:styleId="153">
    <w:name w:val="font101"/>
    <w:basedOn w:val="43"/>
    <w:qFormat/>
    <w:uiPriority w:val="0"/>
    <w:rPr>
      <w:rFonts w:hint="default" w:ascii="Times New Roman" w:hAnsi="Times New Roman" w:cs="Times New Roman"/>
      <w:color w:val="000000"/>
      <w:sz w:val="21"/>
      <w:szCs w:val="21"/>
      <w:u w:val="none"/>
      <w:vertAlign w:val="superscript"/>
    </w:rPr>
  </w:style>
  <w:style w:type="character" w:customStyle="1" w:styleId="154">
    <w:name w:val="页脚 Char"/>
    <w:qFormat/>
    <w:uiPriority w:val="99"/>
    <w:rPr>
      <w:rFonts w:ascii="Times New Roman" w:hAnsi="Times New Roman"/>
      <w:kern w:val="2"/>
      <w:sz w:val="18"/>
      <w:szCs w:val="18"/>
    </w:rPr>
  </w:style>
  <w:style w:type="paragraph" w:customStyle="1" w:styleId="155">
    <w:name w:val="Table Paragraph"/>
    <w:basedOn w:val="1"/>
    <w:qFormat/>
    <w:uiPriority w:val="1"/>
    <w:pPr>
      <w:autoSpaceDE w:val="0"/>
      <w:autoSpaceDN w:val="0"/>
      <w:ind w:left="108"/>
      <w:jc w:val="left"/>
    </w:pPr>
    <w:rPr>
      <w:rFonts w:ascii="宋体" w:hAnsi="宋体" w:cs="宋体"/>
      <w:kern w:val="0"/>
      <w:sz w:val="22"/>
      <w:lang w:val="zh-CN" w:bidi="zh-CN"/>
    </w:rPr>
  </w:style>
  <w:style w:type="paragraph" w:customStyle="1" w:styleId="156">
    <w:name w:val="列出段落2"/>
    <w:basedOn w:val="1"/>
    <w:qFormat/>
    <w:uiPriority w:val="99"/>
    <w:pPr>
      <w:ind w:firstLine="420" w:firstLineChars="200"/>
    </w:pPr>
    <w:rPr>
      <w:kern w:val="0"/>
      <w:sz w:val="20"/>
    </w:rPr>
  </w:style>
  <w:style w:type="paragraph" w:customStyle="1" w:styleId="15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58">
    <w:name w:val="WPSOffice手动目录 1"/>
    <w:qFormat/>
    <w:uiPriority w:val="0"/>
    <w:rPr>
      <w:rFonts w:ascii="Calibri" w:hAnsi="Calibri" w:eastAsia="宋体" w:cs="Times New Roman"/>
      <w:lang w:val="en-US" w:eastAsia="zh-CN" w:bidi="ar-SA"/>
    </w:rPr>
  </w:style>
  <w:style w:type="paragraph" w:styleId="159">
    <w:name w:val="No Spacing"/>
    <w:qFormat/>
    <w:uiPriority w:val="1"/>
    <w:rPr>
      <w:rFonts w:ascii="Calibri" w:hAnsi="Calibri" w:eastAsiaTheme="minorEastAsia" w:cstheme="minorBidi"/>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97</Pages>
  <Words>50081</Words>
  <Characters>53521</Characters>
  <Lines>2534</Lines>
  <Paragraphs>2169</Paragraphs>
  <TotalTime>316</TotalTime>
  <ScaleCrop>false</ScaleCrop>
  <LinksUpToDate>false</LinksUpToDate>
  <CharactersWithSpaces>57363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2025-04-03T05:49:00Z</dcterms:created>
  <dc:creator>Flanke</dc:creator>
  <cp:lastModifiedBy>TIAN</cp:lastModifiedBy>
  <cp:lastPrinted>2025-07-03T02:43:00Z</cp:lastPrinted>
  <dcterms:modified xsi:type="dcterms:W3CDTF">2025-08-22T10:41:14Z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FB4A89A2FA9346D292D19BC0493022E0</vt:lpwstr>
  </property>
  <property fmtid="{D5CDD505-2E9C-101B-9397-08002B2CF9AE}" pid="4" name="KSOTemplateDocerSaveRecord">
    <vt:lpwstr>eyJoZGlkIjoiYjE3ZGFkYWM3YmYxNzkyNWQxY2ZhOThmYmE4ZGE3N2YiLCJ1c2VySWQiOiIyMDIzMDUwNDYifQ==</vt:lpwstr>
  </property>
</Properties>
</file>