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DEB6D84">
      <w:pPr>
        <w:jc w:val="distribute"/>
        <w:rPr>
          <w:rFonts w:hint="eastAsia" w:ascii="宋体" w:hAnsi="宋体" w:eastAsia="宋体" w:cs="宋体"/>
          <w:b/>
          <w:bCs/>
          <w:color w:val="auto"/>
          <w:sz w:val="52"/>
          <w:szCs w:val="52"/>
          <w:highlight w:val="none"/>
          <w:lang w:eastAsia="zh-CN"/>
        </w:rPr>
      </w:pPr>
      <w:r>
        <w:rPr>
          <w:rFonts w:hint="eastAsia" w:ascii="宋体" w:hAnsi="宋体" w:eastAsia="宋体" w:cs="宋体"/>
          <w:color w:val="auto"/>
          <w:spacing w:val="20"/>
          <w:sz w:val="84"/>
          <w:highlight w:val="none"/>
        </w:rPr>
        <w:t>温州市</w:t>
      </w:r>
      <w:r>
        <w:rPr>
          <w:rFonts w:hint="eastAsia" w:ascii="宋体" w:hAnsi="宋体" w:cs="宋体"/>
          <w:color w:val="auto"/>
          <w:spacing w:val="20"/>
          <w:sz w:val="84"/>
          <w:highlight w:val="none"/>
          <w:lang w:val="en-US" w:eastAsia="zh-CN"/>
        </w:rPr>
        <w:t>中心医院</w:t>
      </w:r>
    </w:p>
    <w:p w14:paraId="210F9529">
      <w:pPr>
        <w:jc w:val="center"/>
        <w:rPr>
          <w:rFonts w:hint="eastAsia" w:ascii="宋体" w:hAnsi="宋体" w:eastAsia="宋体" w:cs="宋体"/>
          <w:b/>
          <w:bCs/>
          <w:color w:val="auto"/>
          <w:spacing w:val="26"/>
          <w:sz w:val="52"/>
          <w:highlight w:val="none"/>
        </w:rPr>
      </w:pPr>
    </w:p>
    <w:p w14:paraId="5502DEF1">
      <w:pPr>
        <w:ind w:firstLine="2357" w:firstLineChars="235"/>
        <w:rPr>
          <w:rFonts w:hint="eastAsia" w:ascii="宋体" w:hAnsi="宋体" w:eastAsia="宋体" w:cs="宋体"/>
          <w:b/>
          <w:bCs/>
          <w:color w:val="auto"/>
          <w:spacing w:val="140"/>
          <w:sz w:val="72"/>
          <w:highlight w:val="none"/>
        </w:rPr>
      </w:pPr>
    </w:p>
    <w:p w14:paraId="6EAB3AF9">
      <w:pPr>
        <w:adjustRightInd w:val="0"/>
        <w:snapToGrid w:val="0"/>
        <w:spacing w:line="480" w:lineRule="auto"/>
        <w:ind w:right="361"/>
        <w:jc w:val="center"/>
        <w:rPr>
          <w:rFonts w:hint="eastAsia" w:ascii="宋体" w:hAnsi="宋体" w:eastAsia="宋体" w:cs="宋体"/>
          <w:b w:val="0"/>
          <w:bCs w:val="0"/>
          <w:color w:val="auto"/>
          <w:sz w:val="72"/>
          <w:szCs w:val="72"/>
          <w:highlight w:val="none"/>
        </w:rPr>
      </w:pPr>
      <w:r>
        <w:rPr>
          <w:rFonts w:hint="eastAsia" w:ascii="宋体" w:hAnsi="宋体" w:eastAsia="宋体" w:cs="宋体"/>
          <w:b w:val="0"/>
          <w:bCs w:val="0"/>
          <w:color w:val="auto"/>
          <w:sz w:val="72"/>
          <w:szCs w:val="72"/>
          <w:highlight w:val="none"/>
        </w:rPr>
        <w:t>招 标 文 件</w:t>
      </w:r>
    </w:p>
    <w:tbl>
      <w:tblPr>
        <w:tblStyle w:val="53"/>
        <w:tblW w:w="0" w:type="auto"/>
        <w:tblInd w:w="13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405"/>
        <w:gridCol w:w="6107"/>
      </w:tblGrid>
      <w:tr w14:paraId="2AF4D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405" w:type="dxa"/>
            <w:vAlign w:val="center"/>
          </w:tcPr>
          <w:p w14:paraId="63BE6161">
            <w:pPr>
              <w:spacing w:line="700" w:lineRule="exact"/>
              <w:jc w:val="center"/>
              <w:rPr>
                <w:rFonts w:hint="eastAsia" w:ascii="宋体" w:hAnsi="宋体" w:eastAsia="宋体" w:cs="宋体"/>
                <w:b w:val="0"/>
                <w:bCs w:val="0"/>
                <w:color w:val="auto"/>
                <w:sz w:val="24"/>
                <w:highlight w:val="none"/>
                <w:vertAlign w:val="baseline"/>
              </w:rPr>
            </w:pPr>
            <w:r>
              <w:rPr>
                <w:rFonts w:hint="eastAsia" w:ascii="宋体" w:hAnsi="宋体" w:eastAsia="宋体" w:cs="宋体"/>
                <w:b w:val="0"/>
                <w:bCs w:val="0"/>
                <w:color w:val="auto"/>
                <w:spacing w:val="40"/>
                <w:sz w:val="30"/>
                <w:szCs w:val="30"/>
                <w:highlight w:val="none"/>
              </w:rPr>
              <w:t>项 目 编 号</w:t>
            </w:r>
            <w:r>
              <w:rPr>
                <w:rFonts w:hint="eastAsia" w:ascii="宋体" w:hAnsi="宋体" w:eastAsia="宋体" w:cs="宋体"/>
                <w:b w:val="0"/>
                <w:bCs w:val="0"/>
                <w:color w:val="auto"/>
                <w:spacing w:val="40"/>
                <w:sz w:val="28"/>
                <w:highlight w:val="none"/>
              </w:rPr>
              <w:t>：</w:t>
            </w:r>
          </w:p>
        </w:tc>
        <w:tc>
          <w:tcPr>
            <w:tcW w:w="6107" w:type="dxa"/>
            <w:vAlign w:val="center"/>
          </w:tcPr>
          <w:p w14:paraId="65777A98">
            <w:pPr>
              <w:spacing w:line="700" w:lineRule="exact"/>
              <w:jc w:val="center"/>
              <w:rPr>
                <w:rFonts w:hint="eastAsia" w:ascii="宋体" w:hAnsi="宋体" w:eastAsia="宋体" w:cs="宋体"/>
                <w:b w:val="0"/>
                <w:bCs w:val="0"/>
                <w:color w:val="auto"/>
                <w:sz w:val="24"/>
                <w:highlight w:val="none"/>
                <w:vertAlign w:val="baseline"/>
                <w:lang w:eastAsia="zh-CN"/>
              </w:rPr>
            </w:pPr>
            <w:r>
              <w:rPr>
                <w:rFonts w:hint="eastAsia" w:ascii="宋体" w:hAnsi="宋体" w:cs="宋体"/>
                <w:b w:val="0"/>
                <w:bCs w:val="0"/>
                <w:color w:val="auto"/>
                <w:spacing w:val="40"/>
                <w:sz w:val="28"/>
                <w:highlight w:val="none"/>
                <w:lang w:eastAsia="zh-CN"/>
              </w:rPr>
              <w:t>WZLCZB（W）-2025-05055</w:t>
            </w:r>
          </w:p>
        </w:tc>
      </w:tr>
      <w:tr w14:paraId="1000A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405" w:type="dxa"/>
            <w:vAlign w:val="center"/>
          </w:tcPr>
          <w:p w14:paraId="12B0ECB6">
            <w:pPr>
              <w:spacing w:line="700" w:lineRule="exact"/>
              <w:jc w:val="center"/>
              <w:rPr>
                <w:rFonts w:hint="eastAsia" w:ascii="宋体" w:hAnsi="宋体" w:eastAsia="宋体" w:cs="宋体"/>
                <w:b w:val="0"/>
                <w:bCs w:val="0"/>
                <w:color w:val="auto"/>
                <w:sz w:val="24"/>
                <w:highlight w:val="none"/>
                <w:vertAlign w:val="baseline"/>
              </w:rPr>
            </w:pPr>
            <w:r>
              <w:rPr>
                <w:rFonts w:hint="eastAsia" w:ascii="宋体" w:hAnsi="宋体" w:eastAsia="宋体" w:cs="宋体"/>
                <w:b w:val="0"/>
                <w:bCs w:val="0"/>
                <w:color w:val="auto"/>
                <w:spacing w:val="40"/>
                <w:sz w:val="30"/>
                <w:szCs w:val="30"/>
                <w:highlight w:val="none"/>
              </w:rPr>
              <w:t>项 目 名 称：</w:t>
            </w:r>
          </w:p>
        </w:tc>
        <w:tc>
          <w:tcPr>
            <w:tcW w:w="6107" w:type="dxa"/>
            <w:vAlign w:val="center"/>
          </w:tcPr>
          <w:p w14:paraId="4C373B1A">
            <w:pPr>
              <w:spacing w:line="700" w:lineRule="exact"/>
              <w:jc w:val="center"/>
              <w:rPr>
                <w:rFonts w:hint="eastAsia" w:ascii="宋体" w:hAnsi="宋体" w:eastAsia="宋体" w:cs="宋体"/>
                <w:b w:val="0"/>
                <w:bCs w:val="0"/>
                <w:color w:val="auto"/>
                <w:sz w:val="24"/>
                <w:highlight w:val="none"/>
                <w:vertAlign w:val="baseline"/>
              </w:rPr>
            </w:pPr>
            <w:r>
              <w:rPr>
                <w:rFonts w:hint="eastAsia" w:ascii="宋体" w:hAnsi="宋体" w:cs="宋体"/>
                <w:b w:val="0"/>
                <w:bCs w:val="0"/>
                <w:color w:val="auto"/>
                <w:sz w:val="30"/>
                <w:szCs w:val="30"/>
                <w:highlight w:val="none"/>
                <w:lang w:eastAsia="zh-CN"/>
              </w:rPr>
              <w:t xml:space="preserve"> 食用油</w:t>
            </w:r>
          </w:p>
        </w:tc>
      </w:tr>
      <w:tr w14:paraId="293B1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405" w:type="dxa"/>
            <w:vAlign w:val="center"/>
          </w:tcPr>
          <w:p w14:paraId="3B5EE294">
            <w:pPr>
              <w:spacing w:line="700" w:lineRule="exact"/>
              <w:jc w:val="center"/>
              <w:rPr>
                <w:rFonts w:hint="eastAsia" w:ascii="宋体" w:hAnsi="宋体" w:eastAsia="宋体" w:cs="宋体"/>
                <w:b w:val="0"/>
                <w:bCs w:val="0"/>
                <w:color w:val="auto"/>
                <w:sz w:val="24"/>
                <w:highlight w:val="none"/>
                <w:vertAlign w:val="baseline"/>
              </w:rPr>
            </w:pPr>
            <w:r>
              <w:rPr>
                <w:rFonts w:hint="eastAsia" w:ascii="宋体" w:hAnsi="宋体" w:eastAsia="宋体" w:cs="宋体"/>
                <w:b w:val="0"/>
                <w:bCs w:val="0"/>
                <w:color w:val="auto"/>
                <w:spacing w:val="40"/>
                <w:sz w:val="30"/>
                <w:szCs w:val="30"/>
                <w:highlight w:val="none"/>
              </w:rPr>
              <w:t>采 购 方 式：</w:t>
            </w:r>
          </w:p>
        </w:tc>
        <w:tc>
          <w:tcPr>
            <w:tcW w:w="6107" w:type="dxa"/>
            <w:vAlign w:val="center"/>
          </w:tcPr>
          <w:p w14:paraId="05B8D45D">
            <w:pPr>
              <w:spacing w:line="700" w:lineRule="exact"/>
              <w:jc w:val="center"/>
              <w:rPr>
                <w:rFonts w:hint="eastAsia" w:ascii="宋体" w:hAnsi="宋体" w:eastAsia="宋体" w:cs="宋体"/>
                <w:b w:val="0"/>
                <w:bCs w:val="0"/>
                <w:color w:val="auto"/>
                <w:sz w:val="24"/>
                <w:highlight w:val="none"/>
                <w:vertAlign w:val="baseline"/>
                <w:lang w:eastAsia="zh-CN"/>
              </w:rPr>
            </w:pPr>
            <w:r>
              <w:rPr>
                <w:rFonts w:hint="eastAsia" w:ascii="宋体" w:hAnsi="宋体" w:eastAsia="宋体" w:cs="宋体"/>
                <w:b w:val="0"/>
                <w:bCs w:val="0"/>
                <w:color w:val="auto"/>
                <w:spacing w:val="40"/>
                <w:sz w:val="30"/>
                <w:szCs w:val="30"/>
                <w:highlight w:val="none"/>
              </w:rPr>
              <w:t>公开招标</w:t>
            </w:r>
            <w:r>
              <w:rPr>
                <w:rFonts w:hint="eastAsia" w:ascii="宋体" w:hAnsi="宋体" w:cs="宋体"/>
                <w:b w:val="0"/>
                <w:bCs w:val="0"/>
                <w:color w:val="auto"/>
                <w:spacing w:val="40"/>
                <w:sz w:val="30"/>
                <w:szCs w:val="30"/>
                <w:highlight w:val="none"/>
                <w:lang w:eastAsia="zh-CN"/>
              </w:rPr>
              <w:t>（</w:t>
            </w:r>
            <w:r>
              <w:rPr>
                <w:rFonts w:hint="eastAsia" w:ascii="宋体" w:hAnsi="宋体" w:cs="宋体"/>
                <w:b w:val="0"/>
                <w:bCs w:val="0"/>
                <w:color w:val="auto"/>
                <w:spacing w:val="40"/>
                <w:sz w:val="30"/>
                <w:szCs w:val="30"/>
                <w:highlight w:val="none"/>
                <w:lang w:val="en-US" w:eastAsia="zh-CN"/>
              </w:rPr>
              <w:t>非政府采购</w:t>
            </w:r>
            <w:r>
              <w:rPr>
                <w:rFonts w:hint="eastAsia" w:ascii="宋体" w:hAnsi="宋体" w:cs="宋体"/>
                <w:b w:val="0"/>
                <w:bCs w:val="0"/>
                <w:color w:val="auto"/>
                <w:spacing w:val="40"/>
                <w:sz w:val="30"/>
                <w:szCs w:val="30"/>
                <w:highlight w:val="none"/>
                <w:lang w:eastAsia="zh-CN"/>
              </w:rPr>
              <w:t>）</w:t>
            </w:r>
          </w:p>
        </w:tc>
      </w:tr>
      <w:tr w14:paraId="4F2E8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405" w:type="dxa"/>
            <w:vAlign w:val="center"/>
          </w:tcPr>
          <w:p w14:paraId="59029C39">
            <w:pPr>
              <w:spacing w:line="700" w:lineRule="exact"/>
              <w:jc w:val="center"/>
              <w:rPr>
                <w:rFonts w:hint="eastAsia" w:ascii="宋体" w:hAnsi="宋体" w:eastAsia="宋体" w:cs="宋体"/>
                <w:b w:val="0"/>
                <w:bCs w:val="0"/>
                <w:color w:val="auto"/>
                <w:sz w:val="24"/>
                <w:highlight w:val="none"/>
                <w:vertAlign w:val="baseline"/>
              </w:rPr>
            </w:pPr>
            <w:r>
              <w:rPr>
                <w:rFonts w:hint="eastAsia" w:ascii="宋体" w:hAnsi="宋体" w:eastAsia="宋体" w:cs="宋体"/>
                <w:b w:val="0"/>
                <w:bCs w:val="0"/>
                <w:color w:val="auto"/>
                <w:spacing w:val="40"/>
                <w:sz w:val="30"/>
                <w:szCs w:val="30"/>
                <w:highlight w:val="none"/>
              </w:rPr>
              <w:t>评 审 方 式：</w:t>
            </w:r>
          </w:p>
        </w:tc>
        <w:tc>
          <w:tcPr>
            <w:tcW w:w="6107" w:type="dxa"/>
            <w:vAlign w:val="center"/>
          </w:tcPr>
          <w:p w14:paraId="54FB1B69">
            <w:pPr>
              <w:spacing w:line="700" w:lineRule="exact"/>
              <w:jc w:val="center"/>
              <w:rPr>
                <w:rFonts w:hint="eastAsia" w:ascii="宋体" w:hAnsi="宋体" w:eastAsia="宋体" w:cs="宋体"/>
                <w:b w:val="0"/>
                <w:bCs w:val="0"/>
                <w:color w:val="auto"/>
                <w:sz w:val="24"/>
                <w:highlight w:val="none"/>
                <w:vertAlign w:val="baseline"/>
              </w:rPr>
            </w:pPr>
            <w:r>
              <w:rPr>
                <w:rFonts w:hint="eastAsia" w:ascii="宋体" w:hAnsi="宋体" w:eastAsia="宋体" w:cs="宋体"/>
                <w:b w:val="0"/>
                <w:bCs w:val="0"/>
                <w:color w:val="auto"/>
                <w:spacing w:val="40"/>
                <w:sz w:val="30"/>
                <w:szCs w:val="30"/>
                <w:highlight w:val="none"/>
              </w:rPr>
              <w:t>线上电子招投标</w:t>
            </w:r>
          </w:p>
        </w:tc>
      </w:tr>
    </w:tbl>
    <w:p w14:paraId="0CDA4CD9">
      <w:pPr>
        <w:spacing w:line="700" w:lineRule="exact"/>
        <w:ind w:firstLine="723" w:firstLineChars="300"/>
        <w:jc w:val="left"/>
        <w:rPr>
          <w:rFonts w:hint="eastAsia" w:ascii="宋体" w:hAnsi="宋体" w:eastAsia="宋体" w:cs="宋体"/>
          <w:b/>
          <w:bCs/>
          <w:color w:val="auto"/>
          <w:sz w:val="24"/>
          <w:highlight w:val="none"/>
        </w:rPr>
      </w:pPr>
    </w:p>
    <w:p w14:paraId="1FAC1D21">
      <w:pPr>
        <w:spacing w:line="700" w:lineRule="exact"/>
        <w:ind w:firstLine="904" w:firstLineChars="300"/>
        <w:jc w:val="left"/>
        <w:rPr>
          <w:rFonts w:hint="eastAsia" w:ascii="宋体" w:hAnsi="宋体" w:eastAsia="宋体" w:cs="宋体"/>
          <w:b/>
          <w:color w:val="auto"/>
          <w:spacing w:val="40"/>
          <w:sz w:val="30"/>
          <w:szCs w:val="30"/>
          <w:highlight w:val="none"/>
        </w:rPr>
      </w:pPr>
      <w:r>
        <w:rPr>
          <w:rFonts w:hint="eastAsia" w:ascii="宋体" w:hAnsi="宋体" w:eastAsia="宋体" w:cs="宋体"/>
          <w:b/>
          <w:bCs/>
          <w:color w:val="auto"/>
          <w:sz w:val="30"/>
          <w:szCs w:val="30"/>
          <w:highlight w:val="none"/>
          <w:lang w:eastAsia="zh-CN"/>
        </w:rPr>
        <w:t xml:space="preserve">   </w:t>
      </w:r>
      <w:r>
        <w:rPr>
          <w:rFonts w:hint="eastAsia" w:ascii="宋体" w:hAnsi="宋体" w:eastAsia="宋体" w:cs="宋体"/>
          <w:b/>
          <w:bCs/>
          <w:color w:val="auto"/>
          <w:sz w:val="30"/>
          <w:szCs w:val="30"/>
          <w:highlight w:val="none"/>
        </w:rPr>
        <w:t xml:space="preserve">  </w:t>
      </w:r>
    </w:p>
    <w:p w14:paraId="55DF3909">
      <w:pPr>
        <w:spacing w:line="700" w:lineRule="exact"/>
        <w:ind w:left="3802" w:leftChars="540" w:hanging="2668" w:hangingChars="700"/>
        <w:rPr>
          <w:rFonts w:hint="eastAsia" w:ascii="宋体" w:hAnsi="宋体" w:eastAsia="宋体" w:cs="宋体"/>
          <w:b/>
          <w:color w:val="auto"/>
          <w:spacing w:val="40"/>
          <w:sz w:val="30"/>
          <w:szCs w:val="30"/>
          <w:highlight w:val="none"/>
        </w:rPr>
      </w:pPr>
    </w:p>
    <w:p w14:paraId="65A551F8">
      <w:pPr>
        <w:keepNext/>
        <w:spacing w:line="700" w:lineRule="exact"/>
        <w:rPr>
          <w:rFonts w:hint="eastAsia" w:ascii="宋体" w:hAnsi="宋体" w:eastAsia="宋体" w:cs="宋体"/>
          <w:b/>
          <w:color w:val="auto"/>
          <w:spacing w:val="40"/>
          <w:sz w:val="30"/>
          <w:szCs w:val="30"/>
          <w:highlight w:val="none"/>
        </w:rPr>
      </w:pPr>
      <w:r>
        <w:rPr>
          <w:rFonts w:hint="eastAsia" w:ascii="宋体" w:hAnsi="宋体" w:eastAsia="宋体" w:cs="宋体"/>
          <w:b/>
          <w:color w:val="auto"/>
          <w:spacing w:val="40"/>
          <w:sz w:val="30"/>
          <w:szCs w:val="30"/>
          <w:highlight w:val="none"/>
        </w:rPr>
        <w:t xml:space="preserve">    </w:t>
      </w:r>
    </w:p>
    <w:p w14:paraId="27EBE5E5">
      <w:pPr>
        <w:pStyle w:val="3"/>
        <w:rPr>
          <w:rFonts w:hint="eastAsia" w:ascii="宋体" w:hAnsi="宋体" w:eastAsia="宋体" w:cs="宋体"/>
          <w:b/>
          <w:color w:val="auto"/>
          <w:spacing w:val="40"/>
          <w:sz w:val="30"/>
          <w:szCs w:val="30"/>
          <w:highlight w:val="none"/>
        </w:rPr>
      </w:pPr>
    </w:p>
    <w:p w14:paraId="7F023788">
      <w:pPr>
        <w:rPr>
          <w:rFonts w:hint="eastAsia"/>
          <w:color w:val="auto"/>
          <w:highlight w:val="none"/>
        </w:rPr>
      </w:pPr>
    </w:p>
    <w:p w14:paraId="4EBFDF7E">
      <w:pPr>
        <w:rPr>
          <w:rFonts w:hint="eastAsia"/>
          <w:color w:val="auto"/>
          <w:highlight w:val="none"/>
        </w:rPr>
      </w:pPr>
    </w:p>
    <w:p w14:paraId="7CA163F5">
      <w:pPr>
        <w:spacing w:line="600" w:lineRule="exact"/>
        <w:jc w:val="center"/>
        <w:rPr>
          <w:rFonts w:hint="eastAsia" w:ascii="宋体" w:hAnsi="宋体" w:eastAsia="宋体" w:cs="宋体"/>
          <w:color w:val="auto"/>
          <w:spacing w:val="30"/>
          <w:sz w:val="30"/>
          <w:highlight w:val="none"/>
          <w:lang w:eastAsia="zh-CN"/>
        </w:rPr>
      </w:pPr>
      <w:r>
        <w:rPr>
          <w:rFonts w:hint="eastAsia" w:ascii="宋体" w:hAnsi="宋体" w:eastAsia="宋体" w:cs="宋体"/>
          <w:color w:val="auto"/>
          <w:spacing w:val="30"/>
          <w:sz w:val="30"/>
          <w:highlight w:val="none"/>
        </w:rPr>
        <w:t>招 标 人:</w:t>
      </w:r>
      <w:r>
        <w:rPr>
          <w:rFonts w:hint="eastAsia" w:ascii="宋体" w:hAnsi="宋体" w:cs="宋体"/>
          <w:color w:val="auto"/>
          <w:spacing w:val="30"/>
          <w:sz w:val="30"/>
          <w:highlight w:val="none"/>
          <w:lang w:eastAsia="zh-CN"/>
        </w:rPr>
        <w:t>温州市中心医院</w:t>
      </w:r>
    </w:p>
    <w:p w14:paraId="63DBC693">
      <w:pPr>
        <w:spacing w:line="600" w:lineRule="exact"/>
        <w:jc w:val="center"/>
        <w:rPr>
          <w:rFonts w:hint="eastAsia" w:ascii="宋体" w:hAnsi="宋体" w:eastAsia="宋体" w:cs="宋体"/>
          <w:color w:val="auto"/>
          <w:spacing w:val="30"/>
          <w:sz w:val="30"/>
          <w:highlight w:val="none"/>
        </w:rPr>
      </w:pPr>
      <w:r>
        <w:rPr>
          <w:rFonts w:hint="eastAsia" w:ascii="宋体" w:hAnsi="宋体" w:eastAsia="宋体" w:cs="宋体"/>
          <w:color w:val="auto"/>
          <w:spacing w:val="30"/>
          <w:sz w:val="30"/>
          <w:highlight w:val="none"/>
        </w:rPr>
        <w:t>招标代理机构：温州历程招标有限公司</w:t>
      </w:r>
    </w:p>
    <w:p w14:paraId="2F111BB8">
      <w:pPr>
        <w:spacing w:line="600" w:lineRule="exact"/>
        <w:jc w:val="center"/>
        <w:rPr>
          <w:rFonts w:hint="eastAsia" w:ascii="宋体" w:hAnsi="宋体" w:eastAsia="宋体" w:cs="宋体"/>
          <w:color w:val="auto"/>
          <w:spacing w:val="30"/>
          <w:sz w:val="30"/>
          <w:highlight w:val="none"/>
        </w:rPr>
      </w:pPr>
      <w:r>
        <w:rPr>
          <w:rFonts w:hint="eastAsia" w:ascii="宋体" w:hAnsi="宋体" w:eastAsia="宋体" w:cs="宋体"/>
          <w:color w:val="auto"/>
          <w:spacing w:val="30"/>
          <w:sz w:val="30"/>
          <w:highlight w:val="none"/>
        </w:rPr>
        <w:t>二0二</w:t>
      </w:r>
      <w:r>
        <w:rPr>
          <w:rFonts w:hint="eastAsia" w:ascii="宋体" w:hAnsi="宋体" w:cs="宋体"/>
          <w:color w:val="auto"/>
          <w:spacing w:val="30"/>
          <w:sz w:val="30"/>
          <w:highlight w:val="none"/>
          <w:lang w:val="en-US" w:eastAsia="zh-CN"/>
        </w:rPr>
        <w:t>五</w:t>
      </w:r>
      <w:r>
        <w:rPr>
          <w:rFonts w:hint="eastAsia" w:ascii="宋体" w:hAnsi="宋体" w:eastAsia="宋体" w:cs="宋体"/>
          <w:color w:val="auto"/>
          <w:spacing w:val="30"/>
          <w:sz w:val="30"/>
          <w:highlight w:val="none"/>
        </w:rPr>
        <w:t>年</w:t>
      </w:r>
    </w:p>
    <w:p w14:paraId="18D6A615">
      <w:pPr>
        <w:rPr>
          <w:rFonts w:hint="eastAsia"/>
          <w:color w:val="auto"/>
          <w:highlight w:val="none"/>
        </w:rPr>
      </w:pPr>
      <w:r>
        <w:rPr>
          <w:rFonts w:hint="eastAsia" w:ascii="宋体" w:hAnsi="宋体" w:eastAsia="宋体" w:cs="宋体"/>
          <w:b/>
          <w:color w:val="auto"/>
          <w:sz w:val="36"/>
          <w:szCs w:val="36"/>
          <w:highlight w:val="none"/>
        </w:rPr>
        <w:br w:type="page"/>
      </w:r>
    </w:p>
    <w:sdt>
      <w:sdtPr>
        <w:rPr>
          <w:rFonts w:hint="eastAsia" w:ascii="宋体" w:hAnsi="宋体" w:eastAsia="宋体" w:cs="宋体"/>
          <w:color w:val="auto"/>
          <w:kern w:val="2"/>
          <w:sz w:val="21"/>
          <w:szCs w:val="24"/>
          <w:highlight w:val="none"/>
          <w:lang w:val="en-US" w:eastAsia="zh-CN" w:bidi="ar-SA"/>
        </w:rPr>
        <w:id w:val="147459729"/>
        <w15:color w:val="DBDBDB"/>
        <w:docPartObj>
          <w:docPartGallery w:val="Table of Contents"/>
          <w:docPartUnique/>
        </w:docPartObj>
      </w:sdtPr>
      <w:sdtEndPr>
        <w:rPr>
          <w:rFonts w:hint="eastAsia" w:ascii="宋体" w:hAnsi="宋体" w:eastAsia="宋体" w:cs="宋体"/>
          <w:color w:val="auto"/>
          <w:kern w:val="2"/>
          <w:sz w:val="21"/>
          <w:szCs w:val="36"/>
          <w:highlight w:val="none"/>
          <w:lang w:val="en-US" w:eastAsia="zh-CN" w:bidi="ar-SA"/>
        </w:rPr>
      </w:sdtEndPr>
      <w:sdtContent>
        <w:p w14:paraId="7FA7A139">
          <w:pPr>
            <w:spacing w:before="0" w:beforeLines="0" w:after="0" w:afterLines="0" w:line="240" w:lineRule="auto"/>
            <w:ind w:left="0" w:leftChars="0" w:right="0" w:rightChars="0" w:firstLine="0" w:firstLineChars="0"/>
            <w:jc w:val="center"/>
            <w:rPr>
              <w:rFonts w:hint="eastAsia" w:ascii="宋体" w:hAnsi="宋体" w:eastAsia="宋体" w:cs="宋体"/>
              <w:color w:val="auto"/>
              <w:highlight w:val="none"/>
            </w:rPr>
          </w:pPr>
        </w:p>
        <w:p w14:paraId="29987149">
          <w:pPr>
            <w:pStyle w:val="37"/>
            <w:tabs>
              <w:tab w:val="right" w:leader="dot" w:pos="9638"/>
            </w:tabs>
            <w:spacing w:line="360" w:lineRule="auto"/>
            <w:jc w:val="center"/>
            <w:rPr>
              <w:rFonts w:hint="eastAsia" w:ascii="宋体" w:hAnsi="宋体" w:eastAsia="宋体" w:cs="宋体"/>
              <w:b/>
              <w:color w:val="auto"/>
              <w:sz w:val="36"/>
              <w:szCs w:val="36"/>
              <w:highlight w:val="none"/>
              <w:lang w:val="en-US" w:eastAsia="zh-CN"/>
            </w:rPr>
          </w:pPr>
          <w:r>
            <w:rPr>
              <w:rFonts w:hint="eastAsia" w:ascii="宋体" w:hAnsi="宋体" w:eastAsia="宋体" w:cs="宋体"/>
              <w:b/>
              <w:color w:val="auto"/>
              <w:sz w:val="36"/>
              <w:szCs w:val="36"/>
              <w:highlight w:val="none"/>
              <w:lang w:val="en-US" w:eastAsia="zh-CN"/>
            </w:rPr>
            <w:t>目  录</w:t>
          </w:r>
        </w:p>
        <w:p w14:paraId="575BD951">
          <w:pPr>
            <w:pStyle w:val="37"/>
            <w:tabs>
              <w:tab w:val="right" w:leader="dot" w:pos="9638"/>
            </w:tabs>
            <w:spacing w:line="360" w:lineRule="auto"/>
            <w:rPr>
              <w:color w:val="auto"/>
              <w:sz w:val="22"/>
              <w:szCs w:val="28"/>
              <w:highlight w:val="none"/>
            </w:rPr>
          </w:pPr>
          <w:r>
            <w:rPr>
              <w:rFonts w:hint="eastAsia" w:ascii="宋体" w:hAnsi="宋体" w:eastAsia="宋体" w:cs="宋体"/>
              <w:b/>
              <w:color w:val="auto"/>
              <w:sz w:val="40"/>
              <w:szCs w:val="40"/>
              <w:highlight w:val="none"/>
            </w:rPr>
            <w:fldChar w:fldCharType="begin"/>
          </w:r>
          <w:r>
            <w:rPr>
              <w:rFonts w:hint="eastAsia" w:ascii="宋体" w:hAnsi="宋体" w:eastAsia="宋体" w:cs="宋体"/>
              <w:b/>
              <w:color w:val="auto"/>
              <w:sz w:val="40"/>
              <w:szCs w:val="40"/>
              <w:highlight w:val="none"/>
            </w:rPr>
            <w:instrText xml:space="preserve">TOC \o "1-3" \h \u </w:instrText>
          </w:r>
          <w:r>
            <w:rPr>
              <w:rFonts w:hint="eastAsia" w:ascii="宋体" w:hAnsi="宋体" w:eastAsia="宋体" w:cs="宋体"/>
              <w:b/>
              <w:color w:val="auto"/>
              <w:sz w:val="40"/>
              <w:szCs w:val="40"/>
              <w:highlight w:val="none"/>
            </w:rPr>
            <w:fldChar w:fldCharType="separate"/>
          </w:r>
          <w:r>
            <w:rPr>
              <w:rFonts w:hint="eastAsia" w:ascii="宋体" w:hAnsi="宋体" w:eastAsia="宋体" w:cs="宋体"/>
              <w:color w:val="auto"/>
              <w:sz w:val="22"/>
              <w:szCs w:val="40"/>
              <w:highlight w:val="none"/>
            </w:rPr>
            <w:fldChar w:fldCharType="begin"/>
          </w:r>
          <w:r>
            <w:rPr>
              <w:rFonts w:hint="eastAsia" w:ascii="宋体" w:hAnsi="宋体" w:eastAsia="宋体" w:cs="宋体"/>
              <w:color w:val="auto"/>
              <w:sz w:val="22"/>
              <w:szCs w:val="40"/>
              <w:highlight w:val="none"/>
            </w:rPr>
            <w:instrText xml:space="preserve"> HYPERLINK \l _Toc6599 </w:instrText>
          </w:r>
          <w:r>
            <w:rPr>
              <w:rFonts w:hint="eastAsia" w:ascii="宋体" w:hAnsi="宋体" w:eastAsia="宋体" w:cs="宋体"/>
              <w:color w:val="auto"/>
              <w:sz w:val="22"/>
              <w:szCs w:val="40"/>
              <w:highlight w:val="none"/>
            </w:rPr>
            <w:fldChar w:fldCharType="separate"/>
          </w:r>
          <w:r>
            <w:rPr>
              <w:rFonts w:hint="eastAsia" w:ascii="宋体" w:hAnsi="宋体" w:eastAsia="宋体" w:cs="宋体"/>
              <w:color w:val="auto"/>
              <w:sz w:val="22"/>
              <w:szCs w:val="28"/>
              <w:highlight w:val="none"/>
            </w:rPr>
            <w:t>招</w:t>
          </w:r>
          <w:r>
            <w:rPr>
              <w:rFonts w:hint="eastAsia" w:ascii="宋体" w:hAnsi="宋体" w:eastAsia="宋体" w:cs="宋体"/>
              <w:color w:val="auto"/>
              <w:sz w:val="22"/>
              <w:szCs w:val="28"/>
              <w:highlight w:val="none"/>
              <w:lang w:val="en-US" w:eastAsia="zh-CN"/>
            </w:rPr>
            <w:t xml:space="preserve"> </w:t>
          </w:r>
          <w:r>
            <w:rPr>
              <w:rFonts w:hint="eastAsia" w:ascii="宋体" w:hAnsi="宋体" w:eastAsia="宋体" w:cs="宋体"/>
              <w:color w:val="auto"/>
              <w:sz w:val="22"/>
              <w:szCs w:val="28"/>
              <w:highlight w:val="none"/>
            </w:rPr>
            <w:t>标</w:t>
          </w:r>
          <w:r>
            <w:rPr>
              <w:rFonts w:hint="eastAsia" w:ascii="宋体" w:hAnsi="宋体" w:eastAsia="宋体" w:cs="宋体"/>
              <w:color w:val="auto"/>
              <w:sz w:val="22"/>
              <w:szCs w:val="28"/>
              <w:highlight w:val="none"/>
              <w:lang w:val="en-US" w:eastAsia="zh-CN"/>
            </w:rPr>
            <w:t xml:space="preserve"> </w:t>
          </w:r>
          <w:r>
            <w:rPr>
              <w:rFonts w:hint="eastAsia" w:ascii="宋体" w:hAnsi="宋体" w:eastAsia="宋体" w:cs="宋体"/>
              <w:color w:val="auto"/>
              <w:sz w:val="22"/>
              <w:szCs w:val="28"/>
              <w:highlight w:val="none"/>
            </w:rPr>
            <w:t>公</w:t>
          </w:r>
          <w:r>
            <w:rPr>
              <w:rFonts w:hint="eastAsia" w:ascii="宋体" w:hAnsi="宋体" w:eastAsia="宋体" w:cs="宋体"/>
              <w:color w:val="auto"/>
              <w:sz w:val="22"/>
              <w:szCs w:val="28"/>
              <w:highlight w:val="none"/>
              <w:lang w:val="en-US" w:eastAsia="zh-CN"/>
            </w:rPr>
            <w:t xml:space="preserve"> </w:t>
          </w:r>
          <w:r>
            <w:rPr>
              <w:rFonts w:hint="eastAsia" w:ascii="宋体" w:hAnsi="宋体" w:eastAsia="宋体" w:cs="宋体"/>
              <w:color w:val="auto"/>
              <w:sz w:val="22"/>
              <w:szCs w:val="28"/>
              <w:highlight w:val="none"/>
            </w:rPr>
            <w:t>告</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_Toc6599 \h </w:instrText>
          </w:r>
          <w:r>
            <w:rPr>
              <w:color w:val="auto"/>
              <w:sz w:val="22"/>
              <w:szCs w:val="28"/>
              <w:highlight w:val="none"/>
            </w:rPr>
            <w:fldChar w:fldCharType="separate"/>
          </w:r>
          <w:r>
            <w:rPr>
              <w:color w:val="auto"/>
              <w:sz w:val="22"/>
              <w:szCs w:val="28"/>
              <w:highlight w:val="none"/>
            </w:rPr>
            <w:t>3</w:t>
          </w:r>
          <w:r>
            <w:rPr>
              <w:color w:val="auto"/>
              <w:sz w:val="22"/>
              <w:szCs w:val="28"/>
              <w:highlight w:val="none"/>
            </w:rPr>
            <w:fldChar w:fldCharType="end"/>
          </w:r>
          <w:r>
            <w:rPr>
              <w:rFonts w:hint="eastAsia" w:ascii="宋体" w:hAnsi="宋体" w:eastAsia="宋体" w:cs="宋体"/>
              <w:color w:val="auto"/>
              <w:sz w:val="22"/>
              <w:szCs w:val="40"/>
              <w:highlight w:val="none"/>
            </w:rPr>
            <w:fldChar w:fldCharType="end"/>
          </w:r>
        </w:p>
        <w:p w14:paraId="3F024E60">
          <w:pPr>
            <w:pStyle w:val="37"/>
            <w:tabs>
              <w:tab w:val="right" w:leader="dot" w:pos="9638"/>
            </w:tabs>
            <w:spacing w:line="360" w:lineRule="auto"/>
            <w:rPr>
              <w:color w:val="auto"/>
              <w:sz w:val="22"/>
              <w:szCs w:val="28"/>
              <w:highlight w:val="none"/>
            </w:rPr>
          </w:pPr>
          <w:r>
            <w:rPr>
              <w:rFonts w:hint="eastAsia" w:ascii="宋体" w:hAnsi="宋体" w:eastAsia="宋体" w:cs="宋体"/>
              <w:color w:val="auto"/>
              <w:sz w:val="22"/>
              <w:szCs w:val="40"/>
              <w:highlight w:val="none"/>
            </w:rPr>
            <w:fldChar w:fldCharType="begin"/>
          </w:r>
          <w:r>
            <w:rPr>
              <w:rFonts w:hint="eastAsia" w:ascii="宋体" w:hAnsi="宋体" w:eastAsia="宋体" w:cs="宋体"/>
              <w:color w:val="auto"/>
              <w:sz w:val="22"/>
              <w:szCs w:val="40"/>
              <w:highlight w:val="none"/>
            </w:rPr>
            <w:instrText xml:space="preserve"> HYPERLINK \l _Toc10401 </w:instrText>
          </w:r>
          <w:r>
            <w:rPr>
              <w:rFonts w:hint="eastAsia" w:ascii="宋体" w:hAnsi="宋体" w:eastAsia="宋体" w:cs="宋体"/>
              <w:color w:val="auto"/>
              <w:sz w:val="22"/>
              <w:szCs w:val="40"/>
              <w:highlight w:val="none"/>
            </w:rPr>
            <w:fldChar w:fldCharType="separate"/>
          </w:r>
          <w:r>
            <w:rPr>
              <w:rFonts w:hint="eastAsia" w:ascii="宋体" w:hAnsi="宋体" w:eastAsia="宋体" w:cs="宋体"/>
              <w:color w:val="auto"/>
              <w:sz w:val="22"/>
              <w:szCs w:val="28"/>
              <w:highlight w:val="none"/>
            </w:rPr>
            <w:t>第一部分    投标人须知</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_Toc10401 \h </w:instrText>
          </w:r>
          <w:r>
            <w:rPr>
              <w:color w:val="auto"/>
              <w:sz w:val="22"/>
              <w:szCs w:val="28"/>
              <w:highlight w:val="none"/>
            </w:rPr>
            <w:fldChar w:fldCharType="separate"/>
          </w:r>
          <w:r>
            <w:rPr>
              <w:color w:val="auto"/>
              <w:sz w:val="22"/>
              <w:szCs w:val="28"/>
              <w:highlight w:val="none"/>
            </w:rPr>
            <w:t>6</w:t>
          </w:r>
          <w:r>
            <w:rPr>
              <w:color w:val="auto"/>
              <w:sz w:val="22"/>
              <w:szCs w:val="28"/>
              <w:highlight w:val="none"/>
            </w:rPr>
            <w:fldChar w:fldCharType="end"/>
          </w:r>
          <w:r>
            <w:rPr>
              <w:rFonts w:hint="eastAsia" w:ascii="宋体" w:hAnsi="宋体" w:eastAsia="宋体" w:cs="宋体"/>
              <w:color w:val="auto"/>
              <w:sz w:val="22"/>
              <w:szCs w:val="40"/>
              <w:highlight w:val="none"/>
            </w:rPr>
            <w:fldChar w:fldCharType="end"/>
          </w:r>
        </w:p>
        <w:p w14:paraId="2F91B6FE">
          <w:pPr>
            <w:pStyle w:val="44"/>
            <w:tabs>
              <w:tab w:val="right" w:leader="dot" w:pos="9638"/>
            </w:tabs>
            <w:spacing w:line="360" w:lineRule="auto"/>
            <w:rPr>
              <w:color w:val="auto"/>
              <w:sz w:val="22"/>
              <w:szCs w:val="28"/>
              <w:highlight w:val="none"/>
            </w:rPr>
          </w:pPr>
          <w:r>
            <w:rPr>
              <w:rFonts w:hint="eastAsia" w:ascii="宋体" w:hAnsi="宋体" w:eastAsia="宋体" w:cs="宋体"/>
              <w:color w:val="auto"/>
              <w:sz w:val="22"/>
              <w:szCs w:val="40"/>
              <w:highlight w:val="none"/>
            </w:rPr>
            <w:fldChar w:fldCharType="begin"/>
          </w:r>
          <w:r>
            <w:rPr>
              <w:rFonts w:hint="eastAsia" w:ascii="宋体" w:hAnsi="宋体" w:eastAsia="宋体" w:cs="宋体"/>
              <w:color w:val="auto"/>
              <w:sz w:val="22"/>
              <w:szCs w:val="40"/>
              <w:highlight w:val="none"/>
            </w:rPr>
            <w:instrText xml:space="preserve"> HYPERLINK \l _Toc6224 </w:instrText>
          </w:r>
          <w:r>
            <w:rPr>
              <w:rFonts w:hint="eastAsia" w:ascii="宋体" w:hAnsi="宋体" w:eastAsia="宋体" w:cs="宋体"/>
              <w:color w:val="auto"/>
              <w:sz w:val="22"/>
              <w:szCs w:val="40"/>
              <w:highlight w:val="none"/>
            </w:rPr>
            <w:fldChar w:fldCharType="separate"/>
          </w:r>
          <w:r>
            <w:rPr>
              <w:rFonts w:hint="eastAsia" w:ascii="宋体" w:hAnsi="宋体" w:eastAsia="宋体" w:cs="宋体"/>
              <w:bCs/>
              <w:color w:val="auto"/>
              <w:sz w:val="22"/>
              <w:szCs w:val="28"/>
              <w:highlight w:val="none"/>
            </w:rPr>
            <w:t>前 附 表</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_Toc6224 \h </w:instrText>
          </w:r>
          <w:r>
            <w:rPr>
              <w:color w:val="auto"/>
              <w:sz w:val="22"/>
              <w:szCs w:val="28"/>
              <w:highlight w:val="none"/>
            </w:rPr>
            <w:fldChar w:fldCharType="separate"/>
          </w:r>
          <w:r>
            <w:rPr>
              <w:color w:val="auto"/>
              <w:sz w:val="22"/>
              <w:szCs w:val="28"/>
              <w:highlight w:val="none"/>
            </w:rPr>
            <w:t>6</w:t>
          </w:r>
          <w:r>
            <w:rPr>
              <w:color w:val="auto"/>
              <w:sz w:val="22"/>
              <w:szCs w:val="28"/>
              <w:highlight w:val="none"/>
            </w:rPr>
            <w:fldChar w:fldCharType="end"/>
          </w:r>
          <w:r>
            <w:rPr>
              <w:rFonts w:hint="eastAsia" w:ascii="宋体" w:hAnsi="宋体" w:eastAsia="宋体" w:cs="宋体"/>
              <w:color w:val="auto"/>
              <w:sz w:val="22"/>
              <w:szCs w:val="40"/>
              <w:highlight w:val="none"/>
            </w:rPr>
            <w:fldChar w:fldCharType="end"/>
          </w:r>
        </w:p>
        <w:p w14:paraId="59439377">
          <w:pPr>
            <w:pStyle w:val="44"/>
            <w:tabs>
              <w:tab w:val="right" w:leader="dot" w:pos="9638"/>
            </w:tabs>
            <w:spacing w:line="360" w:lineRule="auto"/>
            <w:rPr>
              <w:color w:val="auto"/>
              <w:sz w:val="22"/>
              <w:szCs w:val="28"/>
              <w:highlight w:val="none"/>
            </w:rPr>
          </w:pPr>
          <w:r>
            <w:rPr>
              <w:rFonts w:hint="eastAsia" w:ascii="宋体" w:hAnsi="宋体" w:eastAsia="宋体" w:cs="宋体"/>
              <w:color w:val="auto"/>
              <w:sz w:val="22"/>
              <w:szCs w:val="40"/>
              <w:highlight w:val="none"/>
            </w:rPr>
            <w:fldChar w:fldCharType="begin"/>
          </w:r>
          <w:r>
            <w:rPr>
              <w:rFonts w:hint="eastAsia" w:ascii="宋体" w:hAnsi="宋体" w:eastAsia="宋体" w:cs="宋体"/>
              <w:color w:val="auto"/>
              <w:sz w:val="22"/>
              <w:szCs w:val="40"/>
              <w:highlight w:val="none"/>
            </w:rPr>
            <w:instrText xml:space="preserve"> HYPERLINK \l _Toc19070 </w:instrText>
          </w:r>
          <w:r>
            <w:rPr>
              <w:rFonts w:hint="eastAsia" w:ascii="宋体" w:hAnsi="宋体" w:eastAsia="宋体" w:cs="宋体"/>
              <w:color w:val="auto"/>
              <w:sz w:val="22"/>
              <w:szCs w:val="40"/>
              <w:highlight w:val="none"/>
            </w:rPr>
            <w:fldChar w:fldCharType="separate"/>
          </w:r>
          <w:r>
            <w:rPr>
              <w:rFonts w:hint="eastAsia" w:ascii="宋体" w:hAnsi="宋体" w:eastAsia="宋体" w:cs="宋体"/>
              <w:bCs/>
              <w:color w:val="auto"/>
              <w:sz w:val="22"/>
              <w:szCs w:val="28"/>
              <w:highlight w:val="none"/>
            </w:rPr>
            <w:t>一、 说   明</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_Toc19070 \h </w:instrText>
          </w:r>
          <w:r>
            <w:rPr>
              <w:color w:val="auto"/>
              <w:sz w:val="22"/>
              <w:szCs w:val="28"/>
              <w:highlight w:val="none"/>
            </w:rPr>
            <w:fldChar w:fldCharType="separate"/>
          </w:r>
          <w:r>
            <w:rPr>
              <w:color w:val="auto"/>
              <w:sz w:val="22"/>
              <w:szCs w:val="28"/>
              <w:highlight w:val="none"/>
            </w:rPr>
            <w:t>9</w:t>
          </w:r>
          <w:r>
            <w:rPr>
              <w:color w:val="auto"/>
              <w:sz w:val="22"/>
              <w:szCs w:val="28"/>
              <w:highlight w:val="none"/>
            </w:rPr>
            <w:fldChar w:fldCharType="end"/>
          </w:r>
          <w:r>
            <w:rPr>
              <w:rFonts w:hint="eastAsia" w:ascii="宋体" w:hAnsi="宋体" w:eastAsia="宋体" w:cs="宋体"/>
              <w:color w:val="auto"/>
              <w:sz w:val="22"/>
              <w:szCs w:val="40"/>
              <w:highlight w:val="none"/>
            </w:rPr>
            <w:fldChar w:fldCharType="end"/>
          </w:r>
        </w:p>
        <w:p w14:paraId="0AE10A4D">
          <w:pPr>
            <w:pStyle w:val="44"/>
            <w:tabs>
              <w:tab w:val="right" w:leader="dot" w:pos="9638"/>
            </w:tabs>
            <w:spacing w:line="360" w:lineRule="auto"/>
            <w:rPr>
              <w:color w:val="auto"/>
              <w:sz w:val="22"/>
              <w:szCs w:val="28"/>
              <w:highlight w:val="none"/>
            </w:rPr>
          </w:pPr>
          <w:r>
            <w:rPr>
              <w:rFonts w:hint="eastAsia" w:ascii="宋体" w:hAnsi="宋体" w:eastAsia="宋体" w:cs="宋体"/>
              <w:color w:val="auto"/>
              <w:sz w:val="22"/>
              <w:szCs w:val="40"/>
              <w:highlight w:val="none"/>
            </w:rPr>
            <w:fldChar w:fldCharType="begin"/>
          </w:r>
          <w:r>
            <w:rPr>
              <w:rFonts w:hint="eastAsia" w:ascii="宋体" w:hAnsi="宋体" w:eastAsia="宋体" w:cs="宋体"/>
              <w:color w:val="auto"/>
              <w:sz w:val="22"/>
              <w:szCs w:val="40"/>
              <w:highlight w:val="none"/>
            </w:rPr>
            <w:instrText xml:space="preserve"> HYPERLINK \l _Toc28278 </w:instrText>
          </w:r>
          <w:r>
            <w:rPr>
              <w:rFonts w:hint="eastAsia" w:ascii="宋体" w:hAnsi="宋体" w:eastAsia="宋体" w:cs="宋体"/>
              <w:color w:val="auto"/>
              <w:sz w:val="22"/>
              <w:szCs w:val="40"/>
              <w:highlight w:val="none"/>
            </w:rPr>
            <w:fldChar w:fldCharType="separate"/>
          </w:r>
          <w:r>
            <w:rPr>
              <w:rFonts w:hint="eastAsia" w:ascii="宋体" w:hAnsi="宋体" w:eastAsia="宋体" w:cs="宋体"/>
              <w:bCs/>
              <w:color w:val="auto"/>
              <w:sz w:val="22"/>
              <w:szCs w:val="28"/>
              <w:highlight w:val="none"/>
            </w:rPr>
            <w:t>二、 招标文件</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_Toc28278 \h </w:instrText>
          </w:r>
          <w:r>
            <w:rPr>
              <w:color w:val="auto"/>
              <w:sz w:val="22"/>
              <w:szCs w:val="28"/>
              <w:highlight w:val="none"/>
            </w:rPr>
            <w:fldChar w:fldCharType="separate"/>
          </w:r>
          <w:r>
            <w:rPr>
              <w:color w:val="auto"/>
              <w:sz w:val="22"/>
              <w:szCs w:val="28"/>
              <w:highlight w:val="none"/>
            </w:rPr>
            <w:t>9</w:t>
          </w:r>
          <w:r>
            <w:rPr>
              <w:color w:val="auto"/>
              <w:sz w:val="22"/>
              <w:szCs w:val="28"/>
              <w:highlight w:val="none"/>
            </w:rPr>
            <w:fldChar w:fldCharType="end"/>
          </w:r>
          <w:r>
            <w:rPr>
              <w:rFonts w:hint="eastAsia" w:ascii="宋体" w:hAnsi="宋体" w:eastAsia="宋体" w:cs="宋体"/>
              <w:color w:val="auto"/>
              <w:sz w:val="22"/>
              <w:szCs w:val="40"/>
              <w:highlight w:val="none"/>
            </w:rPr>
            <w:fldChar w:fldCharType="end"/>
          </w:r>
        </w:p>
        <w:p w14:paraId="62ABFF90">
          <w:pPr>
            <w:pStyle w:val="44"/>
            <w:tabs>
              <w:tab w:val="right" w:leader="dot" w:pos="9638"/>
            </w:tabs>
            <w:spacing w:line="360" w:lineRule="auto"/>
            <w:rPr>
              <w:color w:val="auto"/>
              <w:sz w:val="22"/>
              <w:szCs w:val="28"/>
              <w:highlight w:val="none"/>
            </w:rPr>
          </w:pPr>
          <w:r>
            <w:rPr>
              <w:rFonts w:hint="eastAsia" w:ascii="宋体" w:hAnsi="宋体" w:eastAsia="宋体" w:cs="宋体"/>
              <w:color w:val="auto"/>
              <w:sz w:val="22"/>
              <w:szCs w:val="40"/>
              <w:highlight w:val="none"/>
            </w:rPr>
            <w:fldChar w:fldCharType="begin"/>
          </w:r>
          <w:r>
            <w:rPr>
              <w:rFonts w:hint="eastAsia" w:ascii="宋体" w:hAnsi="宋体" w:eastAsia="宋体" w:cs="宋体"/>
              <w:color w:val="auto"/>
              <w:sz w:val="22"/>
              <w:szCs w:val="40"/>
              <w:highlight w:val="none"/>
            </w:rPr>
            <w:instrText xml:space="preserve"> HYPERLINK \l _Toc22646 </w:instrText>
          </w:r>
          <w:r>
            <w:rPr>
              <w:rFonts w:hint="eastAsia" w:ascii="宋体" w:hAnsi="宋体" w:eastAsia="宋体" w:cs="宋体"/>
              <w:color w:val="auto"/>
              <w:sz w:val="22"/>
              <w:szCs w:val="40"/>
              <w:highlight w:val="none"/>
            </w:rPr>
            <w:fldChar w:fldCharType="separate"/>
          </w:r>
          <w:r>
            <w:rPr>
              <w:rFonts w:hint="eastAsia" w:ascii="宋体" w:hAnsi="宋体" w:eastAsia="宋体" w:cs="宋体"/>
              <w:bCs/>
              <w:color w:val="auto"/>
              <w:sz w:val="22"/>
              <w:szCs w:val="28"/>
              <w:highlight w:val="none"/>
            </w:rPr>
            <w:t>三、 投标文件的编制</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_Toc22646 \h </w:instrText>
          </w:r>
          <w:r>
            <w:rPr>
              <w:color w:val="auto"/>
              <w:sz w:val="22"/>
              <w:szCs w:val="28"/>
              <w:highlight w:val="none"/>
            </w:rPr>
            <w:fldChar w:fldCharType="separate"/>
          </w:r>
          <w:r>
            <w:rPr>
              <w:color w:val="auto"/>
              <w:sz w:val="22"/>
              <w:szCs w:val="28"/>
              <w:highlight w:val="none"/>
            </w:rPr>
            <w:t>10</w:t>
          </w:r>
          <w:r>
            <w:rPr>
              <w:color w:val="auto"/>
              <w:sz w:val="22"/>
              <w:szCs w:val="28"/>
              <w:highlight w:val="none"/>
            </w:rPr>
            <w:fldChar w:fldCharType="end"/>
          </w:r>
          <w:r>
            <w:rPr>
              <w:rFonts w:hint="eastAsia" w:ascii="宋体" w:hAnsi="宋体" w:eastAsia="宋体" w:cs="宋体"/>
              <w:color w:val="auto"/>
              <w:sz w:val="22"/>
              <w:szCs w:val="40"/>
              <w:highlight w:val="none"/>
            </w:rPr>
            <w:fldChar w:fldCharType="end"/>
          </w:r>
        </w:p>
        <w:p w14:paraId="30DEA94B">
          <w:pPr>
            <w:pStyle w:val="44"/>
            <w:tabs>
              <w:tab w:val="right" w:leader="dot" w:pos="9638"/>
            </w:tabs>
            <w:spacing w:line="360" w:lineRule="auto"/>
            <w:rPr>
              <w:color w:val="auto"/>
              <w:sz w:val="22"/>
              <w:szCs w:val="28"/>
              <w:highlight w:val="none"/>
            </w:rPr>
          </w:pPr>
          <w:r>
            <w:rPr>
              <w:rFonts w:hint="eastAsia" w:ascii="宋体" w:hAnsi="宋体" w:eastAsia="宋体" w:cs="宋体"/>
              <w:color w:val="auto"/>
              <w:sz w:val="22"/>
              <w:szCs w:val="40"/>
              <w:highlight w:val="none"/>
            </w:rPr>
            <w:fldChar w:fldCharType="begin"/>
          </w:r>
          <w:r>
            <w:rPr>
              <w:rFonts w:hint="eastAsia" w:ascii="宋体" w:hAnsi="宋体" w:eastAsia="宋体" w:cs="宋体"/>
              <w:color w:val="auto"/>
              <w:sz w:val="22"/>
              <w:szCs w:val="40"/>
              <w:highlight w:val="none"/>
            </w:rPr>
            <w:instrText xml:space="preserve"> HYPERLINK \l _Toc18542 </w:instrText>
          </w:r>
          <w:r>
            <w:rPr>
              <w:rFonts w:hint="eastAsia" w:ascii="宋体" w:hAnsi="宋体" w:eastAsia="宋体" w:cs="宋体"/>
              <w:color w:val="auto"/>
              <w:sz w:val="22"/>
              <w:szCs w:val="40"/>
              <w:highlight w:val="none"/>
            </w:rPr>
            <w:fldChar w:fldCharType="separate"/>
          </w:r>
          <w:r>
            <w:rPr>
              <w:rFonts w:hint="eastAsia" w:ascii="宋体" w:hAnsi="宋体" w:eastAsia="宋体" w:cs="宋体"/>
              <w:bCs/>
              <w:color w:val="auto"/>
              <w:sz w:val="22"/>
              <w:szCs w:val="24"/>
              <w:highlight w:val="none"/>
            </w:rPr>
            <w:t>四、 投标文件的递交</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_Toc18542 \h </w:instrText>
          </w:r>
          <w:r>
            <w:rPr>
              <w:color w:val="auto"/>
              <w:sz w:val="22"/>
              <w:szCs w:val="28"/>
              <w:highlight w:val="none"/>
            </w:rPr>
            <w:fldChar w:fldCharType="separate"/>
          </w:r>
          <w:r>
            <w:rPr>
              <w:color w:val="auto"/>
              <w:sz w:val="22"/>
              <w:szCs w:val="28"/>
              <w:highlight w:val="none"/>
            </w:rPr>
            <w:t>13</w:t>
          </w:r>
          <w:r>
            <w:rPr>
              <w:color w:val="auto"/>
              <w:sz w:val="22"/>
              <w:szCs w:val="28"/>
              <w:highlight w:val="none"/>
            </w:rPr>
            <w:fldChar w:fldCharType="end"/>
          </w:r>
          <w:r>
            <w:rPr>
              <w:rFonts w:hint="eastAsia" w:ascii="宋体" w:hAnsi="宋体" w:eastAsia="宋体" w:cs="宋体"/>
              <w:color w:val="auto"/>
              <w:sz w:val="22"/>
              <w:szCs w:val="40"/>
              <w:highlight w:val="none"/>
            </w:rPr>
            <w:fldChar w:fldCharType="end"/>
          </w:r>
        </w:p>
        <w:p w14:paraId="223B93DA">
          <w:pPr>
            <w:pStyle w:val="44"/>
            <w:tabs>
              <w:tab w:val="right" w:leader="dot" w:pos="9638"/>
            </w:tabs>
            <w:spacing w:line="360" w:lineRule="auto"/>
            <w:rPr>
              <w:color w:val="auto"/>
              <w:sz w:val="22"/>
              <w:szCs w:val="28"/>
              <w:highlight w:val="none"/>
            </w:rPr>
          </w:pPr>
          <w:r>
            <w:rPr>
              <w:rFonts w:hint="eastAsia" w:ascii="宋体" w:hAnsi="宋体" w:eastAsia="宋体" w:cs="宋体"/>
              <w:color w:val="auto"/>
              <w:sz w:val="22"/>
              <w:szCs w:val="40"/>
              <w:highlight w:val="none"/>
            </w:rPr>
            <w:fldChar w:fldCharType="begin"/>
          </w:r>
          <w:r>
            <w:rPr>
              <w:rFonts w:hint="eastAsia" w:ascii="宋体" w:hAnsi="宋体" w:eastAsia="宋体" w:cs="宋体"/>
              <w:color w:val="auto"/>
              <w:sz w:val="22"/>
              <w:szCs w:val="40"/>
              <w:highlight w:val="none"/>
            </w:rPr>
            <w:instrText xml:space="preserve"> HYPERLINK \l _Toc8079 </w:instrText>
          </w:r>
          <w:r>
            <w:rPr>
              <w:rFonts w:hint="eastAsia" w:ascii="宋体" w:hAnsi="宋体" w:eastAsia="宋体" w:cs="宋体"/>
              <w:color w:val="auto"/>
              <w:sz w:val="22"/>
              <w:szCs w:val="40"/>
              <w:highlight w:val="none"/>
            </w:rPr>
            <w:fldChar w:fldCharType="separate"/>
          </w:r>
          <w:r>
            <w:rPr>
              <w:rFonts w:hint="eastAsia" w:ascii="宋体" w:hAnsi="宋体" w:eastAsia="宋体" w:cs="宋体"/>
              <w:bCs/>
              <w:color w:val="auto"/>
              <w:sz w:val="22"/>
              <w:szCs w:val="24"/>
              <w:highlight w:val="none"/>
            </w:rPr>
            <w:t>五、 开标和评标</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_Toc8079 \h </w:instrText>
          </w:r>
          <w:r>
            <w:rPr>
              <w:color w:val="auto"/>
              <w:sz w:val="22"/>
              <w:szCs w:val="28"/>
              <w:highlight w:val="none"/>
            </w:rPr>
            <w:fldChar w:fldCharType="separate"/>
          </w:r>
          <w:r>
            <w:rPr>
              <w:color w:val="auto"/>
              <w:sz w:val="22"/>
              <w:szCs w:val="28"/>
              <w:highlight w:val="none"/>
            </w:rPr>
            <w:t>14</w:t>
          </w:r>
          <w:r>
            <w:rPr>
              <w:color w:val="auto"/>
              <w:sz w:val="22"/>
              <w:szCs w:val="28"/>
              <w:highlight w:val="none"/>
            </w:rPr>
            <w:fldChar w:fldCharType="end"/>
          </w:r>
          <w:r>
            <w:rPr>
              <w:rFonts w:hint="eastAsia" w:ascii="宋体" w:hAnsi="宋体" w:eastAsia="宋体" w:cs="宋体"/>
              <w:color w:val="auto"/>
              <w:sz w:val="22"/>
              <w:szCs w:val="40"/>
              <w:highlight w:val="none"/>
            </w:rPr>
            <w:fldChar w:fldCharType="end"/>
          </w:r>
        </w:p>
        <w:p w14:paraId="25D51E88">
          <w:pPr>
            <w:pStyle w:val="44"/>
            <w:tabs>
              <w:tab w:val="right" w:leader="dot" w:pos="9638"/>
            </w:tabs>
            <w:spacing w:line="360" w:lineRule="auto"/>
            <w:rPr>
              <w:color w:val="auto"/>
              <w:sz w:val="22"/>
              <w:szCs w:val="28"/>
              <w:highlight w:val="none"/>
            </w:rPr>
          </w:pPr>
          <w:r>
            <w:rPr>
              <w:rFonts w:hint="eastAsia" w:ascii="宋体" w:hAnsi="宋体" w:eastAsia="宋体" w:cs="宋体"/>
              <w:color w:val="auto"/>
              <w:sz w:val="22"/>
              <w:szCs w:val="40"/>
              <w:highlight w:val="none"/>
            </w:rPr>
            <w:fldChar w:fldCharType="begin"/>
          </w:r>
          <w:r>
            <w:rPr>
              <w:rFonts w:hint="eastAsia" w:ascii="宋体" w:hAnsi="宋体" w:eastAsia="宋体" w:cs="宋体"/>
              <w:color w:val="auto"/>
              <w:sz w:val="22"/>
              <w:szCs w:val="40"/>
              <w:highlight w:val="none"/>
            </w:rPr>
            <w:instrText xml:space="preserve"> HYPERLINK \l _Toc21056 </w:instrText>
          </w:r>
          <w:r>
            <w:rPr>
              <w:rFonts w:hint="eastAsia" w:ascii="宋体" w:hAnsi="宋体" w:eastAsia="宋体" w:cs="宋体"/>
              <w:color w:val="auto"/>
              <w:sz w:val="22"/>
              <w:szCs w:val="40"/>
              <w:highlight w:val="none"/>
            </w:rPr>
            <w:fldChar w:fldCharType="separate"/>
          </w:r>
          <w:r>
            <w:rPr>
              <w:rFonts w:hint="eastAsia" w:ascii="宋体" w:hAnsi="宋体" w:eastAsia="宋体" w:cs="宋体"/>
              <w:bCs/>
              <w:color w:val="auto"/>
              <w:sz w:val="22"/>
              <w:szCs w:val="28"/>
              <w:highlight w:val="none"/>
            </w:rPr>
            <w:t>六、 授予合同</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_Toc21056 \h </w:instrText>
          </w:r>
          <w:r>
            <w:rPr>
              <w:color w:val="auto"/>
              <w:sz w:val="22"/>
              <w:szCs w:val="28"/>
              <w:highlight w:val="none"/>
            </w:rPr>
            <w:fldChar w:fldCharType="separate"/>
          </w:r>
          <w:r>
            <w:rPr>
              <w:color w:val="auto"/>
              <w:sz w:val="22"/>
              <w:szCs w:val="28"/>
              <w:highlight w:val="none"/>
            </w:rPr>
            <w:t>18</w:t>
          </w:r>
          <w:r>
            <w:rPr>
              <w:color w:val="auto"/>
              <w:sz w:val="22"/>
              <w:szCs w:val="28"/>
              <w:highlight w:val="none"/>
            </w:rPr>
            <w:fldChar w:fldCharType="end"/>
          </w:r>
          <w:r>
            <w:rPr>
              <w:rFonts w:hint="eastAsia" w:ascii="宋体" w:hAnsi="宋体" w:eastAsia="宋体" w:cs="宋体"/>
              <w:color w:val="auto"/>
              <w:sz w:val="22"/>
              <w:szCs w:val="40"/>
              <w:highlight w:val="none"/>
            </w:rPr>
            <w:fldChar w:fldCharType="end"/>
          </w:r>
        </w:p>
        <w:p w14:paraId="78577733">
          <w:pPr>
            <w:pStyle w:val="37"/>
            <w:tabs>
              <w:tab w:val="right" w:leader="dot" w:pos="9638"/>
            </w:tabs>
            <w:spacing w:line="360" w:lineRule="auto"/>
            <w:rPr>
              <w:color w:val="auto"/>
              <w:sz w:val="22"/>
              <w:szCs w:val="28"/>
              <w:highlight w:val="none"/>
            </w:rPr>
          </w:pPr>
          <w:r>
            <w:rPr>
              <w:rFonts w:hint="eastAsia" w:ascii="宋体" w:hAnsi="宋体" w:eastAsia="宋体" w:cs="宋体"/>
              <w:color w:val="auto"/>
              <w:sz w:val="22"/>
              <w:szCs w:val="40"/>
              <w:highlight w:val="none"/>
            </w:rPr>
            <w:fldChar w:fldCharType="begin"/>
          </w:r>
          <w:r>
            <w:rPr>
              <w:rFonts w:hint="eastAsia" w:ascii="宋体" w:hAnsi="宋体" w:eastAsia="宋体" w:cs="宋体"/>
              <w:color w:val="auto"/>
              <w:sz w:val="22"/>
              <w:szCs w:val="40"/>
              <w:highlight w:val="none"/>
            </w:rPr>
            <w:instrText xml:space="preserve"> HYPERLINK \l _Toc19043 </w:instrText>
          </w:r>
          <w:r>
            <w:rPr>
              <w:rFonts w:hint="eastAsia" w:ascii="宋体" w:hAnsi="宋体" w:eastAsia="宋体" w:cs="宋体"/>
              <w:color w:val="auto"/>
              <w:sz w:val="22"/>
              <w:szCs w:val="40"/>
              <w:highlight w:val="none"/>
            </w:rPr>
            <w:fldChar w:fldCharType="separate"/>
          </w:r>
          <w:r>
            <w:rPr>
              <w:rFonts w:hint="eastAsia" w:ascii="宋体" w:hAnsi="宋体" w:eastAsia="宋体" w:cs="宋体"/>
              <w:color w:val="auto"/>
              <w:sz w:val="22"/>
              <w:szCs w:val="28"/>
              <w:highlight w:val="none"/>
            </w:rPr>
            <w:t>第二部分    合同主要条款</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_Toc19043 \h </w:instrText>
          </w:r>
          <w:r>
            <w:rPr>
              <w:color w:val="auto"/>
              <w:sz w:val="22"/>
              <w:szCs w:val="28"/>
              <w:highlight w:val="none"/>
            </w:rPr>
            <w:fldChar w:fldCharType="separate"/>
          </w:r>
          <w:r>
            <w:rPr>
              <w:color w:val="auto"/>
              <w:sz w:val="22"/>
              <w:szCs w:val="28"/>
              <w:highlight w:val="none"/>
            </w:rPr>
            <w:t>19</w:t>
          </w:r>
          <w:r>
            <w:rPr>
              <w:color w:val="auto"/>
              <w:sz w:val="22"/>
              <w:szCs w:val="28"/>
              <w:highlight w:val="none"/>
            </w:rPr>
            <w:fldChar w:fldCharType="end"/>
          </w:r>
          <w:r>
            <w:rPr>
              <w:rFonts w:hint="eastAsia" w:ascii="宋体" w:hAnsi="宋体" w:eastAsia="宋体" w:cs="宋体"/>
              <w:color w:val="auto"/>
              <w:sz w:val="22"/>
              <w:szCs w:val="40"/>
              <w:highlight w:val="none"/>
            </w:rPr>
            <w:fldChar w:fldCharType="end"/>
          </w:r>
        </w:p>
        <w:p w14:paraId="5DF8E59D">
          <w:pPr>
            <w:pStyle w:val="37"/>
            <w:tabs>
              <w:tab w:val="right" w:leader="dot" w:pos="9638"/>
            </w:tabs>
            <w:spacing w:line="360" w:lineRule="auto"/>
            <w:rPr>
              <w:color w:val="auto"/>
              <w:sz w:val="22"/>
              <w:szCs w:val="28"/>
              <w:highlight w:val="none"/>
            </w:rPr>
          </w:pPr>
          <w:r>
            <w:rPr>
              <w:rFonts w:hint="eastAsia" w:ascii="宋体" w:hAnsi="宋体" w:eastAsia="宋体" w:cs="宋体"/>
              <w:color w:val="auto"/>
              <w:sz w:val="22"/>
              <w:szCs w:val="40"/>
              <w:highlight w:val="none"/>
            </w:rPr>
            <w:fldChar w:fldCharType="begin"/>
          </w:r>
          <w:r>
            <w:rPr>
              <w:rFonts w:hint="eastAsia" w:ascii="宋体" w:hAnsi="宋体" w:eastAsia="宋体" w:cs="宋体"/>
              <w:color w:val="auto"/>
              <w:sz w:val="22"/>
              <w:szCs w:val="40"/>
              <w:highlight w:val="none"/>
            </w:rPr>
            <w:instrText xml:space="preserve"> HYPERLINK \l _Toc18439 </w:instrText>
          </w:r>
          <w:r>
            <w:rPr>
              <w:rFonts w:hint="eastAsia" w:ascii="宋体" w:hAnsi="宋体" w:eastAsia="宋体" w:cs="宋体"/>
              <w:color w:val="auto"/>
              <w:sz w:val="22"/>
              <w:szCs w:val="40"/>
              <w:highlight w:val="none"/>
            </w:rPr>
            <w:fldChar w:fldCharType="separate"/>
          </w:r>
          <w:r>
            <w:rPr>
              <w:rFonts w:hint="eastAsia" w:ascii="宋体" w:hAnsi="宋体" w:eastAsia="宋体" w:cs="宋体"/>
              <w:color w:val="auto"/>
              <w:sz w:val="22"/>
              <w:szCs w:val="28"/>
              <w:highlight w:val="none"/>
            </w:rPr>
            <w:t>第三部分    附件</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_Toc18439 \h </w:instrText>
          </w:r>
          <w:r>
            <w:rPr>
              <w:color w:val="auto"/>
              <w:sz w:val="22"/>
              <w:szCs w:val="28"/>
              <w:highlight w:val="none"/>
            </w:rPr>
            <w:fldChar w:fldCharType="separate"/>
          </w:r>
          <w:r>
            <w:rPr>
              <w:color w:val="auto"/>
              <w:sz w:val="22"/>
              <w:szCs w:val="28"/>
              <w:highlight w:val="none"/>
            </w:rPr>
            <w:t>25</w:t>
          </w:r>
          <w:r>
            <w:rPr>
              <w:color w:val="auto"/>
              <w:sz w:val="22"/>
              <w:szCs w:val="28"/>
              <w:highlight w:val="none"/>
            </w:rPr>
            <w:fldChar w:fldCharType="end"/>
          </w:r>
          <w:r>
            <w:rPr>
              <w:rFonts w:hint="eastAsia" w:ascii="宋体" w:hAnsi="宋体" w:eastAsia="宋体" w:cs="宋体"/>
              <w:color w:val="auto"/>
              <w:sz w:val="22"/>
              <w:szCs w:val="40"/>
              <w:highlight w:val="none"/>
            </w:rPr>
            <w:fldChar w:fldCharType="end"/>
          </w:r>
        </w:p>
        <w:p w14:paraId="208613EB">
          <w:pPr>
            <w:pStyle w:val="44"/>
            <w:tabs>
              <w:tab w:val="right" w:leader="dot" w:pos="9638"/>
            </w:tabs>
            <w:spacing w:line="360" w:lineRule="auto"/>
            <w:rPr>
              <w:color w:val="auto"/>
              <w:sz w:val="22"/>
              <w:szCs w:val="28"/>
              <w:highlight w:val="none"/>
            </w:rPr>
          </w:pPr>
          <w:r>
            <w:rPr>
              <w:rFonts w:hint="eastAsia" w:ascii="宋体" w:hAnsi="宋体" w:eastAsia="宋体" w:cs="宋体"/>
              <w:color w:val="auto"/>
              <w:sz w:val="22"/>
              <w:szCs w:val="40"/>
              <w:highlight w:val="none"/>
            </w:rPr>
            <w:fldChar w:fldCharType="begin"/>
          </w:r>
          <w:r>
            <w:rPr>
              <w:rFonts w:hint="eastAsia" w:ascii="宋体" w:hAnsi="宋体" w:eastAsia="宋体" w:cs="宋体"/>
              <w:color w:val="auto"/>
              <w:sz w:val="22"/>
              <w:szCs w:val="40"/>
              <w:highlight w:val="none"/>
            </w:rPr>
            <w:instrText xml:space="preserve"> HYPERLINK \l _Toc6368 </w:instrText>
          </w:r>
          <w:r>
            <w:rPr>
              <w:rFonts w:hint="eastAsia" w:ascii="宋体" w:hAnsi="宋体" w:eastAsia="宋体" w:cs="宋体"/>
              <w:color w:val="auto"/>
              <w:sz w:val="22"/>
              <w:szCs w:val="40"/>
              <w:highlight w:val="none"/>
            </w:rPr>
            <w:fldChar w:fldCharType="separate"/>
          </w:r>
          <w:r>
            <w:rPr>
              <w:rFonts w:hint="eastAsia" w:ascii="宋体" w:hAnsi="宋体" w:eastAsia="宋体" w:cs="宋体"/>
              <w:color w:val="auto"/>
              <w:sz w:val="22"/>
              <w:szCs w:val="28"/>
              <w:highlight w:val="none"/>
            </w:rPr>
            <w:t>附件一</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_Toc6368 \h </w:instrText>
          </w:r>
          <w:r>
            <w:rPr>
              <w:color w:val="auto"/>
              <w:sz w:val="22"/>
              <w:szCs w:val="28"/>
              <w:highlight w:val="none"/>
            </w:rPr>
            <w:fldChar w:fldCharType="separate"/>
          </w:r>
          <w:r>
            <w:rPr>
              <w:color w:val="auto"/>
              <w:sz w:val="22"/>
              <w:szCs w:val="28"/>
              <w:highlight w:val="none"/>
            </w:rPr>
            <w:t>25</w:t>
          </w:r>
          <w:r>
            <w:rPr>
              <w:color w:val="auto"/>
              <w:sz w:val="22"/>
              <w:szCs w:val="28"/>
              <w:highlight w:val="none"/>
            </w:rPr>
            <w:fldChar w:fldCharType="end"/>
          </w:r>
          <w:r>
            <w:rPr>
              <w:rFonts w:hint="eastAsia" w:ascii="宋体" w:hAnsi="宋体" w:eastAsia="宋体" w:cs="宋体"/>
              <w:color w:val="auto"/>
              <w:sz w:val="22"/>
              <w:szCs w:val="40"/>
              <w:highlight w:val="none"/>
            </w:rPr>
            <w:fldChar w:fldCharType="end"/>
          </w:r>
        </w:p>
        <w:p w14:paraId="5BB1434F">
          <w:pPr>
            <w:pStyle w:val="27"/>
            <w:tabs>
              <w:tab w:val="right" w:leader="dot" w:pos="9638"/>
            </w:tabs>
            <w:spacing w:line="360" w:lineRule="auto"/>
            <w:rPr>
              <w:color w:val="auto"/>
              <w:sz w:val="22"/>
              <w:szCs w:val="28"/>
              <w:highlight w:val="none"/>
            </w:rPr>
          </w:pPr>
          <w:r>
            <w:rPr>
              <w:rFonts w:hint="eastAsia" w:ascii="宋体" w:hAnsi="宋体" w:eastAsia="宋体" w:cs="宋体"/>
              <w:color w:val="auto"/>
              <w:sz w:val="22"/>
              <w:szCs w:val="40"/>
              <w:highlight w:val="none"/>
            </w:rPr>
            <w:fldChar w:fldCharType="begin"/>
          </w:r>
          <w:r>
            <w:rPr>
              <w:rFonts w:hint="eastAsia" w:ascii="宋体" w:hAnsi="宋体" w:eastAsia="宋体" w:cs="宋体"/>
              <w:color w:val="auto"/>
              <w:sz w:val="22"/>
              <w:szCs w:val="40"/>
              <w:highlight w:val="none"/>
            </w:rPr>
            <w:instrText xml:space="preserve"> HYPERLINK \l _Toc5430 </w:instrText>
          </w:r>
          <w:r>
            <w:rPr>
              <w:rFonts w:hint="eastAsia" w:ascii="宋体" w:hAnsi="宋体" w:eastAsia="宋体" w:cs="宋体"/>
              <w:color w:val="auto"/>
              <w:sz w:val="22"/>
              <w:szCs w:val="40"/>
              <w:highlight w:val="none"/>
            </w:rPr>
            <w:fldChar w:fldCharType="separate"/>
          </w:r>
          <w:r>
            <w:rPr>
              <w:rFonts w:hint="eastAsia" w:ascii="宋体" w:hAnsi="宋体" w:eastAsia="宋体" w:cs="宋体"/>
              <w:bCs/>
              <w:color w:val="auto"/>
              <w:sz w:val="22"/>
              <w:szCs w:val="32"/>
              <w:highlight w:val="none"/>
            </w:rPr>
            <w:t>报价文件</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_Toc5430 \h </w:instrText>
          </w:r>
          <w:r>
            <w:rPr>
              <w:color w:val="auto"/>
              <w:sz w:val="22"/>
              <w:szCs w:val="28"/>
              <w:highlight w:val="none"/>
            </w:rPr>
            <w:fldChar w:fldCharType="separate"/>
          </w:r>
          <w:r>
            <w:rPr>
              <w:color w:val="auto"/>
              <w:sz w:val="22"/>
              <w:szCs w:val="28"/>
              <w:highlight w:val="none"/>
            </w:rPr>
            <w:t>25</w:t>
          </w:r>
          <w:r>
            <w:rPr>
              <w:color w:val="auto"/>
              <w:sz w:val="22"/>
              <w:szCs w:val="28"/>
              <w:highlight w:val="none"/>
            </w:rPr>
            <w:fldChar w:fldCharType="end"/>
          </w:r>
          <w:r>
            <w:rPr>
              <w:rFonts w:hint="eastAsia" w:ascii="宋体" w:hAnsi="宋体" w:eastAsia="宋体" w:cs="宋体"/>
              <w:color w:val="auto"/>
              <w:sz w:val="22"/>
              <w:szCs w:val="40"/>
              <w:highlight w:val="none"/>
            </w:rPr>
            <w:fldChar w:fldCharType="end"/>
          </w:r>
        </w:p>
        <w:p w14:paraId="508DFD0B">
          <w:pPr>
            <w:pStyle w:val="44"/>
            <w:tabs>
              <w:tab w:val="right" w:leader="dot" w:pos="9638"/>
            </w:tabs>
            <w:spacing w:line="360" w:lineRule="auto"/>
            <w:rPr>
              <w:color w:val="auto"/>
              <w:sz w:val="22"/>
              <w:szCs w:val="28"/>
              <w:highlight w:val="none"/>
            </w:rPr>
          </w:pPr>
          <w:r>
            <w:rPr>
              <w:rFonts w:hint="eastAsia" w:ascii="宋体" w:hAnsi="宋体" w:eastAsia="宋体" w:cs="宋体"/>
              <w:color w:val="auto"/>
              <w:sz w:val="22"/>
              <w:szCs w:val="40"/>
              <w:highlight w:val="none"/>
            </w:rPr>
            <w:fldChar w:fldCharType="begin"/>
          </w:r>
          <w:r>
            <w:rPr>
              <w:rFonts w:hint="eastAsia" w:ascii="宋体" w:hAnsi="宋体" w:eastAsia="宋体" w:cs="宋体"/>
              <w:color w:val="auto"/>
              <w:sz w:val="22"/>
              <w:szCs w:val="40"/>
              <w:highlight w:val="none"/>
            </w:rPr>
            <w:instrText xml:space="preserve"> HYPERLINK \l _Toc12035 </w:instrText>
          </w:r>
          <w:r>
            <w:rPr>
              <w:rFonts w:hint="eastAsia" w:ascii="宋体" w:hAnsi="宋体" w:eastAsia="宋体" w:cs="宋体"/>
              <w:color w:val="auto"/>
              <w:sz w:val="22"/>
              <w:szCs w:val="40"/>
              <w:highlight w:val="none"/>
            </w:rPr>
            <w:fldChar w:fldCharType="separate"/>
          </w:r>
          <w:r>
            <w:rPr>
              <w:rFonts w:hint="eastAsia" w:ascii="宋体" w:hAnsi="宋体" w:eastAsia="宋体" w:cs="宋体"/>
              <w:color w:val="auto"/>
              <w:sz w:val="22"/>
              <w:szCs w:val="24"/>
              <w:highlight w:val="none"/>
            </w:rPr>
            <w:t>附件二</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_Toc12035 \h </w:instrText>
          </w:r>
          <w:r>
            <w:rPr>
              <w:color w:val="auto"/>
              <w:sz w:val="22"/>
              <w:szCs w:val="28"/>
              <w:highlight w:val="none"/>
            </w:rPr>
            <w:fldChar w:fldCharType="separate"/>
          </w:r>
          <w:r>
            <w:rPr>
              <w:color w:val="auto"/>
              <w:sz w:val="22"/>
              <w:szCs w:val="28"/>
              <w:highlight w:val="none"/>
            </w:rPr>
            <w:t>28</w:t>
          </w:r>
          <w:r>
            <w:rPr>
              <w:color w:val="auto"/>
              <w:sz w:val="22"/>
              <w:szCs w:val="28"/>
              <w:highlight w:val="none"/>
            </w:rPr>
            <w:fldChar w:fldCharType="end"/>
          </w:r>
          <w:r>
            <w:rPr>
              <w:rFonts w:hint="eastAsia" w:ascii="宋体" w:hAnsi="宋体" w:eastAsia="宋体" w:cs="宋体"/>
              <w:color w:val="auto"/>
              <w:sz w:val="22"/>
              <w:szCs w:val="40"/>
              <w:highlight w:val="none"/>
            </w:rPr>
            <w:fldChar w:fldCharType="end"/>
          </w:r>
        </w:p>
        <w:p w14:paraId="5887ACC6">
          <w:pPr>
            <w:pStyle w:val="27"/>
            <w:tabs>
              <w:tab w:val="right" w:leader="dot" w:pos="9638"/>
            </w:tabs>
            <w:spacing w:line="360" w:lineRule="auto"/>
            <w:rPr>
              <w:color w:val="auto"/>
              <w:sz w:val="22"/>
              <w:szCs w:val="28"/>
              <w:highlight w:val="none"/>
            </w:rPr>
          </w:pPr>
          <w:r>
            <w:rPr>
              <w:rFonts w:hint="eastAsia" w:ascii="宋体" w:hAnsi="宋体" w:eastAsia="宋体" w:cs="宋体"/>
              <w:color w:val="auto"/>
              <w:sz w:val="22"/>
              <w:szCs w:val="40"/>
              <w:highlight w:val="none"/>
            </w:rPr>
            <w:fldChar w:fldCharType="begin"/>
          </w:r>
          <w:r>
            <w:rPr>
              <w:rFonts w:hint="eastAsia" w:ascii="宋体" w:hAnsi="宋体" w:eastAsia="宋体" w:cs="宋体"/>
              <w:color w:val="auto"/>
              <w:sz w:val="22"/>
              <w:szCs w:val="40"/>
              <w:highlight w:val="none"/>
            </w:rPr>
            <w:instrText xml:space="preserve"> HYPERLINK \l _Toc25309 </w:instrText>
          </w:r>
          <w:r>
            <w:rPr>
              <w:rFonts w:hint="eastAsia" w:ascii="宋体" w:hAnsi="宋体" w:eastAsia="宋体" w:cs="宋体"/>
              <w:color w:val="auto"/>
              <w:sz w:val="22"/>
              <w:szCs w:val="40"/>
              <w:highlight w:val="none"/>
            </w:rPr>
            <w:fldChar w:fldCharType="separate"/>
          </w:r>
          <w:r>
            <w:rPr>
              <w:rFonts w:hint="eastAsia" w:ascii="宋体" w:hAnsi="宋体" w:eastAsia="宋体" w:cs="宋体"/>
              <w:bCs/>
              <w:color w:val="auto"/>
              <w:sz w:val="22"/>
              <w:szCs w:val="32"/>
              <w:highlight w:val="none"/>
            </w:rPr>
            <w:t>资格证明文件</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_Toc25309 \h </w:instrText>
          </w:r>
          <w:r>
            <w:rPr>
              <w:color w:val="auto"/>
              <w:sz w:val="22"/>
              <w:szCs w:val="28"/>
              <w:highlight w:val="none"/>
            </w:rPr>
            <w:fldChar w:fldCharType="separate"/>
          </w:r>
          <w:r>
            <w:rPr>
              <w:color w:val="auto"/>
              <w:sz w:val="22"/>
              <w:szCs w:val="28"/>
              <w:highlight w:val="none"/>
            </w:rPr>
            <w:t>28</w:t>
          </w:r>
          <w:r>
            <w:rPr>
              <w:color w:val="auto"/>
              <w:sz w:val="22"/>
              <w:szCs w:val="28"/>
              <w:highlight w:val="none"/>
            </w:rPr>
            <w:fldChar w:fldCharType="end"/>
          </w:r>
          <w:r>
            <w:rPr>
              <w:rFonts w:hint="eastAsia" w:ascii="宋体" w:hAnsi="宋体" w:eastAsia="宋体" w:cs="宋体"/>
              <w:color w:val="auto"/>
              <w:sz w:val="22"/>
              <w:szCs w:val="40"/>
              <w:highlight w:val="none"/>
            </w:rPr>
            <w:fldChar w:fldCharType="end"/>
          </w:r>
        </w:p>
        <w:p w14:paraId="56136820">
          <w:pPr>
            <w:pStyle w:val="44"/>
            <w:tabs>
              <w:tab w:val="right" w:leader="dot" w:pos="9638"/>
            </w:tabs>
            <w:spacing w:line="360" w:lineRule="auto"/>
            <w:rPr>
              <w:color w:val="auto"/>
              <w:sz w:val="22"/>
              <w:szCs w:val="28"/>
              <w:highlight w:val="none"/>
            </w:rPr>
          </w:pPr>
          <w:r>
            <w:rPr>
              <w:rFonts w:hint="eastAsia" w:ascii="宋体" w:hAnsi="宋体" w:eastAsia="宋体" w:cs="宋体"/>
              <w:color w:val="auto"/>
              <w:sz w:val="22"/>
              <w:szCs w:val="40"/>
              <w:highlight w:val="none"/>
            </w:rPr>
            <w:fldChar w:fldCharType="begin"/>
          </w:r>
          <w:r>
            <w:rPr>
              <w:rFonts w:hint="eastAsia" w:ascii="宋体" w:hAnsi="宋体" w:eastAsia="宋体" w:cs="宋体"/>
              <w:color w:val="auto"/>
              <w:sz w:val="22"/>
              <w:szCs w:val="40"/>
              <w:highlight w:val="none"/>
            </w:rPr>
            <w:instrText xml:space="preserve"> HYPERLINK \l _Toc31356 </w:instrText>
          </w:r>
          <w:r>
            <w:rPr>
              <w:rFonts w:hint="eastAsia" w:ascii="宋体" w:hAnsi="宋体" w:eastAsia="宋体" w:cs="宋体"/>
              <w:color w:val="auto"/>
              <w:sz w:val="22"/>
              <w:szCs w:val="40"/>
              <w:highlight w:val="none"/>
            </w:rPr>
            <w:fldChar w:fldCharType="separate"/>
          </w:r>
          <w:r>
            <w:rPr>
              <w:rFonts w:hint="eastAsia" w:ascii="宋体" w:hAnsi="宋体" w:eastAsia="宋体" w:cs="宋体"/>
              <w:bCs/>
              <w:color w:val="auto"/>
              <w:sz w:val="22"/>
              <w:szCs w:val="24"/>
              <w:highlight w:val="none"/>
            </w:rPr>
            <w:t>附件三</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_Toc31356 \h </w:instrText>
          </w:r>
          <w:r>
            <w:rPr>
              <w:color w:val="auto"/>
              <w:sz w:val="22"/>
              <w:szCs w:val="28"/>
              <w:highlight w:val="none"/>
            </w:rPr>
            <w:fldChar w:fldCharType="separate"/>
          </w:r>
          <w:r>
            <w:rPr>
              <w:color w:val="auto"/>
              <w:sz w:val="22"/>
              <w:szCs w:val="28"/>
              <w:highlight w:val="none"/>
            </w:rPr>
            <w:t>28</w:t>
          </w:r>
          <w:r>
            <w:rPr>
              <w:color w:val="auto"/>
              <w:sz w:val="22"/>
              <w:szCs w:val="28"/>
              <w:highlight w:val="none"/>
            </w:rPr>
            <w:fldChar w:fldCharType="end"/>
          </w:r>
          <w:r>
            <w:rPr>
              <w:rFonts w:hint="eastAsia" w:ascii="宋体" w:hAnsi="宋体" w:eastAsia="宋体" w:cs="宋体"/>
              <w:color w:val="auto"/>
              <w:sz w:val="22"/>
              <w:szCs w:val="40"/>
              <w:highlight w:val="none"/>
            </w:rPr>
            <w:fldChar w:fldCharType="end"/>
          </w:r>
        </w:p>
        <w:p w14:paraId="6C7ECE4C">
          <w:pPr>
            <w:pStyle w:val="27"/>
            <w:tabs>
              <w:tab w:val="right" w:leader="dot" w:pos="9638"/>
            </w:tabs>
            <w:spacing w:line="360" w:lineRule="auto"/>
            <w:rPr>
              <w:color w:val="auto"/>
              <w:sz w:val="22"/>
              <w:szCs w:val="28"/>
              <w:highlight w:val="none"/>
            </w:rPr>
          </w:pPr>
          <w:r>
            <w:rPr>
              <w:rFonts w:hint="eastAsia" w:ascii="宋体" w:hAnsi="宋体" w:eastAsia="宋体" w:cs="宋体"/>
              <w:color w:val="auto"/>
              <w:sz w:val="22"/>
              <w:szCs w:val="40"/>
              <w:highlight w:val="none"/>
            </w:rPr>
            <w:fldChar w:fldCharType="begin"/>
          </w:r>
          <w:r>
            <w:rPr>
              <w:rFonts w:hint="eastAsia" w:ascii="宋体" w:hAnsi="宋体" w:eastAsia="宋体" w:cs="宋体"/>
              <w:color w:val="auto"/>
              <w:sz w:val="22"/>
              <w:szCs w:val="40"/>
              <w:highlight w:val="none"/>
            </w:rPr>
            <w:instrText xml:space="preserve"> HYPERLINK \l _Toc13639 </w:instrText>
          </w:r>
          <w:r>
            <w:rPr>
              <w:rFonts w:hint="eastAsia" w:ascii="宋体" w:hAnsi="宋体" w:eastAsia="宋体" w:cs="宋体"/>
              <w:color w:val="auto"/>
              <w:sz w:val="22"/>
              <w:szCs w:val="40"/>
              <w:highlight w:val="none"/>
            </w:rPr>
            <w:fldChar w:fldCharType="separate"/>
          </w:r>
          <w:r>
            <w:rPr>
              <w:rFonts w:hint="eastAsia" w:ascii="宋体" w:hAnsi="宋体" w:eastAsia="宋体" w:cs="宋体"/>
              <w:bCs/>
              <w:color w:val="auto"/>
              <w:sz w:val="22"/>
              <w:szCs w:val="32"/>
              <w:highlight w:val="none"/>
              <w:lang w:val="zh-CN"/>
            </w:rPr>
            <w:t>商务技术文件</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_Toc13639 \h </w:instrText>
          </w:r>
          <w:r>
            <w:rPr>
              <w:color w:val="auto"/>
              <w:sz w:val="22"/>
              <w:szCs w:val="28"/>
              <w:highlight w:val="none"/>
            </w:rPr>
            <w:fldChar w:fldCharType="separate"/>
          </w:r>
          <w:r>
            <w:rPr>
              <w:color w:val="auto"/>
              <w:sz w:val="22"/>
              <w:szCs w:val="28"/>
              <w:highlight w:val="none"/>
            </w:rPr>
            <w:t>33</w:t>
          </w:r>
          <w:r>
            <w:rPr>
              <w:color w:val="auto"/>
              <w:sz w:val="22"/>
              <w:szCs w:val="28"/>
              <w:highlight w:val="none"/>
            </w:rPr>
            <w:fldChar w:fldCharType="end"/>
          </w:r>
          <w:r>
            <w:rPr>
              <w:rFonts w:hint="eastAsia" w:ascii="宋体" w:hAnsi="宋体" w:eastAsia="宋体" w:cs="宋体"/>
              <w:color w:val="auto"/>
              <w:sz w:val="22"/>
              <w:szCs w:val="40"/>
              <w:highlight w:val="none"/>
            </w:rPr>
            <w:fldChar w:fldCharType="end"/>
          </w:r>
        </w:p>
        <w:p w14:paraId="0CF0C8B3">
          <w:pPr>
            <w:pStyle w:val="37"/>
            <w:tabs>
              <w:tab w:val="right" w:leader="dot" w:pos="9638"/>
            </w:tabs>
            <w:spacing w:line="360" w:lineRule="auto"/>
            <w:rPr>
              <w:color w:val="auto"/>
              <w:sz w:val="22"/>
              <w:szCs w:val="28"/>
              <w:highlight w:val="none"/>
            </w:rPr>
          </w:pPr>
          <w:r>
            <w:rPr>
              <w:rFonts w:hint="eastAsia" w:ascii="宋体" w:hAnsi="宋体" w:eastAsia="宋体" w:cs="宋体"/>
              <w:color w:val="auto"/>
              <w:sz w:val="22"/>
              <w:szCs w:val="40"/>
              <w:highlight w:val="none"/>
            </w:rPr>
            <w:fldChar w:fldCharType="begin"/>
          </w:r>
          <w:r>
            <w:rPr>
              <w:rFonts w:hint="eastAsia" w:ascii="宋体" w:hAnsi="宋体" w:eastAsia="宋体" w:cs="宋体"/>
              <w:color w:val="auto"/>
              <w:sz w:val="22"/>
              <w:szCs w:val="40"/>
              <w:highlight w:val="none"/>
            </w:rPr>
            <w:instrText xml:space="preserve"> HYPERLINK \l _Toc3381 </w:instrText>
          </w:r>
          <w:r>
            <w:rPr>
              <w:rFonts w:hint="eastAsia" w:ascii="宋体" w:hAnsi="宋体" w:eastAsia="宋体" w:cs="宋体"/>
              <w:color w:val="auto"/>
              <w:sz w:val="22"/>
              <w:szCs w:val="40"/>
              <w:highlight w:val="none"/>
            </w:rPr>
            <w:fldChar w:fldCharType="separate"/>
          </w:r>
          <w:r>
            <w:rPr>
              <w:rFonts w:hint="eastAsia" w:ascii="宋体" w:hAnsi="宋体" w:eastAsia="宋体" w:cs="宋体"/>
              <w:color w:val="auto"/>
              <w:sz w:val="22"/>
              <w:szCs w:val="28"/>
              <w:highlight w:val="none"/>
            </w:rPr>
            <w:t xml:space="preserve">第四部分 </w:t>
          </w:r>
          <w:r>
            <w:rPr>
              <w:rFonts w:hint="eastAsia" w:ascii="宋体" w:hAnsi="宋体" w:cs="宋体"/>
              <w:color w:val="auto"/>
              <w:sz w:val="22"/>
              <w:szCs w:val="28"/>
              <w:highlight w:val="none"/>
              <w:lang w:val="en-US" w:eastAsia="zh-CN"/>
            </w:rPr>
            <w:t xml:space="preserve">  </w:t>
          </w:r>
          <w:r>
            <w:rPr>
              <w:rFonts w:hint="eastAsia" w:ascii="宋体" w:hAnsi="宋体" w:eastAsia="宋体" w:cs="宋体"/>
              <w:color w:val="auto"/>
              <w:sz w:val="22"/>
              <w:szCs w:val="28"/>
              <w:highlight w:val="none"/>
            </w:rPr>
            <w:t>项目技术规范和服务要求</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_Toc3381 \h </w:instrText>
          </w:r>
          <w:r>
            <w:rPr>
              <w:color w:val="auto"/>
              <w:sz w:val="22"/>
              <w:szCs w:val="28"/>
              <w:highlight w:val="none"/>
            </w:rPr>
            <w:fldChar w:fldCharType="separate"/>
          </w:r>
          <w:r>
            <w:rPr>
              <w:color w:val="auto"/>
              <w:sz w:val="22"/>
              <w:szCs w:val="28"/>
              <w:highlight w:val="none"/>
            </w:rPr>
            <w:t>47</w:t>
          </w:r>
          <w:r>
            <w:rPr>
              <w:color w:val="auto"/>
              <w:sz w:val="22"/>
              <w:szCs w:val="28"/>
              <w:highlight w:val="none"/>
            </w:rPr>
            <w:fldChar w:fldCharType="end"/>
          </w:r>
          <w:r>
            <w:rPr>
              <w:rFonts w:hint="eastAsia" w:ascii="宋体" w:hAnsi="宋体" w:eastAsia="宋体" w:cs="宋体"/>
              <w:color w:val="auto"/>
              <w:sz w:val="22"/>
              <w:szCs w:val="40"/>
              <w:highlight w:val="none"/>
            </w:rPr>
            <w:fldChar w:fldCharType="end"/>
          </w:r>
        </w:p>
        <w:p w14:paraId="355ED541">
          <w:pPr>
            <w:pStyle w:val="37"/>
            <w:tabs>
              <w:tab w:val="right" w:leader="dot" w:pos="9638"/>
            </w:tabs>
            <w:spacing w:line="360" w:lineRule="auto"/>
            <w:rPr>
              <w:color w:val="auto"/>
              <w:sz w:val="22"/>
              <w:szCs w:val="28"/>
              <w:highlight w:val="none"/>
            </w:rPr>
          </w:pPr>
          <w:r>
            <w:rPr>
              <w:rFonts w:hint="eastAsia" w:ascii="宋体" w:hAnsi="宋体" w:eastAsia="宋体" w:cs="宋体"/>
              <w:color w:val="auto"/>
              <w:sz w:val="22"/>
              <w:szCs w:val="40"/>
              <w:highlight w:val="none"/>
            </w:rPr>
            <w:fldChar w:fldCharType="begin"/>
          </w:r>
          <w:r>
            <w:rPr>
              <w:rFonts w:hint="eastAsia" w:ascii="宋体" w:hAnsi="宋体" w:eastAsia="宋体" w:cs="宋体"/>
              <w:color w:val="auto"/>
              <w:sz w:val="22"/>
              <w:szCs w:val="40"/>
              <w:highlight w:val="none"/>
            </w:rPr>
            <w:instrText xml:space="preserve"> HYPERLINK \l _Toc18194 </w:instrText>
          </w:r>
          <w:r>
            <w:rPr>
              <w:rFonts w:hint="eastAsia" w:ascii="宋体" w:hAnsi="宋体" w:eastAsia="宋体" w:cs="宋体"/>
              <w:color w:val="auto"/>
              <w:sz w:val="22"/>
              <w:szCs w:val="40"/>
              <w:highlight w:val="none"/>
            </w:rPr>
            <w:fldChar w:fldCharType="separate"/>
          </w:r>
          <w:r>
            <w:rPr>
              <w:rFonts w:hint="eastAsia" w:ascii="宋体" w:hAnsi="宋体" w:eastAsia="宋体" w:cs="宋体"/>
              <w:color w:val="auto"/>
              <w:sz w:val="22"/>
              <w:szCs w:val="28"/>
              <w:highlight w:val="none"/>
            </w:rPr>
            <w:t>第五部分   评标原则及方法</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_Toc18194 \h </w:instrText>
          </w:r>
          <w:r>
            <w:rPr>
              <w:color w:val="auto"/>
              <w:sz w:val="22"/>
              <w:szCs w:val="28"/>
              <w:highlight w:val="none"/>
            </w:rPr>
            <w:fldChar w:fldCharType="separate"/>
          </w:r>
          <w:r>
            <w:rPr>
              <w:color w:val="auto"/>
              <w:sz w:val="22"/>
              <w:szCs w:val="28"/>
              <w:highlight w:val="none"/>
            </w:rPr>
            <w:t>50</w:t>
          </w:r>
          <w:r>
            <w:rPr>
              <w:color w:val="auto"/>
              <w:sz w:val="22"/>
              <w:szCs w:val="28"/>
              <w:highlight w:val="none"/>
            </w:rPr>
            <w:fldChar w:fldCharType="end"/>
          </w:r>
          <w:r>
            <w:rPr>
              <w:rFonts w:hint="eastAsia" w:ascii="宋体" w:hAnsi="宋体" w:eastAsia="宋体" w:cs="宋体"/>
              <w:color w:val="auto"/>
              <w:sz w:val="22"/>
              <w:szCs w:val="40"/>
              <w:highlight w:val="none"/>
            </w:rPr>
            <w:fldChar w:fldCharType="end"/>
          </w:r>
        </w:p>
        <w:p w14:paraId="6C883EE5">
          <w:pPr>
            <w:pStyle w:val="44"/>
            <w:tabs>
              <w:tab w:val="right" w:leader="dot" w:pos="9638"/>
            </w:tabs>
            <w:spacing w:line="360" w:lineRule="auto"/>
            <w:rPr>
              <w:color w:val="auto"/>
              <w:sz w:val="22"/>
              <w:szCs w:val="28"/>
              <w:highlight w:val="none"/>
            </w:rPr>
          </w:pPr>
          <w:r>
            <w:rPr>
              <w:rFonts w:hint="eastAsia" w:ascii="宋体" w:hAnsi="宋体" w:eastAsia="宋体" w:cs="宋体"/>
              <w:color w:val="auto"/>
              <w:sz w:val="22"/>
              <w:szCs w:val="40"/>
              <w:highlight w:val="none"/>
            </w:rPr>
            <w:fldChar w:fldCharType="begin"/>
          </w:r>
          <w:r>
            <w:rPr>
              <w:rFonts w:hint="eastAsia" w:ascii="宋体" w:hAnsi="宋体" w:eastAsia="宋体" w:cs="宋体"/>
              <w:color w:val="auto"/>
              <w:sz w:val="22"/>
              <w:szCs w:val="40"/>
              <w:highlight w:val="none"/>
            </w:rPr>
            <w:instrText xml:space="preserve"> HYPERLINK \l _Toc15713 </w:instrText>
          </w:r>
          <w:r>
            <w:rPr>
              <w:rFonts w:hint="eastAsia" w:ascii="宋体" w:hAnsi="宋体" w:eastAsia="宋体" w:cs="宋体"/>
              <w:color w:val="auto"/>
              <w:sz w:val="22"/>
              <w:szCs w:val="40"/>
              <w:highlight w:val="none"/>
            </w:rPr>
            <w:fldChar w:fldCharType="separate"/>
          </w:r>
          <w:r>
            <w:rPr>
              <w:rFonts w:hint="eastAsia" w:ascii="宋体" w:hAnsi="宋体" w:eastAsia="宋体" w:cs="宋体"/>
              <w:color w:val="auto"/>
              <w:sz w:val="22"/>
              <w:szCs w:val="24"/>
              <w:highlight w:val="none"/>
            </w:rPr>
            <w:t>一、总 则</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_Toc15713 \h </w:instrText>
          </w:r>
          <w:r>
            <w:rPr>
              <w:color w:val="auto"/>
              <w:sz w:val="22"/>
              <w:szCs w:val="28"/>
              <w:highlight w:val="none"/>
            </w:rPr>
            <w:fldChar w:fldCharType="separate"/>
          </w:r>
          <w:r>
            <w:rPr>
              <w:color w:val="auto"/>
              <w:sz w:val="22"/>
              <w:szCs w:val="28"/>
              <w:highlight w:val="none"/>
            </w:rPr>
            <w:t>52</w:t>
          </w:r>
          <w:r>
            <w:rPr>
              <w:color w:val="auto"/>
              <w:sz w:val="22"/>
              <w:szCs w:val="28"/>
              <w:highlight w:val="none"/>
            </w:rPr>
            <w:fldChar w:fldCharType="end"/>
          </w:r>
          <w:r>
            <w:rPr>
              <w:rFonts w:hint="eastAsia" w:ascii="宋体" w:hAnsi="宋体" w:eastAsia="宋体" w:cs="宋体"/>
              <w:color w:val="auto"/>
              <w:sz w:val="22"/>
              <w:szCs w:val="40"/>
              <w:highlight w:val="none"/>
            </w:rPr>
            <w:fldChar w:fldCharType="end"/>
          </w:r>
        </w:p>
        <w:p w14:paraId="6E353F1B">
          <w:pPr>
            <w:pStyle w:val="44"/>
            <w:tabs>
              <w:tab w:val="right" w:leader="dot" w:pos="9638"/>
            </w:tabs>
            <w:spacing w:line="360" w:lineRule="auto"/>
            <w:rPr>
              <w:color w:val="auto"/>
              <w:sz w:val="22"/>
              <w:szCs w:val="28"/>
              <w:highlight w:val="none"/>
            </w:rPr>
          </w:pPr>
          <w:r>
            <w:rPr>
              <w:rFonts w:hint="eastAsia" w:ascii="宋体" w:hAnsi="宋体" w:eastAsia="宋体" w:cs="宋体"/>
              <w:color w:val="auto"/>
              <w:sz w:val="22"/>
              <w:szCs w:val="40"/>
              <w:highlight w:val="none"/>
            </w:rPr>
            <w:fldChar w:fldCharType="begin"/>
          </w:r>
          <w:r>
            <w:rPr>
              <w:rFonts w:hint="eastAsia" w:ascii="宋体" w:hAnsi="宋体" w:eastAsia="宋体" w:cs="宋体"/>
              <w:color w:val="auto"/>
              <w:sz w:val="22"/>
              <w:szCs w:val="40"/>
              <w:highlight w:val="none"/>
            </w:rPr>
            <w:instrText xml:space="preserve"> HYPERLINK \l _Toc23152 </w:instrText>
          </w:r>
          <w:r>
            <w:rPr>
              <w:rFonts w:hint="eastAsia" w:ascii="宋体" w:hAnsi="宋体" w:eastAsia="宋体" w:cs="宋体"/>
              <w:color w:val="auto"/>
              <w:sz w:val="22"/>
              <w:szCs w:val="40"/>
              <w:highlight w:val="none"/>
            </w:rPr>
            <w:fldChar w:fldCharType="separate"/>
          </w:r>
          <w:r>
            <w:rPr>
              <w:rFonts w:hint="eastAsia" w:ascii="宋体" w:hAnsi="宋体" w:eastAsia="宋体" w:cs="宋体"/>
              <w:color w:val="auto"/>
              <w:sz w:val="22"/>
              <w:szCs w:val="24"/>
              <w:highlight w:val="none"/>
            </w:rPr>
            <w:t>二、评标组织</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_Toc23152 \h </w:instrText>
          </w:r>
          <w:r>
            <w:rPr>
              <w:color w:val="auto"/>
              <w:sz w:val="22"/>
              <w:szCs w:val="28"/>
              <w:highlight w:val="none"/>
            </w:rPr>
            <w:fldChar w:fldCharType="separate"/>
          </w:r>
          <w:r>
            <w:rPr>
              <w:color w:val="auto"/>
              <w:sz w:val="22"/>
              <w:szCs w:val="28"/>
              <w:highlight w:val="none"/>
            </w:rPr>
            <w:t>52</w:t>
          </w:r>
          <w:r>
            <w:rPr>
              <w:color w:val="auto"/>
              <w:sz w:val="22"/>
              <w:szCs w:val="28"/>
              <w:highlight w:val="none"/>
            </w:rPr>
            <w:fldChar w:fldCharType="end"/>
          </w:r>
          <w:r>
            <w:rPr>
              <w:rFonts w:hint="eastAsia" w:ascii="宋体" w:hAnsi="宋体" w:eastAsia="宋体" w:cs="宋体"/>
              <w:color w:val="auto"/>
              <w:sz w:val="22"/>
              <w:szCs w:val="40"/>
              <w:highlight w:val="none"/>
            </w:rPr>
            <w:fldChar w:fldCharType="end"/>
          </w:r>
        </w:p>
        <w:p w14:paraId="471BDEC9">
          <w:pPr>
            <w:pStyle w:val="44"/>
            <w:tabs>
              <w:tab w:val="right" w:leader="dot" w:pos="9638"/>
            </w:tabs>
            <w:spacing w:line="360" w:lineRule="auto"/>
            <w:rPr>
              <w:color w:val="auto"/>
              <w:sz w:val="22"/>
              <w:szCs w:val="28"/>
              <w:highlight w:val="none"/>
            </w:rPr>
          </w:pPr>
          <w:r>
            <w:rPr>
              <w:rFonts w:hint="eastAsia" w:ascii="宋体" w:hAnsi="宋体" w:eastAsia="宋体" w:cs="宋体"/>
              <w:color w:val="auto"/>
              <w:sz w:val="22"/>
              <w:szCs w:val="40"/>
              <w:highlight w:val="none"/>
            </w:rPr>
            <w:fldChar w:fldCharType="begin"/>
          </w:r>
          <w:r>
            <w:rPr>
              <w:rFonts w:hint="eastAsia" w:ascii="宋体" w:hAnsi="宋体" w:eastAsia="宋体" w:cs="宋体"/>
              <w:color w:val="auto"/>
              <w:sz w:val="22"/>
              <w:szCs w:val="40"/>
              <w:highlight w:val="none"/>
            </w:rPr>
            <w:instrText xml:space="preserve"> HYPERLINK \l _Toc67 </w:instrText>
          </w:r>
          <w:r>
            <w:rPr>
              <w:rFonts w:hint="eastAsia" w:ascii="宋体" w:hAnsi="宋体" w:eastAsia="宋体" w:cs="宋体"/>
              <w:color w:val="auto"/>
              <w:sz w:val="22"/>
              <w:szCs w:val="40"/>
              <w:highlight w:val="none"/>
            </w:rPr>
            <w:fldChar w:fldCharType="separate"/>
          </w:r>
          <w:r>
            <w:rPr>
              <w:rFonts w:hint="eastAsia" w:ascii="宋体" w:hAnsi="宋体" w:eastAsia="宋体" w:cs="宋体"/>
              <w:color w:val="auto"/>
              <w:sz w:val="22"/>
              <w:szCs w:val="24"/>
              <w:highlight w:val="none"/>
            </w:rPr>
            <w:t>三、评标程序</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_Toc67 \h </w:instrText>
          </w:r>
          <w:r>
            <w:rPr>
              <w:color w:val="auto"/>
              <w:sz w:val="22"/>
              <w:szCs w:val="28"/>
              <w:highlight w:val="none"/>
            </w:rPr>
            <w:fldChar w:fldCharType="separate"/>
          </w:r>
          <w:r>
            <w:rPr>
              <w:color w:val="auto"/>
              <w:sz w:val="22"/>
              <w:szCs w:val="28"/>
              <w:highlight w:val="none"/>
            </w:rPr>
            <w:t>52</w:t>
          </w:r>
          <w:r>
            <w:rPr>
              <w:color w:val="auto"/>
              <w:sz w:val="22"/>
              <w:szCs w:val="28"/>
              <w:highlight w:val="none"/>
            </w:rPr>
            <w:fldChar w:fldCharType="end"/>
          </w:r>
          <w:r>
            <w:rPr>
              <w:rFonts w:hint="eastAsia" w:ascii="宋体" w:hAnsi="宋体" w:eastAsia="宋体" w:cs="宋体"/>
              <w:color w:val="auto"/>
              <w:sz w:val="22"/>
              <w:szCs w:val="40"/>
              <w:highlight w:val="none"/>
            </w:rPr>
            <w:fldChar w:fldCharType="end"/>
          </w:r>
        </w:p>
        <w:p w14:paraId="4695734E">
          <w:pPr>
            <w:pStyle w:val="44"/>
            <w:tabs>
              <w:tab w:val="right" w:leader="dot" w:pos="9638"/>
            </w:tabs>
            <w:spacing w:line="360" w:lineRule="auto"/>
            <w:rPr>
              <w:color w:val="auto"/>
              <w:sz w:val="22"/>
              <w:szCs w:val="28"/>
              <w:highlight w:val="none"/>
            </w:rPr>
          </w:pPr>
          <w:r>
            <w:rPr>
              <w:rFonts w:hint="eastAsia" w:ascii="宋体" w:hAnsi="宋体" w:eastAsia="宋体" w:cs="宋体"/>
              <w:color w:val="auto"/>
              <w:sz w:val="22"/>
              <w:szCs w:val="40"/>
              <w:highlight w:val="none"/>
            </w:rPr>
            <w:fldChar w:fldCharType="begin"/>
          </w:r>
          <w:r>
            <w:rPr>
              <w:rFonts w:hint="eastAsia" w:ascii="宋体" w:hAnsi="宋体" w:eastAsia="宋体" w:cs="宋体"/>
              <w:color w:val="auto"/>
              <w:sz w:val="22"/>
              <w:szCs w:val="40"/>
              <w:highlight w:val="none"/>
            </w:rPr>
            <w:instrText xml:space="preserve"> HYPERLINK \l _Toc24825 </w:instrText>
          </w:r>
          <w:r>
            <w:rPr>
              <w:rFonts w:hint="eastAsia" w:ascii="宋体" w:hAnsi="宋体" w:eastAsia="宋体" w:cs="宋体"/>
              <w:color w:val="auto"/>
              <w:sz w:val="22"/>
              <w:szCs w:val="40"/>
              <w:highlight w:val="none"/>
            </w:rPr>
            <w:fldChar w:fldCharType="separate"/>
          </w:r>
          <w:r>
            <w:rPr>
              <w:rFonts w:hint="eastAsia" w:ascii="宋体" w:hAnsi="宋体" w:eastAsia="宋体" w:cs="宋体"/>
              <w:color w:val="auto"/>
              <w:sz w:val="22"/>
              <w:szCs w:val="24"/>
              <w:highlight w:val="none"/>
            </w:rPr>
            <w:t>四、评标办法</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_Toc24825 \h </w:instrText>
          </w:r>
          <w:r>
            <w:rPr>
              <w:color w:val="auto"/>
              <w:sz w:val="22"/>
              <w:szCs w:val="28"/>
              <w:highlight w:val="none"/>
            </w:rPr>
            <w:fldChar w:fldCharType="separate"/>
          </w:r>
          <w:r>
            <w:rPr>
              <w:color w:val="auto"/>
              <w:sz w:val="22"/>
              <w:szCs w:val="28"/>
              <w:highlight w:val="none"/>
            </w:rPr>
            <w:t>52</w:t>
          </w:r>
          <w:r>
            <w:rPr>
              <w:color w:val="auto"/>
              <w:sz w:val="22"/>
              <w:szCs w:val="28"/>
              <w:highlight w:val="none"/>
            </w:rPr>
            <w:fldChar w:fldCharType="end"/>
          </w:r>
          <w:r>
            <w:rPr>
              <w:rFonts w:hint="eastAsia" w:ascii="宋体" w:hAnsi="宋体" w:eastAsia="宋体" w:cs="宋体"/>
              <w:color w:val="auto"/>
              <w:sz w:val="22"/>
              <w:szCs w:val="40"/>
              <w:highlight w:val="none"/>
            </w:rPr>
            <w:fldChar w:fldCharType="end"/>
          </w:r>
        </w:p>
        <w:p w14:paraId="66FDB92B">
          <w:pPr>
            <w:pStyle w:val="44"/>
            <w:tabs>
              <w:tab w:val="right" w:leader="dot" w:pos="9638"/>
            </w:tabs>
            <w:spacing w:line="360" w:lineRule="auto"/>
            <w:rPr>
              <w:color w:val="auto"/>
              <w:sz w:val="22"/>
              <w:szCs w:val="28"/>
              <w:highlight w:val="none"/>
            </w:rPr>
          </w:pPr>
          <w:r>
            <w:rPr>
              <w:rFonts w:hint="eastAsia" w:ascii="宋体" w:hAnsi="宋体" w:eastAsia="宋体" w:cs="宋体"/>
              <w:color w:val="auto"/>
              <w:sz w:val="22"/>
              <w:szCs w:val="40"/>
              <w:highlight w:val="none"/>
            </w:rPr>
            <w:fldChar w:fldCharType="begin"/>
          </w:r>
          <w:r>
            <w:rPr>
              <w:rFonts w:hint="eastAsia" w:ascii="宋体" w:hAnsi="宋体" w:eastAsia="宋体" w:cs="宋体"/>
              <w:color w:val="auto"/>
              <w:sz w:val="22"/>
              <w:szCs w:val="40"/>
              <w:highlight w:val="none"/>
            </w:rPr>
            <w:instrText xml:space="preserve"> HYPERLINK \l _Toc11450 </w:instrText>
          </w:r>
          <w:r>
            <w:rPr>
              <w:rFonts w:hint="eastAsia" w:ascii="宋体" w:hAnsi="宋体" w:eastAsia="宋体" w:cs="宋体"/>
              <w:color w:val="auto"/>
              <w:sz w:val="22"/>
              <w:szCs w:val="40"/>
              <w:highlight w:val="none"/>
            </w:rPr>
            <w:fldChar w:fldCharType="separate"/>
          </w:r>
          <w:r>
            <w:rPr>
              <w:rFonts w:hint="eastAsia" w:ascii="宋体" w:hAnsi="宋体" w:eastAsia="宋体" w:cs="宋体"/>
              <w:color w:val="auto"/>
              <w:sz w:val="22"/>
              <w:szCs w:val="24"/>
              <w:highlight w:val="none"/>
            </w:rPr>
            <w:t>五、评分细则</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_Toc11450 \h </w:instrText>
          </w:r>
          <w:r>
            <w:rPr>
              <w:color w:val="auto"/>
              <w:sz w:val="22"/>
              <w:szCs w:val="28"/>
              <w:highlight w:val="none"/>
            </w:rPr>
            <w:fldChar w:fldCharType="separate"/>
          </w:r>
          <w:r>
            <w:rPr>
              <w:color w:val="auto"/>
              <w:sz w:val="22"/>
              <w:szCs w:val="28"/>
              <w:highlight w:val="none"/>
            </w:rPr>
            <w:t>52</w:t>
          </w:r>
          <w:r>
            <w:rPr>
              <w:color w:val="auto"/>
              <w:sz w:val="22"/>
              <w:szCs w:val="28"/>
              <w:highlight w:val="none"/>
            </w:rPr>
            <w:fldChar w:fldCharType="end"/>
          </w:r>
          <w:r>
            <w:rPr>
              <w:rFonts w:hint="eastAsia" w:ascii="宋体" w:hAnsi="宋体" w:eastAsia="宋体" w:cs="宋体"/>
              <w:color w:val="auto"/>
              <w:sz w:val="22"/>
              <w:szCs w:val="40"/>
              <w:highlight w:val="none"/>
            </w:rPr>
            <w:fldChar w:fldCharType="end"/>
          </w:r>
        </w:p>
        <w:p w14:paraId="32CD7F36">
          <w:pPr>
            <w:pStyle w:val="44"/>
            <w:tabs>
              <w:tab w:val="right" w:leader="dot" w:pos="9638"/>
            </w:tabs>
            <w:spacing w:line="360" w:lineRule="auto"/>
            <w:rPr>
              <w:color w:val="auto"/>
              <w:sz w:val="22"/>
              <w:szCs w:val="28"/>
              <w:highlight w:val="none"/>
            </w:rPr>
          </w:pPr>
          <w:r>
            <w:rPr>
              <w:rFonts w:hint="eastAsia" w:ascii="宋体" w:hAnsi="宋体" w:eastAsia="宋体" w:cs="宋体"/>
              <w:color w:val="auto"/>
              <w:sz w:val="22"/>
              <w:szCs w:val="40"/>
              <w:highlight w:val="none"/>
            </w:rPr>
            <w:fldChar w:fldCharType="begin"/>
          </w:r>
          <w:r>
            <w:rPr>
              <w:rFonts w:hint="eastAsia" w:ascii="宋体" w:hAnsi="宋体" w:eastAsia="宋体" w:cs="宋体"/>
              <w:color w:val="auto"/>
              <w:sz w:val="22"/>
              <w:szCs w:val="40"/>
              <w:highlight w:val="none"/>
            </w:rPr>
            <w:instrText xml:space="preserve"> HYPERLINK \l _Toc4727 </w:instrText>
          </w:r>
          <w:r>
            <w:rPr>
              <w:rFonts w:hint="eastAsia" w:ascii="宋体" w:hAnsi="宋体" w:eastAsia="宋体" w:cs="宋体"/>
              <w:color w:val="auto"/>
              <w:sz w:val="22"/>
              <w:szCs w:val="40"/>
              <w:highlight w:val="none"/>
            </w:rPr>
            <w:fldChar w:fldCharType="separate"/>
          </w:r>
          <w:r>
            <w:rPr>
              <w:rFonts w:hint="eastAsia" w:ascii="宋体" w:hAnsi="宋体" w:eastAsia="宋体" w:cs="宋体"/>
              <w:bCs/>
              <w:color w:val="auto"/>
              <w:sz w:val="22"/>
              <w:szCs w:val="24"/>
              <w:highlight w:val="none"/>
            </w:rPr>
            <w:t>六、定标办法</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_Toc4727 \h </w:instrText>
          </w:r>
          <w:r>
            <w:rPr>
              <w:color w:val="auto"/>
              <w:sz w:val="22"/>
              <w:szCs w:val="28"/>
              <w:highlight w:val="none"/>
            </w:rPr>
            <w:fldChar w:fldCharType="separate"/>
          </w:r>
          <w:r>
            <w:rPr>
              <w:color w:val="auto"/>
              <w:sz w:val="22"/>
              <w:szCs w:val="28"/>
              <w:highlight w:val="none"/>
            </w:rPr>
            <w:t>54</w:t>
          </w:r>
          <w:r>
            <w:rPr>
              <w:color w:val="auto"/>
              <w:sz w:val="22"/>
              <w:szCs w:val="28"/>
              <w:highlight w:val="none"/>
            </w:rPr>
            <w:fldChar w:fldCharType="end"/>
          </w:r>
          <w:r>
            <w:rPr>
              <w:rFonts w:hint="eastAsia" w:ascii="宋体" w:hAnsi="宋体" w:eastAsia="宋体" w:cs="宋体"/>
              <w:color w:val="auto"/>
              <w:sz w:val="22"/>
              <w:szCs w:val="40"/>
              <w:highlight w:val="none"/>
            </w:rPr>
            <w:fldChar w:fldCharType="end"/>
          </w:r>
        </w:p>
        <w:p w14:paraId="370D45FD">
          <w:pPr>
            <w:pStyle w:val="44"/>
            <w:tabs>
              <w:tab w:val="right" w:leader="dot" w:pos="9638"/>
            </w:tabs>
            <w:spacing w:line="360" w:lineRule="auto"/>
            <w:rPr>
              <w:color w:val="auto"/>
              <w:sz w:val="22"/>
              <w:szCs w:val="28"/>
              <w:highlight w:val="none"/>
            </w:rPr>
          </w:pPr>
          <w:r>
            <w:rPr>
              <w:rFonts w:hint="eastAsia" w:ascii="宋体" w:hAnsi="宋体" w:eastAsia="宋体" w:cs="宋体"/>
              <w:color w:val="auto"/>
              <w:sz w:val="22"/>
              <w:szCs w:val="40"/>
              <w:highlight w:val="none"/>
            </w:rPr>
            <w:fldChar w:fldCharType="begin"/>
          </w:r>
          <w:r>
            <w:rPr>
              <w:rFonts w:hint="eastAsia" w:ascii="宋体" w:hAnsi="宋体" w:eastAsia="宋体" w:cs="宋体"/>
              <w:color w:val="auto"/>
              <w:sz w:val="22"/>
              <w:szCs w:val="40"/>
              <w:highlight w:val="none"/>
            </w:rPr>
            <w:instrText xml:space="preserve"> HYPERLINK \l _Toc3629 </w:instrText>
          </w:r>
          <w:r>
            <w:rPr>
              <w:rFonts w:hint="eastAsia" w:ascii="宋体" w:hAnsi="宋体" w:eastAsia="宋体" w:cs="宋体"/>
              <w:color w:val="auto"/>
              <w:sz w:val="22"/>
              <w:szCs w:val="40"/>
              <w:highlight w:val="none"/>
            </w:rPr>
            <w:fldChar w:fldCharType="separate"/>
          </w:r>
          <w:r>
            <w:rPr>
              <w:rFonts w:hint="eastAsia" w:ascii="宋体" w:hAnsi="宋体" w:eastAsia="宋体" w:cs="宋体"/>
              <w:color w:val="auto"/>
              <w:sz w:val="22"/>
              <w:szCs w:val="24"/>
              <w:highlight w:val="none"/>
            </w:rPr>
            <w:t>七、投标人义务</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_Toc3629 \h </w:instrText>
          </w:r>
          <w:r>
            <w:rPr>
              <w:color w:val="auto"/>
              <w:sz w:val="22"/>
              <w:szCs w:val="28"/>
              <w:highlight w:val="none"/>
            </w:rPr>
            <w:fldChar w:fldCharType="separate"/>
          </w:r>
          <w:r>
            <w:rPr>
              <w:color w:val="auto"/>
              <w:sz w:val="22"/>
              <w:szCs w:val="28"/>
              <w:highlight w:val="none"/>
            </w:rPr>
            <w:t>54</w:t>
          </w:r>
          <w:r>
            <w:rPr>
              <w:color w:val="auto"/>
              <w:sz w:val="22"/>
              <w:szCs w:val="28"/>
              <w:highlight w:val="none"/>
            </w:rPr>
            <w:fldChar w:fldCharType="end"/>
          </w:r>
          <w:r>
            <w:rPr>
              <w:rFonts w:hint="eastAsia" w:ascii="宋体" w:hAnsi="宋体" w:eastAsia="宋体" w:cs="宋体"/>
              <w:color w:val="auto"/>
              <w:sz w:val="22"/>
              <w:szCs w:val="40"/>
              <w:highlight w:val="none"/>
            </w:rPr>
            <w:fldChar w:fldCharType="end"/>
          </w:r>
        </w:p>
        <w:p w14:paraId="4410CD16">
          <w:pPr>
            <w:spacing w:line="360" w:lineRule="auto"/>
            <w:ind w:firstLine="1870" w:firstLineChars="850"/>
            <w:rPr>
              <w:rFonts w:hint="eastAsia" w:ascii="宋体" w:hAnsi="宋体" w:eastAsia="宋体" w:cs="宋体"/>
              <w:b/>
              <w:color w:val="auto"/>
              <w:sz w:val="22"/>
              <w:szCs w:val="22"/>
              <w:highlight w:val="none"/>
            </w:rPr>
          </w:pPr>
          <w:r>
            <w:rPr>
              <w:rFonts w:hint="eastAsia" w:ascii="宋体" w:hAnsi="宋体" w:eastAsia="宋体" w:cs="宋体"/>
              <w:color w:val="auto"/>
              <w:sz w:val="22"/>
              <w:szCs w:val="40"/>
              <w:highlight w:val="none"/>
            </w:rPr>
            <w:fldChar w:fldCharType="end"/>
          </w:r>
        </w:p>
      </w:sdtContent>
    </w:sdt>
    <w:p w14:paraId="52814CC7">
      <w:pPr>
        <w:pStyle w:val="3"/>
        <w:bidi w:val="0"/>
        <w:rPr>
          <w:rFonts w:hint="eastAsia" w:ascii="宋体" w:hAnsi="宋体" w:eastAsia="宋体" w:cs="宋体"/>
          <w:b/>
          <w:color w:val="auto"/>
          <w:highlight w:val="none"/>
        </w:rPr>
      </w:pPr>
      <w:bookmarkStart w:id="0" w:name="_Toc32649"/>
      <w:bookmarkStart w:id="1" w:name="_Toc6599"/>
      <w:r>
        <w:rPr>
          <w:rFonts w:hint="eastAsia" w:ascii="宋体" w:hAnsi="宋体" w:eastAsia="宋体" w:cs="宋体"/>
          <w:color w:val="auto"/>
          <w:highlight w:val="none"/>
        </w:rPr>
        <w:t>招</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标</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公</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告</w:t>
      </w:r>
      <w:bookmarkEnd w:id="0"/>
      <w:bookmarkEnd w:id="1"/>
      <w:bookmarkStart w:id="83" w:name="_GoBack"/>
      <w:bookmarkEnd w:id="83"/>
    </w:p>
    <w:p w14:paraId="0B1F7945">
      <w:pPr>
        <w:tabs>
          <w:tab w:val="left" w:pos="360"/>
        </w:tabs>
        <w:spacing w:line="460" w:lineRule="exact"/>
        <w:rPr>
          <w:rFonts w:hint="eastAsia" w:ascii="宋体" w:hAnsi="宋体" w:eastAsia="宋体" w:cs="宋体"/>
          <w:b/>
          <w:bCs/>
          <w:color w:val="auto"/>
          <w:sz w:val="22"/>
          <w:highlight w:val="none"/>
        </w:rPr>
      </w:pPr>
      <w:r>
        <w:rPr>
          <w:b/>
          <w:bCs/>
          <w:color w:val="auto"/>
          <w:sz w:val="22"/>
          <w:highlight w:val="none"/>
        </w:rPr>
        <mc:AlternateContent>
          <mc:Choice Requires="wps">
            <w:drawing>
              <wp:anchor distT="0" distB="0" distL="114300" distR="114300" simplePos="0" relativeHeight="251661312" behindDoc="0" locked="0" layoutInCell="1" allowOverlap="1">
                <wp:simplePos x="0" y="0"/>
                <wp:positionH relativeFrom="column">
                  <wp:posOffset>-101600</wp:posOffset>
                </wp:positionH>
                <wp:positionV relativeFrom="paragraph">
                  <wp:posOffset>3810</wp:posOffset>
                </wp:positionV>
                <wp:extent cx="6366510" cy="925195"/>
                <wp:effectExtent l="6350" t="6350" r="8890" b="20955"/>
                <wp:wrapNone/>
                <wp:docPr id="1" name="矩形 1"/>
                <wp:cNvGraphicFramePr/>
                <a:graphic xmlns:a="http://schemas.openxmlformats.org/drawingml/2006/main">
                  <a:graphicData uri="http://schemas.microsoft.com/office/word/2010/wordprocessingShape">
                    <wps:wsp>
                      <wps:cNvSpPr/>
                      <wps:spPr>
                        <a:xfrm>
                          <a:off x="0" y="0"/>
                          <a:ext cx="6366510" cy="925195"/>
                        </a:xfrm>
                        <a:prstGeom prst="rect">
                          <a:avLst/>
                        </a:prstGeom>
                        <a:noFill/>
                        <a:ln w="12700" cap="flat" cmpd="sng">
                          <a:solidFill>
                            <a:srgbClr val="000000"/>
                          </a:solidFill>
                          <a:prstDash val="solid"/>
                          <a:round/>
                          <a:headEnd type="none" w="med" len="med"/>
                          <a:tailEnd type="none" w="med" len="med"/>
                        </a:ln>
                      </wps:spPr>
                      <wps:bodyPr anchor="ctr" anchorCtr="0" upright="1"/>
                    </wps:wsp>
                  </a:graphicData>
                </a:graphic>
              </wp:anchor>
            </w:drawing>
          </mc:Choice>
          <mc:Fallback>
            <w:pict>
              <v:rect id="_x0000_s1026" o:spid="_x0000_s1026" o:spt="1" style="position:absolute;left:0pt;margin-left:-8pt;margin-top:0.3pt;height:72.85pt;width:501.3pt;z-index:251661312;v-text-anchor:middle;mso-width-relative:page;mso-height-relative:page;" filled="f" stroked="t" coordsize="21600,21600" o:gfxdata="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N4FqQdcAAAAIAQAADwAAAAAAAAABACAAAAAiAAAAZHJzL2Rv&#10;d25yZXYueG1sUEsBAhQAFAAAAAgAh07iQNQyHNoCAgAAEQQAAA4AAAAAAAAAAQAgAAAAJgEAAGRy&#10;cy9lMm9Eb2MueG1sUEsFBgAAAAAGAAYAWQEAAJoFAAAAAA==&#10;">
                <v:fill on="f" focussize="0,0"/>
                <v:stroke weight="1pt" color="#000000" joinstyle="round"/>
                <v:imagedata o:title=""/>
                <o:lock v:ext="edit" aspectratio="f"/>
              </v:rect>
            </w:pict>
          </mc:Fallback>
        </mc:AlternateContent>
      </w:r>
      <w:r>
        <w:rPr>
          <w:rFonts w:hint="eastAsia" w:ascii="宋体" w:hAnsi="宋体" w:eastAsia="宋体" w:cs="宋体"/>
          <w:b/>
          <w:bCs/>
          <w:color w:val="auto"/>
          <w:sz w:val="22"/>
          <w:highlight w:val="none"/>
        </w:rPr>
        <w:t>项目概况</w:t>
      </w:r>
    </w:p>
    <w:p w14:paraId="44F327D4">
      <w:pPr>
        <w:tabs>
          <w:tab w:val="left" w:pos="360"/>
        </w:tabs>
        <w:spacing w:line="460" w:lineRule="exact"/>
        <w:ind w:firstLine="550" w:firstLineChars="250"/>
        <w:rPr>
          <w:rFonts w:hint="eastAsia" w:ascii="宋体" w:hAnsi="宋体" w:eastAsia="宋体" w:cs="宋体"/>
          <w:color w:val="auto"/>
          <w:sz w:val="22"/>
          <w:highlight w:val="none"/>
        </w:rPr>
      </w:pPr>
      <w:r>
        <w:rPr>
          <w:rFonts w:hint="eastAsia" w:ascii="宋体" w:hAnsi="宋体" w:cs="宋体"/>
          <w:color w:val="auto"/>
          <w:sz w:val="22"/>
          <w:highlight w:val="none"/>
          <w:lang w:eastAsia="zh-CN"/>
        </w:rPr>
        <w:t xml:space="preserve"> 食用油</w:t>
      </w:r>
      <w:r>
        <w:rPr>
          <w:rFonts w:hint="eastAsia" w:ascii="宋体" w:hAnsi="宋体" w:eastAsia="宋体" w:cs="宋体"/>
          <w:color w:val="auto"/>
          <w:sz w:val="22"/>
          <w:highlight w:val="none"/>
        </w:rPr>
        <w:t>招标项目的潜在投标人应在</w:t>
      </w:r>
      <w:r>
        <w:rPr>
          <w:rFonts w:hint="eastAsia" w:ascii="宋体" w:hAnsi="宋体" w:cs="宋体"/>
          <w:color w:val="auto"/>
          <w:sz w:val="22"/>
          <w:highlight w:val="none"/>
          <w:lang w:eastAsia="zh-CN"/>
        </w:rPr>
        <w:t>乐采云</w:t>
      </w:r>
      <w:r>
        <w:rPr>
          <w:rFonts w:hint="eastAsia" w:ascii="宋体" w:hAnsi="宋体" w:eastAsia="宋体" w:cs="宋体"/>
          <w:color w:val="auto"/>
          <w:sz w:val="22"/>
          <w:highlight w:val="none"/>
        </w:rPr>
        <w:t>获取（下载）招标文件，并于</w:t>
      </w:r>
      <w:r>
        <w:rPr>
          <w:rFonts w:hint="eastAsia" w:ascii="宋体" w:hAnsi="宋体" w:cs="宋体"/>
          <w:color w:val="auto"/>
          <w:sz w:val="22"/>
          <w:highlight w:val="none"/>
          <w:lang w:eastAsia="zh-CN"/>
        </w:rPr>
        <w:t>202</w:t>
      </w:r>
      <w:r>
        <w:rPr>
          <w:rFonts w:hint="eastAsia" w:ascii="宋体" w:hAnsi="宋体" w:cs="宋体"/>
          <w:color w:val="auto"/>
          <w:sz w:val="22"/>
          <w:highlight w:val="none"/>
          <w:lang w:val="en-US" w:eastAsia="zh-CN"/>
        </w:rPr>
        <w:t>5</w:t>
      </w:r>
      <w:r>
        <w:rPr>
          <w:rFonts w:hint="eastAsia" w:ascii="宋体" w:hAnsi="宋体" w:cs="宋体"/>
          <w:color w:val="auto"/>
          <w:sz w:val="22"/>
          <w:highlight w:val="none"/>
          <w:lang w:eastAsia="zh-CN"/>
        </w:rPr>
        <w:t>年</w:t>
      </w:r>
      <w:r>
        <w:rPr>
          <w:rFonts w:hint="eastAsia" w:ascii="宋体" w:hAnsi="宋体" w:cs="宋体"/>
          <w:color w:val="auto"/>
          <w:sz w:val="22"/>
          <w:highlight w:val="none"/>
          <w:lang w:val="en-US" w:eastAsia="zh-CN"/>
        </w:rPr>
        <w:t>6</w:t>
      </w:r>
      <w:r>
        <w:rPr>
          <w:rFonts w:hint="eastAsia" w:ascii="宋体" w:hAnsi="宋体" w:eastAsia="宋体" w:cs="宋体"/>
          <w:color w:val="auto"/>
          <w:sz w:val="22"/>
          <w:highlight w:val="none"/>
        </w:rPr>
        <w:t>月</w:t>
      </w:r>
      <w:r>
        <w:rPr>
          <w:rFonts w:hint="eastAsia" w:ascii="宋体" w:hAnsi="宋体" w:cs="宋体"/>
          <w:color w:val="auto"/>
          <w:sz w:val="22"/>
          <w:highlight w:val="none"/>
          <w:lang w:val="en-US" w:eastAsia="zh-CN"/>
        </w:rPr>
        <w:t>20</w:t>
      </w:r>
      <w:r>
        <w:rPr>
          <w:rFonts w:hint="eastAsia" w:ascii="宋体" w:hAnsi="宋体" w:eastAsia="宋体" w:cs="宋体"/>
          <w:color w:val="auto"/>
          <w:sz w:val="22"/>
          <w:highlight w:val="none"/>
        </w:rPr>
        <w:t>日</w:t>
      </w:r>
      <w:r>
        <w:rPr>
          <w:rFonts w:hint="eastAsia" w:ascii="宋体" w:hAnsi="宋体" w:cs="宋体"/>
          <w:color w:val="auto"/>
          <w:sz w:val="22"/>
          <w:highlight w:val="none"/>
          <w:lang w:val="en-US" w:eastAsia="zh-CN"/>
        </w:rPr>
        <w:t>14点30分</w:t>
      </w:r>
      <w:r>
        <w:rPr>
          <w:rFonts w:hint="eastAsia" w:ascii="宋体" w:hAnsi="宋体" w:eastAsia="宋体" w:cs="宋体"/>
          <w:color w:val="auto"/>
          <w:sz w:val="22"/>
          <w:highlight w:val="none"/>
        </w:rPr>
        <w:t>（北京时间）前递交（上传）投标文件。</w:t>
      </w:r>
    </w:p>
    <w:p w14:paraId="286DB255">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textAlignment w:val="auto"/>
        <w:rPr>
          <w:rFonts w:hint="eastAsia"/>
          <w:color w:val="auto"/>
          <w:sz w:val="22"/>
          <w:szCs w:val="22"/>
          <w:highlight w:val="none"/>
          <w:u w:val="none"/>
          <w:lang w:val="en-US" w:eastAsia="zh-CN"/>
        </w:rPr>
      </w:pPr>
      <w:r>
        <w:rPr>
          <w:rFonts w:hint="eastAsia"/>
          <w:b/>
          <w:bCs/>
          <w:color w:val="auto"/>
          <w:sz w:val="22"/>
          <w:szCs w:val="22"/>
          <w:highlight w:val="none"/>
          <w:u w:val="none"/>
        </w:rPr>
        <w:t>一、项目基本情况</w:t>
      </w:r>
      <w:r>
        <w:rPr>
          <w:rFonts w:hint="eastAsia"/>
          <w:color w:val="auto"/>
          <w:sz w:val="22"/>
          <w:szCs w:val="22"/>
          <w:highlight w:val="none"/>
          <w:u w:val="none"/>
          <w:lang w:val="en-US" w:eastAsia="zh-CN"/>
        </w:rPr>
        <w:t>                                           </w:t>
      </w:r>
    </w:p>
    <w:p w14:paraId="61933C7C">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项目编号：</w:t>
      </w:r>
      <w:r>
        <w:rPr>
          <w:rFonts w:hint="eastAsia" w:cs="宋体"/>
          <w:color w:val="auto"/>
          <w:sz w:val="22"/>
          <w:szCs w:val="22"/>
          <w:highlight w:val="none"/>
          <w:u w:val="none"/>
          <w:lang w:eastAsia="zh-CN"/>
        </w:rPr>
        <w:t>WZLCZB（W）-2025-05055</w:t>
      </w:r>
      <w:r>
        <w:rPr>
          <w:rFonts w:hint="eastAsia" w:ascii="宋体" w:hAnsi="宋体" w:eastAsia="宋体" w:cs="宋体"/>
          <w:color w:val="auto"/>
          <w:sz w:val="22"/>
          <w:szCs w:val="22"/>
          <w:highlight w:val="none"/>
          <w:u w:val="none"/>
          <w:lang w:val="en-US" w:eastAsia="zh-CN"/>
        </w:rPr>
        <w:t> </w:t>
      </w:r>
    </w:p>
    <w:p w14:paraId="5D8C4749">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项目名称：</w:t>
      </w:r>
      <w:r>
        <w:rPr>
          <w:rFonts w:hint="eastAsia" w:cs="宋体"/>
          <w:color w:val="auto"/>
          <w:sz w:val="22"/>
          <w:szCs w:val="22"/>
          <w:highlight w:val="none"/>
          <w:u w:val="none"/>
          <w:lang w:eastAsia="zh-CN"/>
        </w:rPr>
        <w:t>食用油</w:t>
      </w:r>
    </w:p>
    <w:tbl>
      <w:tblPr>
        <w:tblStyle w:val="52"/>
        <w:tblW w:w="9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925"/>
        <w:gridCol w:w="1275"/>
        <w:gridCol w:w="1485"/>
        <w:gridCol w:w="1110"/>
        <w:gridCol w:w="2115"/>
      </w:tblGrid>
      <w:tr w14:paraId="21608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14:paraId="653F728B">
            <w:pPr>
              <w:keepNext w:val="0"/>
              <w:keepLines w:val="0"/>
              <w:pageBreakBefore w:val="0"/>
              <w:widowControl w:val="0"/>
              <w:kinsoku/>
              <w:wordWrap/>
              <w:overflowPunct/>
              <w:topLinePunct w:val="0"/>
              <w:bidi w:val="0"/>
              <w:spacing w:line="460" w:lineRule="exact"/>
              <w:jc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序号</w:t>
            </w:r>
          </w:p>
        </w:tc>
        <w:tc>
          <w:tcPr>
            <w:tcW w:w="2925" w:type="dxa"/>
            <w:tcBorders>
              <w:top w:val="single" w:color="auto" w:sz="4" w:space="0"/>
              <w:left w:val="single" w:color="auto" w:sz="4" w:space="0"/>
              <w:bottom w:val="single" w:color="auto" w:sz="4" w:space="0"/>
              <w:right w:val="single" w:color="auto" w:sz="4" w:space="0"/>
            </w:tcBorders>
            <w:noWrap w:val="0"/>
            <w:vAlign w:val="center"/>
          </w:tcPr>
          <w:p w14:paraId="5A0F256D">
            <w:pPr>
              <w:keepNext w:val="0"/>
              <w:keepLines w:val="0"/>
              <w:pageBreakBefore w:val="0"/>
              <w:widowControl w:val="0"/>
              <w:kinsoku/>
              <w:wordWrap/>
              <w:overflowPunct/>
              <w:topLinePunct w:val="0"/>
              <w:bidi w:val="0"/>
              <w:spacing w:line="46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货物名称</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009841E">
            <w:pPr>
              <w:keepNext w:val="0"/>
              <w:keepLines w:val="0"/>
              <w:pageBreakBefore w:val="0"/>
              <w:widowControl w:val="0"/>
              <w:kinsoku/>
              <w:wordWrap/>
              <w:overflowPunct/>
              <w:topLinePunct w:val="0"/>
              <w:bidi w:val="0"/>
              <w:spacing w:line="460" w:lineRule="exact"/>
              <w:jc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加工工艺</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630EA380">
            <w:pPr>
              <w:keepNext w:val="0"/>
              <w:keepLines w:val="0"/>
              <w:pageBreakBefore w:val="0"/>
              <w:widowControl/>
              <w:kinsoku/>
              <w:wordWrap/>
              <w:overflowPunct/>
              <w:topLinePunct w:val="0"/>
              <w:bidi w:val="0"/>
              <w:snapToGrid w:val="0"/>
              <w:spacing w:line="46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kern w:val="0"/>
                <w:sz w:val="22"/>
                <w:szCs w:val="22"/>
                <w:highlight w:val="none"/>
              </w:rPr>
              <w:t>预算单价</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5B227F09">
            <w:pPr>
              <w:keepNext w:val="0"/>
              <w:keepLines w:val="0"/>
              <w:pageBreakBefore w:val="0"/>
              <w:widowControl w:val="0"/>
              <w:kinsoku/>
              <w:wordWrap/>
              <w:overflowPunct/>
              <w:topLinePunct w:val="0"/>
              <w:bidi w:val="0"/>
              <w:spacing w:line="46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规格</w:t>
            </w:r>
          </w:p>
        </w:tc>
        <w:tc>
          <w:tcPr>
            <w:tcW w:w="2115" w:type="dxa"/>
            <w:tcBorders>
              <w:top w:val="single" w:color="auto" w:sz="4" w:space="0"/>
              <w:left w:val="single" w:color="auto" w:sz="4" w:space="0"/>
              <w:bottom w:val="single" w:color="auto" w:sz="4" w:space="0"/>
              <w:right w:val="single" w:color="auto" w:sz="4" w:space="0"/>
            </w:tcBorders>
            <w:noWrap w:val="0"/>
            <w:vAlign w:val="center"/>
          </w:tcPr>
          <w:p w14:paraId="1B6A02EB">
            <w:pPr>
              <w:keepNext w:val="0"/>
              <w:keepLines w:val="0"/>
              <w:pageBreakBefore w:val="0"/>
              <w:widowControl w:val="0"/>
              <w:kinsoku/>
              <w:wordWrap/>
              <w:overflowPunct/>
              <w:topLinePunct w:val="0"/>
              <w:bidi w:val="0"/>
              <w:spacing w:line="460" w:lineRule="exact"/>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sz w:val="22"/>
                <w:szCs w:val="22"/>
                <w:highlight w:val="none"/>
              </w:rPr>
              <w:t>交货期</w:t>
            </w:r>
          </w:p>
        </w:tc>
      </w:tr>
      <w:tr w14:paraId="0682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40" w:type="dxa"/>
            <w:tcBorders>
              <w:top w:val="single" w:color="auto" w:sz="4" w:space="0"/>
              <w:left w:val="single" w:color="auto" w:sz="4" w:space="0"/>
            </w:tcBorders>
            <w:noWrap w:val="0"/>
            <w:vAlign w:val="center"/>
          </w:tcPr>
          <w:p w14:paraId="6AFC4517">
            <w:pPr>
              <w:keepNext w:val="0"/>
              <w:keepLines w:val="0"/>
              <w:pageBreakBefore w:val="0"/>
              <w:widowControl w:val="0"/>
              <w:kinsoku/>
              <w:wordWrap/>
              <w:overflowPunct/>
              <w:topLinePunct w:val="0"/>
              <w:bidi w:val="0"/>
              <w:spacing w:line="460" w:lineRule="exact"/>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w:t>
            </w:r>
          </w:p>
        </w:tc>
        <w:tc>
          <w:tcPr>
            <w:tcW w:w="2925" w:type="dxa"/>
            <w:tcBorders>
              <w:top w:val="single" w:color="auto" w:sz="4" w:space="0"/>
              <w:left w:val="single" w:color="auto" w:sz="4" w:space="0"/>
            </w:tcBorders>
            <w:noWrap w:val="0"/>
            <w:vAlign w:val="center"/>
          </w:tcPr>
          <w:p w14:paraId="0B949C33">
            <w:pPr>
              <w:keepNext w:val="0"/>
              <w:keepLines w:val="0"/>
              <w:pageBreakBefore w:val="0"/>
              <w:widowControl w:val="0"/>
              <w:kinsoku/>
              <w:wordWrap/>
              <w:overflowPunct/>
              <w:topLinePunct w:val="0"/>
              <w:bidi w:val="0"/>
              <w:spacing w:line="460" w:lineRule="exact"/>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大豆油（非转基因）一级10L</w:t>
            </w:r>
          </w:p>
        </w:tc>
        <w:tc>
          <w:tcPr>
            <w:tcW w:w="1275" w:type="dxa"/>
            <w:tcBorders>
              <w:top w:val="single" w:color="auto" w:sz="4" w:space="0"/>
              <w:left w:val="single" w:color="auto" w:sz="4" w:space="0"/>
            </w:tcBorders>
            <w:noWrap w:val="0"/>
            <w:vAlign w:val="center"/>
          </w:tcPr>
          <w:p w14:paraId="3B6B292A">
            <w:pPr>
              <w:keepNext w:val="0"/>
              <w:keepLines w:val="0"/>
              <w:pageBreakBefore w:val="0"/>
              <w:widowControl w:val="0"/>
              <w:kinsoku/>
              <w:wordWrap/>
              <w:overflowPunct/>
              <w:topLinePunct w:val="0"/>
              <w:bidi w:val="0"/>
              <w:spacing w:line="460" w:lineRule="exact"/>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非压榨型</w:t>
            </w:r>
          </w:p>
        </w:tc>
        <w:tc>
          <w:tcPr>
            <w:tcW w:w="1485" w:type="dxa"/>
            <w:tcBorders>
              <w:top w:val="single" w:color="auto" w:sz="4" w:space="0"/>
              <w:left w:val="single" w:color="auto" w:sz="4" w:space="0"/>
            </w:tcBorders>
            <w:noWrap w:val="0"/>
            <w:vAlign w:val="center"/>
          </w:tcPr>
          <w:p w14:paraId="05707FD3">
            <w:pPr>
              <w:pStyle w:val="294"/>
              <w:keepNext w:val="0"/>
              <w:keepLines w:val="0"/>
              <w:pageBreakBefore w:val="0"/>
              <w:kinsoku/>
              <w:wordWrap/>
              <w:overflowPunct/>
              <w:topLinePunct w:val="0"/>
              <w:bidi w:val="0"/>
              <w:snapToGrid w:val="0"/>
              <w:spacing w:before="0" w:line="460" w:lineRule="exact"/>
              <w:ind w:firstLine="0" w:firstLineChars="0"/>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135.00</w:t>
            </w:r>
            <w:r>
              <w:rPr>
                <w:rFonts w:hint="eastAsia" w:ascii="宋体" w:hAnsi="宋体" w:eastAsia="宋体" w:cs="宋体"/>
                <w:color w:val="auto"/>
                <w:sz w:val="22"/>
                <w:szCs w:val="22"/>
                <w:highlight w:val="none"/>
              </w:rPr>
              <w:t>元/</w:t>
            </w:r>
            <w:r>
              <w:rPr>
                <w:rFonts w:hint="eastAsia" w:ascii="宋体" w:hAnsi="宋体" w:eastAsia="宋体" w:cs="宋体"/>
                <w:color w:val="auto"/>
                <w:sz w:val="22"/>
                <w:szCs w:val="22"/>
                <w:highlight w:val="none"/>
                <w:lang w:val="en-US" w:eastAsia="zh-CN"/>
              </w:rPr>
              <w:t>瓶</w:t>
            </w:r>
          </w:p>
        </w:tc>
        <w:tc>
          <w:tcPr>
            <w:tcW w:w="1110" w:type="dxa"/>
            <w:vMerge w:val="restart"/>
            <w:tcBorders>
              <w:top w:val="single" w:color="auto" w:sz="4" w:space="0"/>
              <w:left w:val="single" w:color="auto" w:sz="4" w:space="0"/>
            </w:tcBorders>
            <w:noWrap w:val="0"/>
            <w:vAlign w:val="center"/>
          </w:tcPr>
          <w:p w14:paraId="7599BE76">
            <w:pPr>
              <w:keepNext w:val="0"/>
              <w:keepLines w:val="0"/>
              <w:pageBreakBefore w:val="0"/>
              <w:widowControl w:val="0"/>
              <w:kinsoku/>
              <w:wordWrap/>
              <w:overflowPunct/>
              <w:topLinePunct w:val="0"/>
              <w:bidi w:val="0"/>
              <w:spacing w:line="4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10L</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瓶</w:t>
            </w:r>
          </w:p>
        </w:tc>
        <w:tc>
          <w:tcPr>
            <w:tcW w:w="2115" w:type="dxa"/>
            <w:vMerge w:val="restart"/>
            <w:tcBorders>
              <w:top w:val="single" w:color="auto" w:sz="4" w:space="0"/>
              <w:left w:val="single" w:color="auto" w:sz="4" w:space="0"/>
            </w:tcBorders>
            <w:noWrap w:val="0"/>
            <w:vAlign w:val="center"/>
          </w:tcPr>
          <w:p w14:paraId="407B4531">
            <w:pPr>
              <w:keepNext w:val="0"/>
              <w:keepLines w:val="0"/>
              <w:pageBreakBefore w:val="0"/>
              <w:widowControl w:val="0"/>
              <w:kinsoku/>
              <w:wordWrap/>
              <w:overflowPunct/>
              <w:topLinePunct w:val="0"/>
              <w:bidi w:val="0"/>
              <w:spacing w:line="4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按要求分批交货</w:t>
            </w:r>
          </w:p>
        </w:tc>
      </w:tr>
      <w:tr w14:paraId="00A4B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40" w:type="dxa"/>
            <w:tcBorders>
              <w:left w:val="single" w:color="auto" w:sz="4" w:space="0"/>
            </w:tcBorders>
            <w:noWrap w:val="0"/>
            <w:vAlign w:val="center"/>
          </w:tcPr>
          <w:p w14:paraId="18111529">
            <w:pPr>
              <w:pStyle w:val="294"/>
              <w:keepNext w:val="0"/>
              <w:keepLines w:val="0"/>
              <w:pageBreakBefore w:val="0"/>
              <w:kinsoku/>
              <w:wordWrap/>
              <w:overflowPunct/>
              <w:topLinePunct w:val="0"/>
              <w:bidi w:val="0"/>
              <w:snapToGrid w:val="0"/>
              <w:spacing w:before="0" w:line="460" w:lineRule="exact"/>
              <w:ind w:firstLine="0" w:firstLineChars="0"/>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w:t>
            </w:r>
          </w:p>
        </w:tc>
        <w:tc>
          <w:tcPr>
            <w:tcW w:w="2925" w:type="dxa"/>
            <w:tcBorders>
              <w:left w:val="single" w:color="auto" w:sz="4" w:space="0"/>
            </w:tcBorders>
            <w:noWrap w:val="0"/>
            <w:vAlign w:val="center"/>
          </w:tcPr>
          <w:p w14:paraId="05C2BB0A">
            <w:pPr>
              <w:pStyle w:val="294"/>
              <w:keepNext w:val="0"/>
              <w:keepLines w:val="0"/>
              <w:pageBreakBefore w:val="0"/>
              <w:kinsoku/>
              <w:wordWrap/>
              <w:overflowPunct/>
              <w:topLinePunct w:val="0"/>
              <w:bidi w:val="0"/>
              <w:snapToGrid w:val="0"/>
              <w:spacing w:before="0" w:line="460" w:lineRule="exact"/>
              <w:ind w:firstLine="0" w:firstLineChars="0"/>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菜籽油（非转基因）一级10L</w:t>
            </w:r>
          </w:p>
        </w:tc>
        <w:tc>
          <w:tcPr>
            <w:tcW w:w="1275" w:type="dxa"/>
            <w:tcBorders>
              <w:left w:val="single" w:color="auto" w:sz="4" w:space="0"/>
            </w:tcBorders>
            <w:noWrap w:val="0"/>
            <w:vAlign w:val="center"/>
          </w:tcPr>
          <w:p w14:paraId="50B32B34">
            <w:pPr>
              <w:pStyle w:val="294"/>
              <w:keepNext w:val="0"/>
              <w:keepLines w:val="0"/>
              <w:pageBreakBefore w:val="0"/>
              <w:kinsoku/>
              <w:wordWrap/>
              <w:overflowPunct/>
              <w:topLinePunct w:val="0"/>
              <w:bidi w:val="0"/>
              <w:snapToGrid w:val="0"/>
              <w:spacing w:before="0" w:line="460" w:lineRule="exact"/>
              <w:ind w:firstLine="0" w:firstLineChars="0"/>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压榨型</w:t>
            </w:r>
          </w:p>
        </w:tc>
        <w:tc>
          <w:tcPr>
            <w:tcW w:w="1485" w:type="dxa"/>
            <w:tcBorders>
              <w:left w:val="single" w:color="auto" w:sz="4" w:space="0"/>
            </w:tcBorders>
            <w:noWrap w:val="0"/>
            <w:vAlign w:val="center"/>
          </w:tcPr>
          <w:p w14:paraId="12EC9AF3">
            <w:pPr>
              <w:pStyle w:val="294"/>
              <w:keepNext w:val="0"/>
              <w:keepLines w:val="0"/>
              <w:pageBreakBefore w:val="0"/>
              <w:kinsoku/>
              <w:wordWrap/>
              <w:overflowPunct/>
              <w:topLinePunct w:val="0"/>
              <w:bidi w:val="0"/>
              <w:snapToGrid w:val="0"/>
              <w:spacing w:before="0" w:line="460" w:lineRule="exact"/>
              <w:ind w:firstLine="0" w:firstLineChars="0"/>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150.00元/瓶</w:t>
            </w:r>
          </w:p>
        </w:tc>
        <w:tc>
          <w:tcPr>
            <w:tcW w:w="1110" w:type="dxa"/>
            <w:vMerge w:val="continue"/>
            <w:tcBorders>
              <w:left w:val="single" w:color="auto" w:sz="4" w:space="0"/>
            </w:tcBorders>
            <w:noWrap w:val="0"/>
            <w:vAlign w:val="center"/>
          </w:tcPr>
          <w:p w14:paraId="068B038B">
            <w:pPr>
              <w:pStyle w:val="294"/>
              <w:keepNext w:val="0"/>
              <w:keepLines w:val="0"/>
              <w:pageBreakBefore w:val="0"/>
              <w:kinsoku/>
              <w:wordWrap/>
              <w:overflowPunct/>
              <w:topLinePunct w:val="0"/>
              <w:bidi w:val="0"/>
              <w:snapToGrid w:val="0"/>
              <w:spacing w:before="0" w:line="460" w:lineRule="exact"/>
              <w:ind w:firstLine="0" w:firstLineChars="0"/>
              <w:jc w:val="center"/>
              <w:rPr>
                <w:rFonts w:hint="eastAsia" w:ascii="宋体" w:hAnsi="宋体" w:eastAsia="宋体" w:cs="宋体"/>
                <w:color w:val="auto"/>
                <w:sz w:val="22"/>
                <w:szCs w:val="22"/>
                <w:highlight w:val="none"/>
                <w:lang w:val="en-US" w:eastAsia="zh-CN"/>
              </w:rPr>
            </w:pPr>
          </w:p>
        </w:tc>
        <w:tc>
          <w:tcPr>
            <w:tcW w:w="2115" w:type="dxa"/>
            <w:vMerge w:val="continue"/>
            <w:tcBorders>
              <w:left w:val="single" w:color="auto" w:sz="4" w:space="0"/>
            </w:tcBorders>
            <w:noWrap w:val="0"/>
            <w:vAlign w:val="center"/>
          </w:tcPr>
          <w:p w14:paraId="777802A6">
            <w:pPr>
              <w:pStyle w:val="294"/>
              <w:keepNext w:val="0"/>
              <w:keepLines w:val="0"/>
              <w:pageBreakBefore w:val="0"/>
              <w:kinsoku/>
              <w:wordWrap/>
              <w:overflowPunct/>
              <w:topLinePunct w:val="0"/>
              <w:bidi w:val="0"/>
              <w:snapToGrid w:val="0"/>
              <w:spacing w:before="0" w:line="460" w:lineRule="exact"/>
              <w:ind w:firstLine="0" w:firstLineChars="0"/>
              <w:jc w:val="center"/>
              <w:rPr>
                <w:rFonts w:hint="eastAsia" w:ascii="宋体" w:hAnsi="宋体" w:eastAsia="宋体" w:cs="宋体"/>
                <w:color w:val="auto"/>
                <w:sz w:val="22"/>
                <w:szCs w:val="22"/>
                <w:highlight w:val="none"/>
                <w:lang w:val="en-US" w:eastAsia="zh-CN"/>
              </w:rPr>
            </w:pPr>
          </w:p>
        </w:tc>
      </w:tr>
      <w:tr w14:paraId="206E0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750" w:type="dxa"/>
            <w:gridSpan w:val="6"/>
            <w:tcBorders>
              <w:left w:val="single" w:color="auto" w:sz="4" w:space="0"/>
            </w:tcBorders>
            <w:noWrap w:val="0"/>
            <w:vAlign w:val="center"/>
          </w:tcPr>
          <w:p w14:paraId="47A22762">
            <w:pPr>
              <w:pStyle w:val="294"/>
              <w:keepNext w:val="0"/>
              <w:keepLines w:val="0"/>
              <w:pageBreakBefore w:val="0"/>
              <w:kinsoku/>
              <w:wordWrap/>
              <w:overflowPunct/>
              <w:topLinePunct w:val="0"/>
              <w:bidi w:val="0"/>
              <w:snapToGrid w:val="0"/>
              <w:spacing w:before="0" w:line="460" w:lineRule="exact"/>
              <w:ind w:firstLine="0" w:firstLineChars="0"/>
              <w:jc w:val="both"/>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项目总预算金额：</w:t>
            </w:r>
            <w:r>
              <w:rPr>
                <w:rFonts w:hint="eastAsia" w:ascii="宋体" w:hAnsi="宋体" w:cs="宋体"/>
                <w:color w:val="auto"/>
                <w:sz w:val="22"/>
                <w:szCs w:val="22"/>
                <w:highlight w:val="none"/>
                <w:lang w:val="en-US" w:eastAsia="zh-CN"/>
              </w:rPr>
              <w:t>人民币玖拾叁万元整（¥：</w:t>
            </w:r>
            <w:r>
              <w:rPr>
                <w:rFonts w:hint="eastAsia" w:ascii="宋体" w:hAnsi="宋体" w:eastAsia="宋体" w:cs="宋体"/>
                <w:color w:val="auto"/>
                <w:sz w:val="22"/>
                <w:szCs w:val="22"/>
                <w:highlight w:val="none"/>
                <w:lang w:val="en-US" w:eastAsia="zh-CN"/>
              </w:rPr>
              <w:t>930000</w:t>
            </w:r>
            <w:r>
              <w:rPr>
                <w:rFonts w:hint="eastAsia" w:ascii="宋体" w:hAnsi="宋体" w:eastAsia="宋体" w:cs="宋体"/>
                <w:color w:val="auto"/>
                <w:sz w:val="22"/>
                <w:szCs w:val="22"/>
                <w:highlight w:val="none"/>
                <w:u w:val="none"/>
                <w:lang w:val="en-US" w:eastAsia="zh-CN"/>
              </w:rPr>
              <w:t>元</w:t>
            </w:r>
            <w:r>
              <w:rPr>
                <w:rFonts w:hint="eastAsia" w:ascii="宋体" w:hAnsi="宋体" w:cs="宋体"/>
                <w:color w:val="auto"/>
                <w:sz w:val="22"/>
                <w:szCs w:val="22"/>
                <w:highlight w:val="none"/>
                <w:lang w:val="en-US" w:eastAsia="zh-CN"/>
              </w:rPr>
              <w:t>）</w:t>
            </w:r>
            <w:r>
              <w:rPr>
                <w:rFonts w:hint="eastAsia" w:ascii="宋体" w:hAnsi="宋体" w:cs="宋体"/>
                <w:color w:val="auto"/>
                <w:sz w:val="22"/>
                <w:szCs w:val="22"/>
                <w:highlight w:val="none"/>
                <w:u w:val="none"/>
                <w:lang w:val="en-US" w:eastAsia="zh-CN"/>
              </w:rPr>
              <w:t>。</w:t>
            </w:r>
          </w:p>
        </w:tc>
      </w:tr>
    </w:tbl>
    <w:p w14:paraId="0AE6AF65">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合同履约期限：标项 1，具体详见招标文件</w:t>
      </w:r>
    </w:p>
    <w:p w14:paraId="0CF0E71B">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本项目（否）接受联合体投标。</w:t>
      </w:r>
    </w:p>
    <w:p w14:paraId="45A8CD6D">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textAlignment w:val="auto"/>
        <w:rPr>
          <w:rFonts w:hint="eastAsia"/>
          <w:color w:val="auto"/>
          <w:sz w:val="22"/>
          <w:szCs w:val="22"/>
          <w:highlight w:val="none"/>
          <w:u w:val="none"/>
          <w:lang w:val="en-US" w:eastAsia="zh-CN"/>
        </w:rPr>
      </w:pPr>
      <w:r>
        <w:rPr>
          <w:rFonts w:hint="eastAsia"/>
          <w:b/>
          <w:bCs/>
          <w:color w:val="auto"/>
          <w:sz w:val="22"/>
          <w:szCs w:val="22"/>
          <w:highlight w:val="none"/>
          <w:u w:val="none"/>
          <w:lang w:val="en-US" w:eastAsia="zh-CN"/>
        </w:rPr>
        <w:t>二、申请人的资格要求：</w:t>
      </w:r>
    </w:p>
    <w:p w14:paraId="3B411597">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color w:val="auto"/>
          <w:sz w:val="22"/>
          <w:szCs w:val="22"/>
          <w:highlight w:val="none"/>
          <w:u w:val="none"/>
          <w:lang w:val="en-US" w:eastAsia="zh-CN"/>
        </w:rPr>
      </w:pPr>
      <w:r>
        <w:rPr>
          <w:rFonts w:hint="eastAsia"/>
          <w:color w:val="auto"/>
          <w:sz w:val="22"/>
          <w:szCs w:val="22"/>
          <w:highlight w:val="none"/>
          <w:u w:val="none"/>
          <w:lang w:val="en-US" w:eastAsia="zh-CN"/>
        </w:rPr>
        <w:t>1.满足《中华人民共和国政府采购法》第二十二条规定；未被“信用中国”（www.creditchina.gov.cn)、中国政府采购网（www.ccgp.gov.cn）列入失信被执行人、重大税收违法案件当事人名单、政府采购严重违法失信行为记录名单。</w:t>
      </w:r>
    </w:p>
    <w:p w14:paraId="109B239B">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color w:val="auto"/>
          <w:sz w:val="22"/>
          <w:szCs w:val="22"/>
          <w:highlight w:val="none"/>
          <w:u w:val="none"/>
          <w:lang w:val="en-US" w:eastAsia="zh-CN"/>
        </w:rPr>
      </w:pPr>
      <w:r>
        <w:rPr>
          <w:rFonts w:hint="eastAsia"/>
          <w:color w:val="auto"/>
          <w:sz w:val="22"/>
          <w:szCs w:val="22"/>
          <w:highlight w:val="none"/>
          <w:u w:val="none"/>
          <w:lang w:val="en-US" w:eastAsia="zh-CN"/>
        </w:rPr>
        <w:t>2.本项目的特定资格要求：</w:t>
      </w:r>
      <w:r>
        <w:rPr>
          <w:rFonts w:hint="eastAsia"/>
          <w:color w:val="auto"/>
          <w:sz w:val="22"/>
          <w:szCs w:val="22"/>
          <w:highlight w:val="none"/>
        </w:rPr>
        <w:t>投标人具有有效的食品经营许可证（食品流通许可证）或食品生产许可证或相关备案证明材料</w:t>
      </w:r>
      <w:r>
        <w:rPr>
          <w:rFonts w:hint="eastAsia"/>
          <w:color w:val="auto"/>
          <w:sz w:val="22"/>
          <w:szCs w:val="22"/>
          <w:highlight w:val="none"/>
          <w:u w:val="none"/>
          <w:lang w:val="en-US" w:eastAsia="zh-CN"/>
        </w:rPr>
        <w:t>。  </w:t>
      </w:r>
    </w:p>
    <w:p w14:paraId="66311EFB">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textAlignment w:val="auto"/>
        <w:rPr>
          <w:rFonts w:hint="eastAsia"/>
          <w:b/>
          <w:bCs/>
          <w:color w:val="auto"/>
          <w:sz w:val="22"/>
          <w:szCs w:val="22"/>
          <w:highlight w:val="none"/>
          <w:u w:val="none"/>
        </w:rPr>
      </w:pPr>
      <w:r>
        <w:rPr>
          <w:rFonts w:hint="eastAsia"/>
          <w:b/>
          <w:bCs/>
          <w:color w:val="auto"/>
          <w:sz w:val="22"/>
          <w:szCs w:val="22"/>
          <w:highlight w:val="none"/>
          <w:u w:val="none"/>
        </w:rPr>
        <w:t>三、获取招标文件 </w:t>
      </w:r>
    </w:p>
    <w:p w14:paraId="243B6C3A">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color w:val="auto"/>
          <w:sz w:val="22"/>
          <w:szCs w:val="22"/>
          <w:highlight w:val="none"/>
          <w:u w:val="none"/>
        </w:rPr>
      </w:pPr>
      <w:r>
        <w:rPr>
          <w:rFonts w:hint="eastAsia"/>
          <w:color w:val="auto"/>
          <w:sz w:val="22"/>
          <w:szCs w:val="22"/>
          <w:highlight w:val="none"/>
          <w:u w:val="none"/>
        </w:rPr>
        <w:t>时间：</w:t>
      </w:r>
      <w:r>
        <w:rPr>
          <w:rFonts w:hint="eastAsia"/>
          <w:color w:val="auto"/>
          <w:sz w:val="22"/>
          <w:szCs w:val="22"/>
          <w:highlight w:val="none"/>
          <w:u w:val="none"/>
          <w:lang w:val="en-US" w:eastAsia="zh-CN"/>
        </w:rPr>
        <w:t>2025年5月30日</w:t>
      </w:r>
      <w:r>
        <w:rPr>
          <w:rFonts w:hint="eastAsia"/>
          <w:color w:val="auto"/>
          <w:sz w:val="22"/>
          <w:szCs w:val="22"/>
          <w:highlight w:val="none"/>
          <w:u w:val="none"/>
        </w:rPr>
        <w:t>至</w:t>
      </w:r>
      <w:r>
        <w:rPr>
          <w:rFonts w:hint="eastAsia"/>
          <w:color w:val="auto"/>
          <w:sz w:val="22"/>
          <w:szCs w:val="22"/>
          <w:highlight w:val="none"/>
          <w:u w:val="none"/>
          <w:lang w:eastAsia="zh-CN"/>
        </w:rPr>
        <w:t>202</w:t>
      </w:r>
      <w:r>
        <w:rPr>
          <w:rFonts w:hint="eastAsia"/>
          <w:color w:val="auto"/>
          <w:sz w:val="22"/>
          <w:szCs w:val="22"/>
          <w:highlight w:val="none"/>
          <w:u w:val="none"/>
          <w:lang w:val="en-US" w:eastAsia="zh-CN"/>
        </w:rPr>
        <w:t>5</w:t>
      </w:r>
      <w:r>
        <w:rPr>
          <w:rFonts w:hint="eastAsia"/>
          <w:color w:val="auto"/>
          <w:sz w:val="22"/>
          <w:szCs w:val="22"/>
          <w:highlight w:val="none"/>
          <w:u w:val="none"/>
          <w:lang w:eastAsia="zh-CN"/>
        </w:rPr>
        <w:t>年</w:t>
      </w:r>
      <w:r>
        <w:rPr>
          <w:rFonts w:hint="eastAsia"/>
          <w:color w:val="auto"/>
          <w:sz w:val="22"/>
          <w:szCs w:val="22"/>
          <w:highlight w:val="none"/>
          <w:u w:val="none"/>
          <w:lang w:val="en-US" w:eastAsia="zh-CN"/>
        </w:rPr>
        <w:t>6</w:t>
      </w:r>
      <w:r>
        <w:rPr>
          <w:rFonts w:hint="eastAsia"/>
          <w:color w:val="auto"/>
          <w:sz w:val="22"/>
          <w:szCs w:val="22"/>
          <w:highlight w:val="none"/>
          <w:u w:val="none"/>
        </w:rPr>
        <w:t>月</w:t>
      </w:r>
      <w:r>
        <w:rPr>
          <w:rFonts w:hint="eastAsia"/>
          <w:color w:val="auto"/>
          <w:sz w:val="22"/>
          <w:szCs w:val="22"/>
          <w:highlight w:val="none"/>
          <w:u w:val="none"/>
          <w:lang w:val="en-US" w:eastAsia="zh-CN"/>
        </w:rPr>
        <w:t>20</w:t>
      </w:r>
      <w:r>
        <w:rPr>
          <w:rFonts w:hint="eastAsia"/>
          <w:color w:val="auto"/>
          <w:sz w:val="22"/>
          <w:szCs w:val="22"/>
          <w:highlight w:val="none"/>
          <w:u w:val="none"/>
        </w:rPr>
        <w:t>日，每天上午00:00至12:00，下午12:00至23:59（北京时间，线上获取法定节假日均可，线下获取文件法定节假日除外）</w:t>
      </w:r>
    </w:p>
    <w:p w14:paraId="1B31465E">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color w:val="auto"/>
          <w:sz w:val="22"/>
          <w:szCs w:val="22"/>
          <w:highlight w:val="none"/>
          <w:u w:val="none"/>
        </w:rPr>
      </w:pPr>
      <w:r>
        <w:rPr>
          <w:rFonts w:hint="eastAsia"/>
          <w:color w:val="auto"/>
          <w:sz w:val="22"/>
          <w:szCs w:val="22"/>
          <w:highlight w:val="none"/>
          <w:u w:val="none"/>
        </w:rPr>
        <w:t>地点（网址）：</w:t>
      </w:r>
      <w:r>
        <w:rPr>
          <w:rFonts w:hint="eastAsia"/>
          <w:color w:val="auto"/>
          <w:sz w:val="22"/>
          <w:szCs w:val="22"/>
          <w:highlight w:val="none"/>
          <w:u w:val="none"/>
          <w:lang w:eastAsia="zh-CN"/>
        </w:rPr>
        <w:t>乐采云</w:t>
      </w:r>
      <w:r>
        <w:rPr>
          <w:rFonts w:hint="eastAsia"/>
          <w:color w:val="auto"/>
          <w:sz w:val="22"/>
          <w:szCs w:val="22"/>
          <w:highlight w:val="none"/>
          <w:u w:val="none"/>
        </w:rPr>
        <w:t>（</w:t>
      </w:r>
      <w:r>
        <w:rPr>
          <w:rFonts w:hint="eastAsia"/>
          <w:color w:val="auto"/>
          <w:sz w:val="22"/>
          <w:szCs w:val="22"/>
          <w:highlight w:val="none"/>
          <w:u w:val="none"/>
          <w:lang w:eastAsia="zh-CN"/>
        </w:rPr>
        <w:t>www.lecaiyun.com</w:t>
      </w:r>
      <w:r>
        <w:rPr>
          <w:rFonts w:hint="eastAsia"/>
          <w:color w:val="auto"/>
          <w:sz w:val="22"/>
          <w:szCs w:val="22"/>
          <w:highlight w:val="none"/>
          <w:u w:val="none"/>
        </w:rPr>
        <w:t>） </w:t>
      </w:r>
    </w:p>
    <w:p w14:paraId="10108A35">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color w:val="auto"/>
          <w:sz w:val="22"/>
          <w:szCs w:val="22"/>
          <w:highlight w:val="none"/>
          <w:u w:val="none"/>
        </w:rPr>
      </w:pPr>
      <w:r>
        <w:rPr>
          <w:rFonts w:hint="eastAsia"/>
          <w:color w:val="auto"/>
          <w:sz w:val="22"/>
          <w:szCs w:val="22"/>
          <w:highlight w:val="none"/>
          <w:u w:val="none"/>
        </w:rPr>
        <w:t>方式：供应商登录</w:t>
      </w:r>
      <w:r>
        <w:rPr>
          <w:rFonts w:hint="eastAsia"/>
          <w:color w:val="auto"/>
          <w:sz w:val="22"/>
          <w:szCs w:val="22"/>
          <w:highlight w:val="none"/>
          <w:u w:val="none"/>
          <w:lang w:eastAsia="zh-CN"/>
        </w:rPr>
        <w:t>乐采云平台www.lecaiyun.com</w:t>
      </w:r>
      <w:r>
        <w:rPr>
          <w:rFonts w:hint="eastAsia"/>
          <w:color w:val="auto"/>
          <w:sz w:val="22"/>
          <w:szCs w:val="22"/>
          <w:highlight w:val="none"/>
          <w:u w:val="none"/>
        </w:rPr>
        <w:t>在线申请获取采购文件（进入“项目采购”应用，在获取采购文件菜单中选择项目，申请获取采购文件）</w:t>
      </w:r>
    </w:p>
    <w:p w14:paraId="139B8FB8">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color w:val="auto"/>
          <w:sz w:val="22"/>
          <w:szCs w:val="22"/>
          <w:highlight w:val="none"/>
          <w:u w:val="none"/>
        </w:rPr>
      </w:pPr>
      <w:r>
        <w:rPr>
          <w:rFonts w:hint="eastAsia"/>
          <w:color w:val="auto"/>
          <w:sz w:val="22"/>
          <w:szCs w:val="22"/>
          <w:highlight w:val="none"/>
          <w:u w:val="none"/>
        </w:rPr>
        <w:t>售价（元）：0 </w:t>
      </w:r>
    </w:p>
    <w:p w14:paraId="333F42C4">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textAlignment w:val="auto"/>
        <w:rPr>
          <w:rFonts w:hint="eastAsia"/>
          <w:b/>
          <w:bCs/>
          <w:color w:val="auto"/>
          <w:sz w:val="22"/>
          <w:szCs w:val="22"/>
          <w:highlight w:val="none"/>
          <w:u w:val="none"/>
        </w:rPr>
      </w:pPr>
      <w:r>
        <w:rPr>
          <w:rFonts w:hint="eastAsia"/>
          <w:b/>
          <w:bCs/>
          <w:color w:val="auto"/>
          <w:sz w:val="22"/>
          <w:szCs w:val="22"/>
          <w:highlight w:val="none"/>
          <w:u w:val="none"/>
        </w:rPr>
        <w:t>四、提交投标文件截止时间、开标时间和地点</w:t>
      </w:r>
    </w:p>
    <w:p w14:paraId="1312A22B">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color w:val="auto"/>
          <w:sz w:val="22"/>
          <w:szCs w:val="22"/>
          <w:highlight w:val="none"/>
          <w:u w:val="none"/>
        </w:rPr>
      </w:pPr>
      <w:r>
        <w:rPr>
          <w:rFonts w:hint="eastAsia"/>
          <w:color w:val="auto"/>
          <w:sz w:val="22"/>
          <w:szCs w:val="22"/>
          <w:highlight w:val="none"/>
          <w:u w:val="none"/>
        </w:rPr>
        <w:t>提交投标文件截止时间：</w:t>
      </w:r>
      <w:r>
        <w:rPr>
          <w:rFonts w:hint="eastAsia"/>
          <w:color w:val="auto"/>
          <w:sz w:val="22"/>
          <w:szCs w:val="22"/>
          <w:highlight w:val="none"/>
          <w:u w:val="none"/>
          <w:lang w:eastAsia="zh-CN"/>
        </w:rPr>
        <w:t>202</w:t>
      </w:r>
      <w:r>
        <w:rPr>
          <w:rFonts w:hint="eastAsia"/>
          <w:color w:val="auto"/>
          <w:sz w:val="22"/>
          <w:szCs w:val="22"/>
          <w:highlight w:val="none"/>
          <w:u w:val="none"/>
          <w:lang w:val="en-US" w:eastAsia="zh-CN"/>
        </w:rPr>
        <w:t>5</w:t>
      </w:r>
      <w:r>
        <w:rPr>
          <w:rFonts w:hint="eastAsia"/>
          <w:color w:val="auto"/>
          <w:sz w:val="22"/>
          <w:szCs w:val="22"/>
          <w:highlight w:val="none"/>
          <w:u w:val="none"/>
          <w:lang w:eastAsia="zh-CN"/>
        </w:rPr>
        <w:t>年</w:t>
      </w:r>
      <w:r>
        <w:rPr>
          <w:rFonts w:hint="eastAsia"/>
          <w:color w:val="auto"/>
          <w:sz w:val="22"/>
          <w:szCs w:val="22"/>
          <w:highlight w:val="none"/>
          <w:u w:val="none"/>
          <w:lang w:val="en-US" w:eastAsia="zh-CN"/>
        </w:rPr>
        <w:t>6</w:t>
      </w:r>
      <w:r>
        <w:rPr>
          <w:rFonts w:hint="eastAsia"/>
          <w:color w:val="auto"/>
          <w:sz w:val="22"/>
          <w:szCs w:val="22"/>
          <w:highlight w:val="none"/>
          <w:u w:val="none"/>
        </w:rPr>
        <w:t>月</w:t>
      </w:r>
      <w:r>
        <w:rPr>
          <w:rFonts w:hint="eastAsia"/>
          <w:color w:val="auto"/>
          <w:sz w:val="22"/>
          <w:szCs w:val="22"/>
          <w:highlight w:val="none"/>
          <w:u w:val="none"/>
          <w:lang w:val="en-US" w:eastAsia="zh-CN"/>
        </w:rPr>
        <w:t>20</w:t>
      </w:r>
      <w:r>
        <w:rPr>
          <w:rFonts w:hint="eastAsia"/>
          <w:color w:val="auto"/>
          <w:sz w:val="22"/>
          <w:szCs w:val="22"/>
          <w:highlight w:val="none"/>
          <w:u w:val="none"/>
        </w:rPr>
        <w:t>日</w:t>
      </w:r>
      <w:r>
        <w:rPr>
          <w:rFonts w:hint="eastAsia"/>
          <w:color w:val="auto"/>
          <w:sz w:val="22"/>
          <w:szCs w:val="22"/>
          <w:highlight w:val="none"/>
          <w:u w:val="none"/>
          <w:lang w:val="en-US" w:eastAsia="zh-CN"/>
        </w:rPr>
        <w:t>14</w:t>
      </w:r>
      <w:r>
        <w:rPr>
          <w:rFonts w:hint="eastAsia"/>
          <w:color w:val="auto"/>
          <w:sz w:val="22"/>
          <w:szCs w:val="22"/>
          <w:highlight w:val="none"/>
          <w:u w:val="none"/>
        </w:rPr>
        <w:t>点</w:t>
      </w:r>
      <w:r>
        <w:rPr>
          <w:rFonts w:hint="eastAsia"/>
          <w:color w:val="auto"/>
          <w:sz w:val="22"/>
          <w:szCs w:val="22"/>
          <w:highlight w:val="none"/>
          <w:u w:val="none"/>
          <w:lang w:val="en-US" w:eastAsia="zh-CN"/>
        </w:rPr>
        <w:t>30</w:t>
      </w:r>
      <w:r>
        <w:rPr>
          <w:rFonts w:hint="eastAsia"/>
          <w:color w:val="auto"/>
          <w:sz w:val="22"/>
          <w:szCs w:val="22"/>
          <w:highlight w:val="none"/>
          <w:u w:val="none"/>
        </w:rPr>
        <w:t>分（北京时间）</w:t>
      </w:r>
    </w:p>
    <w:p w14:paraId="00EE4378">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color w:val="auto"/>
          <w:sz w:val="22"/>
          <w:szCs w:val="22"/>
          <w:highlight w:val="none"/>
          <w:u w:val="none"/>
        </w:rPr>
      </w:pPr>
      <w:r>
        <w:rPr>
          <w:rFonts w:hint="eastAsia"/>
          <w:color w:val="auto"/>
          <w:sz w:val="22"/>
          <w:szCs w:val="22"/>
          <w:highlight w:val="none"/>
          <w:u w:val="none"/>
        </w:rPr>
        <w:t>投标地点（网址）：</w:t>
      </w:r>
      <w:r>
        <w:rPr>
          <w:rFonts w:hint="eastAsia"/>
          <w:color w:val="auto"/>
          <w:sz w:val="22"/>
          <w:szCs w:val="22"/>
          <w:highlight w:val="none"/>
          <w:lang w:eastAsia="zh-CN"/>
        </w:rPr>
        <w:t>温州市鹿城区南汇街道勤民路鹿城壹号18幢803室</w:t>
      </w:r>
      <w:r>
        <w:rPr>
          <w:rFonts w:hint="eastAsia" w:ascii="宋体" w:hAnsi="宋体" w:eastAsia="宋体" w:cs="宋体"/>
          <w:color w:val="auto"/>
          <w:sz w:val="22"/>
          <w:highlight w:val="none"/>
          <w:lang w:val="en-US" w:eastAsia="zh-CN"/>
        </w:rPr>
        <w:t>（</w:t>
      </w:r>
      <w:r>
        <w:rPr>
          <w:rFonts w:hint="eastAsia" w:cs="宋体"/>
          <w:color w:val="auto"/>
          <w:sz w:val="22"/>
          <w:highlight w:val="none"/>
          <w:lang w:val="en-US" w:eastAsia="zh-CN"/>
        </w:rPr>
        <w:t>乐采云平台</w:t>
      </w:r>
      <w:r>
        <w:rPr>
          <w:rFonts w:hint="eastAsia" w:ascii="宋体" w:hAnsi="宋体" w:eastAsia="宋体" w:cs="宋体"/>
          <w:color w:val="auto"/>
          <w:sz w:val="22"/>
          <w:highlight w:val="none"/>
          <w:lang w:val="en-US" w:eastAsia="zh-CN"/>
        </w:rPr>
        <w:t>：</w:t>
      </w:r>
      <w:r>
        <w:rPr>
          <w:rFonts w:hint="eastAsia"/>
          <w:color w:val="auto"/>
          <w:sz w:val="22"/>
          <w:szCs w:val="22"/>
          <w:highlight w:val="none"/>
          <w:u w:val="none"/>
          <w:lang w:eastAsia="zh-CN"/>
        </w:rPr>
        <w:t>www.lecaiyun.com</w:t>
      </w:r>
      <w:r>
        <w:rPr>
          <w:rFonts w:hint="eastAsia" w:ascii="宋体" w:hAnsi="宋体" w:eastAsia="宋体" w:cs="宋体"/>
          <w:color w:val="auto"/>
          <w:sz w:val="22"/>
          <w:highlight w:val="none"/>
          <w:lang w:val="en-US" w:eastAsia="zh-CN"/>
        </w:rPr>
        <w:t>）</w:t>
      </w:r>
      <w:r>
        <w:rPr>
          <w:rFonts w:hint="eastAsia"/>
          <w:color w:val="auto"/>
          <w:sz w:val="22"/>
          <w:szCs w:val="22"/>
          <w:highlight w:val="none"/>
          <w:u w:val="none"/>
        </w:rPr>
        <w:t> </w:t>
      </w:r>
    </w:p>
    <w:p w14:paraId="1F9E227D">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color w:val="auto"/>
          <w:sz w:val="22"/>
          <w:szCs w:val="22"/>
          <w:highlight w:val="none"/>
          <w:u w:val="none"/>
        </w:rPr>
      </w:pPr>
      <w:r>
        <w:rPr>
          <w:rFonts w:hint="eastAsia"/>
          <w:color w:val="auto"/>
          <w:sz w:val="22"/>
          <w:szCs w:val="22"/>
          <w:highlight w:val="none"/>
          <w:u w:val="none"/>
        </w:rPr>
        <w:t>开标时间：</w:t>
      </w:r>
      <w:r>
        <w:rPr>
          <w:rFonts w:hint="eastAsia"/>
          <w:color w:val="auto"/>
          <w:sz w:val="22"/>
          <w:szCs w:val="22"/>
          <w:highlight w:val="none"/>
          <w:u w:val="none"/>
          <w:lang w:eastAsia="zh-CN"/>
        </w:rPr>
        <w:t>202</w:t>
      </w:r>
      <w:r>
        <w:rPr>
          <w:rFonts w:hint="eastAsia"/>
          <w:color w:val="auto"/>
          <w:sz w:val="22"/>
          <w:szCs w:val="22"/>
          <w:highlight w:val="none"/>
          <w:u w:val="none"/>
          <w:lang w:val="en-US" w:eastAsia="zh-CN"/>
        </w:rPr>
        <w:t>5</w:t>
      </w:r>
      <w:r>
        <w:rPr>
          <w:rFonts w:hint="eastAsia"/>
          <w:color w:val="auto"/>
          <w:sz w:val="22"/>
          <w:szCs w:val="22"/>
          <w:highlight w:val="none"/>
          <w:u w:val="none"/>
          <w:lang w:eastAsia="zh-CN"/>
        </w:rPr>
        <w:t>年</w:t>
      </w:r>
      <w:r>
        <w:rPr>
          <w:rFonts w:hint="eastAsia"/>
          <w:color w:val="auto"/>
          <w:sz w:val="22"/>
          <w:szCs w:val="22"/>
          <w:highlight w:val="none"/>
          <w:u w:val="none"/>
          <w:lang w:val="en-US" w:eastAsia="zh-CN"/>
        </w:rPr>
        <w:t>6</w:t>
      </w:r>
      <w:r>
        <w:rPr>
          <w:rFonts w:hint="eastAsia"/>
          <w:color w:val="auto"/>
          <w:sz w:val="22"/>
          <w:szCs w:val="22"/>
          <w:highlight w:val="none"/>
          <w:u w:val="none"/>
        </w:rPr>
        <w:t>月</w:t>
      </w:r>
      <w:r>
        <w:rPr>
          <w:rFonts w:hint="eastAsia"/>
          <w:color w:val="auto"/>
          <w:sz w:val="22"/>
          <w:szCs w:val="22"/>
          <w:highlight w:val="none"/>
          <w:u w:val="none"/>
          <w:lang w:val="en-US" w:eastAsia="zh-CN"/>
        </w:rPr>
        <w:t>20</w:t>
      </w:r>
      <w:r>
        <w:rPr>
          <w:rFonts w:hint="eastAsia"/>
          <w:color w:val="auto"/>
          <w:sz w:val="22"/>
          <w:szCs w:val="22"/>
          <w:highlight w:val="none"/>
          <w:u w:val="none"/>
        </w:rPr>
        <w:t>日</w:t>
      </w:r>
      <w:r>
        <w:rPr>
          <w:rFonts w:hint="eastAsia"/>
          <w:color w:val="auto"/>
          <w:sz w:val="22"/>
          <w:szCs w:val="22"/>
          <w:highlight w:val="none"/>
          <w:u w:val="none"/>
          <w:lang w:val="en-US" w:eastAsia="zh-CN"/>
        </w:rPr>
        <w:t>14</w:t>
      </w:r>
      <w:r>
        <w:rPr>
          <w:rFonts w:hint="eastAsia"/>
          <w:color w:val="auto"/>
          <w:sz w:val="22"/>
          <w:szCs w:val="22"/>
          <w:highlight w:val="none"/>
          <w:u w:val="none"/>
        </w:rPr>
        <w:t>点</w:t>
      </w:r>
      <w:r>
        <w:rPr>
          <w:rFonts w:hint="eastAsia"/>
          <w:color w:val="auto"/>
          <w:sz w:val="22"/>
          <w:szCs w:val="22"/>
          <w:highlight w:val="none"/>
          <w:u w:val="none"/>
          <w:lang w:val="en-US" w:eastAsia="zh-CN"/>
        </w:rPr>
        <w:t>30</w:t>
      </w:r>
      <w:r>
        <w:rPr>
          <w:rFonts w:hint="eastAsia"/>
          <w:color w:val="auto"/>
          <w:sz w:val="22"/>
          <w:szCs w:val="22"/>
          <w:highlight w:val="none"/>
          <w:u w:val="none"/>
        </w:rPr>
        <w:t>分 </w:t>
      </w:r>
    </w:p>
    <w:p w14:paraId="10108A8B">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color w:val="auto"/>
          <w:sz w:val="22"/>
          <w:szCs w:val="22"/>
          <w:highlight w:val="none"/>
          <w:u w:val="none"/>
        </w:rPr>
      </w:pPr>
      <w:r>
        <w:rPr>
          <w:rFonts w:hint="eastAsia"/>
          <w:color w:val="auto"/>
          <w:sz w:val="22"/>
          <w:szCs w:val="22"/>
          <w:highlight w:val="none"/>
          <w:u w:val="none"/>
        </w:rPr>
        <w:t>开标地点（网址）：</w:t>
      </w:r>
      <w:r>
        <w:rPr>
          <w:rFonts w:hint="eastAsia"/>
          <w:color w:val="auto"/>
          <w:sz w:val="22"/>
          <w:szCs w:val="22"/>
          <w:highlight w:val="none"/>
          <w:lang w:eastAsia="zh-CN"/>
        </w:rPr>
        <w:t>温州市鹿城区南汇街道勤民路鹿城壹号18幢803室</w:t>
      </w:r>
      <w:r>
        <w:rPr>
          <w:rFonts w:hint="eastAsia" w:ascii="宋体" w:hAnsi="宋体" w:eastAsia="宋体" w:cs="宋体"/>
          <w:color w:val="auto"/>
          <w:sz w:val="22"/>
          <w:highlight w:val="none"/>
          <w:lang w:val="en-US" w:eastAsia="zh-CN"/>
        </w:rPr>
        <w:t>（</w:t>
      </w:r>
      <w:r>
        <w:rPr>
          <w:rFonts w:hint="eastAsia" w:cs="宋体"/>
          <w:color w:val="auto"/>
          <w:sz w:val="22"/>
          <w:highlight w:val="none"/>
          <w:lang w:val="en-US" w:eastAsia="zh-CN"/>
        </w:rPr>
        <w:t>乐采云平台</w:t>
      </w:r>
      <w:r>
        <w:rPr>
          <w:rFonts w:hint="eastAsia" w:ascii="宋体" w:hAnsi="宋体" w:eastAsia="宋体" w:cs="宋体"/>
          <w:color w:val="auto"/>
          <w:sz w:val="22"/>
          <w:highlight w:val="none"/>
          <w:lang w:val="en-US" w:eastAsia="zh-CN"/>
        </w:rPr>
        <w:t>：</w:t>
      </w:r>
      <w:r>
        <w:rPr>
          <w:rFonts w:hint="eastAsia"/>
          <w:color w:val="auto"/>
          <w:sz w:val="22"/>
          <w:szCs w:val="22"/>
          <w:highlight w:val="none"/>
          <w:u w:val="none"/>
          <w:lang w:eastAsia="zh-CN"/>
        </w:rPr>
        <w:t>www.lecaiyun.com</w:t>
      </w:r>
      <w:r>
        <w:rPr>
          <w:rFonts w:hint="eastAsia" w:ascii="宋体" w:hAnsi="宋体" w:eastAsia="宋体" w:cs="宋体"/>
          <w:color w:val="auto"/>
          <w:sz w:val="22"/>
          <w:highlight w:val="none"/>
          <w:lang w:val="en-US" w:eastAsia="zh-CN"/>
        </w:rPr>
        <w:t>）</w:t>
      </w:r>
      <w:r>
        <w:rPr>
          <w:rFonts w:hint="eastAsia"/>
          <w:color w:val="auto"/>
          <w:sz w:val="22"/>
          <w:szCs w:val="22"/>
          <w:highlight w:val="none"/>
          <w:u w:val="none"/>
        </w:rPr>
        <w:t>  </w:t>
      </w:r>
    </w:p>
    <w:p w14:paraId="4A071643">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textAlignment w:val="auto"/>
        <w:rPr>
          <w:rFonts w:hint="eastAsia"/>
          <w:color w:val="auto"/>
          <w:sz w:val="22"/>
          <w:szCs w:val="22"/>
          <w:highlight w:val="none"/>
          <w:u w:val="none"/>
        </w:rPr>
      </w:pPr>
      <w:r>
        <w:rPr>
          <w:rFonts w:hint="eastAsia"/>
          <w:b/>
          <w:bCs/>
          <w:color w:val="auto"/>
          <w:sz w:val="22"/>
          <w:szCs w:val="22"/>
          <w:highlight w:val="none"/>
          <w:u w:val="none"/>
        </w:rPr>
        <w:t>五、公告期限</w:t>
      </w:r>
      <w:r>
        <w:rPr>
          <w:rFonts w:hint="eastAsia"/>
          <w:color w:val="auto"/>
          <w:sz w:val="22"/>
          <w:szCs w:val="22"/>
          <w:highlight w:val="none"/>
          <w:u w:val="none"/>
        </w:rPr>
        <w:t> </w:t>
      </w:r>
    </w:p>
    <w:p w14:paraId="59FBC584">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color w:val="auto"/>
          <w:sz w:val="22"/>
          <w:szCs w:val="22"/>
          <w:highlight w:val="none"/>
          <w:u w:val="none"/>
        </w:rPr>
      </w:pPr>
      <w:r>
        <w:rPr>
          <w:rFonts w:hint="eastAsia"/>
          <w:color w:val="auto"/>
          <w:sz w:val="22"/>
          <w:szCs w:val="22"/>
          <w:highlight w:val="none"/>
          <w:u w:val="none"/>
        </w:rPr>
        <w:t>自本公告发布之日起5个工作日。</w:t>
      </w:r>
    </w:p>
    <w:p w14:paraId="225CF087">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textAlignment w:val="auto"/>
        <w:rPr>
          <w:rFonts w:hint="eastAsia"/>
          <w:b/>
          <w:bCs/>
          <w:color w:val="auto"/>
          <w:sz w:val="22"/>
          <w:szCs w:val="22"/>
          <w:highlight w:val="none"/>
          <w:u w:val="none"/>
        </w:rPr>
      </w:pPr>
      <w:r>
        <w:rPr>
          <w:rFonts w:hint="eastAsia"/>
          <w:b/>
          <w:bCs/>
          <w:color w:val="auto"/>
          <w:sz w:val="22"/>
          <w:szCs w:val="22"/>
          <w:highlight w:val="none"/>
          <w:u w:val="none"/>
        </w:rPr>
        <w:t>六、其他补充事宜</w:t>
      </w:r>
    </w:p>
    <w:p w14:paraId="19EBA286">
      <w:pPr>
        <w:pStyle w:val="47"/>
        <w:spacing w:before="0" w:beforeAutospacing="0" w:after="0" w:afterAutospacing="0" w:line="460" w:lineRule="exact"/>
        <w:ind w:firstLine="440" w:firstLineChars="200"/>
        <w:rPr>
          <w:rFonts w:hint="eastAsia"/>
          <w:color w:val="auto"/>
          <w:sz w:val="22"/>
          <w:highlight w:val="none"/>
          <w:lang w:val="en-US" w:eastAsia="zh-CN"/>
        </w:rPr>
      </w:pPr>
      <w:r>
        <w:rPr>
          <w:rFonts w:hint="eastAsia"/>
          <w:color w:val="auto"/>
          <w:sz w:val="22"/>
          <w:highlight w:val="none"/>
          <w:lang w:val="en-US" w:eastAsia="zh-CN"/>
        </w:rPr>
        <w:t>1、质疑投诉：供应商认为采购文件使自己的权益受到损害的，可以自获取采购文件之日或者采购文件公告期限届满之日（公告期限届满后获取采购文件的，以公告期限届满之日为准）起7个工作日内，对采购文件需求的以书面形式向采购人提出质疑，对其他内容的以书面形式向采购人和采购代理机构提出质疑。质疑供应商对采购人、采购代理机构的答复不满意或者采购人、采购代理机构未在规定的时间内作出答复的，可以在答复期满后十五个工作日内向同级采购监督管理部门投诉。</w:t>
      </w:r>
    </w:p>
    <w:p w14:paraId="4D54D75C">
      <w:pPr>
        <w:pStyle w:val="47"/>
        <w:spacing w:before="0" w:beforeAutospacing="0" w:after="0" w:afterAutospacing="0" w:line="460" w:lineRule="exact"/>
        <w:ind w:firstLine="440" w:firstLineChars="200"/>
        <w:rPr>
          <w:rFonts w:hint="eastAsia"/>
          <w:color w:val="auto"/>
          <w:sz w:val="22"/>
          <w:highlight w:val="none"/>
          <w:lang w:val="en-US" w:eastAsia="zh-CN"/>
        </w:rPr>
      </w:pPr>
      <w:r>
        <w:rPr>
          <w:rFonts w:hint="eastAsia"/>
          <w:color w:val="auto"/>
          <w:sz w:val="22"/>
          <w:highlight w:val="none"/>
          <w:lang w:val="en-US" w:eastAsia="zh-CN"/>
        </w:rPr>
        <w:t>2、电子招投标的说明：①电子招投标：本项目以数据电文形式，依托“乐采云平台（www.lecaiyun.com）”进行招投标活动，不接受纸质投标文件；②具体操作流程问题可咨询乐采云人工客服热线（咨询电话：95763）。</w:t>
      </w:r>
    </w:p>
    <w:p w14:paraId="3B8D153B">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eastAsia="宋体"/>
          <w:color w:val="auto"/>
          <w:sz w:val="22"/>
          <w:szCs w:val="22"/>
          <w:highlight w:val="none"/>
          <w:u w:val="none"/>
          <w:lang w:val="en-US" w:eastAsia="zh-CN"/>
        </w:rPr>
      </w:pPr>
      <w:r>
        <w:rPr>
          <w:rFonts w:hint="eastAsia"/>
          <w:color w:val="auto"/>
          <w:sz w:val="22"/>
          <w:highlight w:val="none"/>
          <w:lang w:val="en-US" w:eastAsia="zh-CN"/>
        </w:rPr>
        <w:t>3、招标公告附件的采购文件仅供阅览使用，未按照本公告规定的方式获取采购文件的潜在供应商提起的质疑采购组织机构将不予受理、答复。</w:t>
      </w:r>
      <w:r>
        <w:rPr>
          <w:rFonts w:hint="eastAsia" w:ascii="宋体" w:hAnsi="宋体" w:eastAsia="宋体" w:cs="宋体"/>
          <w:color w:val="auto"/>
          <w:sz w:val="22"/>
          <w:highlight w:val="none"/>
          <w:lang w:val="en-US" w:eastAsia="zh-CN"/>
        </w:rPr>
        <w:t xml:space="preserve">  </w:t>
      </w:r>
    </w:p>
    <w:p w14:paraId="5409F3E4">
      <w:pPr>
        <w:keepNext w:val="0"/>
        <w:keepLines w:val="0"/>
        <w:pageBreakBefore w:val="0"/>
        <w:tabs>
          <w:tab w:val="left" w:pos="360"/>
        </w:tabs>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rPr>
        <w:t>七、对本次招标提出询问，请按以下方式联系</w:t>
      </w:r>
      <w:r>
        <w:rPr>
          <w:rFonts w:hint="eastAsia" w:ascii="宋体" w:hAnsi="宋体" w:eastAsia="宋体" w:cs="宋体"/>
          <w:color w:val="auto"/>
          <w:sz w:val="22"/>
          <w:szCs w:val="22"/>
          <w:highlight w:val="none"/>
        </w:rPr>
        <w:t>　　　　　　　　　　　　</w:t>
      </w:r>
    </w:p>
    <w:p w14:paraId="721E9523">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color w:val="auto"/>
          <w:sz w:val="22"/>
          <w:szCs w:val="22"/>
          <w:highlight w:val="none"/>
          <w:u w:val="none"/>
        </w:rPr>
      </w:pPr>
      <w:r>
        <w:rPr>
          <w:rFonts w:hint="eastAsia"/>
          <w:color w:val="auto"/>
          <w:sz w:val="22"/>
          <w:szCs w:val="22"/>
          <w:highlight w:val="none"/>
          <w:u w:val="none"/>
        </w:rPr>
        <w:t>1.采购人信息</w:t>
      </w:r>
    </w:p>
    <w:p w14:paraId="16D49B57">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eastAsia="宋体"/>
          <w:color w:val="auto"/>
          <w:sz w:val="22"/>
          <w:szCs w:val="22"/>
          <w:highlight w:val="none"/>
          <w:u w:val="none"/>
          <w:lang w:eastAsia="zh-CN"/>
        </w:rPr>
      </w:pPr>
      <w:r>
        <w:rPr>
          <w:rFonts w:hint="eastAsia"/>
          <w:color w:val="auto"/>
          <w:sz w:val="22"/>
          <w:szCs w:val="22"/>
          <w:highlight w:val="none"/>
          <w:u w:val="none"/>
        </w:rPr>
        <w:t>名  称：</w:t>
      </w:r>
      <w:r>
        <w:rPr>
          <w:rFonts w:hint="eastAsia"/>
          <w:color w:val="auto"/>
          <w:sz w:val="22"/>
          <w:szCs w:val="22"/>
          <w:highlight w:val="none"/>
          <w:u w:val="none"/>
          <w:lang w:eastAsia="zh-CN"/>
        </w:rPr>
        <w:t>温州市中心医院</w:t>
      </w:r>
    </w:p>
    <w:p w14:paraId="107F7700">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color w:val="auto"/>
          <w:sz w:val="22"/>
          <w:szCs w:val="22"/>
          <w:highlight w:val="none"/>
          <w:u w:val="none"/>
        </w:rPr>
      </w:pPr>
      <w:r>
        <w:rPr>
          <w:rFonts w:hint="eastAsia"/>
          <w:color w:val="auto"/>
          <w:sz w:val="22"/>
          <w:szCs w:val="22"/>
          <w:highlight w:val="none"/>
          <w:u w:val="none"/>
        </w:rPr>
        <w:t>地  址：</w:t>
      </w:r>
      <w:r>
        <w:rPr>
          <w:rFonts w:hint="eastAsia"/>
          <w:color w:val="auto"/>
          <w:sz w:val="22"/>
          <w:szCs w:val="22"/>
          <w:highlight w:val="none"/>
          <w:u w:val="none"/>
          <w:lang w:eastAsia="zh-CN"/>
        </w:rPr>
        <w:t>温州市鹿城区百里东路252号</w:t>
      </w:r>
      <w:r>
        <w:rPr>
          <w:rFonts w:hint="eastAsia"/>
          <w:color w:val="auto"/>
          <w:sz w:val="22"/>
          <w:szCs w:val="22"/>
          <w:highlight w:val="none"/>
          <w:u w:val="none"/>
        </w:rPr>
        <w:t xml:space="preserve">  </w:t>
      </w:r>
    </w:p>
    <w:p w14:paraId="209AD15E">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color w:val="auto"/>
          <w:sz w:val="22"/>
          <w:szCs w:val="22"/>
          <w:highlight w:val="none"/>
          <w:u w:val="none"/>
        </w:rPr>
      </w:pPr>
      <w:r>
        <w:rPr>
          <w:rFonts w:hint="eastAsia"/>
          <w:color w:val="auto"/>
          <w:sz w:val="22"/>
          <w:szCs w:val="22"/>
          <w:highlight w:val="none"/>
          <w:u w:val="none"/>
        </w:rPr>
        <w:t>传  真：</w:t>
      </w:r>
      <w:r>
        <w:rPr>
          <w:rFonts w:hint="eastAsia"/>
          <w:color w:val="auto"/>
          <w:sz w:val="22"/>
          <w:szCs w:val="22"/>
          <w:highlight w:val="none"/>
          <w:u w:val="none"/>
          <w:lang w:val="en-US" w:eastAsia="zh-CN"/>
        </w:rPr>
        <w:t>/</w:t>
      </w:r>
      <w:r>
        <w:rPr>
          <w:rFonts w:hint="eastAsia"/>
          <w:color w:val="auto"/>
          <w:sz w:val="22"/>
          <w:szCs w:val="22"/>
          <w:highlight w:val="none"/>
          <w:u w:val="none"/>
        </w:rPr>
        <w:t>   　　</w:t>
      </w:r>
    </w:p>
    <w:p w14:paraId="5BD0F38C">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项目联系人（询问）：</w:t>
      </w:r>
      <w:r>
        <w:rPr>
          <w:rFonts w:hint="eastAsia" w:ascii="宋体" w:hAnsi="宋体" w:eastAsia="宋体" w:cs="宋体"/>
          <w:color w:val="auto"/>
          <w:sz w:val="22"/>
          <w:szCs w:val="22"/>
          <w:highlight w:val="none"/>
          <w:u w:val="none"/>
          <w:lang w:val="en-US" w:eastAsia="zh-CN"/>
        </w:rPr>
        <w:t>陈先生</w:t>
      </w:r>
      <w:r>
        <w:rPr>
          <w:rFonts w:hint="eastAsia" w:ascii="宋体" w:hAnsi="宋体" w:eastAsia="宋体" w:cs="宋体"/>
          <w:color w:val="auto"/>
          <w:sz w:val="22"/>
          <w:szCs w:val="22"/>
          <w:highlight w:val="none"/>
          <w:u w:val="none"/>
        </w:rPr>
        <w:t> </w:t>
      </w:r>
    </w:p>
    <w:p w14:paraId="79D61E74">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项目联系方式（询问）：0577-88070089</w:t>
      </w:r>
    </w:p>
    <w:p w14:paraId="72602F9B">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质疑联系人：</w:t>
      </w:r>
      <w:r>
        <w:rPr>
          <w:rFonts w:hint="eastAsia" w:ascii="宋体" w:hAnsi="宋体" w:eastAsia="宋体" w:cs="宋体"/>
          <w:color w:val="auto"/>
          <w:sz w:val="22"/>
          <w:szCs w:val="22"/>
          <w:highlight w:val="none"/>
          <w:u w:val="none"/>
          <w:lang w:val="en-US" w:eastAsia="zh-CN"/>
        </w:rPr>
        <w:t>陈先生</w:t>
      </w:r>
    </w:p>
    <w:p w14:paraId="582E60E8">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color w:val="auto"/>
          <w:sz w:val="22"/>
          <w:szCs w:val="22"/>
          <w:highlight w:val="none"/>
          <w:u w:val="none"/>
        </w:rPr>
      </w:pPr>
      <w:r>
        <w:rPr>
          <w:rFonts w:hint="eastAsia" w:ascii="宋体" w:hAnsi="宋体" w:eastAsia="宋体" w:cs="宋体"/>
          <w:color w:val="auto"/>
          <w:sz w:val="22"/>
          <w:szCs w:val="22"/>
          <w:highlight w:val="none"/>
          <w:u w:val="none"/>
        </w:rPr>
        <w:t>质疑联系方式：0577-88070089　</w:t>
      </w:r>
    </w:p>
    <w:p w14:paraId="4BBDD117">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textAlignment w:val="auto"/>
        <w:rPr>
          <w:rFonts w:hint="eastAsia"/>
          <w:color w:val="auto"/>
          <w:sz w:val="22"/>
          <w:szCs w:val="22"/>
          <w:highlight w:val="none"/>
          <w:u w:val="none"/>
        </w:rPr>
      </w:pPr>
      <w:r>
        <w:rPr>
          <w:rFonts w:hint="eastAsia"/>
          <w:color w:val="auto"/>
          <w:sz w:val="22"/>
          <w:szCs w:val="22"/>
          <w:highlight w:val="none"/>
          <w:u w:val="none"/>
        </w:rPr>
        <w:t>  2.采购代理机构信息</w:t>
      </w:r>
    </w:p>
    <w:p w14:paraId="7D2AB2A1">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color w:val="auto"/>
          <w:sz w:val="22"/>
          <w:szCs w:val="22"/>
          <w:highlight w:val="none"/>
          <w:u w:val="none"/>
        </w:rPr>
      </w:pPr>
      <w:r>
        <w:rPr>
          <w:rFonts w:hint="eastAsia"/>
          <w:color w:val="auto"/>
          <w:sz w:val="22"/>
          <w:szCs w:val="22"/>
          <w:highlight w:val="none"/>
          <w:u w:val="none"/>
        </w:rPr>
        <w:t>名  称：</w:t>
      </w:r>
      <w:r>
        <w:rPr>
          <w:rFonts w:hint="eastAsia"/>
          <w:color w:val="auto"/>
          <w:sz w:val="22"/>
          <w:szCs w:val="22"/>
          <w:highlight w:val="none"/>
          <w:u w:val="none"/>
          <w:lang w:val="en-US" w:eastAsia="zh-CN"/>
        </w:rPr>
        <w:t>温州历程招标有限公司</w:t>
      </w:r>
      <w:r>
        <w:rPr>
          <w:rFonts w:hint="eastAsia"/>
          <w:color w:val="auto"/>
          <w:sz w:val="22"/>
          <w:szCs w:val="22"/>
          <w:highlight w:val="none"/>
          <w:u w:val="none"/>
        </w:rPr>
        <w:t> </w:t>
      </w:r>
    </w:p>
    <w:p w14:paraId="1D07A253">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color w:val="auto"/>
          <w:sz w:val="22"/>
          <w:szCs w:val="22"/>
          <w:highlight w:val="none"/>
          <w:u w:val="none"/>
        </w:rPr>
      </w:pPr>
      <w:r>
        <w:rPr>
          <w:rFonts w:hint="eastAsia"/>
          <w:color w:val="auto"/>
          <w:sz w:val="22"/>
          <w:szCs w:val="22"/>
          <w:highlight w:val="none"/>
          <w:u w:val="none"/>
        </w:rPr>
        <w:t>地  址：</w:t>
      </w:r>
      <w:r>
        <w:rPr>
          <w:rFonts w:hint="eastAsia"/>
          <w:color w:val="auto"/>
          <w:sz w:val="22"/>
          <w:szCs w:val="22"/>
          <w:highlight w:val="none"/>
          <w:lang w:eastAsia="zh-CN"/>
        </w:rPr>
        <w:t>温州市鹿城区南汇街道勤民路鹿城壹号18幢803室</w:t>
      </w:r>
    </w:p>
    <w:p w14:paraId="5E4357B2">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color w:val="auto"/>
          <w:sz w:val="22"/>
          <w:szCs w:val="22"/>
          <w:highlight w:val="none"/>
          <w:u w:val="none"/>
        </w:rPr>
      </w:pPr>
      <w:r>
        <w:rPr>
          <w:rFonts w:hint="eastAsia"/>
          <w:color w:val="auto"/>
          <w:sz w:val="22"/>
          <w:szCs w:val="22"/>
          <w:highlight w:val="none"/>
          <w:u w:val="none"/>
        </w:rPr>
        <w:t xml:space="preserve">传  真：0577-89887255   </w:t>
      </w:r>
    </w:p>
    <w:p w14:paraId="10C2EEB9">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color w:val="auto"/>
          <w:sz w:val="22"/>
          <w:szCs w:val="22"/>
          <w:highlight w:val="none"/>
          <w:u w:val="none"/>
        </w:rPr>
      </w:pPr>
      <w:r>
        <w:rPr>
          <w:rFonts w:hint="eastAsia"/>
          <w:color w:val="auto"/>
          <w:sz w:val="22"/>
          <w:szCs w:val="22"/>
          <w:highlight w:val="none"/>
          <w:u w:val="none"/>
        </w:rPr>
        <w:t xml:space="preserve">项目联系人（询问）： </w:t>
      </w:r>
      <w:r>
        <w:rPr>
          <w:rFonts w:hint="eastAsia"/>
          <w:color w:val="auto"/>
          <w:sz w:val="22"/>
          <w:szCs w:val="22"/>
          <w:highlight w:val="none"/>
          <w:u w:val="none"/>
          <w:lang w:val="en-US" w:eastAsia="zh-CN"/>
        </w:rPr>
        <w:t>温碧霞</w:t>
      </w:r>
      <w:r>
        <w:rPr>
          <w:rFonts w:hint="eastAsia"/>
          <w:color w:val="auto"/>
          <w:sz w:val="22"/>
          <w:szCs w:val="22"/>
          <w:highlight w:val="none"/>
          <w:u w:val="none"/>
        </w:rPr>
        <w:t>、郑永强 </w:t>
      </w:r>
    </w:p>
    <w:p w14:paraId="1D7C62E7">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color w:val="auto"/>
          <w:sz w:val="22"/>
          <w:szCs w:val="22"/>
          <w:highlight w:val="none"/>
          <w:u w:val="none"/>
        </w:rPr>
      </w:pPr>
      <w:r>
        <w:rPr>
          <w:rFonts w:hint="eastAsia"/>
          <w:color w:val="auto"/>
          <w:sz w:val="22"/>
          <w:szCs w:val="22"/>
          <w:highlight w:val="none"/>
          <w:u w:val="none"/>
        </w:rPr>
        <w:t>项目联系方式（询问）：0577-89887322、13757727199</w:t>
      </w:r>
    </w:p>
    <w:p w14:paraId="1FEB3263">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40" w:firstLineChars="200"/>
        <w:textAlignment w:val="auto"/>
        <w:rPr>
          <w:rFonts w:hint="default"/>
          <w:color w:val="auto"/>
          <w:sz w:val="22"/>
          <w:szCs w:val="22"/>
          <w:highlight w:val="none"/>
          <w:u w:val="none"/>
          <w:lang w:val="en-US" w:eastAsia="zh-CN"/>
        </w:rPr>
      </w:pPr>
      <w:r>
        <w:rPr>
          <w:rFonts w:hint="eastAsia"/>
          <w:color w:val="auto"/>
          <w:sz w:val="22"/>
          <w:szCs w:val="22"/>
          <w:highlight w:val="none"/>
          <w:u w:val="none"/>
        </w:rPr>
        <w:t>质疑联系人：</w:t>
      </w:r>
      <w:r>
        <w:rPr>
          <w:rFonts w:hint="eastAsia"/>
          <w:color w:val="auto"/>
          <w:sz w:val="22"/>
          <w:szCs w:val="22"/>
          <w:highlight w:val="none"/>
          <w:u w:val="none"/>
          <w:lang w:val="en-US" w:eastAsia="zh-CN"/>
        </w:rPr>
        <w:t>肖忠文</w:t>
      </w:r>
    </w:p>
    <w:p w14:paraId="5F68D23F">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质疑联系方式：13757727199 </w:t>
      </w:r>
    </w:p>
    <w:p w14:paraId="5C661A05">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3.同级采购监督管理部门</w:t>
      </w:r>
    </w:p>
    <w:p w14:paraId="3B58CB38">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名   称：温州市中心医院</w:t>
      </w:r>
      <w:r>
        <w:rPr>
          <w:rFonts w:hint="eastAsia" w:ascii="宋体" w:hAnsi="宋体" w:eastAsia="宋体" w:cs="宋体"/>
          <w:color w:val="auto"/>
          <w:sz w:val="22"/>
          <w:szCs w:val="22"/>
          <w:highlight w:val="none"/>
          <w:u w:val="none"/>
          <w:lang w:val="en-US" w:eastAsia="zh-CN"/>
        </w:rPr>
        <w:t>纪检</w:t>
      </w:r>
      <w:r>
        <w:rPr>
          <w:rFonts w:hint="eastAsia" w:ascii="宋体" w:hAnsi="宋体" w:eastAsia="宋体" w:cs="宋体"/>
          <w:color w:val="auto"/>
          <w:sz w:val="22"/>
          <w:szCs w:val="22"/>
          <w:highlight w:val="none"/>
          <w:u w:val="none"/>
        </w:rPr>
        <w:t>监察室</w:t>
      </w:r>
    </w:p>
    <w:p w14:paraId="1DDB2A6D">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监督投诉电话：0577-88070209</w:t>
      </w:r>
    </w:p>
    <w:p w14:paraId="39E91549">
      <w:pPr>
        <w:pStyle w:val="47"/>
        <w:keepNext w:val="0"/>
        <w:keepLines w:val="0"/>
        <w:pageBreakBefore w:val="0"/>
        <w:kinsoku/>
        <w:wordWrap/>
        <w:overflowPunct/>
        <w:topLinePunct w:val="0"/>
        <w:autoSpaceDE/>
        <w:autoSpaceDN/>
        <w:bidi w:val="0"/>
        <w:adjustRightInd/>
        <w:snapToGrid/>
        <w:spacing w:before="0" w:beforeAutospacing="0" w:after="0" w:afterAutospacing="0" w:line="460" w:lineRule="exact"/>
        <w:textAlignment w:val="auto"/>
        <w:rPr>
          <w:rFonts w:hint="eastAsia"/>
          <w:color w:val="auto"/>
          <w:sz w:val="22"/>
          <w:szCs w:val="22"/>
          <w:highlight w:val="none"/>
          <w:u w:val="none"/>
        </w:rPr>
      </w:pPr>
      <w:r>
        <w:rPr>
          <w:rFonts w:hint="eastAsia"/>
          <w:color w:val="auto"/>
          <w:sz w:val="22"/>
          <w:szCs w:val="22"/>
          <w:highlight w:val="none"/>
          <w:u w:val="none"/>
        </w:rPr>
        <w:t>　</w:t>
      </w:r>
    </w:p>
    <w:p w14:paraId="2C589EBE">
      <w:pPr>
        <w:rPr>
          <w:rFonts w:hint="eastAsia" w:ascii="宋体" w:hAnsi="宋体" w:eastAsia="宋体" w:cs="宋体"/>
          <w:color w:val="auto"/>
          <w:highlight w:val="none"/>
        </w:rPr>
      </w:pPr>
      <w:bookmarkStart w:id="2" w:name="_Toc10401"/>
      <w:bookmarkStart w:id="3" w:name="_Toc5772"/>
      <w:r>
        <w:rPr>
          <w:rFonts w:hint="eastAsia" w:ascii="宋体" w:hAnsi="宋体" w:eastAsia="宋体" w:cs="宋体"/>
          <w:color w:val="auto"/>
          <w:highlight w:val="none"/>
        </w:rPr>
        <w:br w:type="page"/>
      </w:r>
    </w:p>
    <w:p w14:paraId="339800FF">
      <w:pPr>
        <w:pStyle w:val="3"/>
        <w:bidi w:val="0"/>
        <w:rPr>
          <w:rFonts w:hint="eastAsia" w:ascii="宋体" w:hAnsi="宋体" w:eastAsia="宋体" w:cs="宋体"/>
          <w:color w:val="auto"/>
          <w:highlight w:val="none"/>
        </w:rPr>
      </w:pPr>
      <w:r>
        <w:rPr>
          <w:rFonts w:hint="eastAsia" w:ascii="宋体" w:hAnsi="宋体" w:eastAsia="宋体" w:cs="宋体"/>
          <w:color w:val="auto"/>
          <w:highlight w:val="none"/>
        </w:rPr>
        <w:t>第一部分    投标人须知</w:t>
      </w:r>
      <w:bookmarkEnd w:id="2"/>
      <w:bookmarkEnd w:id="3"/>
    </w:p>
    <w:p w14:paraId="5F9A5173">
      <w:pPr>
        <w:keepNext/>
        <w:keepLines/>
        <w:shd w:val="clear" w:color="auto" w:fill="FFFFFF"/>
        <w:tabs>
          <w:tab w:val="left" w:pos="706"/>
        </w:tabs>
        <w:snapToGrid w:val="0"/>
        <w:spacing w:line="360" w:lineRule="auto"/>
        <w:jc w:val="center"/>
        <w:outlineLvl w:val="1"/>
        <w:rPr>
          <w:rFonts w:hint="eastAsia" w:ascii="宋体" w:hAnsi="宋体" w:eastAsia="宋体" w:cs="宋体"/>
          <w:b/>
          <w:bCs/>
          <w:color w:val="auto"/>
          <w:sz w:val="24"/>
          <w:highlight w:val="none"/>
        </w:rPr>
      </w:pPr>
      <w:bookmarkStart w:id="4" w:name="_Toc233618971"/>
      <w:bookmarkStart w:id="5" w:name="_Toc33194387"/>
      <w:bookmarkStart w:id="6" w:name="_Toc354996695"/>
      <w:bookmarkStart w:id="7" w:name="_Toc1839"/>
      <w:bookmarkStart w:id="8" w:name="_Toc6224"/>
      <w:r>
        <w:rPr>
          <w:rFonts w:hint="eastAsia" w:ascii="宋体" w:hAnsi="宋体" w:eastAsia="宋体" w:cs="宋体"/>
          <w:b/>
          <w:bCs/>
          <w:color w:val="auto"/>
          <w:sz w:val="24"/>
          <w:highlight w:val="none"/>
        </w:rPr>
        <w:t>前 附 表</w:t>
      </w:r>
      <w:bookmarkEnd w:id="4"/>
      <w:bookmarkEnd w:id="5"/>
      <w:bookmarkEnd w:id="6"/>
      <w:bookmarkEnd w:id="7"/>
      <w:bookmarkEnd w:id="8"/>
    </w:p>
    <w:tbl>
      <w:tblPr>
        <w:tblStyle w:val="52"/>
        <w:tblW w:w="1037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785"/>
        <w:gridCol w:w="9590"/>
      </w:tblGrid>
      <w:tr w14:paraId="7D4399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785" w:type="dxa"/>
            <w:tcBorders>
              <w:top w:val="single" w:color="000000" w:sz="8" w:space="0"/>
              <w:left w:val="single" w:color="000000" w:sz="8" w:space="0"/>
              <w:bottom w:val="single" w:color="000000" w:sz="2" w:space="0"/>
              <w:right w:val="single" w:color="000000" w:sz="2" w:space="0"/>
            </w:tcBorders>
            <w:vAlign w:val="center"/>
          </w:tcPr>
          <w:p w14:paraId="26ECDC24">
            <w:pPr>
              <w:snapToGrid w:val="0"/>
              <w:spacing w:line="460" w:lineRule="exact"/>
              <w:jc w:val="center"/>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rPr>
              <w:t>条款</w:t>
            </w:r>
          </w:p>
        </w:tc>
        <w:tc>
          <w:tcPr>
            <w:tcW w:w="9590" w:type="dxa"/>
            <w:tcBorders>
              <w:top w:val="single" w:color="000000" w:sz="8" w:space="0"/>
              <w:left w:val="single" w:color="000000" w:sz="2" w:space="0"/>
              <w:bottom w:val="single" w:color="000000" w:sz="2" w:space="0"/>
              <w:right w:val="single" w:color="000000" w:sz="8" w:space="0"/>
            </w:tcBorders>
            <w:vAlign w:val="center"/>
          </w:tcPr>
          <w:p w14:paraId="17ECBE88">
            <w:pPr>
              <w:snapToGrid w:val="0"/>
              <w:spacing w:line="46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内容规定</w:t>
            </w:r>
          </w:p>
        </w:tc>
      </w:tr>
      <w:tr w14:paraId="27C637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785" w:type="dxa"/>
            <w:tcBorders>
              <w:top w:val="single" w:color="000000" w:sz="2" w:space="0"/>
              <w:left w:val="single" w:color="000000" w:sz="8" w:space="0"/>
              <w:bottom w:val="single" w:color="000000" w:sz="2" w:space="0"/>
              <w:right w:val="single" w:color="000000" w:sz="2" w:space="0"/>
            </w:tcBorders>
            <w:vAlign w:val="center"/>
          </w:tcPr>
          <w:p w14:paraId="781611B0">
            <w:pPr>
              <w:snapToGrid w:val="0"/>
              <w:spacing w:line="460" w:lineRule="exact"/>
              <w:jc w:val="center"/>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1</w:t>
            </w:r>
          </w:p>
        </w:tc>
        <w:tc>
          <w:tcPr>
            <w:tcW w:w="9590" w:type="dxa"/>
            <w:tcBorders>
              <w:top w:val="single" w:color="000000" w:sz="2" w:space="0"/>
              <w:left w:val="single" w:color="000000" w:sz="2" w:space="0"/>
              <w:bottom w:val="single" w:color="000000" w:sz="2" w:space="0"/>
              <w:right w:val="single" w:color="000000" w:sz="8" w:space="0"/>
            </w:tcBorders>
          </w:tcPr>
          <w:p w14:paraId="5A51D79E">
            <w:pPr>
              <w:tabs>
                <w:tab w:val="left" w:pos="3780"/>
              </w:tabs>
              <w:snapToGrid w:val="0"/>
              <w:spacing w:line="460" w:lineRule="exact"/>
              <w:rPr>
                <w:rFonts w:hint="eastAsia" w:ascii="宋体" w:hAnsi="宋体" w:eastAsia="宋体" w:cs="宋体"/>
                <w:color w:val="auto"/>
                <w:sz w:val="22"/>
                <w:szCs w:val="22"/>
                <w:highlight w:val="none"/>
                <w:lang w:eastAsia="zh-CN"/>
              </w:rPr>
            </w:pPr>
            <w:r>
              <w:rPr>
                <w:rFonts w:hint="eastAsia" w:ascii="宋体" w:hAnsi="宋体" w:eastAsia="宋体" w:cs="宋体"/>
                <w:b/>
                <w:bCs/>
                <w:color w:val="auto"/>
                <w:sz w:val="22"/>
                <w:szCs w:val="22"/>
                <w:highlight w:val="none"/>
              </w:rPr>
              <w:t>一、项目名称</w:t>
            </w:r>
            <w:r>
              <w:rPr>
                <w:rFonts w:hint="eastAsia" w:ascii="宋体" w:hAnsi="宋体" w:eastAsia="宋体" w:cs="宋体"/>
                <w:color w:val="auto"/>
                <w:sz w:val="22"/>
                <w:szCs w:val="22"/>
                <w:highlight w:val="none"/>
              </w:rPr>
              <w:t>：</w:t>
            </w:r>
            <w:r>
              <w:rPr>
                <w:rFonts w:hint="eastAsia" w:ascii="宋体" w:hAnsi="宋体" w:cs="宋体"/>
                <w:color w:val="auto"/>
                <w:sz w:val="22"/>
                <w:szCs w:val="22"/>
                <w:highlight w:val="none"/>
                <w:lang w:eastAsia="zh-CN"/>
              </w:rPr>
              <w:t xml:space="preserve"> 食用油</w:t>
            </w:r>
          </w:p>
          <w:p w14:paraId="6EC19DB8">
            <w:pPr>
              <w:spacing w:line="460" w:lineRule="exact"/>
              <w:rPr>
                <w:rFonts w:hint="eastAsia" w:ascii="宋体" w:hAnsi="宋体" w:eastAsia="宋体" w:cs="宋体"/>
                <w:b/>
                <w:bCs/>
                <w:color w:val="auto"/>
                <w:sz w:val="22"/>
                <w:szCs w:val="22"/>
                <w:highlight w:val="none"/>
              </w:rPr>
            </w:pPr>
            <w:bookmarkStart w:id="9" w:name="_Hlt75139851"/>
            <w:bookmarkEnd w:id="9"/>
            <w:r>
              <w:rPr>
                <w:rFonts w:hint="eastAsia" w:ascii="宋体" w:hAnsi="宋体" w:eastAsia="宋体" w:cs="宋体"/>
                <w:b/>
                <w:bCs/>
                <w:color w:val="auto"/>
                <w:sz w:val="22"/>
                <w:szCs w:val="22"/>
                <w:highlight w:val="none"/>
              </w:rPr>
              <w:t>二、采购内容：</w:t>
            </w:r>
          </w:p>
          <w:tbl>
            <w:tblPr>
              <w:tblStyle w:val="52"/>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925"/>
              <w:gridCol w:w="1275"/>
              <w:gridCol w:w="1485"/>
              <w:gridCol w:w="1110"/>
              <w:gridCol w:w="1309"/>
            </w:tblGrid>
            <w:tr w14:paraId="04BA4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14:paraId="7CB4E7D2">
                  <w:pPr>
                    <w:keepNext w:val="0"/>
                    <w:keepLines w:val="0"/>
                    <w:pageBreakBefore w:val="0"/>
                    <w:widowControl w:val="0"/>
                    <w:kinsoku/>
                    <w:wordWrap/>
                    <w:overflowPunct/>
                    <w:topLinePunct w:val="0"/>
                    <w:bidi w:val="0"/>
                    <w:spacing w:line="460" w:lineRule="exact"/>
                    <w:jc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序号</w:t>
                  </w:r>
                </w:p>
              </w:tc>
              <w:tc>
                <w:tcPr>
                  <w:tcW w:w="2925" w:type="dxa"/>
                  <w:tcBorders>
                    <w:top w:val="single" w:color="auto" w:sz="4" w:space="0"/>
                    <w:left w:val="single" w:color="auto" w:sz="4" w:space="0"/>
                    <w:bottom w:val="single" w:color="auto" w:sz="4" w:space="0"/>
                    <w:right w:val="single" w:color="auto" w:sz="4" w:space="0"/>
                  </w:tcBorders>
                  <w:noWrap w:val="0"/>
                  <w:vAlign w:val="center"/>
                </w:tcPr>
                <w:p w14:paraId="6404B1BB">
                  <w:pPr>
                    <w:keepNext w:val="0"/>
                    <w:keepLines w:val="0"/>
                    <w:pageBreakBefore w:val="0"/>
                    <w:widowControl w:val="0"/>
                    <w:kinsoku/>
                    <w:wordWrap/>
                    <w:overflowPunct/>
                    <w:topLinePunct w:val="0"/>
                    <w:bidi w:val="0"/>
                    <w:spacing w:line="46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货物名称</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545F06DA">
                  <w:pPr>
                    <w:keepNext w:val="0"/>
                    <w:keepLines w:val="0"/>
                    <w:pageBreakBefore w:val="0"/>
                    <w:widowControl w:val="0"/>
                    <w:kinsoku/>
                    <w:wordWrap/>
                    <w:overflowPunct/>
                    <w:topLinePunct w:val="0"/>
                    <w:bidi w:val="0"/>
                    <w:spacing w:line="460" w:lineRule="exact"/>
                    <w:jc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加工工艺</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72EC947F">
                  <w:pPr>
                    <w:keepNext w:val="0"/>
                    <w:keepLines w:val="0"/>
                    <w:pageBreakBefore w:val="0"/>
                    <w:widowControl/>
                    <w:kinsoku/>
                    <w:wordWrap/>
                    <w:overflowPunct/>
                    <w:topLinePunct w:val="0"/>
                    <w:bidi w:val="0"/>
                    <w:snapToGrid w:val="0"/>
                    <w:spacing w:line="46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kern w:val="0"/>
                      <w:sz w:val="22"/>
                      <w:szCs w:val="22"/>
                      <w:highlight w:val="none"/>
                    </w:rPr>
                    <w:t>预算单价</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3092AF9C">
                  <w:pPr>
                    <w:keepNext w:val="0"/>
                    <w:keepLines w:val="0"/>
                    <w:pageBreakBefore w:val="0"/>
                    <w:widowControl w:val="0"/>
                    <w:kinsoku/>
                    <w:wordWrap/>
                    <w:overflowPunct/>
                    <w:topLinePunct w:val="0"/>
                    <w:bidi w:val="0"/>
                    <w:spacing w:line="46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规格</w:t>
                  </w:r>
                </w:p>
              </w:tc>
              <w:tc>
                <w:tcPr>
                  <w:tcW w:w="1309" w:type="dxa"/>
                  <w:tcBorders>
                    <w:top w:val="single" w:color="auto" w:sz="4" w:space="0"/>
                    <w:left w:val="single" w:color="auto" w:sz="4" w:space="0"/>
                    <w:bottom w:val="single" w:color="auto" w:sz="4" w:space="0"/>
                    <w:right w:val="single" w:color="auto" w:sz="4" w:space="0"/>
                  </w:tcBorders>
                  <w:noWrap w:val="0"/>
                  <w:vAlign w:val="center"/>
                </w:tcPr>
                <w:p w14:paraId="1F32A472">
                  <w:pPr>
                    <w:keepNext w:val="0"/>
                    <w:keepLines w:val="0"/>
                    <w:pageBreakBefore w:val="0"/>
                    <w:widowControl w:val="0"/>
                    <w:kinsoku/>
                    <w:wordWrap/>
                    <w:overflowPunct/>
                    <w:topLinePunct w:val="0"/>
                    <w:bidi w:val="0"/>
                    <w:spacing w:line="460" w:lineRule="exact"/>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sz w:val="22"/>
                      <w:szCs w:val="22"/>
                      <w:highlight w:val="none"/>
                    </w:rPr>
                    <w:t>交货期</w:t>
                  </w:r>
                </w:p>
              </w:tc>
            </w:tr>
            <w:tr w14:paraId="01262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40" w:type="dxa"/>
                  <w:tcBorders>
                    <w:top w:val="single" w:color="auto" w:sz="4" w:space="0"/>
                    <w:left w:val="single" w:color="auto" w:sz="4" w:space="0"/>
                  </w:tcBorders>
                  <w:noWrap w:val="0"/>
                  <w:vAlign w:val="center"/>
                </w:tcPr>
                <w:p w14:paraId="3BAD7CAC">
                  <w:pPr>
                    <w:keepNext w:val="0"/>
                    <w:keepLines w:val="0"/>
                    <w:pageBreakBefore w:val="0"/>
                    <w:widowControl w:val="0"/>
                    <w:kinsoku/>
                    <w:wordWrap/>
                    <w:overflowPunct/>
                    <w:topLinePunct w:val="0"/>
                    <w:bidi w:val="0"/>
                    <w:spacing w:line="460" w:lineRule="exact"/>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w:t>
                  </w:r>
                </w:p>
              </w:tc>
              <w:tc>
                <w:tcPr>
                  <w:tcW w:w="2925" w:type="dxa"/>
                  <w:tcBorders>
                    <w:top w:val="single" w:color="auto" w:sz="4" w:space="0"/>
                    <w:left w:val="single" w:color="auto" w:sz="4" w:space="0"/>
                  </w:tcBorders>
                  <w:noWrap w:val="0"/>
                  <w:vAlign w:val="center"/>
                </w:tcPr>
                <w:p w14:paraId="2E6CF3C2">
                  <w:pPr>
                    <w:keepNext w:val="0"/>
                    <w:keepLines w:val="0"/>
                    <w:pageBreakBefore w:val="0"/>
                    <w:widowControl w:val="0"/>
                    <w:kinsoku/>
                    <w:wordWrap/>
                    <w:overflowPunct/>
                    <w:topLinePunct w:val="0"/>
                    <w:bidi w:val="0"/>
                    <w:spacing w:line="460" w:lineRule="exact"/>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大豆油（非转基因）一级10L</w:t>
                  </w:r>
                </w:p>
              </w:tc>
              <w:tc>
                <w:tcPr>
                  <w:tcW w:w="1275" w:type="dxa"/>
                  <w:tcBorders>
                    <w:top w:val="single" w:color="auto" w:sz="4" w:space="0"/>
                    <w:left w:val="single" w:color="auto" w:sz="4" w:space="0"/>
                  </w:tcBorders>
                  <w:noWrap w:val="0"/>
                  <w:vAlign w:val="center"/>
                </w:tcPr>
                <w:p w14:paraId="0590FDA1">
                  <w:pPr>
                    <w:keepNext w:val="0"/>
                    <w:keepLines w:val="0"/>
                    <w:pageBreakBefore w:val="0"/>
                    <w:widowControl w:val="0"/>
                    <w:kinsoku/>
                    <w:wordWrap/>
                    <w:overflowPunct/>
                    <w:topLinePunct w:val="0"/>
                    <w:bidi w:val="0"/>
                    <w:spacing w:line="460" w:lineRule="exact"/>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非压榨型</w:t>
                  </w:r>
                </w:p>
              </w:tc>
              <w:tc>
                <w:tcPr>
                  <w:tcW w:w="1485" w:type="dxa"/>
                  <w:tcBorders>
                    <w:top w:val="single" w:color="auto" w:sz="4" w:space="0"/>
                    <w:left w:val="single" w:color="auto" w:sz="4" w:space="0"/>
                  </w:tcBorders>
                  <w:noWrap w:val="0"/>
                  <w:vAlign w:val="center"/>
                </w:tcPr>
                <w:p w14:paraId="3A80D46B">
                  <w:pPr>
                    <w:pStyle w:val="294"/>
                    <w:keepNext w:val="0"/>
                    <w:keepLines w:val="0"/>
                    <w:pageBreakBefore w:val="0"/>
                    <w:kinsoku/>
                    <w:wordWrap/>
                    <w:overflowPunct/>
                    <w:topLinePunct w:val="0"/>
                    <w:bidi w:val="0"/>
                    <w:snapToGrid w:val="0"/>
                    <w:spacing w:before="0" w:line="460" w:lineRule="exact"/>
                    <w:ind w:firstLine="0" w:firstLineChars="0"/>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135.00</w:t>
                  </w:r>
                  <w:r>
                    <w:rPr>
                      <w:rFonts w:hint="eastAsia" w:ascii="宋体" w:hAnsi="宋体" w:eastAsia="宋体" w:cs="宋体"/>
                      <w:color w:val="auto"/>
                      <w:sz w:val="22"/>
                      <w:szCs w:val="22"/>
                      <w:highlight w:val="none"/>
                    </w:rPr>
                    <w:t>元/</w:t>
                  </w:r>
                  <w:r>
                    <w:rPr>
                      <w:rFonts w:hint="eastAsia" w:ascii="宋体" w:hAnsi="宋体" w:eastAsia="宋体" w:cs="宋体"/>
                      <w:color w:val="auto"/>
                      <w:sz w:val="22"/>
                      <w:szCs w:val="22"/>
                      <w:highlight w:val="none"/>
                      <w:lang w:val="en-US" w:eastAsia="zh-CN"/>
                    </w:rPr>
                    <w:t>瓶</w:t>
                  </w:r>
                </w:p>
              </w:tc>
              <w:tc>
                <w:tcPr>
                  <w:tcW w:w="1110" w:type="dxa"/>
                  <w:vMerge w:val="restart"/>
                  <w:tcBorders>
                    <w:top w:val="single" w:color="auto" w:sz="4" w:space="0"/>
                    <w:left w:val="single" w:color="auto" w:sz="4" w:space="0"/>
                  </w:tcBorders>
                  <w:noWrap w:val="0"/>
                  <w:vAlign w:val="center"/>
                </w:tcPr>
                <w:p w14:paraId="4667891E">
                  <w:pPr>
                    <w:keepNext w:val="0"/>
                    <w:keepLines w:val="0"/>
                    <w:pageBreakBefore w:val="0"/>
                    <w:widowControl w:val="0"/>
                    <w:kinsoku/>
                    <w:wordWrap/>
                    <w:overflowPunct/>
                    <w:topLinePunct w:val="0"/>
                    <w:bidi w:val="0"/>
                    <w:spacing w:line="4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10L</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瓶</w:t>
                  </w:r>
                </w:p>
              </w:tc>
              <w:tc>
                <w:tcPr>
                  <w:tcW w:w="1309" w:type="dxa"/>
                  <w:vMerge w:val="restart"/>
                  <w:tcBorders>
                    <w:top w:val="single" w:color="auto" w:sz="4" w:space="0"/>
                    <w:left w:val="single" w:color="auto" w:sz="4" w:space="0"/>
                  </w:tcBorders>
                  <w:noWrap w:val="0"/>
                  <w:vAlign w:val="center"/>
                </w:tcPr>
                <w:p w14:paraId="371A80B9">
                  <w:pPr>
                    <w:keepNext w:val="0"/>
                    <w:keepLines w:val="0"/>
                    <w:pageBreakBefore w:val="0"/>
                    <w:widowControl w:val="0"/>
                    <w:kinsoku/>
                    <w:wordWrap/>
                    <w:overflowPunct/>
                    <w:topLinePunct w:val="0"/>
                    <w:bidi w:val="0"/>
                    <w:spacing w:line="4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按要求分批交货</w:t>
                  </w:r>
                </w:p>
              </w:tc>
            </w:tr>
            <w:tr w14:paraId="32AEE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40" w:type="dxa"/>
                  <w:tcBorders>
                    <w:left w:val="single" w:color="auto" w:sz="4" w:space="0"/>
                  </w:tcBorders>
                  <w:noWrap w:val="0"/>
                  <w:vAlign w:val="center"/>
                </w:tcPr>
                <w:p w14:paraId="7D2C5C28">
                  <w:pPr>
                    <w:pStyle w:val="294"/>
                    <w:keepNext w:val="0"/>
                    <w:keepLines w:val="0"/>
                    <w:pageBreakBefore w:val="0"/>
                    <w:kinsoku/>
                    <w:wordWrap/>
                    <w:overflowPunct/>
                    <w:topLinePunct w:val="0"/>
                    <w:bidi w:val="0"/>
                    <w:snapToGrid w:val="0"/>
                    <w:spacing w:before="0" w:line="460" w:lineRule="exact"/>
                    <w:ind w:firstLine="0" w:firstLineChars="0"/>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w:t>
                  </w:r>
                </w:p>
              </w:tc>
              <w:tc>
                <w:tcPr>
                  <w:tcW w:w="2925" w:type="dxa"/>
                  <w:tcBorders>
                    <w:left w:val="single" w:color="auto" w:sz="4" w:space="0"/>
                  </w:tcBorders>
                  <w:noWrap w:val="0"/>
                  <w:vAlign w:val="center"/>
                </w:tcPr>
                <w:p w14:paraId="5A0EED99">
                  <w:pPr>
                    <w:pStyle w:val="294"/>
                    <w:keepNext w:val="0"/>
                    <w:keepLines w:val="0"/>
                    <w:pageBreakBefore w:val="0"/>
                    <w:kinsoku/>
                    <w:wordWrap/>
                    <w:overflowPunct/>
                    <w:topLinePunct w:val="0"/>
                    <w:bidi w:val="0"/>
                    <w:snapToGrid w:val="0"/>
                    <w:spacing w:before="0" w:line="460" w:lineRule="exact"/>
                    <w:ind w:firstLine="0" w:firstLineChars="0"/>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菜籽油（非转基因）一级10L</w:t>
                  </w:r>
                </w:p>
              </w:tc>
              <w:tc>
                <w:tcPr>
                  <w:tcW w:w="1275" w:type="dxa"/>
                  <w:tcBorders>
                    <w:left w:val="single" w:color="auto" w:sz="4" w:space="0"/>
                  </w:tcBorders>
                  <w:noWrap w:val="0"/>
                  <w:vAlign w:val="center"/>
                </w:tcPr>
                <w:p w14:paraId="101A8EC9">
                  <w:pPr>
                    <w:pStyle w:val="294"/>
                    <w:keepNext w:val="0"/>
                    <w:keepLines w:val="0"/>
                    <w:pageBreakBefore w:val="0"/>
                    <w:kinsoku/>
                    <w:wordWrap/>
                    <w:overflowPunct/>
                    <w:topLinePunct w:val="0"/>
                    <w:bidi w:val="0"/>
                    <w:snapToGrid w:val="0"/>
                    <w:spacing w:before="0" w:line="460" w:lineRule="exact"/>
                    <w:ind w:firstLine="0" w:firstLineChars="0"/>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压榨型</w:t>
                  </w:r>
                </w:p>
              </w:tc>
              <w:tc>
                <w:tcPr>
                  <w:tcW w:w="1485" w:type="dxa"/>
                  <w:tcBorders>
                    <w:left w:val="single" w:color="auto" w:sz="4" w:space="0"/>
                  </w:tcBorders>
                  <w:noWrap w:val="0"/>
                  <w:vAlign w:val="center"/>
                </w:tcPr>
                <w:p w14:paraId="373F81C7">
                  <w:pPr>
                    <w:pStyle w:val="294"/>
                    <w:keepNext w:val="0"/>
                    <w:keepLines w:val="0"/>
                    <w:pageBreakBefore w:val="0"/>
                    <w:kinsoku/>
                    <w:wordWrap/>
                    <w:overflowPunct/>
                    <w:topLinePunct w:val="0"/>
                    <w:bidi w:val="0"/>
                    <w:snapToGrid w:val="0"/>
                    <w:spacing w:before="0" w:line="460" w:lineRule="exact"/>
                    <w:ind w:firstLine="0" w:firstLineChars="0"/>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150.00元/瓶</w:t>
                  </w:r>
                </w:p>
              </w:tc>
              <w:tc>
                <w:tcPr>
                  <w:tcW w:w="1110" w:type="dxa"/>
                  <w:vMerge w:val="continue"/>
                  <w:tcBorders>
                    <w:left w:val="single" w:color="auto" w:sz="4" w:space="0"/>
                  </w:tcBorders>
                  <w:noWrap w:val="0"/>
                  <w:vAlign w:val="center"/>
                </w:tcPr>
                <w:p w14:paraId="1F31A621">
                  <w:pPr>
                    <w:pStyle w:val="294"/>
                    <w:keepNext w:val="0"/>
                    <w:keepLines w:val="0"/>
                    <w:pageBreakBefore w:val="0"/>
                    <w:kinsoku/>
                    <w:wordWrap/>
                    <w:overflowPunct/>
                    <w:topLinePunct w:val="0"/>
                    <w:bidi w:val="0"/>
                    <w:snapToGrid w:val="0"/>
                    <w:spacing w:before="0" w:line="460" w:lineRule="exact"/>
                    <w:ind w:firstLine="0" w:firstLineChars="0"/>
                    <w:jc w:val="center"/>
                    <w:rPr>
                      <w:rFonts w:hint="eastAsia" w:ascii="宋体" w:hAnsi="宋体" w:eastAsia="宋体" w:cs="宋体"/>
                      <w:color w:val="auto"/>
                      <w:sz w:val="22"/>
                      <w:szCs w:val="22"/>
                      <w:highlight w:val="none"/>
                      <w:lang w:val="en-US" w:eastAsia="zh-CN"/>
                    </w:rPr>
                  </w:pPr>
                </w:p>
              </w:tc>
              <w:tc>
                <w:tcPr>
                  <w:tcW w:w="1309" w:type="dxa"/>
                  <w:vMerge w:val="continue"/>
                  <w:tcBorders>
                    <w:left w:val="single" w:color="auto" w:sz="4" w:space="0"/>
                  </w:tcBorders>
                  <w:noWrap w:val="0"/>
                  <w:vAlign w:val="center"/>
                </w:tcPr>
                <w:p w14:paraId="33C2BC5B">
                  <w:pPr>
                    <w:pStyle w:val="294"/>
                    <w:keepNext w:val="0"/>
                    <w:keepLines w:val="0"/>
                    <w:pageBreakBefore w:val="0"/>
                    <w:kinsoku/>
                    <w:wordWrap/>
                    <w:overflowPunct/>
                    <w:topLinePunct w:val="0"/>
                    <w:bidi w:val="0"/>
                    <w:snapToGrid w:val="0"/>
                    <w:spacing w:before="0" w:line="460" w:lineRule="exact"/>
                    <w:ind w:firstLine="0" w:firstLineChars="0"/>
                    <w:jc w:val="center"/>
                    <w:rPr>
                      <w:rFonts w:hint="eastAsia" w:ascii="宋体" w:hAnsi="宋体" w:eastAsia="宋体" w:cs="宋体"/>
                      <w:color w:val="auto"/>
                      <w:sz w:val="22"/>
                      <w:szCs w:val="22"/>
                      <w:highlight w:val="none"/>
                      <w:lang w:val="en-US" w:eastAsia="zh-CN"/>
                    </w:rPr>
                  </w:pPr>
                </w:p>
              </w:tc>
            </w:tr>
            <w:tr w14:paraId="305B4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944" w:type="dxa"/>
                  <w:gridSpan w:val="6"/>
                  <w:tcBorders>
                    <w:left w:val="single" w:color="auto" w:sz="4" w:space="0"/>
                  </w:tcBorders>
                  <w:noWrap w:val="0"/>
                  <w:vAlign w:val="center"/>
                </w:tcPr>
                <w:p w14:paraId="2364FE16">
                  <w:pPr>
                    <w:pStyle w:val="294"/>
                    <w:keepNext w:val="0"/>
                    <w:keepLines w:val="0"/>
                    <w:pageBreakBefore w:val="0"/>
                    <w:kinsoku/>
                    <w:wordWrap/>
                    <w:overflowPunct/>
                    <w:topLinePunct w:val="0"/>
                    <w:bidi w:val="0"/>
                    <w:snapToGrid w:val="0"/>
                    <w:spacing w:before="0" w:line="460" w:lineRule="exact"/>
                    <w:ind w:firstLine="0" w:firstLineChars="0"/>
                    <w:jc w:val="both"/>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lang w:val="en-US" w:eastAsia="zh-CN"/>
                    </w:rPr>
                    <w:t>项目总预算金额：930000</w:t>
                  </w:r>
                  <w:r>
                    <w:rPr>
                      <w:rFonts w:hint="eastAsia" w:ascii="宋体" w:hAnsi="宋体" w:eastAsia="宋体" w:cs="宋体"/>
                      <w:color w:val="auto"/>
                      <w:sz w:val="22"/>
                      <w:szCs w:val="22"/>
                      <w:highlight w:val="none"/>
                      <w:u w:val="none"/>
                      <w:lang w:val="en-US" w:eastAsia="zh-CN"/>
                    </w:rPr>
                    <w:t>元；</w:t>
                  </w:r>
                </w:p>
                <w:p w14:paraId="492E1A14">
                  <w:pPr>
                    <w:pStyle w:val="294"/>
                    <w:keepNext w:val="0"/>
                    <w:keepLines w:val="0"/>
                    <w:pageBreakBefore w:val="0"/>
                    <w:kinsoku/>
                    <w:wordWrap/>
                    <w:overflowPunct/>
                    <w:topLinePunct w:val="0"/>
                    <w:bidi w:val="0"/>
                    <w:snapToGrid w:val="0"/>
                    <w:spacing w:before="0" w:line="460" w:lineRule="exact"/>
                    <w:ind w:firstLine="0" w:firstLineChars="0"/>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eastAsia="zh-CN"/>
                    </w:rPr>
                    <w:t>温州市中心医院（百里坊院区）</w:t>
                  </w:r>
                  <w:r>
                    <w:rPr>
                      <w:rFonts w:hint="eastAsia" w:ascii="宋体" w:hAnsi="宋体" w:eastAsia="宋体" w:cs="宋体"/>
                      <w:color w:val="auto"/>
                      <w:sz w:val="22"/>
                      <w:szCs w:val="22"/>
                      <w:highlight w:val="none"/>
                      <w:lang w:val="en-US" w:eastAsia="zh-CN"/>
                    </w:rPr>
                    <w:t>预算金额</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600000元；</w:t>
                  </w:r>
                </w:p>
                <w:p w14:paraId="13A04CE5">
                  <w:pPr>
                    <w:pStyle w:val="294"/>
                    <w:keepNext w:val="0"/>
                    <w:keepLines w:val="0"/>
                    <w:pageBreakBefore w:val="0"/>
                    <w:kinsoku/>
                    <w:wordWrap/>
                    <w:overflowPunct/>
                    <w:topLinePunct w:val="0"/>
                    <w:bidi w:val="0"/>
                    <w:snapToGrid w:val="0"/>
                    <w:spacing w:before="0" w:line="460" w:lineRule="exact"/>
                    <w:ind w:firstLine="0" w:firstLineChars="0"/>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eastAsia="zh-CN"/>
                    </w:rPr>
                    <w:t>温州市中心医院（双屿院区）</w:t>
                  </w:r>
                  <w:r>
                    <w:rPr>
                      <w:rFonts w:hint="eastAsia" w:ascii="宋体" w:hAnsi="宋体" w:eastAsia="宋体" w:cs="宋体"/>
                      <w:color w:val="auto"/>
                      <w:sz w:val="22"/>
                      <w:szCs w:val="22"/>
                      <w:highlight w:val="none"/>
                      <w:lang w:val="en-US" w:eastAsia="zh-CN"/>
                    </w:rPr>
                    <w:t>预算金额</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210000元；</w:t>
                  </w:r>
                </w:p>
                <w:p w14:paraId="273E886F">
                  <w:pPr>
                    <w:pStyle w:val="294"/>
                    <w:keepNext w:val="0"/>
                    <w:keepLines w:val="0"/>
                    <w:pageBreakBefore w:val="0"/>
                    <w:kinsoku/>
                    <w:wordWrap/>
                    <w:overflowPunct/>
                    <w:topLinePunct w:val="0"/>
                    <w:bidi w:val="0"/>
                    <w:snapToGrid w:val="0"/>
                    <w:spacing w:before="0" w:line="460" w:lineRule="exact"/>
                    <w:ind w:firstLine="0" w:firstLineChars="0"/>
                    <w:jc w:val="left"/>
                    <w:rPr>
                      <w:rFonts w:hint="eastAsia"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温州市第六人民医院</w:t>
                  </w:r>
                  <w:r>
                    <w:rPr>
                      <w:rFonts w:hint="eastAsia" w:ascii="宋体" w:hAnsi="宋体" w:eastAsia="宋体" w:cs="宋体"/>
                      <w:color w:val="auto"/>
                      <w:sz w:val="22"/>
                      <w:szCs w:val="22"/>
                      <w:highlight w:val="none"/>
                      <w:lang w:val="en-US" w:eastAsia="zh-CN"/>
                    </w:rPr>
                    <w:t>预算金额</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120000元。</w:t>
                  </w:r>
                </w:p>
              </w:tc>
            </w:tr>
          </w:tbl>
          <w:p w14:paraId="7433593B">
            <w:pPr>
              <w:tabs>
                <w:tab w:val="left" w:pos="360"/>
              </w:tabs>
              <w:spacing w:line="460" w:lineRule="exact"/>
              <w:rPr>
                <w:rFonts w:hint="eastAsia" w:ascii="宋体" w:hAnsi="宋体" w:eastAsia="宋体" w:cs="宋体"/>
                <w:color w:val="auto"/>
                <w:highlight w:val="none"/>
              </w:rPr>
            </w:pPr>
            <w:r>
              <w:rPr>
                <w:rFonts w:hint="eastAsia" w:ascii="宋体" w:hAnsi="宋体" w:eastAsia="宋体" w:cs="宋体"/>
                <w:color w:val="auto"/>
                <w:sz w:val="22"/>
                <w:szCs w:val="22"/>
                <w:highlight w:val="none"/>
              </w:rPr>
              <w:t>▲</w:t>
            </w:r>
            <w:r>
              <w:rPr>
                <w:rFonts w:hint="eastAsia" w:ascii="宋体" w:hAnsi="宋体" w:eastAsia="宋体" w:cs="宋体"/>
                <w:b/>
                <w:color w:val="auto"/>
                <w:sz w:val="22"/>
                <w:szCs w:val="22"/>
                <w:highlight w:val="none"/>
              </w:rPr>
              <w:t>如投标人报价超过预算金额</w:t>
            </w:r>
            <w:r>
              <w:rPr>
                <w:rFonts w:hint="eastAsia" w:ascii="宋体" w:hAnsi="宋体" w:cs="宋体"/>
                <w:b/>
                <w:color w:val="auto"/>
                <w:sz w:val="22"/>
                <w:szCs w:val="22"/>
                <w:highlight w:val="none"/>
                <w:lang w:val="en-US" w:eastAsia="zh-CN"/>
              </w:rPr>
              <w:t>或预算单价</w:t>
            </w:r>
            <w:r>
              <w:rPr>
                <w:rFonts w:hint="eastAsia" w:ascii="宋体" w:hAnsi="宋体" w:eastAsia="宋体" w:cs="宋体"/>
                <w:b/>
                <w:color w:val="auto"/>
                <w:sz w:val="22"/>
                <w:szCs w:val="22"/>
                <w:highlight w:val="none"/>
              </w:rPr>
              <w:t>按无效标处理。</w:t>
            </w:r>
          </w:p>
        </w:tc>
      </w:tr>
      <w:tr w14:paraId="51C84C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785" w:type="dxa"/>
            <w:tcBorders>
              <w:top w:val="single" w:color="000000" w:sz="2" w:space="0"/>
              <w:left w:val="single" w:color="000000" w:sz="8" w:space="0"/>
              <w:bottom w:val="single" w:color="000000" w:sz="2" w:space="0"/>
              <w:right w:val="single" w:color="000000" w:sz="2" w:space="0"/>
            </w:tcBorders>
            <w:vAlign w:val="center"/>
          </w:tcPr>
          <w:p w14:paraId="25EC7B20">
            <w:pPr>
              <w:snapToGrid w:val="0"/>
              <w:spacing w:line="460" w:lineRule="exact"/>
              <w:jc w:val="center"/>
              <w:rPr>
                <w:rFonts w:hint="eastAsia" w:ascii="宋体" w:hAnsi="宋体" w:eastAsia="宋体" w:cs="宋体"/>
                <w:b w:val="0"/>
                <w:bCs w:val="0"/>
                <w:color w:val="auto"/>
                <w:sz w:val="22"/>
                <w:szCs w:val="22"/>
                <w:highlight w:val="none"/>
                <w:lang w:val="en-US" w:eastAsia="zh-CN"/>
              </w:rPr>
            </w:pPr>
            <w:r>
              <w:rPr>
                <w:rFonts w:hint="eastAsia" w:ascii="宋体" w:hAnsi="宋体" w:cs="宋体"/>
                <w:b w:val="0"/>
                <w:bCs w:val="0"/>
                <w:color w:val="auto"/>
                <w:sz w:val="22"/>
                <w:szCs w:val="22"/>
                <w:highlight w:val="none"/>
                <w:lang w:val="en-US" w:eastAsia="zh-CN"/>
              </w:rPr>
              <w:t>2</w:t>
            </w:r>
          </w:p>
        </w:tc>
        <w:tc>
          <w:tcPr>
            <w:tcW w:w="9590" w:type="dxa"/>
            <w:tcBorders>
              <w:top w:val="single" w:color="000000" w:sz="2" w:space="0"/>
              <w:left w:val="single" w:color="000000" w:sz="2" w:space="0"/>
              <w:bottom w:val="single" w:color="000000" w:sz="2" w:space="0"/>
              <w:right w:val="single" w:color="000000" w:sz="8" w:space="0"/>
            </w:tcBorders>
            <w:vAlign w:val="center"/>
          </w:tcPr>
          <w:p w14:paraId="6B1D1E0F">
            <w:pPr>
              <w:snapToGrid w:val="0"/>
              <w:spacing w:line="460" w:lineRule="exact"/>
              <w:rPr>
                <w:rFonts w:hint="default" w:ascii="宋体" w:hAnsi="宋体" w:eastAsia="宋体" w:cs="宋体"/>
                <w:b/>
                <w:bCs/>
                <w:color w:val="auto"/>
                <w:sz w:val="22"/>
                <w:szCs w:val="22"/>
                <w:highlight w:val="none"/>
                <w:lang w:val="en-US" w:eastAsia="zh-CN"/>
              </w:rPr>
            </w:pPr>
            <w:r>
              <w:rPr>
                <w:rFonts w:hint="eastAsia" w:ascii="宋体" w:hAnsi="宋体" w:cs="宋体"/>
                <w:b/>
                <w:bCs/>
                <w:color w:val="auto"/>
                <w:sz w:val="22"/>
                <w:szCs w:val="22"/>
                <w:highlight w:val="none"/>
                <w:lang w:val="en-US" w:eastAsia="zh-CN"/>
              </w:rPr>
              <w:t>资金</w:t>
            </w:r>
            <w:r>
              <w:rPr>
                <w:rFonts w:hint="eastAsia" w:ascii="宋体" w:hAnsi="宋体" w:cs="宋体"/>
                <w:b/>
                <w:bCs/>
                <w:color w:val="auto"/>
                <w:sz w:val="22"/>
                <w:szCs w:val="22"/>
                <w:highlight w:val="none"/>
                <w:shd w:val="clear"/>
                <w:lang w:val="en-US" w:eastAsia="zh-CN"/>
              </w:rPr>
              <w:t>来源：</w:t>
            </w:r>
            <w:r>
              <w:rPr>
                <w:rFonts w:hint="eastAsia" w:ascii="仿宋" w:hAnsi="仿宋" w:eastAsia="仿宋" w:cs="仿宋"/>
                <w:b/>
                <w:bCs w:val="0"/>
                <w:color w:val="auto"/>
                <w:kern w:val="0"/>
                <w:sz w:val="22"/>
                <w:szCs w:val="22"/>
                <w:highlight w:val="none"/>
                <w:shd w:val="clear"/>
              </w:rPr>
              <w:sym w:font="Wingdings" w:char="00FE"/>
            </w:r>
            <w:r>
              <w:rPr>
                <w:rFonts w:hint="eastAsia" w:ascii="仿宋" w:hAnsi="仿宋" w:eastAsia="仿宋" w:cs="仿宋"/>
                <w:b/>
                <w:bCs w:val="0"/>
                <w:color w:val="auto"/>
                <w:kern w:val="0"/>
                <w:sz w:val="22"/>
                <w:szCs w:val="22"/>
                <w:highlight w:val="none"/>
                <w:shd w:val="clear"/>
              </w:rPr>
              <w:t xml:space="preserve"> </w:t>
            </w:r>
            <w:r>
              <w:rPr>
                <w:rFonts w:hint="eastAsia" w:ascii="宋体" w:hAnsi="宋体" w:cs="宋体"/>
                <w:b/>
                <w:bCs w:val="0"/>
                <w:color w:val="auto"/>
                <w:sz w:val="22"/>
                <w:szCs w:val="22"/>
                <w:highlight w:val="none"/>
                <w:shd w:val="clear"/>
                <w:lang w:val="en-US" w:eastAsia="zh-CN"/>
              </w:rPr>
              <w:t xml:space="preserve">自筹资金 </w:t>
            </w:r>
            <w:r>
              <w:rPr>
                <w:rFonts w:hint="eastAsia" w:ascii="仿宋" w:hAnsi="仿宋" w:eastAsia="仿宋" w:cs="仿宋"/>
                <w:b/>
                <w:bCs w:val="0"/>
                <w:color w:val="auto"/>
                <w:kern w:val="0"/>
                <w:sz w:val="22"/>
                <w:szCs w:val="22"/>
                <w:highlight w:val="none"/>
                <w:shd w:val="clear"/>
              </w:rPr>
              <w:sym w:font="Wingdings" w:char="00A8"/>
            </w:r>
            <w:r>
              <w:rPr>
                <w:rFonts w:hint="eastAsia" w:ascii="仿宋" w:hAnsi="仿宋" w:eastAsia="仿宋" w:cs="仿宋"/>
                <w:b/>
                <w:bCs w:val="0"/>
                <w:color w:val="auto"/>
                <w:kern w:val="0"/>
                <w:sz w:val="22"/>
                <w:szCs w:val="22"/>
                <w:highlight w:val="none"/>
                <w:shd w:val="clear"/>
              </w:rPr>
              <w:t xml:space="preserve"> </w:t>
            </w:r>
            <w:r>
              <w:rPr>
                <w:rFonts w:hint="eastAsia" w:ascii="宋体" w:hAnsi="宋体" w:cs="宋体"/>
                <w:b/>
                <w:bCs w:val="0"/>
                <w:color w:val="auto"/>
                <w:sz w:val="22"/>
                <w:szCs w:val="22"/>
                <w:highlight w:val="none"/>
                <w:shd w:val="clear"/>
                <w:lang w:val="en-US" w:eastAsia="zh-CN"/>
              </w:rPr>
              <w:t>财政资金</w:t>
            </w:r>
          </w:p>
        </w:tc>
      </w:tr>
      <w:tr w14:paraId="0539D6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785" w:type="dxa"/>
            <w:tcBorders>
              <w:top w:val="single" w:color="000000" w:sz="2" w:space="0"/>
              <w:left w:val="single" w:color="000000" w:sz="8" w:space="0"/>
              <w:bottom w:val="single" w:color="000000" w:sz="2" w:space="0"/>
              <w:right w:val="single" w:color="000000" w:sz="2" w:space="0"/>
            </w:tcBorders>
            <w:vAlign w:val="center"/>
          </w:tcPr>
          <w:p w14:paraId="1B01C4F3">
            <w:pPr>
              <w:snapToGrid w:val="0"/>
              <w:spacing w:line="460" w:lineRule="exact"/>
              <w:jc w:val="center"/>
              <w:rPr>
                <w:rFonts w:hint="eastAsia" w:ascii="宋体" w:hAnsi="宋体" w:eastAsia="宋体" w:cs="宋体"/>
                <w:b w:val="0"/>
                <w:bCs w:val="0"/>
                <w:color w:val="auto"/>
                <w:sz w:val="22"/>
                <w:szCs w:val="22"/>
                <w:highlight w:val="none"/>
                <w:lang w:eastAsia="zh-CN"/>
              </w:rPr>
            </w:pPr>
            <w:r>
              <w:rPr>
                <w:rFonts w:hint="eastAsia" w:ascii="宋体" w:hAnsi="宋体" w:cs="宋体"/>
                <w:b w:val="0"/>
                <w:bCs w:val="0"/>
                <w:color w:val="auto"/>
                <w:sz w:val="22"/>
                <w:szCs w:val="22"/>
                <w:highlight w:val="none"/>
                <w:lang w:val="en-US" w:eastAsia="zh-CN"/>
              </w:rPr>
              <w:t>3</w:t>
            </w:r>
          </w:p>
        </w:tc>
        <w:tc>
          <w:tcPr>
            <w:tcW w:w="9590" w:type="dxa"/>
            <w:tcBorders>
              <w:top w:val="single" w:color="000000" w:sz="2" w:space="0"/>
              <w:left w:val="single" w:color="000000" w:sz="2" w:space="0"/>
              <w:bottom w:val="single" w:color="000000" w:sz="2" w:space="0"/>
              <w:right w:val="single" w:color="000000" w:sz="8" w:space="0"/>
            </w:tcBorders>
            <w:vAlign w:val="center"/>
          </w:tcPr>
          <w:p w14:paraId="1ADA0085">
            <w:pPr>
              <w:snapToGrid w:val="0"/>
              <w:spacing w:line="460" w:lineRule="exact"/>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lang w:val="zh-CN"/>
              </w:rPr>
              <w:t>投标</w:t>
            </w:r>
            <w:r>
              <w:rPr>
                <w:rFonts w:hint="eastAsia" w:ascii="宋体" w:hAnsi="宋体" w:eastAsia="宋体" w:cs="宋体"/>
                <w:b/>
                <w:bCs/>
                <w:color w:val="auto"/>
                <w:sz w:val="22"/>
                <w:szCs w:val="22"/>
                <w:highlight w:val="none"/>
              </w:rPr>
              <w:t>有效期：</w:t>
            </w:r>
            <w:r>
              <w:rPr>
                <w:rFonts w:hint="eastAsia" w:ascii="宋体" w:hAnsi="宋体" w:eastAsia="宋体" w:cs="宋体"/>
                <w:color w:val="auto"/>
                <w:sz w:val="22"/>
                <w:szCs w:val="22"/>
                <w:highlight w:val="none"/>
              </w:rPr>
              <w:t>自投标截止日起</w:t>
            </w:r>
            <w:r>
              <w:rPr>
                <w:rFonts w:hint="eastAsia" w:ascii="宋体" w:hAnsi="宋体" w:cs="宋体"/>
                <w:color w:val="auto"/>
                <w:sz w:val="22"/>
                <w:szCs w:val="22"/>
                <w:highlight w:val="none"/>
                <w:lang w:val="en-US" w:eastAsia="zh-CN"/>
              </w:rPr>
              <w:t>90</w:t>
            </w:r>
            <w:r>
              <w:rPr>
                <w:rFonts w:hint="eastAsia" w:ascii="宋体" w:hAnsi="宋体" w:eastAsia="宋体" w:cs="宋体"/>
                <w:color w:val="auto"/>
                <w:sz w:val="22"/>
                <w:szCs w:val="22"/>
                <w:highlight w:val="none"/>
              </w:rPr>
              <w:t>天。</w:t>
            </w:r>
          </w:p>
        </w:tc>
      </w:tr>
      <w:tr w14:paraId="5B935E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785" w:type="dxa"/>
            <w:tcBorders>
              <w:top w:val="single" w:color="000000" w:sz="2" w:space="0"/>
              <w:left w:val="single" w:color="000000" w:sz="8" w:space="0"/>
              <w:bottom w:val="single" w:color="000000" w:sz="2" w:space="0"/>
              <w:right w:val="single" w:color="000000" w:sz="2" w:space="0"/>
            </w:tcBorders>
            <w:vAlign w:val="center"/>
          </w:tcPr>
          <w:p w14:paraId="71BF222E">
            <w:pPr>
              <w:snapToGrid w:val="0"/>
              <w:spacing w:line="460" w:lineRule="exact"/>
              <w:jc w:val="center"/>
              <w:rPr>
                <w:rFonts w:hint="eastAsia" w:ascii="宋体" w:hAnsi="宋体" w:eastAsia="宋体" w:cs="宋体"/>
                <w:b w:val="0"/>
                <w:bCs w:val="0"/>
                <w:color w:val="auto"/>
                <w:sz w:val="22"/>
                <w:szCs w:val="22"/>
                <w:highlight w:val="none"/>
                <w:lang w:eastAsia="zh-CN"/>
              </w:rPr>
            </w:pPr>
            <w:r>
              <w:rPr>
                <w:rFonts w:hint="eastAsia" w:ascii="宋体" w:hAnsi="宋体" w:cs="宋体"/>
                <w:b w:val="0"/>
                <w:bCs w:val="0"/>
                <w:color w:val="auto"/>
                <w:sz w:val="22"/>
                <w:szCs w:val="22"/>
                <w:highlight w:val="none"/>
                <w:lang w:val="en-US" w:eastAsia="zh-CN"/>
              </w:rPr>
              <w:t>4</w:t>
            </w:r>
          </w:p>
        </w:tc>
        <w:tc>
          <w:tcPr>
            <w:tcW w:w="9590" w:type="dxa"/>
            <w:tcBorders>
              <w:top w:val="single" w:color="000000" w:sz="2" w:space="0"/>
              <w:left w:val="single" w:color="000000" w:sz="2" w:space="0"/>
              <w:bottom w:val="single" w:color="000000" w:sz="2" w:space="0"/>
              <w:right w:val="single" w:color="000000" w:sz="8" w:space="0"/>
            </w:tcBorders>
            <w:vAlign w:val="center"/>
          </w:tcPr>
          <w:p w14:paraId="21F985BE">
            <w:pPr>
              <w:snapToGrid w:val="0"/>
              <w:spacing w:line="460" w:lineRule="exact"/>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rPr>
              <w:t>投标保证金数额：无</w:t>
            </w:r>
            <w:r>
              <w:rPr>
                <w:rFonts w:hint="eastAsia" w:ascii="宋体" w:hAnsi="宋体" w:eastAsia="宋体" w:cs="宋体"/>
                <w:color w:val="auto"/>
                <w:sz w:val="22"/>
                <w:szCs w:val="22"/>
                <w:highlight w:val="none"/>
              </w:rPr>
              <w:t>。</w:t>
            </w:r>
          </w:p>
        </w:tc>
      </w:tr>
      <w:tr w14:paraId="778211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785" w:type="dxa"/>
            <w:tcBorders>
              <w:top w:val="single" w:color="000000" w:sz="2" w:space="0"/>
              <w:left w:val="single" w:color="000000" w:sz="8" w:space="0"/>
              <w:bottom w:val="single" w:color="000000" w:sz="2" w:space="0"/>
              <w:right w:val="single" w:color="000000" w:sz="2" w:space="0"/>
            </w:tcBorders>
            <w:vAlign w:val="center"/>
          </w:tcPr>
          <w:p w14:paraId="63A4CEDB">
            <w:pPr>
              <w:snapToGrid w:val="0"/>
              <w:spacing w:line="460" w:lineRule="exact"/>
              <w:jc w:val="center"/>
              <w:rPr>
                <w:rFonts w:hint="eastAsia" w:ascii="宋体" w:hAnsi="宋体" w:eastAsia="宋体" w:cs="宋体"/>
                <w:b w:val="0"/>
                <w:bCs w:val="0"/>
                <w:color w:val="auto"/>
                <w:sz w:val="22"/>
                <w:szCs w:val="22"/>
                <w:highlight w:val="none"/>
                <w:lang w:eastAsia="zh-CN"/>
              </w:rPr>
            </w:pPr>
            <w:r>
              <w:rPr>
                <w:rFonts w:hint="eastAsia" w:ascii="宋体" w:hAnsi="宋体" w:cs="宋体"/>
                <w:b w:val="0"/>
                <w:bCs w:val="0"/>
                <w:color w:val="auto"/>
                <w:sz w:val="22"/>
                <w:szCs w:val="22"/>
                <w:highlight w:val="none"/>
                <w:lang w:val="en-US" w:eastAsia="zh-CN"/>
              </w:rPr>
              <w:t>5</w:t>
            </w:r>
          </w:p>
        </w:tc>
        <w:tc>
          <w:tcPr>
            <w:tcW w:w="9590" w:type="dxa"/>
            <w:tcBorders>
              <w:top w:val="single" w:color="000000" w:sz="2" w:space="0"/>
              <w:left w:val="single" w:color="000000" w:sz="2" w:space="0"/>
              <w:bottom w:val="single" w:color="000000" w:sz="2" w:space="0"/>
              <w:right w:val="single" w:color="000000" w:sz="8" w:space="0"/>
            </w:tcBorders>
            <w:vAlign w:val="center"/>
          </w:tcPr>
          <w:p w14:paraId="31A20570">
            <w:pPr>
              <w:spacing w:line="460" w:lineRule="exact"/>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rPr>
              <w:t>招标服务费：</w:t>
            </w:r>
            <w:r>
              <w:rPr>
                <w:rFonts w:hint="eastAsia" w:ascii="宋体" w:hAnsi="宋体" w:cs="宋体"/>
                <w:b/>
                <w:bCs/>
                <w:color w:val="auto"/>
                <w:sz w:val="22"/>
                <w:szCs w:val="22"/>
                <w:highlight w:val="none"/>
                <w:lang w:val="en-US" w:eastAsia="zh-CN"/>
              </w:rPr>
              <w:t>各入围供应商人民币叁仟伍佰元整（¥：3500.00）</w:t>
            </w:r>
            <w:r>
              <w:rPr>
                <w:rFonts w:hint="eastAsia" w:ascii="宋体" w:hAnsi="宋体" w:eastAsia="宋体" w:cs="宋体"/>
                <w:b/>
                <w:bCs/>
                <w:color w:val="auto"/>
                <w:sz w:val="22"/>
                <w:szCs w:val="22"/>
                <w:highlight w:val="none"/>
              </w:rPr>
              <w:t>,由中标人在领取中标通知书时支付。</w:t>
            </w:r>
          </w:p>
          <w:p w14:paraId="5BAC872F">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户 名：温州历程招标有限公司乐清分公司</w:t>
            </w:r>
          </w:p>
          <w:p w14:paraId="1470349B">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账 号：33050162870400000619</w:t>
            </w:r>
          </w:p>
          <w:p w14:paraId="00758FBA">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开户银行：中国建设银行股份有限公司温州新城支行</w:t>
            </w:r>
          </w:p>
          <w:p w14:paraId="7708014D">
            <w:pPr>
              <w:spacing w:line="460" w:lineRule="exact"/>
              <w:ind w:firstLine="440" w:firstLineChars="200"/>
              <w:rPr>
                <w:rFonts w:hint="eastAsia" w:ascii="宋体" w:hAnsi="宋体" w:eastAsia="宋体" w:cs="宋体"/>
                <w:color w:val="auto"/>
                <w:highlight w:val="none"/>
              </w:rPr>
            </w:pPr>
            <w:r>
              <w:rPr>
                <w:rFonts w:hint="eastAsia" w:ascii="宋体" w:hAnsi="宋体" w:eastAsia="宋体" w:cs="宋体"/>
                <w:color w:val="auto"/>
                <w:sz w:val="22"/>
                <w:szCs w:val="22"/>
                <w:highlight w:val="none"/>
              </w:rPr>
              <w:t>行号：105333000038</w:t>
            </w:r>
          </w:p>
        </w:tc>
      </w:tr>
      <w:tr w14:paraId="165606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785" w:type="dxa"/>
            <w:tcBorders>
              <w:top w:val="single" w:color="000000" w:sz="2" w:space="0"/>
              <w:left w:val="single" w:color="000000" w:sz="8" w:space="0"/>
              <w:bottom w:val="single" w:color="000000" w:sz="2" w:space="0"/>
              <w:right w:val="single" w:color="000000" w:sz="2" w:space="0"/>
            </w:tcBorders>
            <w:vAlign w:val="center"/>
          </w:tcPr>
          <w:p w14:paraId="04EBAF52">
            <w:pPr>
              <w:snapToGrid w:val="0"/>
              <w:spacing w:line="460" w:lineRule="exact"/>
              <w:jc w:val="center"/>
              <w:rPr>
                <w:rFonts w:hint="eastAsia" w:ascii="宋体" w:hAnsi="宋体" w:eastAsia="宋体" w:cs="宋体"/>
                <w:b w:val="0"/>
                <w:bCs w:val="0"/>
                <w:color w:val="auto"/>
                <w:sz w:val="22"/>
                <w:szCs w:val="22"/>
                <w:highlight w:val="none"/>
                <w:lang w:eastAsia="zh-CN"/>
              </w:rPr>
            </w:pPr>
            <w:r>
              <w:rPr>
                <w:rFonts w:hint="eastAsia" w:ascii="宋体" w:hAnsi="宋体" w:cs="宋体"/>
                <w:b w:val="0"/>
                <w:bCs w:val="0"/>
                <w:color w:val="auto"/>
                <w:sz w:val="22"/>
                <w:szCs w:val="22"/>
                <w:highlight w:val="none"/>
                <w:lang w:val="en-US" w:eastAsia="zh-CN"/>
              </w:rPr>
              <w:t>6</w:t>
            </w:r>
          </w:p>
        </w:tc>
        <w:tc>
          <w:tcPr>
            <w:tcW w:w="9590" w:type="dxa"/>
            <w:tcBorders>
              <w:top w:val="single" w:color="000000" w:sz="2" w:space="0"/>
              <w:left w:val="single" w:color="000000" w:sz="2" w:space="0"/>
              <w:bottom w:val="single" w:color="000000" w:sz="2" w:space="0"/>
              <w:right w:val="single" w:color="000000" w:sz="8" w:space="0"/>
            </w:tcBorders>
            <w:vAlign w:val="center"/>
          </w:tcPr>
          <w:p w14:paraId="498240A2">
            <w:pPr>
              <w:spacing w:line="460" w:lineRule="exact"/>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rPr>
              <w:t>投标文件的组成：</w:t>
            </w:r>
            <w:r>
              <w:rPr>
                <w:rFonts w:hint="eastAsia" w:ascii="宋体" w:hAnsi="宋体" w:eastAsia="宋体" w:cs="宋体"/>
                <w:color w:val="auto"/>
                <w:sz w:val="22"/>
                <w:szCs w:val="22"/>
                <w:highlight w:val="none"/>
              </w:rPr>
              <w:t>完整的《投标文件》由“资格文件”、“报价文件”和“商务技术文件”三个部分组成。</w:t>
            </w:r>
          </w:p>
        </w:tc>
      </w:tr>
      <w:tr w14:paraId="6C84C9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785" w:type="dxa"/>
            <w:tcBorders>
              <w:top w:val="single" w:color="000000" w:sz="2" w:space="0"/>
              <w:left w:val="single" w:color="000000" w:sz="8" w:space="0"/>
              <w:bottom w:val="single" w:color="000000" w:sz="2" w:space="0"/>
              <w:right w:val="single" w:color="000000" w:sz="2" w:space="0"/>
            </w:tcBorders>
            <w:vAlign w:val="center"/>
          </w:tcPr>
          <w:p w14:paraId="714C8345">
            <w:pPr>
              <w:snapToGrid w:val="0"/>
              <w:spacing w:line="460" w:lineRule="exact"/>
              <w:jc w:val="center"/>
              <w:rPr>
                <w:rFonts w:hint="eastAsia" w:ascii="宋体" w:hAnsi="宋体" w:eastAsia="宋体" w:cs="宋体"/>
                <w:b w:val="0"/>
                <w:bCs w:val="0"/>
                <w:color w:val="auto"/>
                <w:sz w:val="22"/>
                <w:szCs w:val="22"/>
                <w:highlight w:val="none"/>
                <w:lang w:eastAsia="zh-CN"/>
              </w:rPr>
            </w:pPr>
            <w:r>
              <w:rPr>
                <w:rFonts w:hint="eastAsia" w:ascii="宋体" w:hAnsi="宋体" w:cs="宋体"/>
                <w:b w:val="0"/>
                <w:bCs w:val="0"/>
                <w:color w:val="auto"/>
                <w:sz w:val="22"/>
                <w:szCs w:val="22"/>
                <w:highlight w:val="none"/>
                <w:lang w:val="en-US" w:eastAsia="zh-CN"/>
              </w:rPr>
              <w:t>7</w:t>
            </w:r>
          </w:p>
        </w:tc>
        <w:tc>
          <w:tcPr>
            <w:tcW w:w="9590" w:type="dxa"/>
            <w:tcBorders>
              <w:top w:val="single" w:color="000000" w:sz="2" w:space="0"/>
              <w:left w:val="single" w:color="000000" w:sz="2" w:space="0"/>
              <w:bottom w:val="single" w:color="000000" w:sz="2" w:space="0"/>
              <w:right w:val="single" w:color="000000" w:sz="8" w:space="0"/>
            </w:tcBorders>
            <w:vAlign w:val="center"/>
          </w:tcPr>
          <w:p w14:paraId="5679851E">
            <w:pPr>
              <w:spacing w:line="460" w:lineRule="exact"/>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rPr>
              <w:t>投标文件的编制：</w:t>
            </w:r>
            <w:r>
              <w:rPr>
                <w:rFonts w:hint="eastAsia" w:ascii="宋体" w:hAnsi="宋体" w:eastAsia="宋体" w:cs="宋体"/>
                <w:color w:val="auto"/>
                <w:sz w:val="22"/>
                <w:szCs w:val="22"/>
                <w:highlight w:val="none"/>
              </w:rPr>
              <w:t>供应商应先安装“</w:t>
            </w:r>
            <w:r>
              <w:rPr>
                <w:rFonts w:hint="eastAsia" w:ascii="宋体" w:hAnsi="宋体" w:cs="宋体"/>
                <w:color w:val="auto"/>
                <w:sz w:val="22"/>
                <w:szCs w:val="22"/>
                <w:highlight w:val="none"/>
                <w:lang w:eastAsia="zh-CN"/>
              </w:rPr>
              <w:t>乐采云</w:t>
            </w:r>
            <w:r>
              <w:rPr>
                <w:rFonts w:hint="eastAsia" w:ascii="宋体" w:hAnsi="宋体" w:eastAsia="宋体" w:cs="宋体"/>
                <w:color w:val="auto"/>
                <w:sz w:val="22"/>
                <w:szCs w:val="22"/>
                <w:highlight w:val="none"/>
              </w:rPr>
              <w:t>电子交易客户端”，并按照本招标文件和“</w:t>
            </w:r>
            <w:r>
              <w:rPr>
                <w:rFonts w:hint="eastAsia" w:ascii="宋体" w:hAnsi="宋体" w:cs="宋体"/>
                <w:color w:val="auto"/>
                <w:sz w:val="22"/>
                <w:szCs w:val="22"/>
                <w:highlight w:val="none"/>
                <w:lang w:eastAsia="zh-CN"/>
              </w:rPr>
              <w:t>乐采云平台</w:t>
            </w:r>
            <w:r>
              <w:rPr>
                <w:rFonts w:hint="eastAsia" w:ascii="宋体" w:hAnsi="宋体" w:eastAsia="宋体" w:cs="宋体"/>
                <w:color w:val="auto"/>
                <w:sz w:val="22"/>
                <w:szCs w:val="22"/>
                <w:highlight w:val="none"/>
              </w:rPr>
              <w:t>”的要求，通过“</w:t>
            </w:r>
            <w:r>
              <w:rPr>
                <w:rFonts w:hint="eastAsia" w:ascii="宋体" w:hAnsi="宋体" w:cs="宋体"/>
                <w:color w:val="auto"/>
                <w:sz w:val="22"/>
                <w:szCs w:val="22"/>
                <w:highlight w:val="none"/>
                <w:lang w:eastAsia="zh-CN"/>
              </w:rPr>
              <w:t>乐采云</w:t>
            </w:r>
            <w:r>
              <w:rPr>
                <w:rFonts w:hint="eastAsia" w:ascii="宋体" w:hAnsi="宋体" w:eastAsia="宋体" w:cs="宋体"/>
                <w:color w:val="auto"/>
                <w:sz w:val="22"/>
                <w:szCs w:val="22"/>
                <w:highlight w:val="none"/>
              </w:rPr>
              <w:t>电子交易客户端”编制并加密投标文件。</w:t>
            </w:r>
          </w:p>
        </w:tc>
      </w:tr>
      <w:tr w14:paraId="59C560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785" w:type="dxa"/>
            <w:tcBorders>
              <w:top w:val="single" w:color="000000" w:sz="2" w:space="0"/>
              <w:left w:val="single" w:color="000000" w:sz="8" w:space="0"/>
              <w:bottom w:val="single" w:color="000000" w:sz="2" w:space="0"/>
              <w:right w:val="single" w:color="000000" w:sz="2" w:space="0"/>
            </w:tcBorders>
            <w:vAlign w:val="center"/>
          </w:tcPr>
          <w:p w14:paraId="3550B11B">
            <w:pPr>
              <w:snapToGrid w:val="0"/>
              <w:spacing w:line="460" w:lineRule="exact"/>
              <w:jc w:val="center"/>
              <w:rPr>
                <w:rFonts w:hint="eastAsia" w:ascii="宋体" w:hAnsi="宋体" w:eastAsia="宋体" w:cs="宋体"/>
                <w:b w:val="0"/>
                <w:bCs w:val="0"/>
                <w:color w:val="auto"/>
                <w:sz w:val="22"/>
                <w:szCs w:val="22"/>
                <w:highlight w:val="none"/>
                <w:lang w:eastAsia="zh-CN"/>
              </w:rPr>
            </w:pPr>
            <w:r>
              <w:rPr>
                <w:rFonts w:hint="eastAsia" w:ascii="宋体" w:hAnsi="宋体" w:cs="宋体"/>
                <w:b w:val="0"/>
                <w:bCs w:val="0"/>
                <w:color w:val="auto"/>
                <w:sz w:val="22"/>
                <w:szCs w:val="22"/>
                <w:highlight w:val="none"/>
                <w:lang w:val="en-US" w:eastAsia="zh-CN"/>
              </w:rPr>
              <w:t>8</w:t>
            </w:r>
          </w:p>
        </w:tc>
        <w:tc>
          <w:tcPr>
            <w:tcW w:w="9590" w:type="dxa"/>
            <w:tcBorders>
              <w:top w:val="single" w:color="000000" w:sz="2" w:space="0"/>
              <w:left w:val="single" w:color="000000" w:sz="2" w:space="0"/>
              <w:bottom w:val="single" w:color="000000" w:sz="2" w:space="0"/>
              <w:right w:val="single" w:color="000000" w:sz="8" w:space="0"/>
            </w:tcBorders>
            <w:vAlign w:val="center"/>
          </w:tcPr>
          <w:p w14:paraId="721D9F99">
            <w:pPr>
              <w:spacing w:line="460" w:lineRule="exact"/>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rPr>
              <w:t>投标文件的签章：</w:t>
            </w:r>
            <w:r>
              <w:rPr>
                <w:rFonts w:hint="eastAsia" w:ascii="宋体" w:hAnsi="宋体" w:eastAsia="宋体" w:cs="宋体"/>
                <w:color w:val="auto"/>
                <w:sz w:val="22"/>
                <w:szCs w:val="22"/>
                <w:highlight w:val="none"/>
              </w:rPr>
              <w:t>电子签章。</w:t>
            </w:r>
          </w:p>
        </w:tc>
      </w:tr>
      <w:tr w14:paraId="5CC348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785" w:type="dxa"/>
            <w:tcBorders>
              <w:top w:val="single" w:color="000000" w:sz="2" w:space="0"/>
              <w:left w:val="single" w:color="000000" w:sz="8" w:space="0"/>
              <w:bottom w:val="single" w:color="000000" w:sz="2" w:space="0"/>
              <w:right w:val="single" w:color="000000" w:sz="2" w:space="0"/>
            </w:tcBorders>
            <w:vAlign w:val="center"/>
          </w:tcPr>
          <w:p w14:paraId="2562EB84">
            <w:pPr>
              <w:snapToGrid w:val="0"/>
              <w:spacing w:line="460" w:lineRule="exact"/>
              <w:jc w:val="center"/>
              <w:rPr>
                <w:rFonts w:hint="eastAsia" w:ascii="宋体" w:hAnsi="宋体" w:eastAsia="宋体" w:cs="宋体"/>
                <w:b w:val="0"/>
                <w:bCs w:val="0"/>
                <w:color w:val="auto"/>
                <w:sz w:val="22"/>
                <w:szCs w:val="22"/>
                <w:highlight w:val="none"/>
                <w:lang w:eastAsia="zh-CN"/>
              </w:rPr>
            </w:pPr>
            <w:r>
              <w:rPr>
                <w:rFonts w:hint="eastAsia" w:ascii="宋体" w:hAnsi="宋体" w:cs="宋体"/>
                <w:b w:val="0"/>
                <w:bCs w:val="0"/>
                <w:color w:val="auto"/>
                <w:sz w:val="22"/>
                <w:szCs w:val="22"/>
                <w:highlight w:val="none"/>
                <w:lang w:val="en-US" w:eastAsia="zh-CN"/>
              </w:rPr>
              <w:t>9</w:t>
            </w:r>
          </w:p>
        </w:tc>
        <w:tc>
          <w:tcPr>
            <w:tcW w:w="9590" w:type="dxa"/>
            <w:tcBorders>
              <w:top w:val="single" w:color="000000" w:sz="2" w:space="0"/>
              <w:left w:val="single" w:color="000000" w:sz="2" w:space="0"/>
              <w:bottom w:val="single" w:color="000000" w:sz="2" w:space="0"/>
              <w:right w:val="single" w:color="000000" w:sz="8" w:space="0"/>
            </w:tcBorders>
            <w:vAlign w:val="center"/>
          </w:tcPr>
          <w:p w14:paraId="1017A7DF">
            <w:pPr>
              <w:spacing w:line="460" w:lineRule="exact"/>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rPr>
              <w:t>投标文件的形式：</w:t>
            </w:r>
            <w:r>
              <w:rPr>
                <w:rFonts w:hint="eastAsia" w:ascii="宋体" w:hAnsi="宋体" w:eastAsia="宋体" w:cs="宋体"/>
                <w:color w:val="auto"/>
                <w:sz w:val="22"/>
                <w:szCs w:val="22"/>
                <w:highlight w:val="none"/>
              </w:rPr>
              <w:t>☑电子投标文件（包括“电子加密投标文件”和“备份投标文件”，在投标文件编制完成后同时生成）；</w:t>
            </w:r>
          </w:p>
          <w:p w14:paraId="50E82BC5">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（1）“电子加密投标文件”是指通过“</w:t>
            </w:r>
            <w:r>
              <w:rPr>
                <w:rFonts w:hint="eastAsia" w:ascii="宋体" w:hAnsi="宋体" w:cs="宋体"/>
                <w:color w:val="auto"/>
                <w:sz w:val="22"/>
                <w:szCs w:val="22"/>
                <w:highlight w:val="none"/>
                <w:lang w:eastAsia="zh-CN"/>
              </w:rPr>
              <w:t>乐采云</w:t>
            </w:r>
            <w:r>
              <w:rPr>
                <w:rFonts w:hint="eastAsia" w:ascii="宋体" w:hAnsi="宋体" w:eastAsia="宋体" w:cs="宋体"/>
                <w:color w:val="auto"/>
                <w:sz w:val="22"/>
                <w:szCs w:val="22"/>
                <w:highlight w:val="none"/>
              </w:rPr>
              <w:t>电子交易客户端”完成投标文件编制后生成并加密的数据电文形式的投标文件。</w:t>
            </w:r>
          </w:p>
          <w:p w14:paraId="3EEF8D78">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（2）“备份投标文件”是指与“电子加密投标文件”同时生成的数据电文形式的电子文件（备份标书），其他方式编制的备份投标文件视为无效备份投标文件。</w:t>
            </w:r>
          </w:p>
        </w:tc>
      </w:tr>
      <w:tr w14:paraId="3051B8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785" w:type="dxa"/>
            <w:tcBorders>
              <w:top w:val="single" w:color="000000" w:sz="2" w:space="0"/>
              <w:left w:val="single" w:color="000000" w:sz="8" w:space="0"/>
              <w:bottom w:val="single" w:color="000000" w:sz="2" w:space="0"/>
              <w:right w:val="single" w:color="000000" w:sz="2" w:space="0"/>
            </w:tcBorders>
            <w:vAlign w:val="center"/>
          </w:tcPr>
          <w:p w14:paraId="26C6F83A">
            <w:pPr>
              <w:snapToGrid w:val="0"/>
              <w:spacing w:line="460" w:lineRule="exact"/>
              <w:jc w:val="center"/>
              <w:rPr>
                <w:rFonts w:hint="default" w:ascii="宋体" w:hAnsi="宋体" w:eastAsia="宋体" w:cs="宋体"/>
                <w:b w:val="0"/>
                <w:bCs w:val="0"/>
                <w:color w:val="auto"/>
                <w:sz w:val="22"/>
                <w:szCs w:val="22"/>
                <w:highlight w:val="none"/>
                <w:lang w:val="en-US" w:eastAsia="zh-CN"/>
              </w:rPr>
            </w:pPr>
            <w:r>
              <w:rPr>
                <w:rFonts w:hint="eastAsia" w:ascii="宋体" w:hAnsi="宋体" w:cs="宋体"/>
                <w:b w:val="0"/>
                <w:bCs w:val="0"/>
                <w:color w:val="auto"/>
                <w:sz w:val="22"/>
                <w:szCs w:val="22"/>
                <w:highlight w:val="none"/>
                <w:lang w:val="en-US" w:eastAsia="zh-CN"/>
              </w:rPr>
              <w:t>10</w:t>
            </w:r>
          </w:p>
        </w:tc>
        <w:tc>
          <w:tcPr>
            <w:tcW w:w="9590" w:type="dxa"/>
            <w:tcBorders>
              <w:top w:val="single" w:color="000000" w:sz="2" w:space="0"/>
              <w:left w:val="single" w:color="000000" w:sz="2" w:space="0"/>
              <w:bottom w:val="single" w:color="000000" w:sz="2" w:space="0"/>
              <w:right w:val="single" w:color="000000" w:sz="8" w:space="0"/>
            </w:tcBorders>
            <w:vAlign w:val="center"/>
          </w:tcPr>
          <w:p w14:paraId="72AA97F7">
            <w:pPr>
              <w:spacing w:line="460" w:lineRule="exact"/>
              <w:rPr>
                <w:rFonts w:hint="eastAsia"/>
                <w:color w:val="auto"/>
                <w:sz w:val="22"/>
                <w:szCs w:val="28"/>
                <w:highlight w:val="none"/>
              </w:rPr>
            </w:pPr>
            <w:r>
              <w:rPr>
                <w:rFonts w:hint="eastAsia"/>
                <w:color w:val="auto"/>
                <w:sz w:val="22"/>
                <w:szCs w:val="28"/>
                <w:highlight w:val="none"/>
              </w:rPr>
              <w:t>投标文件份数：</w:t>
            </w:r>
          </w:p>
          <w:p w14:paraId="6025A5B3">
            <w:pPr>
              <w:numPr>
                <w:ilvl w:val="0"/>
                <w:numId w:val="1"/>
              </w:numPr>
              <w:spacing w:line="460" w:lineRule="exact"/>
              <w:rPr>
                <w:rFonts w:hint="eastAsia"/>
                <w:color w:val="auto"/>
                <w:sz w:val="22"/>
                <w:szCs w:val="28"/>
                <w:highlight w:val="none"/>
              </w:rPr>
            </w:pPr>
            <w:r>
              <w:rPr>
                <w:rFonts w:hint="eastAsia"/>
                <w:color w:val="auto"/>
                <w:sz w:val="22"/>
                <w:szCs w:val="28"/>
                <w:highlight w:val="none"/>
              </w:rPr>
              <w:t>“电子加密投标文件”：在线上传、递交一份。</w:t>
            </w:r>
          </w:p>
          <w:p w14:paraId="3D8ED315">
            <w:pPr>
              <w:numPr>
                <w:ilvl w:val="0"/>
                <w:numId w:val="1"/>
              </w:numPr>
              <w:spacing w:line="460" w:lineRule="exact"/>
              <w:rPr>
                <w:rFonts w:hint="eastAsia"/>
                <w:color w:val="auto"/>
                <w:sz w:val="22"/>
                <w:szCs w:val="28"/>
                <w:highlight w:val="none"/>
              </w:rPr>
            </w:pPr>
            <w:r>
              <w:rPr>
                <w:rFonts w:hint="eastAsia"/>
                <w:color w:val="auto"/>
                <w:sz w:val="22"/>
                <w:szCs w:val="28"/>
                <w:highlight w:val="none"/>
              </w:rPr>
              <w:t>“备份投标文件”：密封包装后投标截止时间前递交一份</w:t>
            </w:r>
          </w:p>
          <w:p w14:paraId="02DE46E9">
            <w:pPr>
              <w:spacing w:line="460" w:lineRule="exact"/>
              <w:rPr>
                <w:rFonts w:hint="eastAsia"/>
                <w:color w:val="auto"/>
                <w:sz w:val="22"/>
                <w:szCs w:val="28"/>
                <w:highlight w:val="none"/>
              </w:rPr>
            </w:pPr>
            <w:r>
              <w:rPr>
                <w:rFonts w:hint="eastAsia"/>
                <w:color w:val="auto"/>
                <w:sz w:val="22"/>
                <w:szCs w:val="28"/>
                <w:highlight w:val="none"/>
              </w:rPr>
              <w:t>（若不提供备份投标文件，开标当天电子加密投标文件解密失败，投标人自行负责。）</w:t>
            </w:r>
          </w:p>
          <w:p w14:paraId="42C34E7C">
            <w:pPr>
              <w:tabs>
                <w:tab w:val="left" w:pos="360"/>
              </w:tabs>
              <w:spacing w:line="460" w:lineRule="exact"/>
              <w:rPr>
                <w:rFonts w:hint="eastAsia" w:eastAsia="宋体"/>
                <w:color w:val="auto"/>
                <w:sz w:val="22"/>
                <w:szCs w:val="28"/>
                <w:highlight w:val="none"/>
                <w:lang w:eastAsia="zh-CN"/>
              </w:rPr>
            </w:pPr>
            <w:r>
              <w:rPr>
                <w:rFonts w:hint="eastAsia"/>
                <w:color w:val="auto"/>
                <w:sz w:val="22"/>
                <w:szCs w:val="28"/>
                <w:highlight w:val="none"/>
              </w:rPr>
              <w:t>可以</w:t>
            </w:r>
            <w:r>
              <w:rPr>
                <w:rFonts w:hint="eastAsia"/>
                <w:color w:val="auto"/>
                <w:sz w:val="22"/>
                <w:szCs w:val="28"/>
                <w:highlight w:val="none"/>
                <w:lang w:val="en-US" w:eastAsia="zh-CN"/>
              </w:rPr>
              <w:t>以</w:t>
            </w:r>
            <w:r>
              <w:rPr>
                <w:rFonts w:hint="eastAsia"/>
                <w:color w:val="auto"/>
                <w:sz w:val="22"/>
                <w:szCs w:val="28"/>
                <w:highlight w:val="none"/>
              </w:rPr>
              <w:t>邮寄形式（建议顺丰）在投标截止时间前递交，并需</w:t>
            </w:r>
            <w:r>
              <w:rPr>
                <w:rFonts w:hint="eastAsia"/>
                <w:color w:val="auto"/>
                <w:sz w:val="22"/>
                <w:szCs w:val="28"/>
                <w:highlight w:val="none"/>
                <w:lang w:val="en-US" w:eastAsia="zh-CN"/>
              </w:rPr>
              <w:t>及时与</w:t>
            </w:r>
            <w:r>
              <w:rPr>
                <w:rFonts w:hint="eastAsia"/>
                <w:color w:val="auto"/>
                <w:sz w:val="22"/>
                <w:szCs w:val="28"/>
                <w:highlight w:val="none"/>
              </w:rPr>
              <w:t>采购代理机构确认是否收到</w:t>
            </w:r>
            <w:r>
              <w:rPr>
                <w:rFonts w:hint="eastAsia"/>
                <w:color w:val="auto"/>
                <w:sz w:val="22"/>
                <w:szCs w:val="28"/>
                <w:highlight w:val="none"/>
                <w:lang w:eastAsia="zh-CN"/>
              </w:rPr>
              <w:t>：</w:t>
            </w:r>
          </w:p>
          <w:p w14:paraId="5319C12D">
            <w:pPr>
              <w:spacing w:line="460" w:lineRule="exact"/>
              <w:rPr>
                <w:rFonts w:hint="eastAsia"/>
                <w:color w:val="auto"/>
                <w:sz w:val="22"/>
                <w:szCs w:val="28"/>
                <w:highlight w:val="none"/>
                <w:lang w:eastAsia="zh-CN"/>
              </w:rPr>
            </w:pPr>
            <w:r>
              <w:rPr>
                <w:rFonts w:hint="eastAsia"/>
                <w:color w:val="auto"/>
                <w:sz w:val="22"/>
                <w:szCs w:val="28"/>
                <w:highlight w:val="none"/>
              </w:rPr>
              <w:t>邮寄地址：</w:t>
            </w:r>
            <w:r>
              <w:rPr>
                <w:rFonts w:hint="eastAsia"/>
                <w:color w:val="auto"/>
                <w:sz w:val="22"/>
                <w:szCs w:val="28"/>
                <w:highlight w:val="none"/>
                <w:lang w:eastAsia="zh-CN"/>
              </w:rPr>
              <w:t>温州市鹿城区南汇街道勤民路鹿城壹号18幢803室</w:t>
            </w:r>
          </w:p>
          <w:p w14:paraId="70D26CD5">
            <w:pPr>
              <w:spacing w:line="460" w:lineRule="exact"/>
              <w:rPr>
                <w:rFonts w:hint="default" w:eastAsia="宋体"/>
                <w:color w:val="auto"/>
                <w:highlight w:val="none"/>
                <w:lang w:val="en-US" w:eastAsia="zh-CN"/>
              </w:rPr>
            </w:pPr>
            <w:r>
              <w:rPr>
                <w:rFonts w:hint="eastAsia"/>
                <w:color w:val="auto"/>
                <w:sz w:val="22"/>
                <w:szCs w:val="28"/>
                <w:highlight w:val="none"/>
                <w:lang w:val="en-US" w:eastAsia="zh-CN"/>
              </w:rPr>
              <w:t>联系人：王先生    联系电话</w:t>
            </w:r>
            <w:r>
              <w:rPr>
                <w:rFonts w:hint="eastAsia"/>
                <w:b w:val="0"/>
                <w:bCs w:val="0"/>
                <w:color w:val="auto"/>
                <w:sz w:val="22"/>
                <w:szCs w:val="28"/>
                <w:highlight w:val="none"/>
                <w:lang w:val="en-US" w:eastAsia="zh-CN"/>
              </w:rPr>
              <w:t>：13757727199</w:t>
            </w:r>
          </w:p>
        </w:tc>
      </w:tr>
      <w:tr w14:paraId="076E7A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785" w:type="dxa"/>
            <w:tcBorders>
              <w:top w:val="single" w:color="000000" w:sz="2" w:space="0"/>
              <w:left w:val="single" w:color="000000" w:sz="8" w:space="0"/>
              <w:bottom w:val="single" w:color="000000" w:sz="2" w:space="0"/>
              <w:right w:val="single" w:color="000000" w:sz="2" w:space="0"/>
            </w:tcBorders>
            <w:vAlign w:val="center"/>
          </w:tcPr>
          <w:p w14:paraId="38DAA0BF">
            <w:pPr>
              <w:snapToGrid w:val="0"/>
              <w:spacing w:line="460" w:lineRule="exact"/>
              <w:jc w:val="center"/>
              <w:rPr>
                <w:rFonts w:hint="default" w:ascii="宋体" w:hAnsi="宋体" w:eastAsia="宋体" w:cs="宋体"/>
                <w:b w:val="0"/>
                <w:bCs w:val="0"/>
                <w:color w:val="auto"/>
                <w:sz w:val="22"/>
                <w:szCs w:val="22"/>
                <w:highlight w:val="none"/>
                <w:lang w:val="en-US" w:eastAsia="zh-CN"/>
              </w:rPr>
            </w:pPr>
            <w:r>
              <w:rPr>
                <w:rFonts w:hint="eastAsia" w:ascii="宋体" w:hAnsi="宋体" w:cs="宋体"/>
                <w:b w:val="0"/>
                <w:bCs w:val="0"/>
                <w:color w:val="auto"/>
                <w:sz w:val="22"/>
                <w:szCs w:val="22"/>
                <w:highlight w:val="none"/>
                <w:lang w:val="en-US" w:eastAsia="zh-CN"/>
              </w:rPr>
              <w:t>11</w:t>
            </w:r>
          </w:p>
        </w:tc>
        <w:tc>
          <w:tcPr>
            <w:tcW w:w="9590" w:type="dxa"/>
            <w:tcBorders>
              <w:top w:val="single" w:color="000000" w:sz="2" w:space="0"/>
              <w:left w:val="single" w:color="000000" w:sz="2" w:space="0"/>
              <w:bottom w:val="single" w:color="000000" w:sz="2" w:space="0"/>
              <w:right w:val="single" w:color="000000" w:sz="8" w:space="0"/>
            </w:tcBorders>
            <w:vAlign w:val="center"/>
          </w:tcPr>
          <w:p w14:paraId="785B2116">
            <w:pPr>
              <w:spacing w:line="460" w:lineRule="exact"/>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投标文件的上传和递交：</w:t>
            </w:r>
          </w:p>
          <w:p w14:paraId="138145F9">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（1）“电子加密投标文件”的上传、递交：</w:t>
            </w:r>
          </w:p>
          <w:p w14:paraId="02B720ED">
            <w:pPr>
              <w:spacing w:line="460" w:lineRule="exact"/>
              <w:ind w:firstLine="220" w:firstLineChars="1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a.投标人应在投标截止时间前将“电子加密投标文件”成功上传递交至“</w:t>
            </w:r>
            <w:r>
              <w:rPr>
                <w:rFonts w:hint="eastAsia" w:ascii="宋体" w:hAnsi="宋体" w:cs="宋体"/>
                <w:color w:val="auto"/>
                <w:sz w:val="22"/>
                <w:szCs w:val="22"/>
                <w:highlight w:val="none"/>
                <w:lang w:eastAsia="zh-CN"/>
              </w:rPr>
              <w:t>乐采云平台</w:t>
            </w:r>
            <w:r>
              <w:rPr>
                <w:rFonts w:hint="eastAsia" w:ascii="宋体" w:hAnsi="宋体" w:eastAsia="宋体" w:cs="宋体"/>
                <w:color w:val="auto"/>
                <w:sz w:val="22"/>
                <w:szCs w:val="22"/>
                <w:highlight w:val="none"/>
              </w:rPr>
              <w:t>”，否则投标无效。</w:t>
            </w:r>
          </w:p>
          <w:p w14:paraId="37C85CCD">
            <w:pPr>
              <w:spacing w:line="460" w:lineRule="exact"/>
              <w:ind w:firstLine="220" w:firstLineChars="1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b.“电子加密投标文件”成功上传</w:t>
            </w:r>
            <w:r>
              <w:rPr>
                <w:rFonts w:hint="eastAsia" w:ascii="宋体" w:hAnsi="宋体" w:cs="宋体"/>
                <w:color w:val="auto"/>
                <w:sz w:val="22"/>
                <w:szCs w:val="22"/>
                <w:highlight w:val="none"/>
                <w:lang w:eastAsia="zh-CN"/>
              </w:rPr>
              <w:t>、</w:t>
            </w:r>
            <w:r>
              <w:rPr>
                <w:rFonts w:hint="eastAsia" w:ascii="宋体" w:hAnsi="宋体" w:eastAsia="宋体" w:cs="宋体"/>
                <w:color w:val="auto"/>
                <w:sz w:val="22"/>
                <w:szCs w:val="22"/>
                <w:highlight w:val="none"/>
              </w:rPr>
              <w:t>递交后，供应商可自行打印投标文件接收回执。</w:t>
            </w:r>
          </w:p>
          <w:p w14:paraId="38D92782">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（2）“备份投标文件”的密封包装、递交：</w:t>
            </w:r>
          </w:p>
          <w:p w14:paraId="48750536">
            <w:pPr>
              <w:tabs>
                <w:tab w:val="left" w:pos="360"/>
              </w:tabs>
              <w:spacing w:line="460" w:lineRule="exact"/>
              <w:ind w:firstLine="220" w:firstLineChars="100"/>
              <w:rPr>
                <w:rFonts w:hint="eastAsia" w:ascii="宋体" w:hAnsi="宋体" w:eastAsia="宋体" w:cs="宋体"/>
                <w:b/>
                <w:bCs/>
                <w:color w:val="auto"/>
                <w:sz w:val="22"/>
                <w:szCs w:val="22"/>
                <w:highlight w:val="none"/>
              </w:rPr>
            </w:pPr>
            <w:r>
              <w:rPr>
                <w:rFonts w:hint="eastAsia" w:ascii="宋体" w:hAnsi="宋体" w:eastAsia="宋体" w:cs="宋体"/>
                <w:color w:val="auto"/>
                <w:sz w:val="22"/>
                <w:szCs w:val="22"/>
                <w:highlight w:val="none"/>
              </w:rPr>
              <w:t>a.投标人在“</w:t>
            </w:r>
            <w:r>
              <w:rPr>
                <w:rFonts w:hint="eastAsia" w:ascii="宋体" w:hAnsi="宋体" w:cs="宋体"/>
                <w:color w:val="auto"/>
                <w:sz w:val="22"/>
                <w:szCs w:val="22"/>
                <w:highlight w:val="none"/>
                <w:lang w:eastAsia="zh-CN"/>
              </w:rPr>
              <w:t>乐采云平台</w:t>
            </w:r>
            <w:r>
              <w:rPr>
                <w:rFonts w:hint="eastAsia" w:ascii="宋体" w:hAnsi="宋体" w:eastAsia="宋体" w:cs="宋体"/>
                <w:color w:val="auto"/>
                <w:sz w:val="22"/>
                <w:szCs w:val="22"/>
                <w:highlight w:val="none"/>
              </w:rPr>
              <w:t>”完成“电子加密投标文件”的上传递交后，</w:t>
            </w:r>
            <w:r>
              <w:rPr>
                <w:rFonts w:hint="eastAsia" w:ascii="宋体" w:hAnsi="宋体" w:eastAsia="宋体" w:cs="宋体"/>
                <w:b/>
                <w:bCs/>
                <w:color w:val="auto"/>
                <w:sz w:val="22"/>
                <w:szCs w:val="22"/>
                <w:highlight w:val="none"/>
              </w:rPr>
              <w:t>还可以在投标截止时间前递交以介质（U盘）存储的数据电文形式的“备份投标文件”，（可以</w:t>
            </w:r>
            <w:r>
              <w:rPr>
                <w:rFonts w:hint="eastAsia" w:ascii="宋体" w:hAnsi="宋体" w:eastAsia="宋体" w:cs="宋体"/>
                <w:b/>
                <w:color w:val="auto"/>
                <w:sz w:val="22"/>
                <w:szCs w:val="22"/>
                <w:highlight w:val="none"/>
                <w:u w:val="single"/>
              </w:rPr>
              <w:t>（邮寄形式，建议顺丰）在投标截止时间前递交，并需</w:t>
            </w:r>
            <w:r>
              <w:rPr>
                <w:rFonts w:hint="eastAsia" w:ascii="宋体" w:hAnsi="宋体" w:cs="宋体"/>
                <w:b/>
                <w:color w:val="auto"/>
                <w:sz w:val="22"/>
                <w:szCs w:val="22"/>
                <w:highlight w:val="none"/>
                <w:u w:val="single"/>
                <w:lang w:val="en-US" w:eastAsia="zh-CN"/>
              </w:rPr>
              <w:t>及时与</w:t>
            </w:r>
            <w:r>
              <w:rPr>
                <w:rFonts w:hint="eastAsia" w:ascii="宋体" w:hAnsi="宋体" w:eastAsia="宋体" w:cs="宋体"/>
                <w:b/>
                <w:color w:val="auto"/>
                <w:sz w:val="22"/>
                <w:szCs w:val="22"/>
                <w:highlight w:val="none"/>
                <w:u w:val="single"/>
              </w:rPr>
              <w:t>采购代理机构确认是否收到</w:t>
            </w:r>
            <w:r>
              <w:rPr>
                <w:rFonts w:hint="eastAsia" w:ascii="宋体" w:hAnsi="宋体" w:eastAsia="宋体" w:cs="宋体"/>
                <w:b/>
                <w:bCs/>
                <w:color w:val="auto"/>
                <w:sz w:val="22"/>
                <w:szCs w:val="22"/>
                <w:highlight w:val="none"/>
              </w:rPr>
              <w:t>）</w:t>
            </w:r>
          </w:p>
          <w:p w14:paraId="08C086AB">
            <w:pPr>
              <w:spacing w:line="460" w:lineRule="exact"/>
              <w:ind w:firstLine="220" w:firstLineChars="1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b.“备份投标文件”应当密封包装，并在包装上标注投标项目名称、投标人名称并加盖公章。没有密封包装或者逾期（邮寄）送达至投标地点的“备份投标文件”将不予接收；</w:t>
            </w:r>
          </w:p>
          <w:p w14:paraId="6E92AB32">
            <w:pPr>
              <w:spacing w:line="460" w:lineRule="exact"/>
              <w:ind w:firstLine="220" w:firstLineChars="1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c.通过“</w:t>
            </w:r>
            <w:r>
              <w:rPr>
                <w:rFonts w:hint="eastAsia" w:ascii="宋体" w:hAnsi="宋体" w:cs="宋体"/>
                <w:color w:val="auto"/>
                <w:sz w:val="22"/>
                <w:szCs w:val="22"/>
                <w:highlight w:val="none"/>
                <w:lang w:eastAsia="zh-CN"/>
              </w:rPr>
              <w:t>乐采云平台</w:t>
            </w:r>
            <w:r>
              <w:rPr>
                <w:rFonts w:hint="eastAsia" w:ascii="宋体" w:hAnsi="宋体" w:eastAsia="宋体" w:cs="宋体"/>
                <w:color w:val="auto"/>
                <w:sz w:val="22"/>
                <w:szCs w:val="22"/>
                <w:highlight w:val="none"/>
              </w:rPr>
              <w:t>”成功上传递交的“电子加密投标文件”已按时解密的，“备份投标文件”自动失效。投标截止时间前，投标人仅递交了“备份投标文件”而未将“电子加密投标文件”成功上传至“</w:t>
            </w:r>
            <w:r>
              <w:rPr>
                <w:rFonts w:hint="eastAsia" w:ascii="宋体" w:hAnsi="宋体" w:cs="宋体"/>
                <w:color w:val="auto"/>
                <w:sz w:val="22"/>
                <w:szCs w:val="22"/>
                <w:highlight w:val="none"/>
                <w:lang w:eastAsia="zh-CN"/>
              </w:rPr>
              <w:t>乐采云平台</w:t>
            </w:r>
            <w:r>
              <w:rPr>
                <w:rFonts w:hint="eastAsia" w:ascii="宋体" w:hAnsi="宋体" w:eastAsia="宋体" w:cs="宋体"/>
                <w:color w:val="auto"/>
                <w:sz w:val="22"/>
                <w:szCs w:val="22"/>
                <w:highlight w:val="none"/>
              </w:rPr>
              <w:t>”的，投标无效。</w:t>
            </w:r>
          </w:p>
        </w:tc>
      </w:tr>
      <w:tr w14:paraId="5FED68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785" w:type="dxa"/>
            <w:tcBorders>
              <w:top w:val="single" w:color="000000" w:sz="2" w:space="0"/>
              <w:left w:val="single" w:color="000000" w:sz="8" w:space="0"/>
              <w:bottom w:val="single" w:color="000000" w:sz="2" w:space="0"/>
              <w:right w:val="single" w:color="000000" w:sz="2" w:space="0"/>
            </w:tcBorders>
            <w:vAlign w:val="center"/>
          </w:tcPr>
          <w:p w14:paraId="5AB6C0AA">
            <w:pPr>
              <w:snapToGrid w:val="0"/>
              <w:spacing w:line="460" w:lineRule="exact"/>
              <w:jc w:val="center"/>
              <w:rPr>
                <w:rFonts w:hint="default" w:ascii="宋体" w:hAnsi="宋体" w:eastAsia="宋体" w:cs="宋体"/>
                <w:b w:val="0"/>
                <w:bCs w:val="0"/>
                <w:color w:val="auto"/>
                <w:sz w:val="22"/>
                <w:szCs w:val="22"/>
                <w:highlight w:val="none"/>
                <w:lang w:val="en-US" w:eastAsia="zh-CN"/>
              </w:rPr>
            </w:pPr>
            <w:r>
              <w:rPr>
                <w:rFonts w:hint="eastAsia" w:ascii="宋体" w:hAnsi="宋体" w:cs="宋体"/>
                <w:b w:val="0"/>
                <w:bCs w:val="0"/>
                <w:color w:val="auto"/>
                <w:sz w:val="22"/>
                <w:szCs w:val="22"/>
                <w:highlight w:val="none"/>
                <w:lang w:val="en-US" w:eastAsia="zh-CN"/>
              </w:rPr>
              <w:t>12</w:t>
            </w:r>
          </w:p>
        </w:tc>
        <w:tc>
          <w:tcPr>
            <w:tcW w:w="9590" w:type="dxa"/>
            <w:tcBorders>
              <w:top w:val="single" w:color="000000" w:sz="2" w:space="0"/>
              <w:left w:val="single" w:color="000000" w:sz="2" w:space="0"/>
              <w:bottom w:val="single" w:color="000000" w:sz="2" w:space="0"/>
              <w:right w:val="single" w:color="000000" w:sz="8" w:space="0"/>
            </w:tcBorders>
            <w:vAlign w:val="center"/>
          </w:tcPr>
          <w:p w14:paraId="49E24C44">
            <w:pPr>
              <w:spacing w:line="460" w:lineRule="exact"/>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电子加密投标文件的解密和异常情况处理：</w:t>
            </w:r>
          </w:p>
          <w:p w14:paraId="75880A27">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（1）开标后，采购组织机构将向各投标人发出“电子加密投标文件”的解密通知，各投标人代表应当在接到解密通知后在系统规定的时间自行完成“电子加密投标文件”的在线解密。</w:t>
            </w:r>
          </w:p>
          <w:p w14:paraId="58890B56">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（2）通过“</w:t>
            </w:r>
            <w:r>
              <w:rPr>
                <w:rFonts w:hint="eastAsia" w:ascii="宋体" w:hAnsi="宋体" w:cs="宋体"/>
                <w:color w:val="auto"/>
                <w:sz w:val="22"/>
                <w:szCs w:val="22"/>
                <w:highlight w:val="none"/>
                <w:lang w:eastAsia="zh-CN"/>
              </w:rPr>
              <w:t>乐采云平台</w:t>
            </w:r>
            <w:r>
              <w:rPr>
                <w:rFonts w:hint="eastAsia" w:ascii="宋体" w:hAnsi="宋体" w:eastAsia="宋体" w:cs="宋体"/>
                <w:color w:val="auto"/>
                <w:sz w:val="22"/>
                <w:szCs w:val="22"/>
                <w:highlight w:val="none"/>
              </w:rPr>
              <w:t>”成功上传递交的“电子加密投标文件”无法按时解密，投标人如按规定递交了“备份投标文件”的，以“备份投标文件”为依据（由采购组织机构按“</w:t>
            </w:r>
            <w:r>
              <w:rPr>
                <w:rFonts w:hint="eastAsia" w:ascii="宋体" w:hAnsi="宋体" w:cs="宋体"/>
                <w:color w:val="auto"/>
                <w:sz w:val="22"/>
                <w:szCs w:val="22"/>
                <w:highlight w:val="none"/>
                <w:lang w:eastAsia="zh-CN"/>
              </w:rPr>
              <w:t>乐采云平台</w:t>
            </w:r>
            <w:r>
              <w:rPr>
                <w:rFonts w:hint="eastAsia" w:ascii="宋体" w:hAnsi="宋体" w:eastAsia="宋体" w:cs="宋体"/>
                <w:color w:val="auto"/>
                <w:sz w:val="22"/>
                <w:szCs w:val="22"/>
                <w:highlight w:val="none"/>
              </w:rPr>
              <w:t>”操作规范将“备份投标文件”上传至“</w:t>
            </w:r>
            <w:r>
              <w:rPr>
                <w:rFonts w:hint="eastAsia" w:ascii="宋体" w:hAnsi="宋体" w:cs="宋体"/>
                <w:color w:val="auto"/>
                <w:sz w:val="22"/>
                <w:szCs w:val="22"/>
                <w:highlight w:val="none"/>
                <w:lang w:eastAsia="zh-CN"/>
              </w:rPr>
              <w:t>乐采云平台</w:t>
            </w:r>
            <w:r>
              <w:rPr>
                <w:rFonts w:hint="eastAsia" w:ascii="宋体" w:hAnsi="宋体" w:eastAsia="宋体" w:cs="宋体"/>
                <w:color w:val="auto"/>
                <w:sz w:val="22"/>
                <w:szCs w:val="22"/>
                <w:highlight w:val="none"/>
              </w:rPr>
              <w:t>”，上传成功后，“电子加密投标文件”自动失效），否则视为投标文件撤回。</w:t>
            </w:r>
          </w:p>
          <w:p w14:paraId="7739FD03">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（3）投标截止时间前，投标人仅递交了“备份投标文件”而未将电子加密投标文件上传至“</w:t>
            </w:r>
            <w:r>
              <w:rPr>
                <w:rFonts w:hint="eastAsia" w:ascii="宋体" w:hAnsi="宋体" w:cs="宋体"/>
                <w:color w:val="auto"/>
                <w:sz w:val="22"/>
                <w:szCs w:val="22"/>
                <w:highlight w:val="none"/>
                <w:lang w:eastAsia="zh-CN"/>
              </w:rPr>
              <w:t>乐采云平台</w:t>
            </w:r>
            <w:r>
              <w:rPr>
                <w:rFonts w:hint="eastAsia" w:ascii="宋体" w:hAnsi="宋体" w:eastAsia="宋体" w:cs="宋体"/>
                <w:color w:val="auto"/>
                <w:sz w:val="22"/>
                <w:szCs w:val="22"/>
                <w:highlight w:val="none"/>
              </w:rPr>
              <w:t>”的，投标无效。</w:t>
            </w:r>
          </w:p>
        </w:tc>
      </w:tr>
      <w:tr w14:paraId="1A40FC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785" w:type="dxa"/>
            <w:tcBorders>
              <w:top w:val="single" w:color="000000" w:sz="2" w:space="0"/>
              <w:left w:val="single" w:color="000000" w:sz="8" w:space="0"/>
              <w:bottom w:val="single" w:color="000000" w:sz="2" w:space="0"/>
              <w:right w:val="single" w:color="000000" w:sz="2" w:space="0"/>
            </w:tcBorders>
            <w:vAlign w:val="center"/>
          </w:tcPr>
          <w:p w14:paraId="7F0BF113">
            <w:pPr>
              <w:snapToGrid w:val="0"/>
              <w:spacing w:line="460" w:lineRule="exact"/>
              <w:jc w:val="center"/>
              <w:rPr>
                <w:rFonts w:hint="default" w:ascii="宋体" w:hAnsi="宋体" w:eastAsia="宋体" w:cs="宋体"/>
                <w:b w:val="0"/>
                <w:bCs w:val="0"/>
                <w:color w:val="auto"/>
                <w:sz w:val="22"/>
                <w:szCs w:val="22"/>
                <w:highlight w:val="none"/>
                <w:lang w:val="en-US" w:eastAsia="zh-CN"/>
              </w:rPr>
            </w:pPr>
            <w:r>
              <w:rPr>
                <w:rFonts w:hint="eastAsia" w:ascii="宋体" w:hAnsi="宋体" w:cs="宋体"/>
                <w:b w:val="0"/>
                <w:bCs w:val="0"/>
                <w:color w:val="auto"/>
                <w:sz w:val="22"/>
                <w:szCs w:val="22"/>
                <w:highlight w:val="none"/>
                <w:lang w:val="en-US" w:eastAsia="zh-CN"/>
              </w:rPr>
              <w:t>13</w:t>
            </w:r>
          </w:p>
        </w:tc>
        <w:tc>
          <w:tcPr>
            <w:tcW w:w="9590" w:type="dxa"/>
            <w:tcBorders>
              <w:top w:val="single" w:color="000000" w:sz="2" w:space="0"/>
              <w:left w:val="single" w:color="000000" w:sz="2" w:space="0"/>
              <w:bottom w:val="single" w:color="000000" w:sz="2" w:space="0"/>
              <w:right w:val="single" w:color="000000" w:sz="8" w:space="0"/>
            </w:tcBorders>
            <w:vAlign w:val="center"/>
          </w:tcPr>
          <w:p w14:paraId="08509183">
            <w:pPr>
              <w:widowControl/>
              <w:snapToGrid w:val="0"/>
              <w:spacing w:line="46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提交投标文件截止时间：</w:t>
            </w:r>
            <w:r>
              <w:rPr>
                <w:rFonts w:hint="eastAsia" w:ascii="宋体" w:hAnsi="宋体" w:cs="宋体"/>
                <w:b w:val="0"/>
                <w:bCs w:val="0"/>
                <w:color w:val="auto"/>
                <w:sz w:val="22"/>
                <w:szCs w:val="22"/>
                <w:highlight w:val="none"/>
                <w:lang w:val="en-US" w:eastAsia="zh-CN"/>
              </w:rPr>
              <w:t>详见招标公告</w:t>
            </w:r>
            <w:r>
              <w:rPr>
                <w:rFonts w:hint="eastAsia" w:ascii="宋体" w:hAnsi="宋体" w:eastAsia="宋体" w:cs="宋体"/>
                <w:color w:val="auto"/>
                <w:sz w:val="22"/>
                <w:szCs w:val="22"/>
                <w:highlight w:val="none"/>
              </w:rPr>
              <w:t> </w:t>
            </w:r>
          </w:p>
          <w:p w14:paraId="420F96B1">
            <w:pPr>
              <w:widowControl/>
              <w:snapToGrid w:val="0"/>
              <w:spacing w:line="460" w:lineRule="exact"/>
              <w:jc w:val="left"/>
              <w:rPr>
                <w:rFonts w:hint="eastAsia"/>
                <w:color w:val="auto"/>
                <w:highlight w:val="none"/>
              </w:rPr>
            </w:pPr>
            <w:r>
              <w:rPr>
                <w:rFonts w:hint="eastAsia" w:ascii="宋体" w:hAnsi="宋体" w:eastAsia="宋体" w:cs="宋体"/>
                <w:color w:val="auto"/>
                <w:sz w:val="22"/>
                <w:szCs w:val="22"/>
                <w:highlight w:val="none"/>
              </w:rPr>
              <w:t>投标地点（网址）：</w:t>
            </w:r>
            <w:r>
              <w:rPr>
                <w:rFonts w:hint="eastAsia" w:ascii="宋体" w:hAnsi="宋体" w:cs="宋体"/>
                <w:b w:val="0"/>
                <w:bCs w:val="0"/>
                <w:color w:val="auto"/>
                <w:sz w:val="22"/>
                <w:szCs w:val="22"/>
                <w:highlight w:val="none"/>
                <w:lang w:val="en-US" w:eastAsia="zh-CN"/>
              </w:rPr>
              <w:t>详见招标公告</w:t>
            </w:r>
            <w:r>
              <w:rPr>
                <w:rFonts w:hint="eastAsia" w:ascii="宋体" w:hAnsi="宋体" w:eastAsia="宋体" w:cs="宋体"/>
                <w:color w:val="auto"/>
                <w:sz w:val="22"/>
                <w:szCs w:val="22"/>
                <w:highlight w:val="none"/>
              </w:rPr>
              <w:t> </w:t>
            </w:r>
          </w:p>
        </w:tc>
      </w:tr>
      <w:tr w14:paraId="227EFF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785" w:type="dxa"/>
            <w:tcBorders>
              <w:top w:val="single" w:color="000000" w:sz="2" w:space="0"/>
              <w:left w:val="single" w:color="000000" w:sz="8" w:space="0"/>
              <w:bottom w:val="single" w:color="auto" w:sz="4" w:space="0"/>
              <w:right w:val="single" w:color="000000" w:sz="2" w:space="0"/>
            </w:tcBorders>
            <w:vAlign w:val="center"/>
          </w:tcPr>
          <w:p w14:paraId="379B55BE">
            <w:pPr>
              <w:snapToGrid w:val="0"/>
              <w:spacing w:line="460" w:lineRule="exact"/>
              <w:jc w:val="center"/>
              <w:rPr>
                <w:rFonts w:hint="eastAsia" w:ascii="宋体" w:hAnsi="宋体" w:eastAsia="宋体" w:cs="宋体"/>
                <w:b w:val="0"/>
                <w:bCs w:val="0"/>
                <w:color w:val="auto"/>
                <w:sz w:val="22"/>
                <w:szCs w:val="22"/>
                <w:highlight w:val="none"/>
                <w:lang w:eastAsia="zh-CN"/>
              </w:rPr>
            </w:pPr>
            <w:r>
              <w:rPr>
                <w:rFonts w:hint="eastAsia" w:ascii="宋体" w:hAnsi="宋体" w:eastAsia="宋体" w:cs="宋体"/>
                <w:b w:val="0"/>
                <w:bCs w:val="0"/>
                <w:color w:val="auto"/>
                <w:sz w:val="22"/>
                <w:szCs w:val="22"/>
                <w:highlight w:val="none"/>
              </w:rPr>
              <w:t>1</w:t>
            </w:r>
            <w:r>
              <w:rPr>
                <w:rFonts w:hint="eastAsia" w:ascii="宋体" w:hAnsi="宋体" w:cs="宋体"/>
                <w:b w:val="0"/>
                <w:bCs w:val="0"/>
                <w:color w:val="auto"/>
                <w:sz w:val="22"/>
                <w:szCs w:val="22"/>
                <w:highlight w:val="none"/>
                <w:lang w:val="en-US" w:eastAsia="zh-CN"/>
              </w:rPr>
              <w:t>4</w:t>
            </w:r>
          </w:p>
        </w:tc>
        <w:tc>
          <w:tcPr>
            <w:tcW w:w="9590" w:type="dxa"/>
            <w:tcBorders>
              <w:top w:val="single" w:color="000000" w:sz="2" w:space="0"/>
              <w:left w:val="single" w:color="000000" w:sz="2" w:space="0"/>
              <w:bottom w:val="single" w:color="auto" w:sz="4" w:space="0"/>
              <w:right w:val="single" w:color="000000" w:sz="8" w:space="0"/>
            </w:tcBorders>
            <w:vAlign w:val="center"/>
          </w:tcPr>
          <w:p w14:paraId="7FD781FB">
            <w:pPr>
              <w:widowControl/>
              <w:snapToGrid w:val="0"/>
              <w:spacing w:line="460" w:lineRule="exact"/>
              <w:jc w:val="left"/>
              <w:rPr>
                <w:rFonts w:hint="default"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rPr>
              <w:t>开标时间</w:t>
            </w:r>
            <w:r>
              <w:rPr>
                <w:rFonts w:hint="eastAsia" w:ascii="宋体" w:hAnsi="宋体" w:eastAsia="宋体" w:cs="宋体"/>
                <w:b w:val="0"/>
                <w:bCs w:val="0"/>
                <w:color w:val="auto"/>
                <w:sz w:val="22"/>
                <w:szCs w:val="22"/>
                <w:highlight w:val="none"/>
                <w:lang w:eastAsia="zh-CN"/>
              </w:rPr>
              <w:t>：</w:t>
            </w:r>
            <w:r>
              <w:rPr>
                <w:rFonts w:hint="eastAsia" w:ascii="宋体" w:hAnsi="宋体" w:cs="宋体"/>
                <w:b w:val="0"/>
                <w:bCs w:val="0"/>
                <w:color w:val="auto"/>
                <w:sz w:val="22"/>
                <w:szCs w:val="22"/>
                <w:highlight w:val="none"/>
                <w:lang w:val="en-US" w:eastAsia="zh-CN"/>
              </w:rPr>
              <w:t>详见招标公告</w:t>
            </w:r>
          </w:p>
          <w:p w14:paraId="787B5AAD">
            <w:pPr>
              <w:widowControl/>
              <w:snapToGrid w:val="0"/>
              <w:spacing w:line="460" w:lineRule="exact"/>
              <w:jc w:val="left"/>
              <w:rPr>
                <w:rFonts w:hint="eastAsia" w:ascii="宋体" w:hAnsi="宋体" w:eastAsia="宋体" w:cs="宋体"/>
                <w:color w:val="auto"/>
                <w:sz w:val="22"/>
                <w:szCs w:val="22"/>
                <w:highlight w:val="none"/>
              </w:rPr>
            </w:pPr>
            <w:r>
              <w:rPr>
                <w:rFonts w:hint="eastAsia" w:ascii="宋体" w:hAnsi="宋体" w:eastAsia="宋体" w:cs="宋体"/>
                <w:b w:val="0"/>
                <w:bCs w:val="0"/>
                <w:color w:val="auto"/>
                <w:sz w:val="22"/>
                <w:szCs w:val="22"/>
                <w:highlight w:val="none"/>
                <w:lang w:val="en-US" w:eastAsia="zh-CN"/>
              </w:rPr>
              <w:t>开标地点（网址）：</w:t>
            </w:r>
            <w:r>
              <w:rPr>
                <w:rFonts w:hint="eastAsia" w:ascii="宋体" w:hAnsi="宋体" w:cs="宋体"/>
                <w:b w:val="0"/>
                <w:bCs w:val="0"/>
                <w:color w:val="auto"/>
                <w:sz w:val="22"/>
                <w:szCs w:val="22"/>
                <w:highlight w:val="none"/>
                <w:lang w:val="en-US" w:eastAsia="zh-CN"/>
              </w:rPr>
              <w:t>详见招标公告</w:t>
            </w:r>
          </w:p>
        </w:tc>
      </w:tr>
      <w:tr w14:paraId="3CB509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785" w:type="dxa"/>
            <w:tcBorders>
              <w:top w:val="single" w:color="auto" w:sz="4" w:space="0"/>
              <w:left w:val="single" w:color="000000" w:sz="8" w:space="0"/>
              <w:bottom w:val="single" w:color="auto" w:sz="4" w:space="0"/>
              <w:right w:val="single" w:color="000000" w:sz="2" w:space="0"/>
            </w:tcBorders>
            <w:vAlign w:val="center"/>
          </w:tcPr>
          <w:p w14:paraId="78AC54F4">
            <w:pPr>
              <w:snapToGrid w:val="0"/>
              <w:spacing w:line="460" w:lineRule="exact"/>
              <w:jc w:val="center"/>
              <w:rPr>
                <w:rFonts w:hint="eastAsia" w:ascii="宋体" w:hAnsi="宋体" w:eastAsia="宋体" w:cs="宋体"/>
                <w:b w:val="0"/>
                <w:bCs w:val="0"/>
                <w:color w:val="auto"/>
                <w:sz w:val="22"/>
                <w:szCs w:val="22"/>
                <w:highlight w:val="none"/>
                <w:lang w:eastAsia="zh-CN"/>
              </w:rPr>
            </w:pPr>
            <w:r>
              <w:rPr>
                <w:rFonts w:hint="eastAsia" w:ascii="宋体" w:hAnsi="宋体" w:eastAsia="宋体" w:cs="宋体"/>
                <w:b w:val="0"/>
                <w:bCs w:val="0"/>
                <w:color w:val="auto"/>
                <w:sz w:val="22"/>
                <w:szCs w:val="22"/>
                <w:highlight w:val="none"/>
              </w:rPr>
              <w:t>1</w:t>
            </w:r>
            <w:r>
              <w:rPr>
                <w:rFonts w:hint="eastAsia" w:ascii="宋体" w:hAnsi="宋体" w:cs="宋体"/>
                <w:b w:val="0"/>
                <w:bCs w:val="0"/>
                <w:color w:val="auto"/>
                <w:sz w:val="22"/>
                <w:szCs w:val="22"/>
                <w:highlight w:val="none"/>
                <w:lang w:val="en-US" w:eastAsia="zh-CN"/>
              </w:rPr>
              <w:t>5</w:t>
            </w:r>
          </w:p>
        </w:tc>
        <w:tc>
          <w:tcPr>
            <w:tcW w:w="9590" w:type="dxa"/>
            <w:tcBorders>
              <w:top w:val="single" w:color="auto" w:sz="4" w:space="0"/>
              <w:left w:val="single" w:color="000000" w:sz="2" w:space="0"/>
              <w:bottom w:val="single" w:color="auto" w:sz="4" w:space="0"/>
              <w:right w:val="single" w:color="000000" w:sz="8" w:space="0"/>
            </w:tcBorders>
            <w:vAlign w:val="center"/>
          </w:tcPr>
          <w:p w14:paraId="0DBFE541">
            <w:pPr>
              <w:snapToGrid w:val="0"/>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带“▲”条款系指实质性要求条款。“★”是关键技术参数及要求。</w:t>
            </w:r>
          </w:p>
        </w:tc>
      </w:tr>
      <w:tr w14:paraId="56BF50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785" w:type="dxa"/>
            <w:tcBorders>
              <w:top w:val="single" w:color="000000" w:sz="2" w:space="0"/>
              <w:left w:val="single" w:color="000000" w:sz="8" w:space="0"/>
              <w:bottom w:val="single" w:color="000000" w:sz="2" w:space="0"/>
              <w:right w:val="single" w:color="000000" w:sz="2" w:space="0"/>
            </w:tcBorders>
            <w:vAlign w:val="center"/>
          </w:tcPr>
          <w:p w14:paraId="3547855A">
            <w:pPr>
              <w:widowControl/>
              <w:snapToGrid w:val="0"/>
              <w:spacing w:line="460" w:lineRule="exact"/>
              <w:jc w:val="center"/>
              <w:textAlignment w:val="center"/>
              <w:rPr>
                <w:rFonts w:hint="eastAsia" w:ascii="宋体" w:hAnsi="宋体" w:eastAsia="宋体" w:cs="宋体"/>
                <w:b w:val="0"/>
                <w:bCs w:val="0"/>
                <w:color w:val="auto"/>
                <w:sz w:val="22"/>
                <w:szCs w:val="22"/>
                <w:highlight w:val="none"/>
                <w:lang w:eastAsia="zh-CN"/>
              </w:rPr>
            </w:pPr>
            <w:r>
              <w:rPr>
                <w:rFonts w:hint="eastAsia" w:ascii="宋体" w:hAnsi="宋体" w:eastAsia="宋体" w:cs="宋体"/>
                <w:b w:val="0"/>
                <w:bCs w:val="0"/>
                <w:color w:val="auto"/>
                <w:kern w:val="0"/>
                <w:sz w:val="22"/>
                <w:szCs w:val="22"/>
                <w:highlight w:val="none"/>
              </w:rPr>
              <w:t>1</w:t>
            </w:r>
            <w:r>
              <w:rPr>
                <w:rFonts w:hint="eastAsia" w:ascii="宋体" w:hAnsi="宋体" w:cs="宋体"/>
                <w:b w:val="0"/>
                <w:bCs w:val="0"/>
                <w:color w:val="auto"/>
                <w:kern w:val="0"/>
                <w:sz w:val="22"/>
                <w:szCs w:val="22"/>
                <w:highlight w:val="none"/>
                <w:lang w:val="en-US" w:eastAsia="zh-CN"/>
              </w:rPr>
              <w:t>6</w:t>
            </w:r>
          </w:p>
        </w:tc>
        <w:tc>
          <w:tcPr>
            <w:tcW w:w="9590" w:type="dxa"/>
            <w:tcBorders>
              <w:top w:val="single" w:color="000000" w:sz="2" w:space="0"/>
              <w:left w:val="single" w:color="000000" w:sz="2" w:space="0"/>
              <w:bottom w:val="single" w:color="000000" w:sz="2" w:space="0"/>
              <w:right w:val="single" w:color="000000" w:sz="8" w:space="0"/>
            </w:tcBorders>
            <w:vAlign w:val="center"/>
          </w:tcPr>
          <w:p w14:paraId="6A615C5F">
            <w:pPr>
              <w:snapToGrid w:val="0"/>
              <w:spacing w:line="460" w:lineRule="exact"/>
              <w:rPr>
                <w:rFonts w:hint="eastAsia" w:ascii="宋体" w:hAnsi="宋体" w:eastAsia="宋体" w:cs="宋体"/>
                <w:color w:val="auto"/>
                <w:sz w:val="22"/>
                <w:szCs w:val="22"/>
                <w:highlight w:val="none"/>
              </w:rPr>
            </w:pPr>
            <w:r>
              <w:rPr>
                <w:rFonts w:hint="eastAsia" w:ascii="宋体" w:hAnsi="宋体" w:eastAsia="宋体" w:cs="宋体"/>
                <w:b w:val="0"/>
                <w:bCs/>
                <w:color w:val="auto"/>
                <w:kern w:val="10"/>
                <w:sz w:val="22"/>
                <w:szCs w:val="22"/>
                <w:highlight w:val="none"/>
              </w:rPr>
              <w:t>潜在供应商需在</w:t>
            </w:r>
            <w:r>
              <w:rPr>
                <w:rFonts w:hint="eastAsia" w:ascii="宋体" w:hAnsi="宋体" w:cs="宋体"/>
                <w:b w:val="0"/>
                <w:bCs/>
                <w:color w:val="auto"/>
                <w:kern w:val="10"/>
                <w:sz w:val="22"/>
                <w:szCs w:val="22"/>
                <w:highlight w:val="none"/>
                <w:lang w:eastAsia="zh-CN"/>
              </w:rPr>
              <w:t>乐采云</w:t>
            </w:r>
            <w:r>
              <w:rPr>
                <w:rFonts w:hint="eastAsia" w:ascii="宋体" w:hAnsi="宋体" w:eastAsia="宋体" w:cs="宋体"/>
                <w:b w:val="0"/>
                <w:bCs/>
                <w:color w:val="auto"/>
                <w:kern w:val="10"/>
                <w:sz w:val="22"/>
                <w:szCs w:val="22"/>
                <w:highlight w:val="none"/>
              </w:rPr>
              <w:t>http://http://zfcg.czt.zj.gov.cn/进行免费注册，具体详见</w:t>
            </w:r>
            <w:r>
              <w:rPr>
                <w:rFonts w:hint="eastAsia" w:ascii="宋体" w:hAnsi="宋体" w:cs="宋体"/>
                <w:b w:val="0"/>
                <w:bCs/>
                <w:color w:val="auto"/>
                <w:kern w:val="10"/>
                <w:sz w:val="22"/>
                <w:szCs w:val="22"/>
                <w:highlight w:val="none"/>
                <w:lang w:eastAsia="zh-CN"/>
              </w:rPr>
              <w:t>乐采云</w:t>
            </w:r>
            <w:r>
              <w:rPr>
                <w:rFonts w:hint="eastAsia" w:ascii="宋体" w:hAnsi="宋体" w:eastAsia="宋体" w:cs="宋体"/>
                <w:b w:val="0"/>
                <w:bCs/>
                <w:color w:val="auto"/>
                <w:kern w:val="10"/>
                <w:sz w:val="22"/>
                <w:szCs w:val="22"/>
                <w:highlight w:val="none"/>
              </w:rPr>
              <w:t>供应商注册要求。</w:t>
            </w:r>
          </w:p>
        </w:tc>
      </w:tr>
      <w:tr w14:paraId="71A2A4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785" w:type="dxa"/>
            <w:tcBorders>
              <w:top w:val="single" w:color="000000" w:sz="2" w:space="0"/>
              <w:left w:val="single" w:color="000000" w:sz="8" w:space="0"/>
              <w:bottom w:val="single" w:color="000000" w:sz="2" w:space="0"/>
              <w:right w:val="single" w:color="000000" w:sz="2" w:space="0"/>
            </w:tcBorders>
            <w:vAlign w:val="center"/>
          </w:tcPr>
          <w:p w14:paraId="055D086B">
            <w:pPr>
              <w:widowControl/>
              <w:snapToGrid w:val="0"/>
              <w:spacing w:line="460" w:lineRule="exact"/>
              <w:jc w:val="center"/>
              <w:textAlignment w:val="center"/>
              <w:rPr>
                <w:rFonts w:hint="eastAsia" w:ascii="宋体" w:hAnsi="宋体" w:eastAsia="宋体" w:cs="宋体"/>
                <w:b w:val="0"/>
                <w:bCs w:val="0"/>
                <w:color w:val="auto"/>
                <w:sz w:val="22"/>
                <w:szCs w:val="22"/>
                <w:highlight w:val="none"/>
                <w:lang w:eastAsia="zh-CN"/>
              </w:rPr>
            </w:pPr>
            <w:r>
              <w:rPr>
                <w:rFonts w:hint="eastAsia" w:ascii="宋体" w:hAnsi="宋体" w:eastAsia="宋体" w:cs="宋体"/>
                <w:b w:val="0"/>
                <w:bCs w:val="0"/>
                <w:color w:val="auto"/>
                <w:kern w:val="0"/>
                <w:sz w:val="22"/>
                <w:szCs w:val="22"/>
                <w:highlight w:val="none"/>
              </w:rPr>
              <w:t>1</w:t>
            </w:r>
            <w:r>
              <w:rPr>
                <w:rFonts w:hint="eastAsia" w:ascii="宋体" w:hAnsi="宋体" w:cs="宋体"/>
                <w:b w:val="0"/>
                <w:bCs w:val="0"/>
                <w:color w:val="auto"/>
                <w:kern w:val="0"/>
                <w:sz w:val="22"/>
                <w:szCs w:val="22"/>
                <w:highlight w:val="none"/>
                <w:lang w:val="en-US" w:eastAsia="zh-CN"/>
              </w:rPr>
              <w:t>7</w:t>
            </w:r>
          </w:p>
        </w:tc>
        <w:tc>
          <w:tcPr>
            <w:tcW w:w="9590" w:type="dxa"/>
            <w:tcBorders>
              <w:top w:val="single" w:color="000000" w:sz="2" w:space="0"/>
              <w:left w:val="single" w:color="000000" w:sz="2" w:space="0"/>
              <w:bottom w:val="single" w:color="000000" w:sz="2" w:space="0"/>
              <w:right w:val="single" w:color="000000" w:sz="8" w:space="0"/>
            </w:tcBorders>
            <w:vAlign w:val="center"/>
          </w:tcPr>
          <w:p w14:paraId="05A27352">
            <w:pPr>
              <w:snapToGrid w:val="0"/>
              <w:spacing w:line="460" w:lineRule="exact"/>
              <w:ind w:left="105" w:leftChars="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根据《关于在政府采购活动中查询及使用信用记录有关问题的通知》财库[2016]125号的规定：</w:t>
            </w:r>
          </w:p>
          <w:p w14:paraId="7C40795A">
            <w:pPr>
              <w:snapToGrid w:val="0"/>
              <w:spacing w:line="460" w:lineRule="exact"/>
              <w:ind w:left="105" w:leftChars="50"/>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w:t>
            </w:r>
            <w:r>
              <w:rPr>
                <w:rFonts w:hint="eastAsia" w:ascii="宋体" w:hAnsi="宋体" w:eastAsia="宋体" w:cs="宋体"/>
                <w:color w:val="auto"/>
                <w:sz w:val="22"/>
                <w:szCs w:val="22"/>
                <w:highlight w:val="none"/>
              </w:rPr>
              <w:t>1）招标人或采购代理机构将对本项目供应商的信用记录进行查询。查询渠道为信用中国网站（www.creditchina.gov.cn）、中国政府采购网（www.ccgp.gov.cn）；</w:t>
            </w:r>
          </w:p>
          <w:p w14:paraId="6D493005">
            <w:pPr>
              <w:snapToGrid w:val="0"/>
              <w:spacing w:line="460" w:lineRule="exact"/>
              <w:ind w:firstLine="110" w:firstLineChars="50"/>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w:t>
            </w:r>
            <w:r>
              <w:rPr>
                <w:rFonts w:hint="eastAsia" w:ascii="宋体" w:hAnsi="宋体" w:eastAsia="宋体" w:cs="宋体"/>
                <w:color w:val="auto"/>
                <w:sz w:val="22"/>
                <w:szCs w:val="22"/>
                <w:highlight w:val="none"/>
              </w:rPr>
              <w:t>2）截止时点：</w:t>
            </w:r>
            <w:r>
              <w:rPr>
                <w:rFonts w:hint="eastAsia" w:ascii="宋体" w:hAnsi="宋体" w:eastAsia="宋体" w:cs="宋体"/>
                <w:color w:val="auto"/>
                <w:sz w:val="22"/>
                <w:highlight w:val="none"/>
              </w:rPr>
              <w:t>招标公告发布之日至投标截止时间前</w:t>
            </w:r>
            <w:r>
              <w:rPr>
                <w:rFonts w:hint="eastAsia" w:ascii="宋体" w:hAnsi="宋体" w:eastAsia="宋体" w:cs="宋体"/>
                <w:color w:val="auto"/>
                <w:sz w:val="22"/>
                <w:szCs w:val="22"/>
                <w:highlight w:val="none"/>
              </w:rPr>
              <w:t>；</w:t>
            </w:r>
          </w:p>
          <w:p w14:paraId="4FB9BDDD">
            <w:pPr>
              <w:snapToGrid w:val="0"/>
              <w:spacing w:line="460" w:lineRule="exact"/>
              <w:ind w:left="105" w:leftChars="50"/>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w:t>
            </w:r>
            <w:r>
              <w:rPr>
                <w:rFonts w:hint="eastAsia" w:ascii="宋体" w:hAnsi="宋体" w:eastAsia="宋体" w:cs="宋体"/>
                <w:color w:val="auto"/>
                <w:sz w:val="22"/>
                <w:szCs w:val="22"/>
                <w:highlight w:val="none"/>
              </w:rPr>
              <w:t>3）查询记录和证据的留存：信用信息查询记录和证据以网页截图等方式留存。</w:t>
            </w:r>
          </w:p>
          <w:p w14:paraId="51CF3693">
            <w:pPr>
              <w:snapToGrid w:val="0"/>
              <w:spacing w:line="460" w:lineRule="exact"/>
              <w:ind w:left="105" w:leftChars="50"/>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w:t>
            </w:r>
            <w:r>
              <w:rPr>
                <w:rFonts w:hint="eastAsia" w:ascii="宋体" w:hAnsi="宋体" w:eastAsia="宋体" w:cs="宋体"/>
                <w:color w:val="auto"/>
                <w:sz w:val="22"/>
                <w:szCs w:val="22"/>
                <w:highlight w:val="none"/>
              </w:rPr>
              <w:t>4）使用规则：被列入失信被执行人、重大税收违法案件当事人名单、政府采购严重违法失信行为记录名单及其它不符合《中华人民共和国政府采购法》第二十二条规定条件的，其投标将被拒绝。</w:t>
            </w:r>
          </w:p>
          <w:p w14:paraId="48C6ED3E">
            <w:pPr>
              <w:snapToGrid w:val="0"/>
              <w:spacing w:line="460" w:lineRule="exact"/>
              <w:rPr>
                <w:rFonts w:hint="eastAsia" w:ascii="宋体" w:hAnsi="宋体" w:eastAsia="宋体" w:cs="宋体"/>
                <w:b/>
                <w:color w:val="auto"/>
                <w:kern w:val="10"/>
                <w:sz w:val="22"/>
                <w:szCs w:val="22"/>
                <w:highlight w:val="none"/>
              </w:rPr>
            </w:pPr>
            <w:r>
              <w:rPr>
                <w:rFonts w:hint="eastAsia" w:ascii="宋体" w:hAnsi="宋体" w:eastAsia="宋体" w:cs="宋体"/>
                <w:color w:val="auto"/>
                <w:kern w:val="0"/>
                <w:sz w:val="22"/>
                <w:szCs w:val="22"/>
                <w:highlight w:val="none"/>
              </w:rPr>
              <w:t>（</w:t>
            </w:r>
            <w:r>
              <w:rPr>
                <w:rFonts w:hint="eastAsia" w:ascii="宋体" w:hAnsi="宋体" w:eastAsia="宋体" w:cs="宋体"/>
                <w:color w:val="auto"/>
                <w:sz w:val="22"/>
                <w:szCs w:val="22"/>
                <w:highlight w:val="none"/>
              </w:rPr>
              <w:t>5）联合体成员任意一方存在不良信用记录的，视同联合体存在不良信用记录。</w:t>
            </w:r>
          </w:p>
        </w:tc>
      </w:tr>
      <w:tr w14:paraId="0E30FB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10375" w:type="dxa"/>
            <w:gridSpan w:val="2"/>
            <w:tcBorders>
              <w:top w:val="single" w:color="000000" w:sz="2" w:space="0"/>
              <w:left w:val="single" w:color="000000" w:sz="8" w:space="0"/>
              <w:bottom w:val="single" w:color="000000" w:sz="2" w:space="0"/>
              <w:right w:val="single" w:color="000000" w:sz="8" w:space="0"/>
            </w:tcBorders>
            <w:vAlign w:val="center"/>
          </w:tcPr>
          <w:p w14:paraId="0274FD68">
            <w:pPr>
              <w:snapToGrid w:val="0"/>
              <w:spacing w:line="460" w:lineRule="exact"/>
              <w:ind w:left="105" w:leftChars="50"/>
              <w:rPr>
                <w:rFonts w:hint="eastAsia" w:ascii="宋体" w:hAnsi="宋体" w:eastAsia="宋体" w:cs="宋体"/>
                <w:b/>
                <w:bCs/>
                <w:color w:val="auto"/>
                <w:kern w:val="0"/>
                <w:sz w:val="22"/>
                <w:szCs w:val="22"/>
                <w:highlight w:val="none"/>
              </w:rPr>
            </w:pPr>
            <w:r>
              <w:rPr>
                <w:rFonts w:hint="eastAsia" w:ascii="宋体" w:hAnsi="宋体" w:eastAsia="宋体" w:cs="宋体"/>
                <w:b/>
                <w:bCs/>
                <w:color w:val="auto"/>
                <w:sz w:val="22"/>
                <w:szCs w:val="22"/>
                <w:highlight w:val="none"/>
                <w:lang w:val="en-US" w:eastAsia="zh-CN"/>
              </w:rPr>
              <w:t>注：招标文件其他组成部分涉及与前附表相同内容，如有不明确或不一致，以前附表规定为准。</w:t>
            </w:r>
          </w:p>
        </w:tc>
      </w:tr>
    </w:tbl>
    <w:p w14:paraId="1EEEB254">
      <w:pPr>
        <w:rPr>
          <w:rFonts w:hint="eastAsia" w:ascii="宋体" w:hAnsi="宋体" w:eastAsia="宋体" w:cs="宋体"/>
          <w:b/>
          <w:bCs/>
          <w:color w:val="auto"/>
          <w:sz w:val="26"/>
          <w:szCs w:val="26"/>
          <w:highlight w:val="none"/>
        </w:rPr>
      </w:pPr>
      <w:bookmarkStart w:id="10" w:name="_Toc19070"/>
      <w:bookmarkStart w:id="11" w:name="_Toc20846"/>
      <w:r>
        <w:rPr>
          <w:rFonts w:hint="eastAsia" w:ascii="宋体" w:hAnsi="宋体" w:eastAsia="宋体" w:cs="宋体"/>
          <w:b/>
          <w:bCs/>
          <w:color w:val="auto"/>
          <w:sz w:val="26"/>
          <w:szCs w:val="26"/>
          <w:highlight w:val="none"/>
        </w:rPr>
        <w:br w:type="page"/>
      </w:r>
    </w:p>
    <w:p w14:paraId="1BCD6488">
      <w:pPr>
        <w:spacing w:before="100" w:beforeAutospacing="1" w:after="100" w:afterAutospacing="1" w:line="460" w:lineRule="exact"/>
        <w:jc w:val="center"/>
        <w:outlineLvl w:val="1"/>
        <w:rPr>
          <w:rFonts w:hint="eastAsia" w:ascii="宋体" w:hAnsi="宋体" w:eastAsia="宋体" w:cs="宋体"/>
          <w:b/>
          <w:bCs/>
          <w:color w:val="auto"/>
          <w:sz w:val="32"/>
          <w:szCs w:val="32"/>
          <w:highlight w:val="none"/>
        </w:rPr>
      </w:pPr>
      <w:r>
        <w:rPr>
          <w:rFonts w:hint="eastAsia" w:ascii="宋体" w:hAnsi="宋体" w:eastAsia="宋体" w:cs="宋体"/>
          <w:b/>
          <w:bCs/>
          <w:color w:val="auto"/>
          <w:sz w:val="26"/>
          <w:szCs w:val="26"/>
          <w:highlight w:val="none"/>
        </w:rPr>
        <w:t>一、 说   明</w:t>
      </w:r>
      <w:bookmarkEnd w:id="10"/>
      <w:bookmarkEnd w:id="11"/>
    </w:p>
    <w:p w14:paraId="3A08B233">
      <w:pPr>
        <w:tabs>
          <w:tab w:val="left" w:pos="360"/>
        </w:tabs>
        <w:spacing w:line="460" w:lineRule="exact"/>
        <w:ind w:firstLine="550" w:firstLineChars="250"/>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rPr>
        <w:t>1、本次招标是按照《中华人民共和国政府采购法》、《政府采购货物和服务招标投标管理办法》、《中华人民共和国政府采购法实施条例》和《关于进一步规范政府采购活动的若干意见》等法律及有关法规组织和实施的。</w:t>
      </w:r>
    </w:p>
    <w:p w14:paraId="23CAF6D7">
      <w:pPr>
        <w:tabs>
          <w:tab w:val="left" w:pos="360"/>
        </w:tabs>
        <w:spacing w:line="460" w:lineRule="exact"/>
        <w:ind w:firstLine="541" w:firstLineChars="245"/>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2、定义</w:t>
      </w:r>
    </w:p>
    <w:p w14:paraId="48D8D41B">
      <w:pPr>
        <w:tabs>
          <w:tab w:val="left" w:pos="360"/>
        </w:tabs>
        <w:spacing w:line="460" w:lineRule="exact"/>
        <w:ind w:firstLine="550" w:firstLineChars="250"/>
        <w:rPr>
          <w:rFonts w:hint="eastAsia" w:ascii="宋体" w:hAnsi="宋体" w:eastAsia="宋体" w:cs="宋体"/>
          <w:color w:val="auto"/>
          <w:sz w:val="22"/>
          <w:highlight w:val="none"/>
        </w:rPr>
      </w:pPr>
      <w:r>
        <w:rPr>
          <w:rFonts w:hint="eastAsia" w:ascii="宋体" w:hAnsi="宋体" w:eastAsia="宋体" w:cs="宋体"/>
          <w:color w:val="auto"/>
          <w:sz w:val="22"/>
          <w:highlight w:val="none"/>
        </w:rPr>
        <w:t>招标人：是指依法进行政府采购的国家机关、事业单位、团体组织</w:t>
      </w:r>
    </w:p>
    <w:p w14:paraId="0AB7F815">
      <w:pPr>
        <w:tabs>
          <w:tab w:val="left" w:pos="360"/>
        </w:tabs>
        <w:spacing w:line="460" w:lineRule="exact"/>
        <w:ind w:firstLine="550" w:firstLineChars="250"/>
        <w:rPr>
          <w:rFonts w:hint="eastAsia" w:ascii="宋体" w:hAnsi="宋体" w:eastAsia="宋体" w:cs="宋体"/>
          <w:color w:val="auto"/>
          <w:sz w:val="22"/>
          <w:highlight w:val="none"/>
        </w:rPr>
      </w:pPr>
      <w:r>
        <w:rPr>
          <w:rFonts w:hint="eastAsia" w:ascii="宋体" w:hAnsi="宋体" w:eastAsia="宋体" w:cs="宋体"/>
          <w:color w:val="auto"/>
          <w:sz w:val="22"/>
          <w:highlight w:val="none"/>
        </w:rPr>
        <w:t>招标代理机构：受招标人委托，在委托的范围内办理政府采购事宜的机构；</w:t>
      </w:r>
    </w:p>
    <w:p w14:paraId="1F42396C">
      <w:pPr>
        <w:tabs>
          <w:tab w:val="left" w:pos="360"/>
        </w:tabs>
        <w:spacing w:line="460" w:lineRule="exact"/>
        <w:ind w:firstLine="550" w:firstLineChars="250"/>
        <w:rPr>
          <w:rFonts w:hint="eastAsia" w:ascii="宋体" w:hAnsi="宋体" w:eastAsia="宋体" w:cs="宋体"/>
          <w:color w:val="auto"/>
          <w:sz w:val="22"/>
          <w:highlight w:val="none"/>
        </w:rPr>
      </w:pPr>
      <w:r>
        <w:rPr>
          <w:rFonts w:hint="eastAsia" w:ascii="宋体" w:hAnsi="宋体" w:eastAsia="宋体" w:cs="宋体"/>
          <w:color w:val="auto"/>
          <w:sz w:val="22"/>
          <w:highlight w:val="none"/>
        </w:rPr>
        <w:t>投标人：是指参加本政府采购项目投标的供应商；</w:t>
      </w:r>
    </w:p>
    <w:p w14:paraId="3892DC95">
      <w:pPr>
        <w:tabs>
          <w:tab w:val="left" w:pos="360"/>
        </w:tabs>
        <w:spacing w:line="460" w:lineRule="exact"/>
        <w:ind w:firstLine="550" w:firstLineChars="250"/>
        <w:rPr>
          <w:rFonts w:hint="eastAsia" w:ascii="宋体" w:hAnsi="宋体" w:eastAsia="宋体" w:cs="宋体"/>
          <w:color w:val="auto"/>
          <w:sz w:val="22"/>
          <w:highlight w:val="none"/>
        </w:rPr>
      </w:pPr>
      <w:r>
        <w:rPr>
          <w:rFonts w:hint="eastAsia" w:ascii="宋体" w:hAnsi="宋体" w:eastAsia="宋体" w:cs="宋体"/>
          <w:color w:val="auto"/>
          <w:sz w:val="22"/>
          <w:highlight w:val="none"/>
        </w:rPr>
        <w:t>投标人代表：是指参加本项目投标活动的供应商法定代表人或法定代表人授权代表；</w:t>
      </w:r>
    </w:p>
    <w:p w14:paraId="599C4CEB">
      <w:pPr>
        <w:tabs>
          <w:tab w:val="left" w:pos="360"/>
        </w:tabs>
        <w:spacing w:line="460" w:lineRule="exact"/>
        <w:ind w:firstLine="550" w:firstLineChars="250"/>
        <w:rPr>
          <w:rFonts w:hint="eastAsia" w:ascii="宋体" w:hAnsi="宋体" w:eastAsia="宋体" w:cs="宋体"/>
          <w:color w:val="auto"/>
          <w:sz w:val="22"/>
          <w:highlight w:val="none"/>
        </w:rPr>
      </w:pPr>
      <w:r>
        <w:rPr>
          <w:rFonts w:hint="eastAsia" w:ascii="宋体" w:hAnsi="宋体" w:eastAsia="宋体" w:cs="宋体"/>
          <w:color w:val="auto"/>
          <w:sz w:val="22"/>
          <w:highlight w:val="none"/>
        </w:rPr>
        <w:t>投标联合体：是指两个以上供应商组成联合体，以一个供应商的身份参加投标；</w:t>
      </w:r>
    </w:p>
    <w:p w14:paraId="71556A6F">
      <w:pPr>
        <w:tabs>
          <w:tab w:val="left" w:pos="360"/>
        </w:tabs>
        <w:spacing w:line="460" w:lineRule="exact"/>
        <w:ind w:firstLine="550" w:firstLineChars="250"/>
        <w:rPr>
          <w:rFonts w:hint="eastAsia" w:ascii="宋体" w:hAnsi="宋体" w:eastAsia="宋体" w:cs="宋体"/>
          <w:color w:val="auto"/>
          <w:sz w:val="22"/>
          <w:highlight w:val="none"/>
        </w:rPr>
      </w:pPr>
      <w:r>
        <w:rPr>
          <w:rFonts w:hint="eastAsia" w:ascii="宋体" w:hAnsi="宋体" w:eastAsia="宋体" w:cs="宋体"/>
          <w:color w:val="auto"/>
          <w:sz w:val="22"/>
          <w:highlight w:val="none"/>
        </w:rPr>
        <w:t>甲方：是指合同签订的一方，一般与招标人、用户相同；</w:t>
      </w:r>
    </w:p>
    <w:p w14:paraId="7AD01BB7">
      <w:pPr>
        <w:tabs>
          <w:tab w:val="left" w:pos="360"/>
        </w:tabs>
        <w:spacing w:line="460" w:lineRule="exact"/>
        <w:ind w:firstLine="550" w:firstLineChars="250"/>
        <w:rPr>
          <w:rFonts w:hint="eastAsia" w:ascii="宋体" w:hAnsi="宋体" w:eastAsia="宋体" w:cs="宋体"/>
          <w:color w:val="auto"/>
          <w:sz w:val="22"/>
          <w:highlight w:val="none"/>
        </w:rPr>
      </w:pPr>
      <w:r>
        <w:rPr>
          <w:rFonts w:hint="eastAsia" w:ascii="宋体" w:hAnsi="宋体" w:eastAsia="宋体" w:cs="宋体"/>
          <w:color w:val="auto"/>
          <w:sz w:val="22"/>
          <w:highlight w:val="none"/>
        </w:rPr>
        <w:t>乙方：是指合同签订的另一方，与中标人相同；</w:t>
      </w:r>
    </w:p>
    <w:p w14:paraId="360382B3">
      <w:pPr>
        <w:tabs>
          <w:tab w:val="left" w:pos="360"/>
        </w:tabs>
        <w:spacing w:line="460" w:lineRule="exact"/>
        <w:ind w:firstLine="550" w:firstLineChars="250"/>
        <w:rPr>
          <w:rFonts w:hint="eastAsia" w:ascii="宋体" w:hAnsi="宋体" w:eastAsia="宋体" w:cs="宋体"/>
          <w:color w:val="auto"/>
          <w:sz w:val="22"/>
          <w:highlight w:val="none"/>
        </w:rPr>
      </w:pPr>
      <w:r>
        <w:rPr>
          <w:rFonts w:hint="eastAsia" w:ascii="宋体" w:hAnsi="宋体" w:eastAsia="宋体" w:cs="宋体"/>
          <w:color w:val="auto"/>
          <w:sz w:val="22"/>
          <w:highlight w:val="none"/>
        </w:rPr>
        <w:t>制造商：是指拥有投标产品自主知识产权的单位；</w:t>
      </w:r>
    </w:p>
    <w:p w14:paraId="59E7C16D">
      <w:pPr>
        <w:tabs>
          <w:tab w:val="left" w:pos="360"/>
        </w:tabs>
        <w:spacing w:line="460" w:lineRule="exact"/>
        <w:ind w:firstLine="550" w:firstLineChars="2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原件备查：要求携带原件备查的，供应商应按要求携带备查，如评标委员会发现投标文件资料复印件存有瑕疵，致使内容模糊、关键信息难以辨认、材料真实性存疑等情形的，有权核对原件或评标委员会认为有必有核对原件，若供应商未能提交原件，将会导致评标委员会作出对其不利的评定，一切后果由供应商自行承担。</w:t>
      </w:r>
    </w:p>
    <w:p w14:paraId="25A798CF">
      <w:pPr>
        <w:tabs>
          <w:tab w:val="left" w:pos="360"/>
        </w:tabs>
        <w:spacing w:line="460" w:lineRule="exact"/>
        <w:ind w:firstLine="552" w:firstLineChars="250"/>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带“▲”条款系指实质性要求条款。“★”是关键技术参数及要求。</w:t>
      </w:r>
    </w:p>
    <w:p w14:paraId="0E61D3EA">
      <w:pPr>
        <w:tabs>
          <w:tab w:val="left" w:pos="360"/>
        </w:tabs>
        <w:spacing w:line="460" w:lineRule="exact"/>
        <w:ind w:firstLine="541" w:firstLineChars="245"/>
        <w:rPr>
          <w:rFonts w:hint="eastAsia" w:ascii="宋体" w:hAnsi="宋体" w:eastAsia="宋体" w:cs="宋体"/>
          <w:color w:val="auto"/>
          <w:sz w:val="22"/>
          <w:szCs w:val="22"/>
          <w:highlight w:val="none"/>
        </w:rPr>
      </w:pPr>
      <w:r>
        <w:rPr>
          <w:rFonts w:hint="eastAsia" w:ascii="宋体" w:hAnsi="宋体" w:eastAsia="宋体" w:cs="宋体"/>
          <w:b/>
          <w:color w:val="auto"/>
          <w:sz w:val="22"/>
          <w:szCs w:val="22"/>
          <w:highlight w:val="none"/>
        </w:rPr>
        <w:t>3、投标人代表</w:t>
      </w:r>
    </w:p>
    <w:p w14:paraId="5D468132">
      <w:pPr>
        <w:tabs>
          <w:tab w:val="left" w:pos="360"/>
        </w:tabs>
        <w:spacing w:line="460" w:lineRule="exact"/>
        <w:ind w:firstLine="539" w:firstLineChars="245"/>
        <w:rPr>
          <w:rFonts w:hint="eastAsia" w:ascii="宋体" w:hAnsi="宋体" w:eastAsia="宋体" w:cs="宋体"/>
          <w:b w:val="0"/>
          <w:bCs/>
          <w:color w:val="auto"/>
          <w:sz w:val="22"/>
          <w:highlight w:val="none"/>
        </w:rPr>
      </w:pPr>
      <w:r>
        <w:rPr>
          <w:rFonts w:hint="eastAsia" w:ascii="宋体" w:hAnsi="宋体" w:eastAsia="宋体" w:cs="宋体"/>
          <w:b w:val="0"/>
          <w:bCs/>
          <w:color w:val="auto"/>
          <w:sz w:val="22"/>
          <w:szCs w:val="22"/>
          <w:highlight w:val="none"/>
        </w:rPr>
        <w:t>3.1</w:t>
      </w:r>
      <w:r>
        <w:rPr>
          <w:rFonts w:hint="eastAsia" w:ascii="宋体" w:hAnsi="宋体" w:eastAsia="宋体" w:cs="宋体"/>
          <w:b w:val="0"/>
          <w:bCs/>
          <w:color w:val="auto"/>
          <w:sz w:val="22"/>
          <w:highlight w:val="none"/>
        </w:rPr>
        <w:t>指全权代表投标人参加投标活动并签署投标文件的人。如果投标人代表不是法定代表人，须持有《法定代表人授权书》（见附件）</w:t>
      </w:r>
    </w:p>
    <w:p w14:paraId="5098694B">
      <w:pPr>
        <w:tabs>
          <w:tab w:val="left" w:pos="360"/>
        </w:tabs>
        <w:spacing w:line="460" w:lineRule="exact"/>
        <w:ind w:firstLine="539" w:firstLineChars="245"/>
        <w:rPr>
          <w:rFonts w:hint="eastAsia" w:ascii="宋体" w:hAnsi="宋体" w:eastAsia="宋体" w:cs="宋体"/>
          <w:b/>
          <w:color w:val="auto"/>
          <w:sz w:val="22"/>
          <w:szCs w:val="22"/>
          <w:highlight w:val="none"/>
        </w:rPr>
      </w:pPr>
      <w:r>
        <w:rPr>
          <w:rFonts w:hint="eastAsia" w:ascii="宋体" w:hAnsi="宋体" w:eastAsia="宋体" w:cs="宋体"/>
          <w:color w:val="auto"/>
          <w:sz w:val="22"/>
          <w:highlight w:val="none"/>
        </w:rPr>
        <w:t>根据政府采购相关法律、法规、规章、文件规定并满足招标文件规定资格条件的区域性分支机构、个体工商户、个人独资企业、合伙企业参加本项目投标并由单位负责人签署的相关投标资料与本招标文件规定由法定代表人签署的的文件材料具有同等效力</w:t>
      </w:r>
      <w:r>
        <w:rPr>
          <w:rFonts w:hint="eastAsia" w:ascii="宋体" w:hAnsi="宋体" w:eastAsia="宋体" w:cs="宋体"/>
          <w:b/>
          <w:color w:val="auto"/>
          <w:sz w:val="22"/>
          <w:szCs w:val="22"/>
          <w:highlight w:val="none"/>
        </w:rPr>
        <w:t>。</w:t>
      </w:r>
    </w:p>
    <w:p w14:paraId="79831B1D">
      <w:pPr>
        <w:spacing w:line="460" w:lineRule="exact"/>
        <w:ind w:firstLine="541" w:firstLineChars="245"/>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4、投标费用</w:t>
      </w:r>
    </w:p>
    <w:p w14:paraId="6E9C6349">
      <w:pPr>
        <w:spacing w:line="460" w:lineRule="exact"/>
        <w:ind w:firstLine="539" w:firstLineChars="245"/>
        <w:rPr>
          <w:rFonts w:hint="eastAsia" w:ascii="宋体" w:hAnsi="宋体" w:eastAsia="宋体" w:cs="宋体"/>
          <w:color w:val="auto"/>
          <w:sz w:val="22"/>
          <w:szCs w:val="22"/>
          <w:highlight w:val="none"/>
        </w:rPr>
      </w:pPr>
      <w:r>
        <w:rPr>
          <w:rFonts w:hint="eastAsia" w:ascii="宋体" w:hAnsi="宋体" w:eastAsia="宋体" w:cs="宋体"/>
          <w:b w:val="0"/>
          <w:bCs/>
          <w:color w:val="auto"/>
          <w:sz w:val="22"/>
          <w:szCs w:val="22"/>
          <w:highlight w:val="none"/>
        </w:rPr>
        <w:t>4.1投</w:t>
      </w:r>
      <w:r>
        <w:rPr>
          <w:rFonts w:hint="eastAsia" w:ascii="宋体" w:hAnsi="宋体" w:eastAsia="宋体" w:cs="宋体"/>
          <w:color w:val="auto"/>
          <w:sz w:val="22"/>
          <w:szCs w:val="22"/>
          <w:highlight w:val="none"/>
        </w:rPr>
        <w:t>标人应承担所有与准备和参加投标有关费用，不论投标的结果如何，招标人或招标代理机构均无义务和责任承担这些费用。</w:t>
      </w:r>
    </w:p>
    <w:p w14:paraId="51B0E1C7">
      <w:pPr>
        <w:spacing w:before="100" w:beforeAutospacing="1" w:after="100" w:afterAutospacing="1" w:line="460" w:lineRule="exact"/>
        <w:jc w:val="center"/>
        <w:outlineLvl w:val="1"/>
        <w:rPr>
          <w:rFonts w:hint="eastAsia" w:ascii="宋体" w:hAnsi="宋体" w:eastAsia="宋体" w:cs="宋体"/>
          <w:b/>
          <w:bCs/>
          <w:color w:val="auto"/>
          <w:sz w:val="26"/>
          <w:szCs w:val="26"/>
          <w:highlight w:val="none"/>
        </w:rPr>
      </w:pPr>
      <w:bookmarkStart w:id="12" w:name="_Toc28278"/>
      <w:bookmarkStart w:id="13" w:name="_Toc9899"/>
      <w:r>
        <w:rPr>
          <w:rFonts w:hint="eastAsia" w:ascii="宋体" w:hAnsi="宋体" w:eastAsia="宋体" w:cs="宋体"/>
          <w:b/>
          <w:bCs/>
          <w:color w:val="auto"/>
          <w:sz w:val="26"/>
          <w:szCs w:val="26"/>
          <w:highlight w:val="none"/>
        </w:rPr>
        <w:t>二、 招标文件</w:t>
      </w:r>
      <w:bookmarkEnd w:id="12"/>
      <w:bookmarkEnd w:id="13"/>
    </w:p>
    <w:p w14:paraId="0D0449BB">
      <w:pPr>
        <w:tabs>
          <w:tab w:val="left" w:pos="360"/>
        </w:tabs>
        <w:spacing w:line="460" w:lineRule="exact"/>
        <w:ind w:firstLine="550" w:firstLineChars="250"/>
        <w:rPr>
          <w:rFonts w:hint="eastAsia" w:ascii="宋体" w:hAnsi="宋体" w:eastAsia="宋体" w:cs="宋体"/>
          <w:color w:val="auto"/>
          <w:sz w:val="22"/>
          <w:highlight w:val="none"/>
        </w:rPr>
      </w:pPr>
      <w:r>
        <w:rPr>
          <w:rFonts w:hint="eastAsia" w:ascii="宋体" w:hAnsi="宋体" w:eastAsia="宋体" w:cs="宋体"/>
          <w:color w:val="auto"/>
          <w:sz w:val="22"/>
          <w:highlight w:val="none"/>
        </w:rPr>
        <w:t>1、招标文件由招标文件目录所列内容及相关资料组成。</w:t>
      </w:r>
    </w:p>
    <w:p w14:paraId="3AC3B5AE">
      <w:pPr>
        <w:tabs>
          <w:tab w:val="left" w:pos="360"/>
        </w:tabs>
        <w:spacing w:line="460" w:lineRule="exact"/>
        <w:ind w:firstLine="552" w:firstLineChars="250"/>
        <w:rPr>
          <w:rFonts w:hint="eastAsia" w:ascii="宋体" w:hAnsi="宋体" w:eastAsia="宋体" w:cs="宋体"/>
          <w:b/>
          <w:color w:val="auto"/>
          <w:sz w:val="22"/>
          <w:highlight w:val="none"/>
        </w:rPr>
      </w:pPr>
      <w:r>
        <w:rPr>
          <w:rFonts w:hint="eastAsia" w:ascii="宋体" w:hAnsi="宋体" w:eastAsia="宋体" w:cs="宋体"/>
          <w:b/>
          <w:color w:val="auto"/>
          <w:sz w:val="22"/>
          <w:highlight w:val="none"/>
        </w:rPr>
        <w:t>2、招标文件的澄清</w:t>
      </w:r>
    </w:p>
    <w:p w14:paraId="673C0DA3">
      <w:pPr>
        <w:tabs>
          <w:tab w:val="left" w:pos="360"/>
        </w:tabs>
        <w:spacing w:line="460" w:lineRule="exact"/>
        <w:ind w:firstLine="550" w:firstLineChars="250"/>
        <w:rPr>
          <w:rFonts w:hint="eastAsia" w:ascii="宋体" w:hAnsi="宋体" w:eastAsia="宋体" w:cs="宋体"/>
          <w:color w:val="auto"/>
          <w:sz w:val="22"/>
          <w:highlight w:val="none"/>
        </w:rPr>
      </w:pPr>
      <w:r>
        <w:rPr>
          <w:rFonts w:hint="eastAsia" w:ascii="宋体" w:hAnsi="宋体" w:eastAsia="宋体" w:cs="宋体"/>
          <w:color w:val="auto"/>
          <w:sz w:val="22"/>
          <w:highlight w:val="none"/>
        </w:rPr>
        <w:t>2.1 任何要求对招标文件进行澄清的投标人，均应以书面形式（信函、传真，下同）通知，但该通知在知道或应知道其权益受到损害之日起七个工作日内以使招标人或招标代理机构收到，招标人或招标代理机构将以书面形式予以答复。如有必要，可将不说明问题来源的答复发给各投标文件收受人或召开答疑会。如果招标文件澄清期内未收到有关澄清要求，视为投标人完全同意招标文件所有条款，且对于招标文件有关表述以及未尽事宜如有异议，以招标人或招标代理机构解释为准。</w:t>
      </w:r>
    </w:p>
    <w:p w14:paraId="38307614">
      <w:pPr>
        <w:tabs>
          <w:tab w:val="left" w:pos="360"/>
        </w:tabs>
        <w:spacing w:line="460" w:lineRule="exact"/>
        <w:ind w:firstLine="552" w:firstLineChars="250"/>
        <w:rPr>
          <w:rFonts w:hint="eastAsia" w:ascii="宋体" w:hAnsi="宋体" w:eastAsia="宋体" w:cs="宋体"/>
          <w:b/>
          <w:color w:val="auto"/>
          <w:sz w:val="22"/>
          <w:highlight w:val="none"/>
        </w:rPr>
      </w:pPr>
      <w:r>
        <w:rPr>
          <w:rFonts w:hint="eastAsia" w:ascii="宋体" w:hAnsi="宋体" w:eastAsia="宋体" w:cs="宋体"/>
          <w:b/>
          <w:color w:val="auto"/>
          <w:sz w:val="22"/>
          <w:highlight w:val="none"/>
        </w:rPr>
        <w:t>3、招标文件的修改</w:t>
      </w:r>
    </w:p>
    <w:p w14:paraId="40505B7C">
      <w:pPr>
        <w:tabs>
          <w:tab w:val="left" w:pos="360"/>
        </w:tabs>
        <w:spacing w:line="460" w:lineRule="exact"/>
        <w:ind w:firstLine="550" w:firstLineChars="250"/>
        <w:rPr>
          <w:rFonts w:ascii="宋体" w:hAnsi="宋体" w:cs="宋体"/>
          <w:color w:val="auto"/>
          <w:sz w:val="22"/>
          <w:highlight w:val="none"/>
        </w:rPr>
      </w:pPr>
      <w:r>
        <w:rPr>
          <w:rFonts w:hint="eastAsia" w:ascii="宋体" w:hAnsi="宋体" w:cs="宋体"/>
          <w:color w:val="auto"/>
          <w:sz w:val="22"/>
          <w:highlight w:val="none"/>
        </w:rPr>
        <w:t>3.1招标人或招标代理机构对已发出的招标文件进行必要的澄清或者修改的，应当在招标文件要求递交投标文件截止时间十五日前，在财政部门指定的政府采购信息发布媒体上发布更正公告。该澄清或修改内容为招标文件的组成部分。</w:t>
      </w:r>
    </w:p>
    <w:p w14:paraId="07207B05">
      <w:pPr>
        <w:spacing w:line="460" w:lineRule="exact"/>
        <w:ind w:firstLine="539" w:firstLineChars="245"/>
        <w:rPr>
          <w:rFonts w:ascii="宋体" w:hAnsi="宋体" w:cs="宋体"/>
          <w:b/>
          <w:color w:val="auto"/>
          <w:sz w:val="22"/>
          <w:szCs w:val="22"/>
          <w:highlight w:val="none"/>
        </w:rPr>
      </w:pPr>
      <w:r>
        <w:rPr>
          <w:rFonts w:hint="eastAsia" w:ascii="宋体" w:hAnsi="宋体" w:cs="宋体"/>
          <w:color w:val="auto"/>
          <w:sz w:val="22"/>
          <w:highlight w:val="none"/>
        </w:rPr>
        <w:t>3.2招标人、招标代理机构可以视采购的具体情况决定是否延长投标截止时间和开标时间，并在招标文件要求递交投标文件的截止时间前，在财政部门指定的政府采购信息发布媒体上发布变更公告。</w:t>
      </w:r>
    </w:p>
    <w:p w14:paraId="4738ACFB">
      <w:pPr>
        <w:spacing w:line="460" w:lineRule="exact"/>
        <w:ind w:firstLine="539" w:firstLineChars="245"/>
        <w:rPr>
          <w:rFonts w:hint="eastAsia" w:ascii="宋体" w:hAnsi="宋体" w:eastAsia="宋体" w:cs="宋体"/>
          <w:b/>
          <w:color w:val="auto"/>
          <w:sz w:val="22"/>
          <w:szCs w:val="22"/>
          <w:highlight w:val="none"/>
        </w:rPr>
      </w:pPr>
      <w:r>
        <w:rPr>
          <w:rFonts w:hint="eastAsia" w:ascii="宋体" w:hAnsi="宋体" w:eastAsia="宋体" w:cs="宋体"/>
          <w:color w:val="auto"/>
          <w:sz w:val="22"/>
          <w:highlight w:val="none"/>
          <w:lang w:val="en-US" w:eastAsia="zh-CN"/>
        </w:rPr>
        <w:t>注：</w:t>
      </w:r>
      <w:r>
        <w:rPr>
          <w:rFonts w:hint="eastAsia" w:ascii="宋体" w:hAnsi="宋体" w:eastAsia="宋体" w:cs="宋体"/>
          <w:color w:val="auto"/>
          <w:sz w:val="22"/>
          <w:highlight w:val="none"/>
        </w:rPr>
        <w:t>潜在投标人应自行关注网站公告，</w:t>
      </w:r>
      <w:r>
        <w:rPr>
          <w:rFonts w:hint="eastAsia" w:ascii="宋体" w:hAnsi="宋体" w:cs="宋体"/>
          <w:color w:val="auto"/>
          <w:sz w:val="22"/>
          <w:highlight w:val="none"/>
        </w:rPr>
        <w:t>招标人、招标代理机构</w:t>
      </w:r>
      <w:r>
        <w:rPr>
          <w:rFonts w:hint="eastAsia" w:ascii="宋体" w:hAnsi="宋体" w:eastAsia="宋体" w:cs="宋体"/>
          <w:color w:val="auto"/>
          <w:sz w:val="22"/>
          <w:highlight w:val="none"/>
        </w:rPr>
        <w:t>不再一一通知。投标人因自身贻误行为导致投标失败的，责任自负。</w:t>
      </w:r>
    </w:p>
    <w:p w14:paraId="10726FF6">
      <w:pPr>
        <w:spacing w:line="460" w:lineRule="exact"/>
        <w:ind w:firstLine="541" w:firstLineChars="245"/>
        <w:rPr>
          <w:rFonts w:hint="eastAsia" w:ascii="宋体" w:hAnsi="宋体" w:eastAsia="宋体" w:cs="宋体"/>
          <w:b/>
          <w:color w:val="auto"/>
          <w:sz w:val="22"/>
          <w:szCs w:val="22"/>
          <w:highlight w:val="none"/>
        </w:rPr>
      </w:pPr>
    </w:p>
    <w:p w14:paraId="6A3CB9B7">
      <w:pPr>
        <w:spacing w:before="100" w:beforeAutospacing="1" w:after="100" w:afterAutospacing="1" w:line="460" w:lineRule="exact"/>
        <w:jc w:val="center"/>
        <w:outlineLvl w:val="1"/>
        <w:rPr>
          <w:rFonts w:hint="eastAsia" w:ascii="宋体" w:hAnsi="宋体" w:eastAsia="宋体" w:cs="宋体"/>
          <w:b/>
          <w:bCs/>
          <w:color w:val="auto"/>
          <w:sz w:val="26"/>
          <w:szCs w:val="26"/>
          <w:highlight w:val="none"/>
        </w:rPr>
      </w:pPr>
      <w:bookmarkStart w:id="14" w:name="_Toc22646"/>
      <w:bookmarkStart w:id="15" w:name="_Toc12726"/>
      <w:r>
        <w:rPr>
          <w:rFonts w:hint="eastAsia" w:ascii="宋体" w:hAnsi="宋体" w:eastAsia="宋体" w:cs="宋体"/>
          <w:b/>
          <w:bCs/>
          <w:color w:val="auto"/>
          <w:sz w:val="26"/>
          <w:szCs w:val="26"/>
          <w:highlight w:val="none"/>
        </w:rPr>
        <w:t>三、 投标文件的编制</w:t>
      </w:r>
      <w:bookmarkEnd w:id="14"/>
      <w:bookmarkEnd w:id="15"/>
    </w:p>
    <w:p w14:paraId="67CCAA1E">
      <w:pPr>
        <w:tabs>
          <w:tab w:val="left" w:pos="360"/>
        </w:tabs>
        <w:spacing w:line="460" w:lineRule="exact"/>
        <w:ind w:firstLine="550" w:firstLineChars="250"/>
        <w:rPr>
          <w:rFonts w:hint="eastAsia" w:ascii="宋体" w:hAnsi="宋体" w:eastAsia="宋体" w:cs="宋体"/>
          <w:b w:val="0"/>
          <w:bCs w:val="0"/>
          <w:color w:val="auto"/>
          <w:sz w:val="22"/>
          <w:highlight w:val="none"/>
        </w:rPr>
      </w:pPr>
      <w:r>
        <w:rPr>
          <w:rFonts w:hint="eastAsia" w:ascii="宋体" w:hAnsi="宋体" w:eastAsia="宋体" w:cs="宋体"/>
          <w:b w:val="0"/>
          <w:bCs w:val="0"/>
          <w:color w:val="auto"/>
          <w:sz w:val="22"/>
          <w:highlight w:val="none"/>
        </w:rPr>
        <w:t>1、投标人应认真阅读招标文件中所有事项、格式、条款和技术规范等。投标人没有按照招标文件要求提交全部资料，或者没有对招标文件各个方面做出实质性响应，导致投标被否决的风险由投标人自行承担。</w:t>
      </w:r>
    </w:p>
    <w:p w14:paraId="42FB6E82">
      <w:pPr>
        <w:spacing w:line="460" w:lineRule="exact"/>
        <w:ind w:firstLine="539" w:firstLineChars="245"/>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highlight w:val="none"/>
        </w:rPr>
        <w:t>2、投标人应保证所提供文件资料的真实性，所有文件资料必须是针对本次投标的。如发现投标人提供了虚假文件资料，其投标将被否决，并自行承担相应的法律责任。</w:t>
      </w:r>
    </w:p>
    <w:p w14:paraId="2635913E">
      <w:pPr>
        <w:spacing w:line="460" w:lineRule="exact"/>
        <w:ind w:firstLine="541" w:firstLineChars="245"/>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3、</w:t>
      </w:r>
      <w:r>
        <w:rPr>
          <w:rFonts w:hint="eastAsia" w:ascii="宋体" w:hAnsi="宋体" w:eastAsia="宋体" w:cs="宋体"/>
          <w:b/>
          <w:bCs/>
          <w:color w:val="auto"/>
          <w:sz w:val="22"/>
          <w:szCs w:val="22"/>
          <w:highlight w:val="none"/>
        </w:rPr>
        <w:t>投标文件的构成：</w:t>
      </w:r>
    </w:p>
    <w:p w14:paraId="3CADF224">
      <w:pPr>
        <w:spacing w:line="460" w:lineRule="exact"/>
        <w:ind w:firstLine="539" w:firstLineChars="245"/>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kern w:val="0"/>
          <w:sz w:val="22"/>
          <w:szCs w:val="22"/>
          <w:highlight w:val="none"/>
        </w:rPr>
        <w:t>投标</w:t>
      </w:r>
      <w:r>
        <w:rPr>
          <w:rFonts w:hint="eastAsia" w:ascii="宋体" w:hAnsi="宋体" w:eastAsia="宋体" w:cs="宋体"/>
          <w:b w:val="0"/>
          <w:bCs w:val="0"/>
          <w:color w:val="auto"/>
          <w:kern w:val="0"/>
          <w:sz w:val="22"/>
          <w:szCs w:val="22"/>
          <w:highlight w:val="none"/>
          <w:lang w:val="zh-CN"/>
        </w:rPr>
        <w:t>文件应当包括以下主要内容：资格文件、报价文件、商务技术文件。</w:t>
      </w:r>
    </w:p>
    <w:p w14:paraId="4C93A234">
      <w:pPr>
        <w:spacing w:line="460" w:lineRule="exact"/>
        <w:ind w:firstLine="541" w:firstLineChars="245"/>
        <w:rPr>
          <w:rFonts w:hint="eastAsia" w:ascii="宋体" w:hAnsi="宋体" w:eastAsia="宋体" w:cs="宋体"/>
          <w:b/>
          <w:bCs/>
          <w:color w:val="auto"/>
          <w:kern w:val="0"/>
          <w:sz w:val="22"/>
          <w:szCs w:val="22"/>
          <w:highlight w:val="none"/>
          <w:u w:val="none"/>
          <w:lang w:val="zh-CN"/>
        </w:rPr>
      </w:pPr>
      <w:r>
        <w:rPr>
          <w:rFonts w:hint="eastAsia" w:ascii="宋体" w:hAnsi="宋体" w:eastAsia="宋体" w:cs="宋体"/>
          <w:b/>
          <w:bCs/>
          <w:color w:val="auto"/>
          <w:kern w:val="0"/>
          <w:sz w:val="22"/>
          <w:szCs w:val="22"/>
          <w:highlight w:val="none"/>
          <w:u w:val="none"/>
        </w:rPr>
        <w:t>3.1</w:t>
      </w:r>
      <w:r>
        <w:rPr>
          <w:rFonts w:hint="eastAsia" w:ascii="宋体" w:hAnsi="宋体" w:eastAsia="宋体" w:cs="宋体"/>
          <w:b/>
          <w:bCs/>
          <w:color w:val="auto"/>
          <w:kern w:val="0"/>
          <w:sz w:val="22"/>
          <w:szCs w:val="22"/>
          <w:highlight w:val="none"/>
          <w:u w:val="none"/>
          <w:lang w:val="zh-CN"/>
        </w:rPr>
        <w:t xml:space="preserve">投标人的资格文件至少应包括以下内容： </w:t>
      </w:r>
    </w:p>
    <w:p w14:paraId="559AD397">
      <w:pPr>
        <w:spacing w:line="460" w:lineRule="exact"/>
        <w:ind w:firstLine="539" w:firstLineChars="245"/>
        <w:rPr>
          <w:rFonts w:hint="eastAsia" w:ascii="宋体" w:hAnsi="宋体" w:eastAsia="宋体" w:cs="宋体"/>
          <w:color w:val="auto"/>
          <w:kern w:val="0"/>
          <w:sz w:val="22"/>
          <w:szCs w:val="22"/>
          <w:highlight w:val="none"/>
          <w:u w:val="none"/>
          <w:lang w:val="en-US" w:eastAsia="zh-CN"/>
        </w:rPr>
      </w:pPr>
      <w:r>
        <w:rPr>
          <w:rFonts w:hint="eastAsia" w:ascii="宋体" w:hAnsi="宋体" w:eastAsia="宋体" w:cs="宋体"/>
          <w:color w:val="auto"/>
          <w:kern w:val="0"/>
          <w:sz w:val="22"/>
          <w:szCs w:val="22"/>
          <w:highlight w:val="none"/>
          <w:u w:val="none"/>
          <w:lang w:val="zh-CN"/>
        </w:rPr>
        <w:t>基本资格条件审查材料：</w:t>
      </w:r>
      <w:r>
        <w:rPr>
          <w:rFonts w:hint="eastAsia" w:ascii="宋体" w:hAnsi="宋体" w:eastAsia="宋体" w:cs="宋体"/>
          <w:color w:val="auto"/>
          <w:kern w:val="0"/>
          <w:sz w:val="22"/>
          <w:szCs w:val="22"/>
          <w:highlight w:val="none"/>
          <w:u w:val="none"/>
          <w:lang w:val="en-US" w:eastAsia="zh-CN"/>
        </w:rPr>
        <w:t>即证明供应商</w:t>
      </w:r>
      <w:r>
        <w:rPr>
          <w:rFonts w:hint="eastAsia" w:ascii="宋体" w:hAnsi="宋体" w:eastAsia="宋体" w:cs="宋体"/>
          <w:color w:val="auto"/>
          <w:kern w:val="0"/>
          <w:sz w:val="22"/>
          <w:szCs w:val="22"/>
          <w:highlight w:val="none"/>
          <w:u w:val="none"/>
          <w:lang w:val="zh-CN"/>
        </w:rPr>
        <w:t>参加本次政府采购活动前3年内</w:t>
      </w:r>
      <w:r>
        <w:rPr>
          <w:rFonts w:hint="eastAsia"/>
          <w:color w:val="auto"/>
          <w:sz w:val="22"/>
          <w:szCs w:val="22"/>
          <w:highlight w:val="none"/>
          <w:u w:val="none"/>
          <w:lang w:val="en-US" w:eastAsia="zh-CN"/>
        </w:rPr>
        <w:t>满足《中华人民共和国政府采购法》</w:t>
      </w:r>
      <w:r>
        <w:rPr>
          <w:rFonts w:hint="eastAsia" w:ascii="宋体" w:hAnsi="宋体" w:eastAsia="宋体" w:cs="宋体"/>
          <w:color w:val="auto"/>
          <w:kern w:val="0"/>
          <w:sz w:val="22"/>
          <w:szCs w:val="22"/>
          <w:highlight w:val="none"/>
          <w:u w:val="none"/>
          <w:lang w:val="zh-CN"/>
        </w:rPr>
        <w:t>的有关资格证明文件。</w:t>
      </w:r>
      <w:r>
        <w:rPr>
          <w:rFonts w:hint="eastAsia" w:ascii="宋体" w:hAnsi="宋体" w:eastAsia="宋体" w:cs="宋体"/>
          <w:color w:val="auto"/>
          <w:kern w:val="0"/>
          <w:sz w:val="22"/>
          <w:szCs w:val="22"/>
          <w:highlight w:val="none"/>
          <w:u w:val="none"/>
          <w:lang w:val="en-US" w:eastAsia="zh-CN"/>
        </w:rPr>
        <w:t>包括：</w:t>
      </w:r>
    </w:p>
    <w:p w14:paraId="0C589E95">
      <w:pPr>
        <w:snapToGrid w:val="0"/>
        <w:spacing w:line="460" w:lineRule="exact"/>
        <w:ind w:left="105" w:leftChars="50" w:firstLine="440" w:firstLineChars="200"/>
        <w:rPr>
          <w:rFonts w:hint="eastAsia" w:ascii="宋体" w:hAnsi="宋体" w:eastAsia="宋体" w:cs="宋体"/>
          <w:color w:val="auto"/>
          <w:sz w:val="22"/>
          <w:szCs w:val="22"/>
          <w:highlight w:val="none"/>
          <w:u w:val="none"/>
          <w:lang w:eastAsia="zh-CN"/>
        </w:rPr>
      </w:pP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lang w:val="en-US" w:eastAsia="zh-CN"/>
        </w:rPr>
        <w:t>1</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rPr>
        <w:t>资格条件承诺函</w:t>
      </w:r>
      <w:r>
        <w:rPr>
          <w:rFonts w:hint="eastAsia" w:ascii="宋体" w:hAnsi="宋体" w:eastAsia="宋体" w:cs="宋体"/>
          <w:color w:val="auto"/>
          <w:sz w:val="22"/>
          <w:szCs w:val="22"/>
          <w:highlight w:val="none"/>
          <w:u w:val="none"/>
          <w:lang w:eastAsia="zh-CN"/>
        </w:rPr>
        <w:t>；</w:t>
      </w:r>
    </w:p>
    <w:p w14:paraId="09251FDF">
      <w:pPr>
        <w:snapToGrid w:val="0"/>
        <w:spacing w:line="460" w:lineRule="exact"/>
        <w:ind w:left="105" w:leftChars="50" w:firstLine="440" w:firstLineChars="200"/>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w:t>
      </w:r>
      <w:r>
        <w:rPr>
          <w:rFonts w:hint="eastAsia" w:ascii="宋体" w:hAnsi="宋体" w:eastAsia="宋体" w:cs="宋体"/>
          <w:color w:val="auto"/>
          <w:sz w:val="22"/>
          <w:szCs w:val="22"/>
          <w:highlight w:val="none"/>
          <w:u w:val="none"/>
          <w:lang w:val="en-US" w:eastAsia="zh-CN"/>
        </w:rPr>
        <w:t>2</w:t>
      </w:r>
      <w:r>
        <w:rPr>
          <w:rFonts w:hint="eastAsia" w:ascii="宋体" w:hAnsi="宋体" w:eastAsia="宋体" w:cs="宋体"/>
          <w:color w:val="auto"/>
          <w:sz w:val="22"/>
          <w:szCs w:val="22"/>
          <w:highlight w:val="none"/>
          <w:u w:val="none"/>
        </w:rPr>
        <w:t xml:space="preserve">）营业执照(或事业法人登记证书或其它工商等登记证明材料；自然人参与政府采购，提供身份证)复印件； </w:t>
      </w:r>
    </w:p>
    <w:p w14:paraId="0B425BC6">
      <w:pPr>
        <w:numPr>
          <w:ilvl w:val="0"/>
          <w:numId w:val="0"/>
        </w:numPr>
        <w:snapToGrid w:val="0"/>
        <w:spacing w:line="460" w:lineRule="exact"/>
        <w:ind w:leftChars="0" w:firstLine="440" w:firstLineChars="200"/>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金融、保险、通讯等特定行业的全国性企业所设立的区域性分支机构，以及个体工商户、个人独资企业、合伙企业，如果已经依法办理了工商、税务和社保登记手续，并且获得总公司（总机构）授权或能够提供房产权证或其他有效财产证明材料（在投标文件中提供相关材料），证明其具备实际承担责任的能力和法定的缔结合同能力，可以独立参加政府采购活动，由单位负责人签署相关文件材料；</w:t>
      </w:r>
    </w:p>
    <w:p w14:paraId="6B7E3B42">
      <w:pPr>
        <w:numPr>
          <w:ilvl w:val="0"/>
          <w:numId w:val="0"/>
        </w:numPr>
        <w:snapToGrid w:val="0"/>
        <w:spacing w:line="460" w:lineRule="exact"/>
        <w:ind w:leftChars="0" w:firstLine="440" w:firstLineChars="200"/>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（3）投标人信用查询；</w:t>
      </w:r>
    </w:p>
    <w:p w14:paraId="5D612A81">
      <w:pPr>
        <w:numPr>
          <w:ilvl w:val="0"/>
          <w:numId w:val="0"/>
        </w:numPr>
        <w:snapToGrid w:val="0"/>
        <w:spacing w:line="460" w:lineRule="exact"/>
        <w:ind w:leftChars="0" w:firstLine="440" w:firstLineChars="200"/>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（4）采购活动现场确认声明书；</w:t>
      </w:r>
    </w:p>
    <w:p w14:paraId="639699F1">
      <w:pPr>
        <w:numPr>
          <w:ilvl w:val="0"/>
          <w:numId w:val="0"/>
        </w:numPr>
        <w:snapToGrid w:val="0"/>
        <w:spacing w:line="460" w:lineRule="exact"/>
        <w:ind w:leftChars="0" w:firstLine="440" w:firstLineChars="200"/>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（5）投标人具有有效的食品经营许可证（食品流通许可证）或食品生产许可证或相关备案证明材料。</w:t>
      </w:r>
    </w:p>
    <w:p w14:paraId="7E33F9E2">
      <w:pPr>
        <w:snapToGrid w:val="0"/>
        <w:spacing w:line="460" w:lineRule="exact"/>
        <w:ind w:left="525" w:leftChars="250"/>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上述资格条件审查材料有一项不提供的，视为资格审查不通过。</w:t>
      </w:r>
    </w:p>
    <w:p w14:paraId="554BC154">
      <w:pPr>
        <w:snapToGrid w:val="0"/>
        <w:spacing w:line="460" w:lineRule="exact"/>
        <w:ind w:left="105" w:leftChars="50" w:firstLine="442" w:firstLineChars="200"/>
        <w:rPr>
          <w:rFonts w:hint="eastAsia" w:ascii="宋体" w:hAnsi="宋体" w:eastAsia="宋体" w:cs="宋体"/>
          <w:color w:val="auto"/>
          <w:sz w:val="22"/>
          <w:szCs w:val="22"/>
          <w:highlight w:val="none"/>
          <w:u w:val="single"/>
          <w:lang w:val="zh-CN"/>
        </w:rPr>
      </w:pPr>
      <w:r>
        <w:rPr>
          <w:rFonts w:hint="eastAsia" w:ascii="宋体" w:hAnsi="宋体" w:eastAsia="宋体" w:cs="宋体"/>
          <w:b/>
          <w:bCs/>
          <w:color w:val="auto"/>
          <w:sz w:val="22"/>
          <w:szCs w:val="22"/>
          <w:highlight w:val="none"/>
        </w:rPr>
        <w:t xml:space="preserve">3.2投标人的报价文件至少应包括以下内容： </w:t>
      </w:r>
    </w:p>
    <w:p w14:paraId="43A5D2B3">
      <w:pPr>
        <w:snapToGrid w:val="0"/>
        <w:spacing w:line="460" w:lineRule="exact"/>
        <w:ind w:left="105" w:leftChars="50" w:firstLine="440" w:firstLineChars="200"/>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（1）投标函；</w:t>
      </w:r>
    </w:p>
    <w:p w14:paraId="20A24F98">
      <w:pPr>
        <w:snapToGrid w:val="0"/>
        <w:spacing w:line="460" w:lineRule="exact"/>
        <w:ind w:left="105" w:leftChars="50" w:firstLine="440" w:firstLineChars="200"/>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（2）投标报价一览表；</w:t>
      </w:r>
    </w:p>
    <w:p w14:paraId="65E895BD">
      <w:pPr>
        <w:snapToGrid w:val="0"/>
        <w:spacing w:line="460" w:lineRule="exact"/>
        <w:ind w:firstLine="442" w:firstLineChars="200"/>
        <w:rPr>
          <w:rFonts w:hint="eastAsia" w:ascii="宋体" w:hAnsi="宋体" w:eastAsia="宋体" w:cs="宋体"/>
          <w:b/>
          <w:bCs/>
          <w:color w:val="auto"/>
          <w:kern w:val="0"/>
          <w:sz w:val="22"/>
          <w:szCs w:val="22"/>
          <w:highlight w:val="none"/>
          <w:lang w:val="zh-CN"/>
        </w:rPr>
      </w:pPr>
      <w:r>
        <w:rPr>
          <w:rFonts w:hint="eastAsia" w:ascii="宋体" w:hAnsi="宋体" w:eastAsia="宋体" w:cs="宋体"/>
          <w:b/>
          <w:bCs/>
          <w:color w:val="auto"/>
          <w:kern w:val="0"/>
          <w:sz w:val="22"/>
          <w:szCs w:val="22"/>
          <w:highlight w:val="none"/>
        </w:rPr>
        <w:t>3.3</w:t>
      </w:r>
      <w:r>
        <w:rPr>
          <w:rFonts w:hint="eastAsia" w:ascii="宋体" w:hAnsi="宋体" w:eastAsia="宋体" w:cs="宋体"/>
          <w:b/>
          <w:bCs/>
          <w:color w:val="auto"/>
          <w:kern w:val="0"/>
          <w:sz w:val="22"/>
          <w:szCs w:val="22"/>
          <w:highlight w:val="none"/>
          <w:lang w:val="zh-CN"/>
        </w:rPr>
        <w:t xml:space="preserve">投标人的商务技术文件应包括以下内容： </w:t>
      </w:r>
    </w:p>
    <w:p w14:paraId="360410FE">
      <w:pPr>
        <w:snapToGrid w:val="0"/>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（1）法定代表人授权委托书（需提供法定代表人及授权委托人的身份证复印件加盖公章）；</w:t>
      </w:r>
    </w:p>
    <w:p w14:paraId="414D3731">
      <w:pPr>
        <w:snapToGrid w:val="0"/>
        <w:spacing w:line="460" w:lineRule="exact"/>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（2）投标人情况表</w:t>
      </w:r>
      <w:r>
        <w:rPr>
          <w:rFonts w:hint="eastAsia" w:ascii="宋体" w:hAnsi="宋体" w:eastAsia="宋体" w:cs="宋体"/>
          <w:color w:val="auto"/>
          <w:sz w:val="22"/>
          <w:szCs w:val="22"/>
          <w:highlight w:val="none"/>
          <w:lang w:eastAsia="zh-CN"/>
        </w:rPr>
        <w:t> </w:t>
      </w:r>
    </w:p>
    <w:p w14:paraId="284E4091">
      <w:pPr>
        <w:snapToGrid w:val="0"/>
        <w:spacing w:line="460" w:lineRule="exact"/>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zh-CN"/>
        </w:rPr>
        <w:t>偏离表（</w:t>
      </w:r>
      <w:r>
        <w:rPr>
          <w:rFonts w:hint="eastAsia" w:ascii="宋体" w:hAnsi="宋体" w:eastAsia="宋体" w:cs="宋体"/>
          <w:color w:val="auto"/>
          <w:sz w:val="22"/>
          <w:szCs w:val="22"/>
          <w:highlight w:val="none"/>
        </w:rPr>
        <w:t>商务、技术偏离</w:t>
      </w:r>
      <w:r>
        <w:rPr>
          <w:rFonts w:hint="eastAsia" w:ascii="宋体" w:hAnsi="宋体" w:eastAsia="宋体" w:cs="宋体"/>
          <w:color w:val="auto"/>
          <w:sz w:val="22"/>
          <w:szCs w:val="22"/>
          <w:highlight w:val="none"/>
          <w:lang w:val="zh-CN"/>
        </w:rPr>
        <w:t>）</w:t>
      </w:r>
    </w:p>
    <w:p w14:paraId="4E9050A5">
      <w:pPr>
        <w:snapToGrid w:val="0"/>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4</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详细供货清单说明一览表</w:t>
      </w:r>
    </w:p>
    <w:p w14:paraId="59936430">
      <w:pPr>
        <w:snapToGrid w:val="0"/>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投标人综合情况</w:t>
      </w:r>
    </w:p>
    <w:p w14:paraId="3D8E986D">
      <w:pPr>
        <w:snapToGrid w:val="0"/>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6</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食品情况</w:t>
      </w:r>
    </w:p>
    <w:p w14:paraId="093D2354">
      <w:pPr>
        <w:snapToGrid w:val="0"/>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7</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产品的符合程度</w:t>
      </w:r>
    </w:p>
    <w:p w14:paraId="0ED4EF6B">
      <w:pPr>
        <w:snapToGrid w:val="0"/>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8</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仓储情况</w:t>
      </w:r>
    </w:p>
    <w:p w14:paraId="3E532628">
      <w:pPr>
        <w:snapToGrid w:val="0"/>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9</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货物品质保证措施</w:t>
      </w:r>
    </w:p>
    <w:p w14:paraId="28961CB6">
      <w:pPr>
        <w:snapToGrid w:val="0"/>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10</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配送方案</w:t>
      </w:r>
    </w:p>
    <w:p w14:paraId="61B21E58">
      <w:pPr>
        <w:snapToGrid w:val="0"/>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11</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应急方案和承诺</w:t>
      </w:r>
    </w:p>
    <w:p w14:paraId="3B479225">
      <w:pPr>
        <w:snapToGrid w:val="0"/>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12</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业绩</w:t>
      </w:r>
    </w:p>
    <w:p w14:paraId="5725B25F">
      <w:pPr>
        <w:snapToGrid w:val="0"/>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rPr>
        <w:t>）其他必要提供的资料。</w:t>
      </w:r>
    </w:p>
    <w:p w14:paraId="198BD4A1">
      <w:pPr>
        <w:spacing w:line="460" w:lineRule="exact"/>
        <w:ind w:firstLine="440" w:firstLineChars="200"/>
        <w:rPr>
          <w:rFonts w:hint="eastAsia" w:ascii="宋体" w:hAnsi="宋体" w:eastAsia="宋体" w:cs="宋体"/>
          <w:b w:val="0"/>
          <w:bCs/>
          <w:color w:val="auto"/>
          <w:sz w:val="22"/>
          <w:szCs w:val="22"/>
          <w:highlight w:val="none"/>
          <w:lang w:val="zh-CN"/>
        </w:rPr>
      </w:pPr>
      <w:r>
        <w:rPr>
          <w:rFonts w:hint="eastAsia" w:ascii="宋体" w:hAnsi="宋体" w:eastAsia="宋体" w:cs="宋体"/>
          <w:b w:val="0"/>
          <w:bCs/>
          <w:color w:val="auto"/>
          <w:sz w:val="22"/>
          <w:szCs w:val="22"/>
          <w:highlight w:val="none"/>
          <w:lang w:val="zh-CN"/>
        </w:rPr>
        <w:t>投标文件中所需的各种证书、证件、证明资料如是复印件，须在复印件上加盖有效公章。</w:t>
      </w:r>
    </w:p>
    <w:p w14:paraId="3522616A">
      <w:pPr>
        <w:pStyle w:val="28"/>
        <w:snapToGrid w:val="0"/>
        <w:spacing w:line="460" w:lineRule="exact"/>
        <w:ind w:firstLine="440" w:firstLineChars="200"/>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lang w:val="zh-CN"/>
        </w:rPr>
        <w:t>投标人的</w:t>
      </w:r>
      <w:r>
        <w:rPr>
          <w:rFonts w:hint="eastAsia" w:ascii="宋体" w:hAnsi="宋体" w:eastAsia="宋体" w:cs="宋体"/>
          <w:b w:val="0"/>
          <w:bCs/>
          <w:color w:val="auto"/>
          <w:sz w:val="22"/>
          <w:szCs w:val="22"/>
          <w:highlight w:val="none"/>
        </w:rPr>
        <w:t>投标文件必须按照招标文件要求制作。</w:t>
      </w:r>
    </w:p>
    <w:p w14:paraId="1556B5DD">
      <w:pPr>
        <w:pStyle w:val="28"/>
        <w:snapToGrid w:val="0"/>
        <w:spacing w:line="460" w:lineRule="exact"/>
        <w:ind w:firstLine="440" w:firstLineChars="200"/>
        <w:rPr>
          <w:rFonts w:hint="eastAsia" w:ascii="宋体" w:hAnsi="宋体" w:eastAsia="宋体" w:cs="宋体"/>
          <w:bCs/>
          <w:color w:val="auto"/>
          <w:sz w:val="22"/>
          <w:szCs w:val="22"/>
          <w:highlight w:val="none"/>
        </w:rPr>
      </w:pPr>
      <w:r>
        <w:rPr>
          <w:rFonts w:hint="eastAsia" w:ascii="宋体" w:hAnsi="宋体" w:eastAsia="宋体" w:cs="宋体"/>
          <w:b w:val="0"/>
          <w:bCs/>
          <w:color w:val="auto"/>
          <w:sz w:val="22"/>
          <w:szCs w:val="22"/>
          <w:highlight w:val="none"/>
        </w:rPr>
        <w:t>投标人可在招标文件中对招标货物的技术规格和要求选用替代标准，但这些替代标准必须相当于或优于招标文件中提出的相应要求，并使招标人满意，同时在技术偏离表中作出详细说明。</w:t>
      </w:r>
    </w:p>
    <w:p w14:paraId="249146DB">
      <w:pPr>
        <w:spacing w:line="460" w:lineRule="exact"/>
        <w:ind w:firstLine="541" w:firstLineChars="245"/>
        <w:rPr>
          <w:rFonts w:hint="eastAsia" w:ascii="宋体" w:hAnsi="宋体" w:eastAsia="宋体" w:cs="宋体"/>
          <w:b/>
          <w:color w:val="auto"/>
          <w:sz w:val="22"/>
          <w:szCs w:val="22"/>
          <w:highlight w:val="none"/>
        </w:rPr>
      </w:pPr>
      <w:r>
        <w:rPr>
          <w:rFonts w:hint="eastAsia" w:ascii="宋体" w:hAnsi="宋体" w:eastAsia="宋体" w:cs="宋体"/>
          <w:b/>
          <w:bCs/>
          <w:color w:val="auto"/>
          <w:sz w:val="22"/>
          <w:szCs w:val="22"/>
          <w:highlight w:val="none"/>
        </w:rPr>
        <w:t>4、投标报价</w:t>
      </w:r>
    </w:p>
    <w:p w14:paraId="2DCCDCDA">
      <w:pPr>
        <w:spacing w:line="460" w:lineRule="exact"/>
        <w:ind w:firstLine="539" w:firstLineChars="245"/>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highlight w:val="none"/>
        </w:rPr>
        <w:t>4.1投标人应根据国家的有关规定和招标文件要求并结合企业的实际情况进行投标报价。</w:t>
      </w:r>
      <w:r>
        <w:rPr>
          <w:rFonts w:hint="eastAsia" w:ascii="新宋体" w:hAnsi="新宋体" w:eastAsia="新宋体"/>
          <w:b w:val="0"/>
          <w:bCs/>
          <w:color w:val="auto"/>
          <w:sz w:val="22"/>
          <w:szCs w:val="22"/>
          <w:highlight w:val="none"/>
        </w:rPr>
        <w:t>投标报价是指</w:t>
      </w:r>
      <w:r>
        <w:rPr>
          <w:rFonts w:hint="eastAsia" w:ascii="新宋体" w:hAnsi="新宋体" w:eastAsia="新宋体"/>
          <w:b w:val="0"/>
          <w:bCs/>
          <w:color w:val="auto"/>
          <w:sz w:val="22"/>
          <w:szCs w:val="22"/>
          <w:highlight w:val="none"/>
          <w:lang w:val="en-US" w:eastAsia="zh-CN"/>
        </w:rPr>
        <w:t>产品</w:t>
      </w:r>
      <w:r>
        <w:rPr>
          <w:rFonts w:hint="eastAsia" w:ascii="新宋体" w:hAnsi="新宋体" w:eastAsia="新宋体"/>
          <w:b w:val="0"/>
          <w:bCs/>
          <w:color w:val="auto"/>
          <w:sz w:val="22"/>
          <w:szCs w:val="22"/>
          <w:highlight w:val="none"/>
        </w:rPr>
        <w:t>的供货、税金、包装、运输、保险、装卸、检验、验收（含第三方</w:t>
      </w:r>
      <w:r>
        <w:rPr>
          <w:rFonts w:hint="eastAsia" w:ascii="新宋体" w:hAnsi="新宋体" w:eastAsia="新宋体"/>
          <w:b w:val="0"/>
          <w:bCs/>
          <w:color w:val="auto"/>
          <w:sz w:val="22"/>
          <w:szCs w:val="22"/>
          <w:highlight w:val="none"/>
          <w:lang w:val="en-US" w:eastAsia="zh-CN"/>
        </w:rPr>
        <w:t>检测</w:t>
      </w:r>
      <w:r>
        <w:rPr>
          <w:rFonts w:hint="eastAsia" w:ascii="新宋体" w:hAnsi="新宋体" w:eastAsia="新宋体"/>
          <w:b w:val="0"/>
          <w:bCs/>
          <w:color w:val="auto"/>
          <w:sz w:val="22"/>
          <w:szCs w:val="22"/>
          <w:highlight w:val="none"/>
        </w:rPr>
        <w:t>）、技术服务、售后服务、质保期保障、材料等完成合同所需的一切本身和不可或缺的所有工作开支、政策性文件规定及合同包含的所有风险、责任等各项全部费用，供应商应根据上述因素自行考虑含入投标报价。</w:t>
      </w:r>
    </w:p>
    <w:p w14:paraId="4685A0FA">
      <w:pPr>
        <w:spacing w:line="460" w:lineRule="exact"/>
        <w:ind w:firstLine="539" w:firstLineChars="245"/>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rPr>
        <w:t>4.2投标人必须按附件中的投标报价一览表、投标分项报价表内容填写价格，并由投标人代表签署。</w:t>
      </w:r>
    </w:p>
    <w:p w14:paraId="4732AA51">
      <w:pPr>
        <w:spacing w:line="460" w:lineRule="exact"/>
        <w:ind w:firstLine="539" w:firstLineChars="245"/>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4.3</w:t>
      </w:r>
      <w:r>
        <w:rPr>
          <w:rFonts w:hint="eastAsia" w:ascii="宋体" w:hAnsi="宋体" w:eastAsia="宋体" w:cs="宋体"/>
          <w:b w:val="0"/>
          <w:bCs w:val="0"/>
          <w:color w:val="auto"/>
          <w:sz w:val="22"/>
          <w:highlight w:val="none"/>
        </w:rPr>
        <w:t>投标货币以人民币进行投标</w:t>
      </w:r>
      <w:r>
        <w:rPr>
          <w:rFonts w:hint="eastAsia" w:ascii="宋体" w:hAnsi="宋体" w:eastAsia="宋体" w:cs="宋体"/>
          <w:b w:val="0"/>
          <w:bCs w:val="0"/>
          <w:color w:val="auto"/>
          <w:sz w:val="22"/>
          <w:szCs w:val="22"/>
          <w:highlight w:val="none"/>
        </w:rPr>
        <w:t>。</w:t>
      </w:r>
    </w:p>
    <w:p w14:paraId="2C37739D">
      <w:pPr>
        <w:spacing w:line="460" w:lineRule="exact"/>
        <w:ind w:firstLine="539" w:firstLineChars="245"/>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4.4</w:t>
      </w:r>
      <w:r>
        <w:rPr>
          <w:rFonts w:hint="eastAsia" w:ascii="宋体" w:hAnsi="宋体" w:eastAsia="宋体" w:cs="宋体"/>
          <w:b w:val="0"/>
          <w:bCs w:val="0"/>
          <w:color w:val="auto"/>
          <w:sz w:val="22"/>
          <w:highlight w:val="none"/>
        </w:rPr>
        <w:t>招标人和招标代理机构不接受任何选择投标，对任何服务只允许一个价格。</w:t>
      </w:r>
    </w:p>
    <w:p w14:paraId="6F714CB7">
      <w:pPr>
        <w:spacing w:line="460" w:lineRule="exact"/>
        <w:ind w:firstLine="539" w:firstLineChars="245"/>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rPr>
        <w:t>4.5招标人和</w:t>
      </w:r>
      <w:r>
        <w:rPr>
          <w:rFonts w:hint="eastAsia" w:ascii="宋体" w:hAnsi="宋体" w:eastAsia="宋体" w:cs="宋体"/>
          <w:color w:val="auto"/>
          <w:sz w:val="22"/>
          <w:highlight w:val="none"/>
        </w:rPr>
        <w:t>招标代理机构</w:t>
      </w:r>
      <w:r>
        <w:rPr>
          <w:rFonts w:hint="eastAsia" w:ascii="宋体" w:hAnsi="宋体" w:eastAsia="宋体" w:cs="宋体"/>
          <w:color w:val="auto"/>
          <w:sz w:val="22"/>
          <w:szCs w:val="22"/>
          <w:highlight w:val="none"/>
        </w:rPr>
        <w:t>要求分类报价是为了方便评标，但在任何情况下不限制招标人以其认为最合适的条款、条件签订合同的权利。</w:t>
      </w:r>
    </w:p>
    <w:p w14:paraId="034AC50C">
      <w:pPr>
        <w:spacing w:line="460" w:lineRule="exact"/>
        <w:ind w:firstLine="539" w:firstLineChars="245"/>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4.6投标报价报出后，投标人不得以任何理由予以变更。任何包含价格调整的要求，将被认为是非实质性响应投标而予以否决。</w:t>
      </w:r>
    </w:p>
    <w:p w14:paraId="007318E5">
      <w:pPr>
        <w:spacing w:line="460" w:lineRule="exact"/>
        <w:ind w:firstLine="539" w:firstLineChars="245"/>
        <w:rPr>
          <w:rFonts w:hint="eastAsia" w:ascii="宋体" w:hAnsi="宋体" w:eastAsia="宋体" w:cs="宋体"/>
          <w:b/>
          <w:color w:val="auto"/>
          <w:sz w:val="22"/>
          <w:szCs w:val="22"/>
          <w:highlight w:val="none"/>
        </w:rPr>
      </w:pPr>
      <w:r>
        <w:rPr>
          <w:rFonts w:hint="eastAsia" w:ascii="宋体" w:hAnsi="宋体" w:eastAsia="宋体" w:cs="宋体"/>
          <w:b w:val="0"/>
          <w:bCs/>
          <w:color w:val="auto"/>
          <w:sz w:val="22"/>
          <w:szCs w:val="22"/>
          <w:highlight w:val="none"/>
        </w:rPr>
        <w:t>4.7最低报价不能作为中标的保证。</w:t>
      </w:r>
    </w:p>
    <w:p w14:paraId="6E30D82C">
      <w:pPr>
        <w:spacing w:line="460" w:lineRule="exact"/>
        <w:ind w:firstLine="541" w:firstLineChars="245"/>
        <w:rPr>
          <w:rFonts w:hint="eastAsia" w:ascii="宋体" w:hAnsi="宋体" w:eastAsia="宋体" w:cs="宋体"/>
          <w:b/>
          <w:color w:val="auto"/>
          <w:sz w:val="22"/>
          <w:szCs w:val="22"/>
          <w:highlight w:val="none"/>
        </w:rPr>
      </w:pPr>
      <w:r>
        <w:rPr>
          <w:rFonts w:hint="eastAsia" w:ascii="宋体" w:hAnsi="宋体" w:eastAsia="宋体" w:cs="宋体"/>
          <w:b/>
          <w:bCs/>
          <w:color w:val="auto"/>
          <w:sz w:val="22"/>
          <w:szCs w:val="22"/>
          <w:highlight w:val="none"/>
        </w:rPr>
        <w:t>5、投标有效期</w:t>
      </w:r>
    </w:p>
    <w:p w14:paraId="2DF5E526">
      <w:pPr>
        <w:spacing w:line="460" w:lineRule="exact"/>
        <w:ind w:firstLine="539" w:firstLineChars="245"/>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 xml:space="preserve">5.1自开标之日起 </w:t>
      </w:r>
      <w:r>
        <w:rPr>
          <w:rFonts w:hint="eastAsia" w:ascii="宋体" w:hAnsi="宋体" w:cs="宋体"/>
          <w:b w:val="0"/>
          <w:bCs/>
          <w:color w:val="auto"/>
          <w:sz w:val="22"/>
          <w:szCs w:val="22"/>
          <w:highlight w:val="none"/>
          <w:lang w:val="en-US" w:eastAsia="zh-CN"/>
        </w:rPr>
        <w:t>90</w:t>
      </w:r>
      <w:r>
        <w:rPr>
          <w:rFonts w:hint="eastAsia" w:ascii="宋体" w:hAnsi="宋体" w:eastAsia="宋体" w:cs="宋体"/>
          <w:b w:val="0"/>
          <w:bCs/>
          <w:color w:val="auto"/>
          <w:sz w:val="22"/>
          <w:szCs w:val="22"/>
          <w:highlight w:val="none"/>
        </w:rPr>
        <w:t xml:space="preserve"> 天内投标应保持有效。</w:t>
      </w:r>
    </w:p>
    <w:p w14:paraId="2E79847B">
      <w:pPr>
        <w:spacing w:line="460" w:lineRule="exact"/>
        <w:ind w:firstLine="539" w:firstLineChars="2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5.2特殊情况下，在原投标有效期截止前，招标人、招标代理机构可与投标人协商延长投标有效期，这种要求和答复均以书面形式进行。投标人可拒绝接受延期要求。同意延长投标有效期的投标人不得修改投标文件。</w:t>
      </w:r>
    </w:p>
    <w:p w14:paraId="536EEA13">
      <w:pPr>
        <w:spacing w:line="460" w:lineRule="exact"/>
        <w:ind w:firstLine="541" w:firstLineChars="245"/>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6、投标保证金</w:t>
      </w:r>
    </w:p>
    <w:p w14:paraId="309AE889">
      <w:pPr>
        <w:spacing w:line="460" w:lineRule="exact"/>
        <w:ind w:firstLine="539" w:firstLineChars="2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无。</w:t>
      </w:r>
    </w:p>
    <w:p w14:paraId="691BA164">
      <w:pPr>
        <w:spacing w:line="460" w:lineRule="exact"/>
        <w:ind w:firstLine="541" w:firstLineChars="245"/>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7、投标文件编制</w:t>
      </w:r>
    </w:p>
    <w:p w14:paraId="0DB43EAB">
      <w:pPr>
        <w:spacing w:line="460" w:lineRule="exact"/>
        <w:ind w:firstLine="539" w:firstLineChars="245"/>
        <w:rPr>
          <w:rFonts w:hint="eastAsia" w:ascii="宋体" w:hAnsi="宋体" w:eastAsia="宋体" w:cs="宋体"/>
          <w:b w:val="0"/>
          <w:bCs w:val="0"/>
          <w:color w:val="auto"/>
          <w:sz w:val="22"/>
          <w:szCs w:val="22"/>
          <w:highlight w:val="none"/>
          <w:u w:val="none"/>
        </w:rPr>
      </w:pPr>
      <w:r>
        <w:rPr>
          <w:rFonts w:hint="eastAsia" w:ascii="宋体" w:hAnsi="宋体" w:eastAsia="宋体" w:cs="宋体"/>
          <w:b w:val="0"/>
          <w:bCs w:val="0"/>
          <w:color w:val="auto"/>
          <w:sz w:val="22"/>
          <w:szCs w:val="22"/>
          <w:highlight w:val="none"/>
          <w:u w:val="none"/>
        </w:rPr>
        <w:t>7.1本项目通过“</w:t>
      </w:r>
      <w:r>
        <w:rPr>
          <w:rFonts w:hint="eastAsia" w:ascii="宋体" w:hAnsi="宋体" w:cs="宋体"/>
          <w:b w:val="0"/>
          <w:bCs w:val="0"/>
          <w:color w:val="auto"/>
          <w:sz w:val="22"/>
          <w:szCs w:val="22"/>
          <w:highlight w:val="none"/>
          <w:u w:val="none"/>
          <w:lang w:eastAsia="zh-CN"/>
        </w:rPr>
        <w:t>乐采云平台</w:t>
      </w:r>
      <w:r>
        <w:rPr>
          <w:rFonts w:hint="eastAsia" w:ascii="宋体" w:hAnsi="宋体" w:eastAsia="宋体" w:cs="宋体"/>
          <w:b w:val="0"/>
          <w:bCs w:val="0"/>
          <w:color w:val="auto"/>
          <w:sz w:val="22"/>
          <w:szCs w:val="22"/>
          <w:highlight w:val="none"/>
          <w:u w:val="none"/>
        </w:rPr>
        <w:t>（http://zfcg.czt.zj.gov.cn）”实行在线投标响应（电子投标）。供应商应通过“</w:t>
      </w:r>
      <w:r>
        <w:rPr>
          <w:rFonts w:hint="eastAsia" w:ascii="宋体" w:hAnsi="宋体" w:cs="宋体"/>
          <w:b w:val="0"/>
          <w:bCs w:val="0"/>
          <w:color w:val="auto"/>
          <w:sz w:val="22"/>
          <w:szCs w:val="22"/>
          <w:highlight w:val="none"/>
          <w:u w:val="none"/>
          <w:lang w:eastAsia="zh-CN"/>
        </w:rPr>
        <w:t>乐采云</w:t>
      </w:r>
      <w:r>
        <w:rPr>
          <w:rFonts w:hint="eastAsia" w:ascii="宋体" w:hAnsi="宋体" w:eastAsia="宋体" w:cs="宋体"/>
          <w:b w:val="0"/>
          <w:bCs w:val="0"/>
          <w:color w:val="auto"/>
          <w:sz w:val="22"/>
          <w:szCs w:val="22"/>
          <w:highlight w:val="none"/>
          <w:u w:val="none"/>
        </w:rPr>
        <w:t>电子交易客户端”，并按照本招标文件和“</w:t>
      </w:r>
      <w:r>
        <w:rPr>
          <w:rFonts w:hint="eastAsia" w:ascii="宋体" w:hAnsi="宋体" w:cs="宋体"/>
          <w:b w:val="0"/>
          <w:bCs w:val="0"/>
          <w:color w:val="auto"/>
          <w:sz w:val="22"/>
          <w:szCs w:val="22"/>
          <w:highlight w:val="none"/>
          <w:u w:val="none"/>
          <w:lang w:eastAsia="zh-CN"/>
        </w:rPr>
        <w:t>乐采云平台</w:t>
      </w:r>
      <w:r>
        <w:rPr>
          <w:rFonts w:hint="eastAsia" w:ascii="宋体" w:hAnsi="宋体" w:eastAsia="宋体" w:cs="宋体"/>
          <w:b w:val="0"/>
          <w:bCs w:val="0"/>
          <w:color w:val="auto"/>
          <w:sz w:val="22"/>
          <w:szCs w:val="22"/>
          <w:highlight w:val="none"/>
          <w:u w:val="none"/>
        </w:rPr>
        <w:t>”的要求编制并加密投标文件。</w:t>
      </w:r>
    </w:p>
    <w:p w14:paraId="551BE6CC">
      <w:pPr>
        <w:spacing w:line="460" w:lineRule="exact"/>
        <w:ind w:firstLine="539" w:firstLineChars="245"/>
        <w:rPr>
          <w:rFonts w:hint="eastAsia" w:ascii="宋体" w:hAnsi="宋体" w:eastAsia="宋体" w:cs="宋体"/>
          <w:b w:val="0"/>
          <w:bCs w:val="0"/>
          <w:color w:val="auto"/>
          <w:sz w:val="22"/>
          <w:szCs w:val="22"/>
          <w:highlight w:val="none"/>
          <w:u w:val="none"/>
        </w:rPr>
      </w:pPr>
      <w:r>
        <w:rPr>
          <w:rFonts w:hint="eastAsia" w:ascii="宋体" w:hAnsi="宋体" w:eastAsia="宋体" w:cs="宋体"/>
          <w:b w:val="0"/>
          <w:bCs w:val="0"/>
          <w:color w:val="auto"/>
          <w:sz w:val="22"/>
          <w:szCs w:val="22"/>
          <w:highlight w:val="none"/>
          <w:u w:val="none"/>
        </w:rPr>
        <w:t>7.2投标人应当按照本章节 “投标文件的构成”规定的内容及顺序在“</w:t>
      </w:r>
      <w:r>
        <w:rPr>
          <w:rFonts w:hint="eastAsia" w:ascii="宋体" w:hAnsi="宋体" w:cs="宋体"/>
          <w:b w:val="0"/>
          <w:bCs w:val="0"/>
          <w:color w:val="auto"/>
          <w:sz w:val="22"/>
          <w:szCs w:val="22"/>
          <w:highlight w:val="none"/>
          <w:u w:val="none"/>
          <w:lang w:eastAsia="zh-CN"/>
        </w:rPr>
        <w:t>乐采云</w:t>
      </w:r>
      <w:r>
        <w:rPr>
          <w:rFonts w:hint="eastAsia" w:ascii="宋体" w:hAnsi="宋体" w:eastAsia="宋体" w:cs="宋体"/>
          <w:b w:val="0"/>
          <w:bCs w:val="0"/>
          <w:color w:val="auto"/>
          <w:sz w:val="22"/>
          <w:szCs w:val="22"/>
          <w:highlight w:val="none"/>
          <w:u w:val="none"/>
        </w:rPr>
        <w:t>电子交易客户端”编制投标文件。其中《资格文件》和《商务技术文件》中不得出现本项目投标报价。</w:t>
      </w:r>
    </w:p>
    <w:p w14:paraId="0E5DD570">
      <w:pPr>
        <w:spacing w:line="460" w:lineRule="exact"/>
        <w:ind w:firstLine="539" w:firstLineChars="245"/>
        <w:rPr>
          <w:rFonts w:hint="eastAsia" w:ascii="宋体" w:hAnsi="宋体" w:eastAsia="宋体" w:cs="宋体"/>
          <w:b w:val="0"/>
          <w:bCs w:val="0"/>
          <w:color w:val="auto"/>
          <w:sz w:val="22"/>
          <w:szCs w:val="22"/>
          <w:highlight w:val="none"/>
          <w:u w:val="none"/>
        </w:rPr>
      </w:pPr>
      <w:r>
        <w:rPr>
          <w:rFonts w:hint="eastAsia" w:ascii="宋体" w:hAnsi="宋体" w:eastAsia="宋体" w:cs="宋体"/>
          <w:b w:val="0"/>
          <w:bCs w:val="0"/>
          <w:color w:val="auto"/>
          <w:sz w:val="22"/>
          <w:szCs w:val="22"/>
          <w:highlight w:val="none"/>
          <w:u w:val="none"/>
        </w:rPr>
        <w:t>7.3本文件《第三部分  附件》中有提供格式的，投标人须参照格式进行编制（格式中要求提供相关证明材料的还需后附相关证明材料），并按格式要求在指定位置根据要求进行签章，否则视为未提供；本文件《第三部分  附件》未提供格式的，请各投标人自行拟定格式，并加盖单位公章并由法定代表人或其授权代表签署（签字或盖章），否则视为未提供。</w:t>
      </w:r>
    </w:p>
    <w:p w14:paraId="73A71865">
      <w:pPr>
        <w:spacing w:line="460" w:lineRule="exact"/>
        <w:ind w:firstLine="539" w:firstLineChars="245"/>
        <w:rPr>
          <w:rFonts w:hint="eastAsia" w:ascii="宋体" w:hAnsi="宋体" w:eastAsia="宋体" w:cs="宋体"/>
          <w:b w:val="0"/>
          <w:bCs w:val="0"/>
          <w:color w:val="auto"/>
          <w:sz w:val="22"/>
          <w:szCs w:val="22"/>
          <w:highlight w:val="none"/>
          <w:u w:val="none"/>
        </w:rPr>
      </w:pPr>
      <w:r>
        <w:rPr>
          <w:rFonts w:hint="eastAsia" w:ascii="宋体" w:hAnsi="宋体" w:eastAsia="宋体" w:cs="宋体"/>
          <w:b w:val="0"/>
          <w:bCs w:val="0"/>
          <w:color w:val="auto"/>
          <w:sz w:val="22"/>
          <w:szCs w:val="22"/>
          <w:highlight w:val="none"/>
          <w:u w:val="none"/>
        </w:rPr>
        <w:t>7.4《投标文件》内容不完整、编排混乱导致《投标文件》被误读、漏读或者查找不到相关内容的，投标人自行负责。</w:t>
      </w:r>
    </w:p>
    <w:p w14:paraId="4998F2AF">
      <w:pPr>
        <w:spacing w:line="460" w:lineRule="exact"/>
        <w:ind w:firstLine="539" w:firstLineChars="245"/>
        <w:rPr>
          <w:rFonts w:hint="eastAsia" w:ascii="宋体" w:hAnsi="宋体" w:eastAsia="宋体" w:cs="宋体"/>
          <w:b w:val="0"/>
          <w:bCs w:val="0"/>
          <w:color w:val="auto"/>
          <w:sz w:val="22"/>
          <w:szCs w:val="22"/>
          <w:highlight w:val="none"/>
          <w:u w:val="none"/>
        </w:rPr>
      </w:pPr>
      <w:r>
        <w:rPr>
          <w:rFonts w:hint="eastAsia" w:ascii="宋体" w:hAnsi="宋体" w:eastAsia="宋体" w:cs="宋体"/>
          <w:b w:val="0"/>
          <w:bCs w:val="0"/>
          <w:color w:val="auto"/>
          <w:sz w:val="22"/>
          <w:szCs w:val="22"/>
          <w:highlight w:val="none"/>
          <w:u w:val="none"/>
        </w:rPr>
        <w:t>7.5《投标文件》因字迹潦草或表达不清所引起的后果由投标人负责。</w:t>
      </w:r>
    </w:p>
    <w:p w14:paraId="736DD490">
      <w:pPr>
        <w:spacing w:line="460" w:lineRule="exact"/>
        <w:ind w:firstLine="539" w:firstLineChars="245"/>
        <w:rPr>
          <w:rFonts w:hint="eastAsia" w:ascii="宋体" w:hAnsi="宋体" w:eastAsia="宋体" w:cs="宋体"/>
          <w:b w:val="0"/>
          <w:bCs w:val="0"/>
          <w:color w:val="auto"/>
          <w:sz w:val="22"/>
          <w:szCs w:val="22"/>
          <w:highlight w:val="none"/>
          <w:u w:val="none"/>
        </w:rPr>
      </w:pPr>
      <w:r>
        <w:rPr>
          <w:rFonts w:hint="eastAsia" w:ascii="宋体" w:hAnsi="宋体" w:eastAsia="宋体" w:cs="宋体"/>
          <w:b w:val="0"/>
          <w:bCs w:val="0"/>
          <w:color w:val="auto"/>
          <w:sz w:val="22"/>
          <w:szCs w:val="22"/>
          <w:highlight w:val="none"/>
          <w:u w:val="none"/>
        </w:rPr>
        <w:t>7.6投标人没有按照本章节 “投标文件的构成”要求提供全部资料，或者没有仔细阅读招标文件，或者没有对招标文件在各方面的要求作出实质性响应是投标人的风险，由此造成的一切后果由投标人自行承担。</w:t>
      </w:r>
    </w:p>
    <w:p w14:paraId="687E0274">
      <w:pPr>
        <w:spacing w:line="460" w:lineRule="exact"/>
        <w:ind w:firstLine="541" w:firstLineChars="245"/>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8、投标文件的签章</w:t>
      </w:r>
    </w:p>
    <w:p w14:paraId="1EEE1D51">
      <w:pPr>
        <w:spacing w:line="460" w:lineRule="exact"/>
        <w:ind w:firstLine="539" w:firstLineChars="245"/>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8.1《投标文件》的签章：见《前附表》；</w:t>
      </w:r>
    </w:p>
    <w:p w14:paraId="110F7AA4">
      <w:pPr>
        <w:spacing w:line="460" w:lineRule="exact"/>
        <w:ind w:firstLine="539" w:firstLineChars="245"/>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8.2《投标文件》应由投标人法定代表人或其授权代表签字（或盖章），并加盖投标人公章。</w:t>
      </w:r>
    </w:p>
    <w:p w14:paraId="131C5EE1">
      <w:pPr>
        <w:spacing w:line="460" w:lineRule="exact"/>
        <w:ind w:firstLine="539" w:firstLineChars="245"/>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8.3电子签章操作指南详见采购公告附件《供应商项目采购-电子招投标操作指南》。</w:t>
      </w:r>
    </w:p>
    <w:p w14:paraId="6EDD80A2">
      <w:pPr>
        <w:spacing w:line="460" w:lineRule="exact"/>
        <w:ind w:firstLine="541" w:firstLineChars="245"/>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9、投标文件的形式</w:t>
      </w:r>
    </w:p>
    <w:p w14:paraId="0FD0C344">
      <w:pPr>
        <w:spacing w:line="460" w:lineRule="exact"/>
        <w:ind w:firstLine="539" w:firstLineChars="245"/>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9.1投标文件的形式：见《前附表》；</w:t>
      </w:r>
    </w:p>
    <w:p w14:paraId="179CF893">
      <w:pPr>
        <w:spacing w:line="460" w:lineRule="exact"/>
        <w:ind w:firstLine="539" w:firstLineChars="245"/>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9.2“电子加密投标文件”：“电子加密投标文件”是指通过“</w:t>
      </w:r>
      <w:r>
        <w:rPr>
          <w:rFonts w:hint="eastAsia" w:ascii="宋体" w:hAnsi="宋体" w:cs="宋体"/>
          <w:b w:val="0"/>
          <w:bCs w:val="0"/>
          <w:color w:val="auto"/>
          <w:sz w:val="22"/>
          <w:szCs w:val="22"/>
          <w:highlight w:val="none"/>
          <w:lang w:eastAsia="zh-CN"/>
        </w:rPr>
        <w:t>乐采云</w:t>
      </w:r>
      <w:r>
        <w:rPr>
          <w:rFonts w:hint="eastAsia" w:ascii="宋体" w:hAnsi="宋体" w:eastAsia="宋体" w:cs="宋体"/>
          <w:b w:val="0"/>
          <w:bCs w:val="0"/>
          <w:color w:val="auto"/>
          <w:sz w:val="22"/>
          <w:szCs w:val="22"/>
          <w:highlight w:val="none"/>
        </w:rPr>
        <w:t>电子交易客户端”完成投标文件编制后生成并加密的数据电文形式的投标文件。</w:t>
      </w:r>
    </w:p>
    <w:p w14:paraId="2B0437C4">
      <w:pPr>
        <w:spacing w:line="460" w:lineRule="exact"/>
        <w:ind w:firstLine="539" w:firstLineChars="245"/>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9.3“备份投标文件”：“备份投标文件”是指与“电子加密投标文件”同时生成的数据电文形式的电子文件（备份标书），其他方式编制的“备份投标文件”视为无效的“备份投标文件”。</w:t>
      </w:r>
    </w:p>
    <w:p w14:paraId="0E70274B">
      <w:pPr>
        <w:spacing w:line="460" w:lineRule="exact"/>
        <w:ind w:firstLine="541" w:firstLineChars="245"/>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10、投标文件的份数</w:t>
      </w:r>
    </w:p>
    <w:p w14:paraId="34124490">
      <w:pPr>
        <w:spacing w:line="460" w:lineRule="exact"/>
        <w:ind w:firstLine="539" w:firstLineChars="245"/>
        <w:rPr>
          <w:rFonts w:hint="eastAsia" w:ascii="宋体" w:hAnsi="宋体" w:eastAsia="宋体" w:cs="宋体"/>
          <w:b/>
          <w:bCs/>
          <w:color w:val="auto"/>
          <w:sz w:val="22"/>
          <w:szCs w:val="22"/>
          <w:highlight w:val="none"/>
        </w:rPr>
      </w:pPr>
      <w:r>
        <w:rPr>
          <w:rFonts w:hint="eastAsia" w:ascii="宋体" w:hAnsi="宋体" w:eastAsia="宋体" w:cs="宋体"/>
          <w:b w:val="0"/>
          <w:bCs w:val="0"/>
          <w:color w:val="auto"/>
          <w:sz w:val="22"/>
          <w:szCs w:val="22"/>
          <w:highlight w:val="none"/>
        </w:rPr>
        <w:t>10.1投标文件的份数：见《前附表》。</w:t>
      </w:r>
    </w:p>
    <w:p w14:paraId="69766CFB">
      <w:pPr>
        <w:spacing w:before="100" w:beforeAutospacing="1" w:after="100" w:afterAutospacing="1" w:line="440" w:lineRule="exact"/>
        <w:jc w:val="center"/>
        <w:outlineLvl w:val="1"/>
        <w:rPr>
          <w:rFonts w:hint="eastAsia" w:ascii="宋体" w:hAnsi="宋体" w:eastAsia="宋体" w:cs="宋体"/>
          <w:b/>
          <w:bCs/>
          <w:color w:val="auto"/>
          <w:sz w:val="22"/>
          <w:szCs w:val="22"/>
          <w:highlight w:val="none"/>
        </w:rPr>
      </w:pPr>
      <w:bookmarkStart w:id="16" w:name="_Toc18542"/>
      <w:bookmarkStart w:id="17" w:name="_Toc15422"/>
      <w:r>
        <w:rPr>
          <w:rFonts w:hint="eastAsia" w:ascii="宋体" w:hAnsi="宋体" w:eastAsia="宋体" w:cs="宋体"/>
          <w:b/>
          <w:bCs/>
          <w:color w:val="auto"/>
          <w:sz w:val="22"/>
          <w:szCs w:val="22"/>
          <w:highlight w:val="none"/>
        </w:rPr>
        <w:t>四、 投标文件的递交</w:t>
      </w:r>
      <w:bookmarkEnd w:id="16"/>
      <w:bookmarkEnd w:id="17"/>
    </w:p>
    <w:p w14:paraId="5F22D4AA">
      <w:pPr>
        <w:spacing w:line="460" w:lineRule="exact"/>
        <w:ind w:firstLine="539" w:firstLineChars="245"/>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1、投标文件的上传和递交</w:t>
      </w:r>
    </w:p>
    <w:p w14:paraId="440ADC76">
      <w:pPr>
        <w:spacing w:line="460" w:lineRule="exact"/>
        <w:ind w:firstLine="539" w:firstLineChars="245"/>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1.1“投标文件”的上传、递交：见《前附表》。</w:t>
      </w:r>
    </w:p>
    <w:p w14:paraId="678E6B07">
      <w:pPr>
        <w:spacing w:line="460" w:lineRule="exact"/>
        <w:ind w:firstLine="539" w:firstLineChars="245"/>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2、“电子加密投标文件”解密和异常情况处理</w:t>
      </w:r>
    </w:p>
    <w:p w14:paraId="259AC9B6">
      <w:pPr>
        <w:spacing w:line="460" w:lineRule="exact"/>
        <w:ind w:firstLine="539" w:firstLineChars="2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2.1“电子加密投标文件”解密：见《前附表》。</w:t>
      </w:r>
    </w:p>
    <w:p w14:paraId="0E400DC3">
      <w:pPr>
        <w:spacing w:line="460" w:lineRule="exact"/>
        <w:ind w:firstLine="539" w:firstLineChars="2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3、投标文件的补充、修改或撤回</w:t>
      </w:r>
    </w:p>
    <w:p w14:paraId="7A62FD12">
      <w:pPr>
        <w:spacing w:line="460" w:lineRule="exact"/>
        <w:ind w:firstLine="539" w:firstLineChars="2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3.1供应商应当在投标截止时间前完成投标文件的上传、递交，并可以补充、修改或者撤回投标文件。补充或者修改投标文件的，应当先行撤回原文件，补充、修改后重新上传、递交。投标截止时间前未完成上传、递交的，视为撤回投标文件。投标截止时间后递交的投标文件，“</w:t>
      </w:r>
      <w:r>
        <w:rPr>
          <w:rFonts w:hint="eastAsia" w:ascii="宋体" w:hAnsi="宋体" w:cs="宋体"/>
          <w:color w:val="auto"/>
          <w:sz w:val="22"/>
          <w:szCs w:val="22"/>
          <w:highlight w:val="none"/>
          <w:lang w:eastAsia="zh-CN"/>
        </w:rPr>
        <w:t>乐采云平台</w:t>
      </w:r>
      <w:r>
        <w:rPr>
          <w:rFonts w:hint="eastAsia" w:ascii="宋体" w:hAnsi="宋体" w:eastAsia="宋体" w:cs="宋体"/>
          <w:color w:val="auto"/>
          <w:sz w:val="22"/>
          <w:szCs w:val="22"/>
          <w:highlight w:val="none"/>
        </w:rPr>
        <w:t>”将予以拒收。</w:t>
      </w:r>
    </w:p>
    <w:p w14:paraId="476475EC">
      <w:pPr>
        <w:spacing w:line="460" w:lineRule="exact"/>
        <w:ind w:firstLine="539" w:firstLineChars="2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3.2投标截止时间后，投标人不得撤回、修改《投标文件》。</w:t>
      </w:r>
    </w:p>
    <w:p w14:paraId="6E2F4554">
      <w:pPr>
        <w:spacing w:line="460" w:lineRule="exact"/>
        <w:ind w:firstLine="539" w:firstLineChars="2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4、投标文件的备选方案</w:t>
      </w:r>
    </w:p>
    <w:p w14:paraId="7FE4AA6E">
      <w:pPr>
        <w:spacing w:line="460" w:lineRule="exact"/>
        <w:ind w:firstLine="539" w:firstLineChars="245"/>
        <w:rPr>
          <w:rFonts w:hint="eastAsia" w:ascii="宋体" w:hAnsi="宋体" w:eastAsia="宋体" w:cs="宋体"/>
          <w:b/>
          <w:bCs/>
          <w:color w:val="auto"/>
          <w:sz w:val="22"/>
          <w:szCs w:val="22"/>
          <w:highlight w:val="none"/>
        </w:rPr>
      </w:pPr>
      <w:r>
        <w:rPr>
          <w:rFonts w:hint="eastAsia" w:ascii="宋体" w:hAnsi="宋体" w:eastAsia="宋体" w:cs="宋体"/>
          <w:color w:val="auto"/>
          <w:sz w:val="22"/>
          <w:szCs w:val="22"/>
          <w:highlight w:val="none"/>
        </w:rPr>
        <w:t>4.1投标人不得递交任何的投标备选（替代）方案，否则其投标文件将作无效标处理。与“电子加密投标文件”同时生成的“备份投标文件”不是投标备选（替代）方案。</w:t>
      </w:r>
    </w:p>
    <w:p w14:paraId="69192B1A">
      <w:pPr>
        <w:spacing w:before="100" w:beforeAutospacing="1" w:after="100" w:afterAutospacing="1" w:line="460" w:lineRule="exact"/>
        <w:jc w:val="center"/>
        <w:outlineLvl w:val="1"/>
        <w:rPr>
          <w:rFonts w:hint="eastAsia" w:ascii="宋体" w:hAnsi="宋体" w:eastAsia="宋体" w:cs="宋体"/>
          <w:b/>
          <w:bCs/>
          <w:color w:val="auto"/>
          <w:sz w:val="22"/>
          <w:szCs w:val="22"/>
          <w:highlight w:val="none"/>
        </w:rPr>
      </w:pPr>
      <w:bookmarkStart w:id="18" w:name="_Toc30172"/>
      <w:bookmarkStart w:id="19" w:name="_Toc8079"/>
      <w:r>
        <w:rPr>
          <w:rFonts w:hint="eastAsia" w:ascii="宋体" w:hAnsi="宋体" w:eastAsia="宋体" w:cs="宋体"/>
          <w:b/>
          <w:bCs/>
          <w:color w:val="auto"/>
          <w:sz w:val="22"/>
          <w:szCs w:val="22"/>
          <w:highlight w:val="none"/>
        </w:rPr>
        <w:t>五、 开标和评标</w:t>
      </w:r>
      <w:bookmarkEnd w:id="18"/>
      <w:bookmarkEnd w:id="19"/>
    </w:p>
    <w:p w14:paraId="59FDDF70">
      <w:pPr>
        <w:spacing w:line="460" w:lineRule="exact"/>
        <w:ind w:firstLine="541" w:firstLineChars="245"/>
        <w:rPr>
          <w:rFonts w:hint="eastAsia" w:ascii="宋体" w:hAnsi="宋体" w:eastAsia="宋体" w:cs="宋体"/>
          <w:b/>
          <w:color w:val="auto"/>
          <w:sz w:val="22"/>
          <w:szCs w:val="22"/>
          <w:highlight w:val="none"/>
        </w:rPr>
      </w:pPr>
      <w:r>
        <w:rPr>
          <w:rFonts w:hint="eastAsia" w:ascii="宋体" w:hAnsi="宋体" w:eastAsia="宋体" w:cs="宋体"/>
          <w:b/>
          <w:bCs/>
          <w:color w:val="auto"/>
          <w:sz w:val="22"/>
          <w:szCs w:val="22"/>
          <w:highlight w:val="none"/>
        </w:rPr>
        <w:t>1、评标委员会</w:t>
      </w:r>
    </w:p>
    <w:p w14:paraId="1A9209AC">
      <w:pPr>
        <w:spacing w:line="460" w:lineRule="exact"/>
        <w:ind w:firstLine="539" w:firstLineChars="245"/>
        <w:rPr>
          <w:rFonts w:hint="eastAsia" w:ascii="宋体" w:hAnsi="宋体" w:eastAsia="宋体" w:cs="宋体"/>
          <w:b/>
          <w:color w:val="auto"/>
          <w:sz w:val="22"/>
          <w:szCs w:val="22"/>
          <w:highlight w:val="none"/>
        </w:rPr>
      </w:pPr>
      <w:r>
        <w:rPr>
          <w:rFonts w:hint="eastAsia" w:ascii="宋体" w:hAnsi="宋体" w:eastAsia="宋体" w:cs="宋体"/>
          <w:bCs/>
          <w:color w:val="auto"/>
          <w:sz w:val="22"/>
          <w:szCs w:val="22"/>
          <w:highlight w:val="none"/>
        </w:rPr>
        <w:t>招标人和招标代理机构组建评标委员会。评标委员会的成员在评标过程中必须严格遵守《政府采购法》等有关法律、法规的规定。</w:t>
      </w:r>
    </w:p>
    <w:p w14:paraId="7063F115">
      <w:pPr>
        <w:spacing w:line="460" w:lineRule="exact"/>
        <w:ind w:firstLine="541" w:firstLineChars="245"/>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2、评标过程的保密性</w:t>
      </w:r>
    </w:p>
    <w:p w14:paraId="384A1A48">
      <w:pPr>
        <w:spacing w:line="460" w:lineRule="exact"/>
        <w:ind w:firstLine="539" w:firstLineChars="245"/>
        <w:rPr>
          <w:rFonts w:hint="eastAsia" w:ascii="宋体" w:hAnsi="宋体" w:eastAsia="宋体" w:cs="宋体"/>
          <w:color w:val="auto"/>
          <w:sz w:val="22"/>
          <w:szCs w:val="22"/>
          <w:highlight w:val="none"/>
        </w:rPr>
      </w:pPr>
      <w:r>
        <w:rPr>
          <w:rFonts w:hint="eastAsia" w:ascii="宋体" w:hAnsi="宋体" w:eastAsia="宋体" w:cs="宋体"/>
          <w:bCs/>
          <w:color w:val="auto"/>
          <w:sz w:val="22"/>
          <w:szCs w:val="22"/>
          <w:highlight w:val="none"/>
        </w:rPr>
        <w:t>开标后直至向中标人授予合同时止，凡与评审有关的资料均不得向投标人及与评标无关人员透露。如果投标人在评标过程中试图向招标人和招标代理机构施加影响，其投标将被拒绝。</w:t>
      </w:r>
    </w:p>
    <w:p w14:paraId="7643A457">
      <w:pPr>
        <w:spacing w:line="460" w:lineRule="exact"/>
        <w:ind w:firstLine="541" w:firstLineChars="245"/>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3、开标形式</w:t>
      </w:r>
    </w:p>
    <w:p w14:paraId="5A64BE82">
      <w:pPr>
        <w:spacing w:line="460" w:lineRule="exact"/>
        <w:ind w:firstLine="539" w:firstLineChars="245"/>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 xml:space="preserve"> 采购组织机构将按照招标文件规定的时间通过“</w:t>
      </w:r>
      <w:r>
        <w:rPr>
          <w:rFonts w:hint="eastAsia" w:ascii="宋体" w:hAnsi="宋体" w:cs="宋体"/>
          <w:b w:val="0"/>
          <w:bCs/>
          <w:color w:val="auto"/>
          <w:sz w:val="22"/>
          <w:szCs w:val="22"/>
          <w:highlight w:val="none"/>
          <w:lang w:eastAsia="zh-CN"/>
        </w:rPr>
        <w:t>乐采云平台</w:t>
      </w:r>
      <w:r>
        <w:rPr>
          <w:rFonts w:hint="eastAsia" w:ascii="宋体" w:hAnsi="宋体" w:eastAsia="宋体" w:cs="宋体"/>
          <w:b w:val="0"/>
          <w:bCs/>
          <w:color w:val="auto"/>
          <w:sz w:val="22"/>
          <w:szCs w:val="22"/>
          <w:highlight w:val="none"/>
        </w:rPr>
        <w:t>”组织开标、开启投标文件，所有供应商均应当准时(在线)参加。</w:t>
      </w:r>
    </w:p>
    <w:p w14:paraId="022DFC10">
      <w:pPr>
        <w:spacing w:line="460" w:lineRule="exact"/>
        <w:ind w:firstLine="541" w:firstLineChars="245"/>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4、开标准备</w:t>
      </w:r>
    </w:p>
    <w:p w14:paraId="00AC3D8E">
      <w:pPr>
        <w:spacing w:line="460" w:lineRule="exact"/>
        <w:ind w:firstLine="539" w:firstLineChars="245"/>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4.1开标的准备工作由采购组织机构负责落实；</w:t>
      </w:r>
    </w:p>
    <w:p w14:paraId="3049658E">
      <w:pPr>
        <w:spacing w:line="460" w:lineRule="exact"/>
        <w:ind w:firstLine="539" w:firstLineChars="245"/>
        <w:rPr>
          <w:rFonts w:hint="eastAsia" w:ascii="宋体" w:hAnsi="宋体" w:eastAsia="宋体" w:cs="宋体"/>
          <w:b w:val="0"/>
          <w:bCs w:val="0"/>
          <w:color w:val="auto"/>
          <w:kern w:val="0"/>
          <w:sz w:val="22"/>
          <w:szCs w:val="22"/>
          <w:highlight w:val="none"/>
        </w:rPr>
      </w:pPr>
      <w:r>
        <w:rPr>
          <w:rFonts w:hint="eastAsia" w:ascii="宋体" w:hAnsi="宋体" w:eastAsia="宋体" w:cs="宋体"/>
          <w:b w:val="0"/>
          <w:bCs w:val="0"/>
          <w:color w:val="auto"/>
          <w:kern w:val="0"/>
          <w:sz w:val="22"/>
          <w:szCs w:val="22"/>
          <w:highlight w:val="none"/>
        </w:rPr>
        <w:t>4.2</w:t>
      </w:r>
      <w:r>
        <w:rPr>
          <w:rFonts w:hint="eastAsia" w:ascii="宋体" w:hAnsi="宋体" w:eastAsia="宋体" w:cs="宋体"/>
          <w:b w:val="0"/>
          <w:bCs w:val="0"/>
          <w:color w:val="auto"/>
          <w:sz w:val="22"/>
          <w:szCs w:val="22"/>
          <w:highlight w:val="none"/>
        </w:rPr>
        <w:t>采购组织机构将按照招标文件规定的时间通过“</w:t>
      </w:r>
      <w:r>
        <w:rPr>
          <w:rFonts w:hint="eastAsia" w:ascii="宋体" w:hAnsi="宋体" w:cs="宋体"/>
          <w:b w:val="0"/>
          <w:bCs w:val="0"/>
          <w:color w:val="auto"/>
          <w:sz w:val="22"/>
          <w:szCs w:val="22"/>
          <w:highlight w:val="none"/>
          <w:lang w:eastAsia="zh-CN"/>
        </w:rPr>
        <w:t>乐采云平台</w:t>
      </w:r>
      <w:r>
        <w:rPr>
          <w:rFonts w:hint="eastAsia" w:ascii="宋体" w:hAnsi="宋体" w:eastAsia="宋体" w:cs="宋体"/>
          <w:b w:val="0"/>
          <w:bCs w:val="0"/>
          <w:color w:val="auto"/>
          <w:sz w:val="22"/>
          <w:szCs w:val="22"/>
          <w:highlight w:val="none"/>
        </w:rPr>
        <w:t>”组织开标、开启投标文件，所有供应商均应当准时(在线)参加。</w:t>
      </w:r>
      <w:r>
        <w:rPr>
          <w:rFonts w:hint="eastAsia" w:ascii="宋体" w:hAnsi="宋体" w:eastAsia="宋体" w:cs="宋体"/>
          <w:b w:val="0"/>
          <w:bCs w:val="0"/>
          <w:color w:val="auto"/>
          <w:kern w:val="0"/>
          <w:sz w:val="22"/>
          <w:szCs w:val="22"/>
          <w:highlight w:val="none"/>
        </w:rPr>
        <w:t>投标人如不参加开标大会的，视同认可开标结果，事后不得对采购相关人员、开标过程和开标结果提出异议，同时投标人因未在线参加开标而导致投标文件无法按时解密等一切后果由供应商自己承担。</w:t>
      </w:r>
    </w:p>
    <w:p w14:paraId="6D04B0F3">
      <w:pPr>
        <w:spacing w:line="460" w:lineRule="exact"/>
        <w:ind w:firstLine="541" w:firstLineChars="245"/>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5、开标流程</w:t>
      </w:r>
    </w:p>
    <w:p w14:paraId="62C860BF">
      <w:pPr>
        <w:spacing w:line="460" w:lineRule="exact"/>
        <w:ind w:firstLine="539" w:firstLineChars="245"/>
        <w:rPr>
          <w:rFonts w:hint="eastAsia" w:ascii="宋体" w:hAnsi="宋体" w:eastAsia="宋体" w:cs="宋体"/>
          <w:b w:val="0"/>
          <w:bCs/>
          <w:color w:val="auto"/>
          <w:kern w:val="0"/>
          <w:sz w:val="22"/>
          <w:szCs w:val="22"/>
          <w:highlight w:val="none"/>
        </w:rPr>
      </w:pPr>
      <w:r>
        <w:rPr>
          <w:rFonts w:hint="eastAsia" w:ascii="宋体" w:hAnsi="宋体" w:eastAsia="宋体" w:cs="宋体"/>
          <w:b w:val="0"/>
          <w:bCs/>
          <w:color w:val="auto"/>
          <w:kern w:val="0"/>
          <w:sz w:val="22"/>
          <w:szCs w:val="22"/>
          <w:highlight w:val="none"/>
        </w:rPr>
        <w:t>5.1开标、评标</w:t>
      </w:r>
    </w:p>
    <w:p w14:paraId="2756EAAB">
      <w:pPr>
        <w:spacing w:line="460" w:lineRule="exact"/>
        <w:ind w:firstLine="539" w:firstLineChars="245"/>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（1）向各投标人发出电子加密投标文件【开始解密】通知，由供应商按招标文件规定的时间内自行进行投标文件解密。投标人在规定的时间内无法完成已递交的“电子加密投标文件”解密的，如已按规 定递交了备份投标文件的，将由采购组织机构按“</w:t>
      </w:r>
      <w:r>
        <w:rPr>
          <w:rFonts w:hint="eastAsia" w:ascii="宋体" w:hAnsi="宋体" w:cs="宋体"/>
          <w:color w:val="auto"/>
          <w:kern w:val="0"/>
          <w:sz w:val="22"/>
          <w:szCs w:val="22"/>
          <w:highlight w:val="none"/>
          <w:lang w:eastAsia="zh-CN"/>
        </w:rPr>
        <w:t>乐采云平台</w:t>
      </w:r>
      <w:r>
        <w:rPr>
          <w:rFonts w:hint="eastAsia" w:ascii="宋体" w:hAnsi="宋体" w:eastAsia="宋体" w:cs="宋体"/>
          <w:color w:val="auto"/>
          <w:kern w:val="0"/>
          <w:sz w:val="22"/>
          <w:szCs w:val="22"/>
          <w:highlight w:val="none"/>
        </w:rPr>
        <w:t>”操作规范将备份投标文件上传至“</w:t>
      </w:r>
      <w:r>
        <w:rPr>
          <w:rFonts w:hint="eastAsia" w:ascii="宋体" w:hAnsi="宋体" w:cs="宋体"/>
          <w:color w:val="auto"/>
          <w:kern w:val="0"/>
          <w:sz w:val="22"/>
          <w:szCs w:val="22"/>
          <w:highlight w:val="none"/>
          <w:lang w:eastAsia="zh-CN"/>
        </w:rPr>
        <w:t>乐采云平台</w:t>
      </w:r>
      <w:r>
        <w:rPr>
          <w:rFonts w:hint="eastAsia" w:ascii="宋体" w:hAnsi="宋体" w:eastAsia="宋体" w:cs="宋体"/>
          <w:color w:val="auto"/>
          <w:kern w:val="0"/>
          <w:sz w:val="22"/>
          <w:szCs w:val="22"/>
          <w:highlight w:val="none"/>
        </w:rPr>
        <w:t>”，上传成功后，“电子加密投标文件”自动失效；</w:t>
      </w:r>
    </w:p>
    <w:p w14:paraId="41590B3E">
      <w:pPr>
        <w:spacing w:line="460" w:lineRule="exact"/>
        <w:ind w:firstLine="539" w:firstLineChars="245"/>
        <w:rPr>
          <w:rFonts w:hint="eastAsia" w:ascii="宋体" w:hAnsi="宋体" w:eastAsia="宋体" w:cs="宋体"/>
          <w:b w:val="0"/>
          <w:bCs/>
          <w:color w:val="auto"/>
          <w:highlight w:val="none"/>
        </w:rPr>
      </w:pPr>
      <w:r>
        <w:rPr>
          <w:rFonts w:hint="eastAsia" w:ascii="宋体" w:hAnsi="宋体" w:eastAsia="宋体" w:cs="宋体"/>
          <w:b w:val="0"/>
          <w:bCs/>
          <w:color w:val="auto"/>
          <w:sz w:val="22"/>
          <w:szCs w:val="22"/>
          <w:highlight w:val="none"/>
        </w:rPr>
        <w:t>投标人不足</w:t>
      </w:r>
      <w:r>
        <w:rPr>
          <w:rFonts w:hint="eastAsia" w:ascii="宋体" w:hAnsi="宋体" w:cs="宋体"/>
          <w:b w:val="0"/>
          <w:bCs/>
          <w:color w:val="auto"/>
          <w:sz w:val="22"/>
          <w:szCs w:val="22"/>
          <w:highlight w:val="none"/>
          <w:lang w:val="en-US" w:eastAsia="zh-CN"/>
        </w:rPr>
        <w:t>4</w:t>
      </w:r>
      <w:r>
        <w:rPr>
          <w:rFonts w:hint="eastAsia" w:ascii="宋体" w:hAnsi="宋体" w:eastAsia="宋体" w:cs="宋体"/>
          <w:b w:val="0"/>
          <w:bCs/>
          <w:color w:val="auto"/>
          <w:sz w:val="22"/>
          <w:szCs w:val="22"/>
          <w:highlight w:val="none"/>
        </w:rPr>
        <w:t>家的，不得开标。</w:t>
      </w:r>
    </w:p>
    <w:p w14:paraId="64665D21">
      <w:pPr>
        <w:spacing w:line="460" w:lineRule="exact"/>
        <w:ind w:firstLine="539" w:firstLineChars="245"/>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（2）解密成功后，开启投标人的《报价文件》，由供应商对自己报价文件相关内容进行签字确认，（不予确认的应说明理由，否则视为无异议）。</w:t>
      </w:r>
    </w:p>
    <w:p w14:paraId="594335AE">
      <w:pPr>
        <w:spacing w:line="460" w:lineRule="exact"/>
        <w:ind w:firstLine="539" w:firstLineChars="245"/>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（3）开启《投标文件》，进入资格审查；</w:t>
      </w:r>
      <w:r>
        <w:rPr>
          <w:rFonts w:hint="eastAsia" w:ascii="宋体" w:hAnsi="宋体" w:eastAsia="宋体" w:cs="宋体"/>
          <w:bCs/>
          <w:color w:val="auto"/>
          <w:sz w:val="22"/>
          <w:szCs w:val="22"/>
          <w:highlight w:val="none"/>
        </w:rPr>
        <w:t>合格投标人不足</w:t>
      </w:r>
      <w:r>
        <w:rPr>
          <w:rFonts w:hint="eastAsia" w:ascii="宋体" w:hAnsi="宋体" w:cs="宋体"/>
          <w:bCs/>
          <w:color w:val="auto"/>
          <w:sz w:val="22"/>
          <w:szCs w:val="22"/>
          <w:highlight w:val="none"/>
          <w:lang w:val="en-US" w:eastAsia="zh-CN"/>
        </w:rPr>
        <w:t>4</w:t>
      </w:r>
      <w:r>
        <w:rPr>
          <w:rFonts w:hint="eastAsia" w:ascii="宋体" w:hAnsi="宋体" w:eastAsia="宋体" w:cs="宋体"/>
          <w:bCs/>
          <w:color w:val="auto"/>
          <w:sz w:val="22"/>
          <w:szCs w:val="22"/>
          <w:highlight w:val="none"/>
        </w:rPr>
        <w:t>家的，不得评标。</w:t>
      </w:r>
    </w:p>
    <w:p w14:paraId="269ADA17">
      <w:pPr>
        <w:spacing w:line="460" w:lineRule="exact"/>
        <w:ind w:firstLine="539" w:firstLineChars="245"/>
        <w:rPr>
          <w:rFonts w:hint="eastAsia" w:ascii="宋体" w:hAnsi="宋体" w:eastAsia="宋体" w:cs="宋体"/>
          <w:b w:val="0"/>
          <w:bCs/>
          <w:color w:val="auto"/>
          <w:kern w:val="0"/>
          <w:sz w:val="22"/>
          <w:szCs w:val="22"/>
          <w:highlight w:val="none"/>
        </w:rPr>
      </w:pPr>
      <w:r>
        <w:rPr>
          <w:rFonts w:hint="eastAsia" w:ascii="宋体" w:hAnsi="宋体" w:eastAsia="宋体" w:cs="宋体"/>
          <w:b w:val="0"/>
          <w:bCs/>
          <w:color w:val="auto"/>
          <w:kern w:val="0"/>
          <w:sz w:val="22"/>
          <w:szCs w:val="22"/>
          <w:highlight w:val="none"/>
        </w:rPr>
        <w:t>备注：开标大会的结束后，招标人或采购代理机构将对依法对投标人的资格进行审查，资格审查结束后进入符合性审查和商务技术的评审工作，具体见本章节“投标人资格审查”相关规定。</w:t>
      </w:r>
    </w:p>
    <w:p w14:paraId="69A93AC5">
      <w:pPr>
        <w:spacing w:line="460" w:lineRule="exact"/>
        <w:ind w:firstLine="539" w:firstLineChars="245"/>
        <w:rPr>
          <w:rFonts w:hint="eastAsia" w:ascii="宋体" w:hAnsi="宋体" w:eastAsia="宋体" w:cs="宋体"/>
          <w:bCs/>
          <w:color w:val="auto"/>
          <w:sz w:val="22"/>
          <w:szCs w:val="22"/>
          <w:highlight w:val="none"/>
        </w:rPr>
      </w:pPr>
      <w:r>
        <w:rPr>
          <w:rFonts w:hint="eastAsia" w:ascii="宋体" w:hAnsi="宋体" w:eastAsia="宋体" w:cs="宋体"/>
          <w:color w:val="auto"/>
          <w:kern w:val="0"/>
          <w:sz w:val="22"/>
          <w:szCs w:val="22"/>
          <w:highlight w:val="none"/>
        </w:rPr>
        <w:t>（4）开启资格审查通过的投标人的商务技术文件进入符合性审查，</w:t>
      </w:r>
      <w:r>
        <w:rPr>
          <w:rFonts w:hint="eastAsia" w:ascii="宋体" w:hAnsi="宋体" w:eastAsia="宋体" w:cs="宋体"/>
          <w:bCs/>
          <w:color w:val="auto"/>
          <w:sz w:val="22"/>
          <w:szCs w:val="22"/>
          <w:highlight w:val="none"/>
        </w:rPr>
        <w:t>以确定其是否满足招标文件的实质性要求，合格投标人不足</w:t>
      </w:r>
      <w:r>
        <w:rPr>
          <w:rFonts w:hint="eastAsia" w:ascii="宋体" w:hAnsi="宋体" w:cs="宋体"/>
          <w:bCs/>
          <w:color w:val="auto"/>
          <w:sz w:val="22"/>
          <w:szCs w:val="22"/>
          <w:highlight w:val="none"/>
          <w:lang w:val="en-US" w:eastAsia="zh-CN"/>
        </w:rPr>
        <w:t>4</w:t>
      </w:r>
      <w:r>
        <w:rPr>
          <w:rFonts w:hint="eastAsia" w:ascii="宋体" w:hAnsi="宋体" w:eastAsia="宋体" w:cs="宋体"/>
          <w:bCs/>
          <w:color w:val="auto"/>
          <w:sz w:val="22"/>
          <w:szCs w:val="22"/>
          <w:highlight w:val="none"/>
        </w:rPr>
        <w:t>家的，不得评标。</w:t>
      </w:r>
    </w:p>
    <w:p w14:paraId="0ACBA3B8">
      <w:pPr>
        <w:spacing w:line="460" w:lineRule="exact"/>
        <w:ind w:firstLine="541" w:firstLineChars="245"/>
        <w:rPr>
          <w:rFonts w:hint="eastAsia" w:ascii="宋体" w:hAnsi="宋体" w:eastAsia="宋体" w:cs="宋体"/>
          <w:bCs/>
          <w:color w:val="auto"/>
          <w:sz w:val="22"/>
          <w:szCs w:val="22"/>
          <w:highlight w:val="none"/>
        </w:rPr>
      </w:pPr>
      <w:r>
        <w:rPr>
          <w:rFonts w:hint="eastAsia" w:ascii="宋体" w:hAnsi="宋体" w:eastAsia="宋体" w:cs="宋体"/>
          <w:b/>
          <w:bCs w:val="0"/>
          <w:color w:val="auto"/>
          <w:sz w:val="22"/>
          <w:szCs w:val="22"/>
          <w:highlight w:val="none"/>
        </w:rPr>
        <w:t>没有满足招标文件的实质性要求的投标作无效标处理。</w:t>
      </w:r>
      <w:r>
        <w:rPr>
          <w:rFonts w:hint="eastAsia" w:ascii="宋体" w:hAnsi="宋体" w:eastAsia="宋体" w:cs="宋体"/>
          <w:bCs/>
          <w:color w:val="auto"/>
          <w:sz w:val="22"/>
          <w:szCs w:val="22"/>
          <w:highlight w:val="none"/>
        </w:rPr>
        <w:t>评标委员会决定投标的实质性要求只根据投标文件本身的内容，而不寻求外部的证据。投标人不得通过修正或撤消不合要求的偏离或保留从而使其投标成为实质上响应的投标。</w:t>
      </w:r>
    </w:p>
    <w:p w14:paraId="6A59561A">
      <w:pPr>
        <w:spacing w:line="460" w:lineRule="exact"/>
        <w:ind w:firstLine="539" w:firstLineChars="245"/>
        <w:rPr>
          <w:rFonts w:hint="eastAsia" w:ascii="宋体" w:hAnsi="宋体" w:eastAsia="宋体" w:cs="宋体"/>
          <w:color w:val="auto"/>
          <w:highlight w:val="none"/>
        </w:rPr>
      </w:pPr>
      <w:r>
        <w:rPr>
          <w:rFonts w:hint="eastAsia" w:ascii="宋体" w:hAnsi="宋体" w:eastAsia="宋体" w:cs="宋体"/>
          <w:bCs/>
          <w:color w:val="auto"/>
          <w:sz w:val="22"/>
          <w:szCs w:val="22"/>
          <w:highlight w:val="none"/>
        </w:rPr>
        <w:t>（5）对通过资格审查、符合性审查的合格供应商进行商务技术部分的评审。</w:t>
      </w:r>
    </w:p>
    <w:p w14:paraId="5982D54E">
      <w:pPr>
        <w:spacing w:line="460" w:lineRule="exact"/>
        <w:ind w:firstLine="539" w:firstLineChars="245"/>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（6）评标委员会对报价的合理性、准确性等进行审查核实。</w:t>
      </w:r>
    </w:p>
    <w:p w14:paraId="1B0A9BAD">
      <w:pPr>
        <w:spacing w:line="460" w:lineRule="exact"/>
        <w:ind w:firstLine="539" w:firstLineChars="245"/>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（7）评审结束后，公布中标（成交）候选供应商名单及招标人最终确定中标或成交供应商名单的时间和公告方式等，未在场的投标人通过发送邮件形式通知。</w:t>
      </w:r>
    </w:p>
    <w:p w14:paraId="36B9ED07">
      <w:pPr>
        <w:spacing w:line="460" w:lineRule="exact"/>
        <w:ind w:firstLine="541" w:firstLineChars="245"/>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特别说明：如遇“</w:t>
      </w:r>
      <w:r>
        <w:rPr>
          <w:rFonts w:hint="eastAsia" w:ascii="宋体" w:hAnsi="宋体" w:cs="宋体"/>
          <w:b/>
          <w:color w:val="auto"/>
          <w:kern w:val="0"/>
          <w:sz w:val="22"/>
          <w:szCs w:val="22"/>
          <w:highlight w:val="none"/>
          <w:lang w:eastAsia="zh-CN"/>
        </w:rPr>
        <w:t>乐采云平台</w:t>
      </w:r>
      <w:r>
        <w:rPr>
          <w:rFonts w:hint="eastAsia" w:ascii="宋体" w:hAnsi="宋体" w:eastAsia="宋体" w:cs="宋体"/>
          <w:b/>
          <w:color w:val="auto"/>
          <w:kern w:val="0"/>
          <w:sz w:val="22"/>
          <w:szCs w:val="22"/>
          <w:highlight w:val="none"/>
        </w:rPr>
        <w:t>”电子化开标或评审程序调整的，按调整后程序执行。</w:t>
      </w:r>
    </w:p>
    <w:p w14:paraId="7BE2E86E">
      <w:pPr>
        <w:spacing w:line="460" w:lineRule="exact"/>
        <w:ind w:firstLine="539" w:firstLineChars="245"/>
        <w:rPr>
          <w:rFonts w:hint="eastAsia" w:ascii="宋体" w:hAnsi="宋体" w:eastAsia="宋体" w:cs="宋体"/>
          <w:color w:val="auto"/>
          <w:sz w:val="22"/>
          <w:szCs w:val="22"/>
          <w:highlight w:val="none"/>
        </w:rPr>
      </w:pPr>
      <w:bookmarkStart w:id="20" w:name="_Toc33194393"/>
      <w:bookmarkStart w:id="21" w:name="_Toc24550037"/>
      <w:r>
        <w:rPr>
          <w:rFonts w:hint="eastAsia" w:ascii="宋体" w:hAnsi="宋体" w:eastAsia="宋体" w:cs="宋体"/>
          <w:color w:val="auto"/>
          <w:sz w:val="22"/>
          <w:szCs w:val="22"/>
          <w:highlight w:val="none"/>
        </w:rPr>
        <w:t>6、投标人资格审查</w:t>
      </w:r>
      <w:bookmarkEnd w:id="20"/>
      <w:bookmarkEnd w:id="21"/>
    </w:p>
    <w:p w14:paraId="3C3BD25C">
      <w:pPr>
        <w:spacing w:line="460" w:lineRule="exact"/>
        <w:ind w:firstLine="539" w:firstLineChars="245"/>
        <w:rPr>
          <w:rFonts w:hint="eastAsia" w:ascii="宋体" w:hAnsi="宋体" w:eastAsia="宋体" w:cs="宋体"/>
          <w:color w:val="auto"/>
          <w:sz w:val="22"/>
          <w:szCs w:val="22"/>
          <w:highlight w:val="none"/>
        </w:rPr>
      </w:pPr>
      <w:r>
        <w:rPr>
          <w:rFonts w:hint="eastAsia" w:ascii="宋体" w:hAnsi="宋体" w:eastAsia="宋体" w:cs="宋体"/>
          <w:b w:val="0"/>
          <w:bCs/>
          <w:color w:val="auto"/>
          <w:sz w:val="22"/>
          <w:szCs w:val="22"/>
          <w:highlight w:val="none"/>
        </w:rPr>
        <w:t>6.1开标大会结束后，招标人或采购代理机构首先依法对各投标人的资格进行审查，审查各投标人的资格是否满足招标文件的要求。招</w:t>
      </w:r>
      <w:r>
        <w:rPr>
          <w:rFonts w:hint="eastAsia" w:ascii="宋体" w:hAnsi="宋体" w:eastAsia="宋体" w:cs="宋体"/>
          <w:color w:val="auto"/>
          <w:sz w:val="22"/>
          <w:szCs w:val="22"/>
          <w:highlight w:val="none"/>
        </w:rPr>
        <w:t>标人或采购代理机构对投标人所提交的资格证明材料仅负审核的责任。如发现投标人所提交的资格证明材料不合法或与事实不符，招标人可取消其中标资格并追究投标人的法律责任。</w:t>
      </w:r>
    </w:p>
    <w:p w14:paraId="4DC88147">
      <w:pPr>
        <w:spacing w:line="460" w:lineRule="exact"/>
        <w:ind w:firstLine="539" w:firstLineChars="245"/>
        <w:rPr>
          <w:rFonts w:hint="eastAsia" w:ascii="宋体" w:hAnsi="宋体" w:eastAsia="宋体" w:cs="宋体"/>
          <w:b w:val="0"/>
          <w:bCs/>
          <w:color w:val="auto"/>
          <w:kern w:val="0"/>
          <w:sz w:val="22"/>
          <w:szCs w:val="22"/>
          <w:highlight w:val="none"/>
        </w:rPr>
      </w:pPr>
      <w:r>
        <w:rPr>
          <w:rFonts w:hint="eastAsia" w:ascii="宋体" w:hAnsi="宋体" w:eastAsia="宋体" w:cs="宋体"/>
          <w:b w:val="0"/>
          <w:bCs/>
          <w:color w:val="auto"/>
          <w:sz w:val="22"/>
          <w:szCs w:val="22"/>
          <w:highlight w:val="none"/>
        </w:rPr>
        <w:t>6.2投标人提交的资格证明材料无法证明其符合招标文件规定的“投标人资格要求”的，招标人或采购代理机构</w:t>
      </w:r>
      <w:r>
        <w:rPr>
          <w:rFonts w:hint="eastAsia" w:ascii="宋体" w:hAnsi="宋体" w:eastAsia="宋体" w:cs="宋体"/>
          <w:b w:val="0"/>
          <w:bCs/>
          <w:color w:val="auto"/>
          <w:kern w:val="0"/>
          <w:sz w:val="22"/>
          <w:szCs w:val="22"/>
          <w:highlight w:val="none"/>
        </w:rPr>
        <w:t>将对其作资格审查不通过处理（无效投标），并不再将其投标提交评标委员会进行后续评审。</w:t>
      </w:r>
    </w:p>
    <w:p w14:paraId="738C7B81">
      <w:pPr>
        <w:spacing w:line="460" w:lineRule="exact"/>
        <w:ind w:firstLine="539" w:firstLineChars="245"/>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6</w:t>
      </w:r>
      <w:r>
        <w:rPr>
          <w:rFonts w:hint="eastAsia" w:ascii="宋体" w:hAnsi="宋体" w:eastAsia="宋体" w:cs="宋体"/>
          <w:b w:val="0"/>
          <w:bCs/>
          <w:color w:val="auto"/>
          <w:kern w:val="0"/>
          <w:sz w:val="22"/>
          <w:szCs w:val="22"/>
          <w:highlight w:val="none"/>
        </w:rPr>
        <w:t>.3单位负责人为同一人或者存在直接控股、管理关系的不同供应商参加同一合同项下的政府采购活动的，相关投标人均作资格无效处理。</w:t>
      </w:r>
    </w:p>
    <w:p w14:paraId="2A952F64">
      <w:pPr>
        <w:spacing w:line="460" w:lineRule="exact"/>
        <w:ind w:firstLine="539" w:firstLineChars="245"/>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7、评标委员按照招标文件中规定的评标方法和标准，对投标文件进行商务和技术评估，综合比较与评价。</w:t>
      </w:r>
    </w:p>
    <w:p w14:paraId="7FA7F56D">
      <w:pPr>
        <w:spacing w:line="460" w:lineRule="exact"/>
        <w:ind w:firstLine="541" w:firstLineChars="245"/>
        <w:rPr>
          <w:rFonts w:hint="eastAsia" w:ascii="宋体" w:hAnsi="宋体" w:eastAsia="宋体" w:cs="宋体"/>
          <w:b/>
          <w:color w:val="auto"/>
          <w:sz w:val="22"/>
          <w:szCs w:val="22"/>
          <w:highlight w:val="none"/>
          <w:u w:val="single"/>
        </w:rPr>
      </w:pPr>
      <w:r>
        <w:rPr>
          <w:rFonts w:hint="eastAsia" w:ascii="宋体" w:hAnsi="宋体" w:eastAsia="宋体" w:cs="宋体"/>
          <w:b/>
          <w:color w:val="auto"/>
          <w:sz w:val="22"/>
          <w:szCs w:val="22"/>
          <w:highlight w:val="none"/>
          <w:u w:val="single"/>
        </w:rPr>
        <w:t>8、投标人存在下列情况之一的，投标无效：</w:t>
      </w:r>
    </w:p>
    <w:p w14:paraId="51042700">
      <w:pPr>
        <w:spacing w:line="460" w:lineRule="exact"/>
        <w:ind w:firstLine="539" w:firstLineChars="245"/>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（1）投标文件未按招标文件要求签署、盖章的；</w:t>
      </w:r>
    </w:p>
    <w:p w14:paraId="70EAE527">
      <w:pPr>
        <w:spacing w:line="460" w:lineRule="exact"/>
        <w:ind w:firstLine="539" w:firstLineChars="245"/>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 xml:space="preserve">（2）不具备招标文件中规定的资格要求的； </w:t>
      </w:r>
    </w:p>
    <w:p w14:paraId="63AD7231">
      <w:pPr>
        <w:spacing w:line="460" w:lineRule="exact"/>
        <w:ind w:firstLine="539" w:firstLineChars="245"/>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（3）明显不符合招标文件中主要技术规格、技术标准的；</w:t>
      </w:r>
    </w:p>
    <w:p w14:paraId="611AB7D1">
      <w:pPr>
        <w:spacing w:line="460" w:lineRule="exact"/>
        <w:ind w:firstLine="539" w:firstLineChars="245"/>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（4）投标文件内容不全或关键字迹模糊无法辨认的；</w:t>
      </w:r>
    </w:p>
    <w:p w14:paraId="0A184982">
      <w:pPr>
        <w:spacing w:line="460" w:lineRule="exact"/>
        <w:ind w:firstLine="539" w:firstLineChars="245"/>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（5）报价超过招标文件中规定的预算金额的；</w:t>
      </w:r>
    </w:p>
    <w:p w14:paraId="2FD00F3F">
      <w:pPr>
        <w:spacing w:line="460" w:lineRule="exact"/>
        <w:ind w:firstLine="539" w:firstLineChars="245"/>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（6）投标人代表没有法定代表人合法、有效委托的；</w:t>
      </w:r>
    </w:p>
    <w:p w14:paraId="51333451">
      <w:pPr>
        <w:spacing w:line="460" w:lineRule="exact"/>
        <w:ind w:firstLine="539" w:firstLineChars="245"/>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（7）投标文件存在一个或一个以上备选（替代）投标方案的；</w:t>
      </w:r>
    </w:p>
    <w:p w14:paraId="633F9E94">
      <w:pPr>
        <w:spacing w:line="460" w:lineRule="exact"/>
        <w:ind w:firstLine="539" w:firstLineChars="245"/>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（8）仅提交“备份投标文件”的；</w:t>
      </w:r>
    </w:p>
    <w:p w14:paraId="5E1EB551">
      <w:pPr>
        <w:spacing w:line="460" w:lineRule="exact"/>
        <w:ind w:firstLine="539" w:firstLineChars="245"/>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（9）投标文件含有招标人不能接受的附加条件的；</w:t>
      </w:r>
    </w:p>
    <w:p w14:paraId="08945FC9">
      <w:pPr>
        <w:spacing w:line="460" w:lineRule="exact"/>
        <w:ind w:firstLine="539" w:firstLineChars="245"/>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rPr>
        <w:t>（10）法律、法规和招标文件规定的其他无效情形</w:t>
      </w:r>
      <w:r>
        <w:rPr>
          <w:rFonts w:hint="eastAsia" w:ascii="宋体" w:hAnsi="宋体" w:cs="宋体"/>
          <w:bCs/>
          <w:color w:val="auto"/>
          <w:sz w:val="22"/>
          <w:szCs w:val="22"/>
          <w:highlight w:val="none"/>
          <w:lang w:eastAsia="zh-CN"/>
        </w:rPr>
        <w:t>。</w:t>
      </w:r>
    </w:p>
    <w:p w14:paraId="51ECCBE9">
      <w:pPr>
        <w:spacing w:line="460" w:lineRule="exact"/>
        <w:ind w:firstLine="541" w:firstLineChars="245"/>
        <w:rPr>
          <w:rFonts w:hint="eastAsia" w:ascii="宋体" w:hAnsi="宋体" w:eastAsia="宋体" w:cs="宋体"/>
          <w:b/>
          <w:bCs/>
          <w:color w:val="auto"/>
          <w:sz w:val="22"/>
          <w:szCs w:val="22"/>
          <w:highlight w:val="none"/>
          <w:u w:val="single"/>
        </w:rPr>
      </w:pPr>
      <w:r>
        <w:rPr>
          <w:rFonts w:hint="eastAsia" w:ascii="宋体" w:hAnsi="宋体" w:eastAsia="宋体" w:cs="宋体"/>
          <w:b/>
          <w:bCs/>
          <w:color w:val="auto"/>
          <w:sz w:val="22"/>
          <w:szCs w:val="22"/>
          <w:highlight w:val="none"/>
          <w:u w:val="single"/>
        </w:rPr>
        <w:t>9、有下列情形之一的，视为投标人串通投标，其投标无效</w:t>
      </w:r>
    </w:p>
    <w:p w14:paraId="4706C4D0">
      <w:pPr>
        <w:spacing w:line="460" w:lineRule="exact"/>
        <w:ind w:firstLine="539" w:firstLineChars="2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（1）不同投标人的投标文件由同一单位或者个人编制；</w:t>
      </w:r>
    </w:p>
    <w:p w14:paraId="1BF6FE0B">
      <w:pPr>
        <w:spacing w:line="460" w:lineRule="exact"/>
        <w:ind w:firstLine="539" w:firstLineChars="2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（2）不同投标人委托同一单位或者个人办理投标事宜；</w:t>
      </w:r>
    </w:p>
    <w:p w14:paraId="5B445A69">
      <w:pPr>
        <w:spacing w:line="460" w:lineRule="exact"/>
        <w:ind w:firstLine="539" w:firstLineChars="2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（3）不同投标人的投标文件载明的项目管理成员或者联系人员为同一人；</w:t>
      </w:r>
    </w:p>
    <w:p w14:paraId="1A84DE3B">
      <w:pPr>
        <w:spacing w:line="460" w:lineRule="exact"/>
        <w:ind w:firstLine="539" w:firstLineChars="2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（4）不同投标人的投标文件异常一致或者投标报价呈规律性差异；</w:t>
      </w:r>
    </w:p>
    <w:p w14:paraId="5963DE68">
      <w:pPr>
        <w:spacing w:line="460" w:lineRule="exact"/>
        <w:ind w:firstLine="539" w:firstLineChars="245"/>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（5）不同投标人的投标文件相互混装</w:t>
      </w:r>
      <w:r>
        <w:rPr>
          <w:rFonts w:hint="eastAsia" w:ascii="宋体" w:hAnsi="宋体" w:cs="宋体"/>
          <w:color w:val="auto"/>
          <w:sz w:val="22"/>
          <w:szCs w:val="22"/>
          <w:highlight w:val="none"/>
          <w:lang w:eastAsia="zh-CN"/>
        </w:rPr>
        <w:t>；</w:t>
      </w:r>
    </w:p>
    <w:p w14:paraId="38032F75">
      <w:pPr>
        <w:spacing w:line="460" w:lineRule="exact"/>
        <w:ind w:firstLine="539" w:firstLineChars="245"/>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lang w:val="en-US" w:eastAsia="zh-CN"/>
        </w:rPr>
        <w:t>6</w:t>
      </w:r>
      <w:r>
        <w:rPr>
          <w:rFonts w:hint="eastAsia" w:ascii="宋体" w:hAnsi="宋体" w:cs="宋体"/>
          <w:color w:val="auto"/>
          <w:sz w:val="22"/>
          <w:szCs w:val="22"/>
          <w:highlight w:val="none"/>
          <w:lang w:eastAsia="zh-CN"/>
        </w:rPr>
        <w:t>）</w:t>
      </w:r>
      <w:r>
        <w:rPr>
          <w:rFonts w:hint="eastAsia" w:ascii="宋体" w:hAnsi="宋体" w:eastAsia="宋体" w:cs="宋体"/>
          <w:color w:val="auto"/>
          <w:sz w:val="22"/>
          <w:szCs w:val="22"/>
          <w:highlight w:val="none"/>
          <w:lang w:eastAsia="zh-CN"/>
        </w:rPr>
        <w:t>不同供应商的电子投标（响应）文件上传计算机的网卡MAC地址或硬盘序列号等硬件信息相同的；</w:t>
      </w:r>
    </w:p>
    <w:p w14:paraId="2402DA5D">
      <w:pPr>
        <w:spacing w:line="460" w:lineRule="exact"/>
        <w:ind w:firstLine="539" w:firstLineChars="245"/>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lang w:val="en-US" w:eastAsia="zh-CN"/>
        </w:rPr>
        <w:t>7</w:t>
      </w:r>
      <w:r>
        <w:rPr>
          <w:rFonts w:hint="eastAsia" w:ascii="宋体" w:hAnsi="宋体" w:cs="宋体"/>
          <w:color w:val="auto"/>
          <w:sz w:val="22"/>
          <w:szCs w:val="22"/>
          <w:highlight w:val="none"/>
          <w:lang w:eastAsia="zh-CN"/>
        </w:rPr>
        <w:t>）</w:t>
      </w:r>
      <w:r>
        <w:rPr>
          <w:rFonts w:hint="eastAsia" w:ascii="宋体" w:hAnsi="宋体" w:eastAsia="宋体" w:cs="宋体"/>
          <w:color w:val="auto"/>
          <w:sz w:val="22"/>
          <w:szCs w:val="22"/>
          <w:highlight w:val="none"/>
          <w:lang w:eastAsia="zh-CN"/>
        </w:rPr>
        <w:t>上传的电子投标（响应）文件若出现使用本项目其他投标（响应）供应商的数字证书加密的，或者加盖本项目其他投标（响应）供应商的电子印章的；</w:t>
      </w:r>
    </w:p>
    <w:p w14:paraId="6301F00B">
      <w:pPr>
        <w:spacing w:line="460" w:lineRule="exact"/>
        <w:ind w:firstLine="539" w:firstLineChars="245"/>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lang w:val="en-US" w:eastAsia="zh-CN"/>
        </w:rPr>
        <w:t>8</w:t>
      </w:r>
      <w:r>
        <w:rPr>
          <w:rFonts w:hint="eastAsia" w:ascii="宋体" w:hAnsi="宋体" w:cs="宋体"/>
          <w:color w:val="auto"/>
          <w:sz w:val="22"/>
          <w:szCs w:val="22"/>
          <w:highlight w:val="none"/>
          <w:lang w:eastAsia="zh-CN"/>
        </w:rPr>
        <w:t>）</w:t>
      </w:r>
      <w:r>
        <w:rPr>
          <w:rFonts w:hint="eastAsia" w:ascii="宋体" w:hAnsi="宋体" w:eastAsia="宋体" w:cs="宋体"/>
          <w:color w:val="auto"/>
          <w:sz w:val="22"/>
          <w:szCs w:val="22"/>
          <w:highlight w:val="none"/>
          <w:lang w:eastAsia="zh-CN"/>
        </w:rPr>
        <w:t>不同供应商的投标（响应）文件的内容存在3处（含）以上错误一致的；</w:t>
      </w:r>
    </w:p>
    <w:p w14:paraId="4B8C3039">
      <w:pPr>
        <w:spacing w:line="460" w:lineRule="exact"/>
        <w:ind w:firstLine="539" w:firstLineChars="245"/>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lang w:val="en-US" w:eastAsia="zh-CN"/>
        </w:rPr>
        <w:t>9</w:t>
      </w:r>
      <w:r>
        <w:rPr>
          <w:rFonts w:hint="eastAsia" w:ascii="宋体" w:hAnsi="宋体" w:cs="宋体"/>
          <w:color w:val="auto"/>
          <w:sz w:val="22"/>
          <w:szCs w:val="22"/>
          <w:highlight w:val="none"/>
          <w:lang w:eastAsia="zh-CN"/>
        </w:rPr>
        <w:t>）</w:t>
      </w:r>
      <w:r>
        <w:rPr>
          <w:rFonts w:hint="eastAsia" w:ascii="宋体" w:hAnsi="宋体" w:eastAsia="宋体" w:cs="宋体"/>
          <w:color w:val="auto"/>
          <w:sz w:val="22"/>
          <w:szCs w:val="22"/>
          <w:highlight w:val="none"/>
          <w:lang w:eastAsia="zh-CN"/>
        </w:rPr>
        <w:t>不同供应商联系人为同一人或不同联系人的联系电话一致的。</w:t>
      </w:r>
    </w:p>
    <w:p w14:paraId="36FCC5A0">
      <w:pPr>
        <w:spacing w:line="460" w:lineRule="exact"/>
        <w:ind w:firstLine="541" w:firstLineChars="245"/>
        <w:rPr>
          <w:rFonts w:hint="eastAsia" w:ascii="宋体" w:hAnsi="宋体" w:eastAsia="宋体" w:cs="宋体"/>
          <w:b/>
          <w:bCs/>
          <w:color w:val="auto"/>
          <w:sz w:val="22"/>
          <w:szCs w:val="22"/>
          <w:highlight w:val="none"/>
          <w:u w:val="single"/>
        </w:rPr>
      </w:pPr>
      <w:r>
        <w:rPr>
          <w:rFonts w:hint="eastAsia" w:ascii="宋体" w:hAnsi="宋体" w:eastAsia="宋体" w:cs="宋体"/>
          <w:b/>
          <w:bCs/>
          <w:color w:val="auto"/>
          <w:sz w:val="22"/>
          <w:szCs w:val="22"/>
          <w:highlight w:val="none"/>
          <w:u w:val="single"/>
        </w:rPr>
        <w:t>10、投标文件报价出现前后不一致的，按照下列规定修正：</w:t>
      </w:r>
    </w:p>
    <w:p w14:paraId="08ACB006">
      <w:pPr>
        <w:spacing w:line="460" w:lineRule="exact"/>
        <w:ind w:firstLine="539" w:firstLineChars="2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（1）系统上传的投标文件中开标一览表（报价表）（加盖公章）内容与投标文件中相应内容不一致的，以系统上传的投标文件中开标一览表（报价表）（加盖公章）为准；</w:t>
      </w:r>
    </w:p>
    <w:p w14:paraId="5B36BBED">
      <w:pPr>
        <w:spacing w:line="460" w:lineRule="exact"/>
        <w:ind w:firstLine="539" w:firstLineChars="2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（2）大写金额和小写金额不一致的，以大写金额为准；</w:t>
      </w:r>
    </w:p>
    <w:p w14:paraId="632E9DAF">
      <w:pPr>
        <w:spacing w:line="460" w:lineRule="exact"/>
        <w:ind w:firstLine="539" w:firstLineChars="2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（3）单价金额小数点或者百分比有明显错位的，以开标一览表的总价为准，并修改单价；</w:t>
      </w:r>
    </w:p>
    <w:p w14:paraId="5E75F470">
      <w:pPr>
        <w:spacing w:line="460" w:lineRule="exact"/>
        <w:ind w:firstLine="539" w:firstLineChars="2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（4）总价金额与按单价汇总金额不一致的，以单价金额计算结果为准。</w:t>
      </w:r>
    </w:p>
    <w:p w14:paraId="0310BF3A">
      <w:pPr>
        <w:spacing w:line="460" w:lineRule="exact"/>
        <w:ind w:firstLine="539" w:firstLineChars="2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同时出现两种以上不一致的，按照前款规定的顺序修正。修正后的报价按照本小节第12条第12.2款的规定经投标人确认后产生约束力，投标人不确认的，其投标无效。</w:t>
      </w:r>
    </w:p>
    <w:p w14:paraId="7C56EF60">
      <w:pPr>
        <w:spacing w:line="460" w:lineRule="exact"/>
        <w:ind w:firstLine="759" w:firstLineChars="345"/>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11、标委员会成员对需要共同认定的事项存在争议的，应当按照少数服从多数的原则作出结论。持不同意见的评标委员会成员应当在评标报告上签署不同意见及理由，否则视为同意评标报告。</w:t>
      </w:r>
    </w:p>
    <w:p w14:paraId="4E4049B1">
      <w:pPr>
        <w:spacing w:line="460" w:lineRule="exact"/>
        <w:ind w:firstLine="759" w:firstLineChars="345"/>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12、投标文件的澄清</w:t>
      </w:r>
    </w:p>
    <w:p w14:paraId="70BC9B1F">
      <w:pPr>
        <w:spacing w:line="460" w:lineRule="exact"/>
        <w:ind w:firstLine="759" w:firstLineChars="345"/>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12.1在评标期间，评标委员会可要求投标人对于投标文件中含义不明确、同类问题表述不一致或者有明显文字和计算错误的内容，评标委员会应当以书面形式（或通过“</w:t>
      </w:r>
      <w:r>
        <w:rPr>
          <w:rFonts w:hint="eastAsia" w:ascii="宋体" w:hAnsi="宋体" w:cs="宋体"/>
          <w:bCs/>
          <w:color w:val="auto"/>
          <w:sz w:val="22"/>
          <w:szCs w:val="22"/>
          <w:highlight w:val="none"/>
          <w:lang w:eastAsia="zh-CN"/>
        </w:rPr>
        <w:t>乐采云平台</w:t>
      </w:r>
      <w:r>
        <w:rPr>
          <w:rFonts w:hint="eastAsia" w:ascii="宋体" w:hAnsi="宋体" w:eastAsia="宋体" w:cs="宋体"/>
          <w:bCs/>
          <w:color w:val="auto"/>
          <w:sz w:val="22"/>
          <w:szCs w:val="22"/>
          <w:highlight w:val="none"/>
        </w:rPr>
        <w:t>”在线询标）要求投标人在规定的时间内作出必要的澄清、说明或者补正。投标人澄清、说明或补正时间为30分钟。</w:t>
      </w:r>
    </w:p>
    <w:p w14:paraId="7E18C8D0">
      <w:pPr>
        <w:spacing w:line="460" w:lineRule="exact"/>
        <w:ind w:firstLine="759" w:firstLineChars="345"/>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12.2投标人的澄清、说明或者补正应当采用书面形式（或通过“</w:t>
      </w:r>
      <w:r>
        <w:rPr>
          <w:rFonts w:hint="eastAsia" w:ascii="宋体" w:hAnsi="宋体" w:cs="宋体"/>
          <w:bCs/>
          <w:color w:val="auto"/>
          <w:sz w:val="22"/>
          <w:szCs w:val="22"/>
          <w:highlight w:val="none"/>
          <w:lang w:eastAsia="zh-CN"/>
        </w:rPr>
        <w:t>乐采云平台</w:t>
      </w:r>
      <w:r>
        <w:rPr>
          <w:rFonts w:hint="eastAsia" w:ascii="宋体" w:hAnsi="宋体" w:eastAsia="宋体" w:cs="宋体"/>
          <w:bCs/>
          <w:color w:val="auto"/>
          <w:sz w:val="22"/>
          <w:szCs w:val="22"/>
          <w:highlight w:val="none"/>
        </w:rPr>
        <w:t>”在线答复），并加盖公章，或者由法定代表人或其授权的代表签字。投标人的澄清、说明或者补正不得超出投标文件的范围或者改变投标文件的实质性内容。</w:t>
      </w:r>
    </w:p>
    <w:p w14:paraId="52BA8C9C">
      <w:pPr>
        <w:spacing w:line="460" w:lineRule="exact"/>
        <w:ind w:firstLine="759" w:firstLineChars="345"/>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rPr>
        <w:t>拒不按要求对其投标文件进行澄清，说明或补正的投标人，评标委员会可以否决其投标。</w:t>
      </w:r>
    </w:p>
    <w:p w14:paraId="219AFF12">
      <w:pPr>
        <w:spacing w:line="460" w:lineRule="exact"/>
        <w:ind w:firstLine="759" w:firstLineChars="345"/>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12.2经澄清后，若偏差仍存在，且不可接受，投标人则被认为是“没有实质性响应招标文件要求”，其投标将被拒绝。</w:t>
      </w:r>
    </w:p>
    <w:p w14:paraId="4579739D">
      <w:pPr>
        <w:spacing w:line="460" w:lineRule="exact"/>
        <w:ind w:firstLine="759" w:firstLineChars="345"/>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13、评审结果的修改</w:t>
      </w:r>
    </w:p>
    <w:p w14:paraId="06C15D62">
      <w:pPr>
        <w:spacing w:line="460" w:lineRule="exact"/>
        <w:ind w:firstLine="759" w:firstLineChars="345"/>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13.1评标结果汇总完成后，除下列情形外，任何人不得修改评标结果：</w:t>
      </w:r>
    </w:p>
    <w:p w14:paraId="2BF3866F">
      <w:pPr>
        <w:spacing w:line="460" w:lineRule="exact"/>
        <w:ind w:firstLine="759" w:firstLineChars="3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（1）分值汇总计算错误的；</w:t>
      </w:r>
    </w:p>
    <w:p w14:paraId="3B7C9BA4">
      <w:pPr>
        <w:spacing w:line="460" w:lineRule="exact"/>
        <w:ind w:firstLine="759" w:firstLineChars="3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（2）分项评分超出评分标准范围的；</w:t>
      </w:r>
    </w:p>
    <w:p w14:paraId="2AA0E2B8">
      <w:pPr>
        <w:spacing w:line="460" w:lineRule="exact"/>
        <w:ind w:firstLine="759" w:firstLineChars="3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（3）评标委员会成员对客观评审因素评分不一致的；</w:t>
      </w:r>
    </w:p>
    <w:p w14:paraId="4C8882C6">
      <w:pPr>
        <w:spacing w:line="460" w:lineRule="exact"/>
        <w:ind w:firstLine="759" w:firstLineChars="3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（4）经评标委员会认定评分畸高、畸低的。</w:t>
      </w:r>
    </w:p>
    <w:p w14:paraId="582E965D">
      <w:pPr>
        <w:spacing w:line="460" w:lineRule="exact"/>
        <w:ind w:firstLine="759" w:firstLineChars="345"/>
        <w:rPr>
          <w:rFonts w:hint="eastAsia" w:ascii="宋体" w:hAnsi="宋体" w:eastAsia="宋体" w:cs="宋体"/>
          <w:b w:val="0"/>
          <w:bCs/>
          <w:color w:val="auto"/>
          <w:highlight w:val="none"/>
        </w:rPr>
      </w:pPr>
      <w:r>
        <w:rPr>
          <w:rFonts w:hint="eastAsia" w:ascii="宋体" w:hAnsi="宋体" w:eastAsia="宋体" w:cs="宋体"/>
          <w:bCs/>
          <w:color w:val="auto"/>
          <w:sz w:val="22"/>
          <w:szCs w:val="22"/>
          <w:highlight w:val="none"/>
        </w:rPr>
        <w:t>13.2书面评标报告签署前，经复核发现存在以上情形之一的，评标委员会将当场修改评标结果，并</w:t>
      </w:r>
      <w:r>
        <w:rPr>
          <w:rFonts w:hint="eastAsia" w:ascii="宋体" w:hAnsi="宋体" w:eastAsia="宋体" w:cs="宋体"/>
          <w:b w:val="0"/>
          <w:bCs/>
          <w:color w:val="auto"/>
          <w:sz w:val="22"/>
          <w:szCs w:val="22"/>
          <w:highlight w:val="none"/>
        </w:rPr>
        <w:t>在评标报告中记载。</w:t>
      </w:r>
    </w:p>
    <w:p w14:paraId="6D1EDC6B">
      <w:pPr>
        <w:spacing w:line="460" w:lineRule="exact"/>
        <w:ind w:firstLine="759" w:firstLineChars="345"/>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rPr>
        <w:t>14</w:t>
      </w:r>
      <w:r>
        <w:rPr>
          <w:rFonts w:hint="eastAsia" w:ascii="宋体" w:hAnsi="宋体" w:eastAsia="宋体" w:cs="宋体"/>
          <w:color w:val="auto"/>
          <w:kern w:val="0"/>
          <w:sz w:val="22"/>
          <w:szCs w:val="22"/>
          <w:highlight w:val="none"/>
        </w:rPr>
        <w:t>、</w:t>
      </w:r>
      <w:r>
        <w:rPr>
          <w:rFonts w:hint="eastAsia" w:ascii="宋体" w:hAnsi="宋体" w:eastAsia="宋体" w:cs="宋体"/>
          <w:color w:val="auto"/>
          <w:sz w:val="22"/>
          <w:szCs w:val="22"/>
          <w:highlight w:val="none"/>
        </w:rPr>
        <w:t>确定中标候选人</w:t>
      </w:r>
    </w:p>
    <w:p w14:paraId="21A0E228">
      <w:pPr>
        <w:spacing w:line="460" w:lineRule="exact"/>
        <w:ind w:firstLine="759" w:firstLineChars="3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14.1由评标委员会确定中标候选人。</w:t>
      </w:r>
    </w:p>
    <w:p w14:paraId="29E0AC36">
      <w:pPr>
        <w:spacing w:line="460" w:lineRule="exact"/>
        <w:ind w:firstLine="759" w:firstLineChars="3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14.2评标委员会依据法律、法规及招标文件有关规定按评审后得分（即商务技术分与报价得分之和）由高到低顺序排序，</w:t>
      </w:r>
      <w:r>
        <w:rPr>
          <w:rFonts w:hint="eastAsia" w:ascii="宋体" w:hAnsi="宋体" w:eastAsia="宋体" w:cs="宋体"/>
          <w:b/>
          <w:bCs/>
          <w:color w:val="auto"/>
          <w:sz w:val="22"/>
          <w:szCs w:val="22"/>
          <w:highlight w:val="none"/>
        </w:rPr>
        <w:t>得分前</w:t>
      </w:r>
      <w:r>
        <w:rPr>
          <w:rFonts w:hint="eastAsia" w:ascii="宋体" w:hAnsi="宋体" w:cs="宋体"/>
          <w:b/>
          <w:bCs/>
          <w:color w:val="auto"/>
          <w:sz w:val="22"/>
          <w:szCs w:val="22"/>
          <w:highlight w:val="none"/>
          <w:lang w:val="en-US" w:eastAsia="zh-CN"/>
        </w:rPr>
        <w:t>三</w:t>
      </w:r>
      <w:r>
        <w:rPr>
          <w:rFonts w:hint="eastAsia" w:ascii="宋体" w:hAnsi="宋体" w:eastAsia="宋体" w:cs="宋体"/>
          <w:b/>
          <w:bCs/>
          <w:color w:val="auto"/>
          <w:sz w:val="22"/>
          <w:szCs w:val="22"/>
          <w:highlight w:val="none"/>
        </w:rPr>
        <w:t>名的投标人为确定为该项目的第一中标（成交）候选人</w:t>
      </w:r>
      <w:r>
        <w:rPr>
          <w:rFonts w:hint="eastAsia" w:ascii="宋体" w:hAnsi="宋体" w:eastAsia="宋体" w:cs="宋体"/>
          <w:color w:val="auto"/>
          <w:sz w:val="22"/>
          <w:szCs w:val="22"/>
          <w:highlight w:val="none"/>
        </w:rPr>
        <w:t>，其他供应商按排名为依次为第二、第三中标（成交）候选人（得分相同的，按投标报价由低到高顺序排列。得分且投标报价相同的并列）向</w:t>
      </w:r>
      <w:r>
        <w:rPr>
          <w:rFonts w:hint="eastAsia" w:ascii="宋体" w:hAnsi="宋体" w:cs="宋体"/>
          <w:color w:val="auto"/>
          <w:sz w:val="22"/>
          <w:szCs w:val="22"/>
          <w:highlight w:val="none"/>
          <w:lang w:eastAsia="zh-CN"/>
        </w:rPr>
        <w:t>采购人</w:t>
      </w:r>
      <w:r>
        <w:rPr>
          <w:rFonts w:hint="eastAsia" w:ascii="宋体" w:hAnsi="宋体" w:eastAsia="宋体" w:cs="宋体"/>
          <w:color w:val="auto"/>
          <w:sz w:val="22"/>
          <w:szCs w:val="22"/>
          <w:highlight w:val="none"/>
        </w:rPr>
        <w:t>推荐。</w:t>
      </w:r>
    </w:p>
    <w:p w14:paraId="4427CC8A">
      <w:pPr>
        <w:spacing w:line="460" w:lineRule="exact"/>
        <w:ind w:firstLine="759" w:firstLineChars="345"/>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15、确定中标人</w:t>
      </w:r>
    </w:p>
    <w:p w14:paraId="3DB4CB90">
      <w:pPr>
        <w:spacing w:line="460" w:lineRule="exact"/>
        <w:ind w:firstLine="759" w:firstLineChars="345"/>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15.1招标人按照书面评标报告中推荐的中标候选供应商顺序确定中标人；也可以事先授权评标委员会按照推荐的中标候选供应商顺序直接确定中标人。中标候选人并列的，由评标委员会全体成员记名投票按少数服从多数的原则确定排名。</w:t>
      </w:r>
    </w:p>
    <w:p w14:paraId="7FF1BBA4">
      <w:pPr>
        <w:spacing w:line="460" w:lineRule="exact"/>
        <w:ind w:firstLine="759" w:firstLineChars="3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15.2如中标人放弃中标；或未能在规定时间内与招标人签订合同的；或者经质疑，招标人审查后，确因排名前</w:t>
      </w:r>
      <w:r>
        <w:rPr>
          <w:rFonts w:hint="eastAsia" w:ascii="宋体" w:hAnsi="宋体" w:eastAsia="宋体" w:cs="宋体"/>
          <w:color w:val="auto"/>
          <w:sz w:val="22"/>
          <w:szCs w:val="22"/>
          <w:highlight w:val="none"/>
          <w:lang w:eastAsia="zh-CN"/>
        </w:rPr>
        <w:t>三</w:t>
      </w:r>
      <w:r>
        <w:rPr>
          <w:rFonts w:hint="eastAsia" w:ascii="宋体" w:hAnsi="宋体" w:eastAsia="宋体" w:cs="宋体"/>
          <w:color w:val="auto"/>
          <w:sz w:val="22"/>
          <w:szCs w:val="22"/>
          <w:highlight w:val="none"/>
        </w:rPr>
        <w:t>名的第一中标候选人在本次采购活动中存在违法违规行为或其他原因使质疑成立的，招标人可以</w:t>
      </w:r>
      <w:r>
        <w:rPr>
          <w:rFonts w:hint="eastAsia" w:ascii="宋体" w:hAnsi="宋体" w:cs="宋体"/>
          <w:color w:val="auto"/>
          <w:sz w:val="22"/>
          <w:szCs w:val="22"/>
          <w:highlight w:val="none"/>
          <w:lang w:val="en-US" w:eastAsia="zh-CN"/>
        </w:rPr>
        <w:t>依法</w:t>
      </w:r>
      <w:r>
        <w:rPr>
          <w:rFonts w:hint="eastAsia" w:ascii="宋体" w:hAnsi="宋体" w:eastAsia="宋体" w:cs="宋体"/>
          <w:color w:val="auto"/>
          <w:sz w:val="22"/>
          <w:szCs w:val="22"/>
          <w:highlight w:val="none"/>
        </w:rPr>
        <w:t>视情况直接确定第二</w:t>
      </w:r>
      <w:r>
        <w:rPr>
          <w:rFonts w:hint="eastAsia" w:ascii="宋体" w:hAnsi="宋体" w:cs="宋体"/>
          <w:color w:val="auto"/>
          <w:sz w:val="22"/>
          <w:szCs w:val="22"/>
          <w:highlight w:val="none"/>
          <w:lang w:val="en-US" w:eastAsia="zh-CN"/>
        </w:rPr>
        <w:t>中标</w:t>
      </w:r>
      <w:r>
        <w:rPr>
          <w:rFonts w:hint="eastAsia" w:ascii="宋体" w:hAnsi="宋体" w:eastAsia="宋体" w:cs="宋体"/>
          <w:color w:val="auto"/>
          <w:sz w:val="22"/>
          <w:szCs w:val="22"/>
          <w:highlight w:val="none"/>
        </w:rPr>
        <w:t>候选人为中标人或重新组织招标。</w:t>
      </w:r>
    </w:p>
    <w:p w14:paraId="4189AD8A">
      <w:pPr>
        <w:spacing w:line="460" w:lineRule="exact"/>
        <w:ind w:firstLine="759" w:firstLineChars="3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16、起草、签署评审报告</w:t>
      </w:r>
    </w:p>
    <w:p w14:paraId="3C237486">
      <w:pPr>
        <w:spacing w:line="460" w:lineRule="exact"/>
        <w:ind w:firstLine="759" w:firstLineChars="345"/>
        <w:rPr>
          <w:rFonts w:hint="eastAsia" w:ascii="宋体" w:hAnsi="宋体" w:eastAsia="宋体" w:cs="宋体"/>
          <w:b/>
          <w:bCs/>
          <w:color w:val="auto"/>
          <w:sz w:val="22"/>
          <w:szCs w:val="22"/>
          <w:highlight w:val="none"/>
        </w:rPr>
      </w:pPr>
      <w:r>
        <w:rPr>
          <w:rFonts w:hint="eastAsia" w:ascii="宋体" w:hAnsi="宋体" w:eastAsia="宋体" w:cs="宋体"/>
          <w:color w:val="auto"/>
          <w:sz w:val="22"/>
          <w:szCs w:val="22"/>
          <w:highlight w:val="none"/>
        </w:rPr>
        <w:t>评审结束后，评标委员会将通过“</w:t>
      </w:r>
      <w:r>
        <w:rPr>
          <w:rFonts w:hint="eastAsia" w:ascii="宋体" w:hAnsi="宋体" w:cs="宋体"/>
          <w:color w:val="auto"/>
          <w:sz w:val="22"/>
          <w:szCs w:val="22"/>
          <w:highlight w:val="none"/>
          <w:lang w:eastAsia="zh-CN"/>
        </w:rPr>
        <w:t>乐采云平台</w:t>
      </w:r>
      <w:r>
        <w:rPr>
          <w:rFonts w:hint="eastAsia" w:ascii="宋体" w:hAnsi="宋体" w:eastAsia="宋体" w:cs="宋体"/>
          <w:color w:val="auto"/>
          <w:sz w:val="22"/>
          <w:szCs w:val="22"/>
          <w:highlight w:val="none"/>
        </w:rPr>
        <w:t>”起草评审报告，评标委员会成员应当在评审报告上签字，对自己的评审意见承担法律责任。对评审报告有异议的，应当在评审报告上签署不同意见，并说明理由，否则视为同意评审报告。</w:t>
      </w:r>
    </w:p>
    <w:p w14:paraId="79FD77F8">
      <w:pPr>
        <w:spacing w:line="460" w:lineRule="exact"/>
        <w:ind w:firstLine="759" w:firstLineChars="3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17</w:t>
      </w:r>
      <w:r>
        <w:rPr>
          <w:rFonts w:hint="eastAsia" w:ascii="宋体" w:hAnsi="宋体" w:eastAsia="宋体" w:cs="宋体"/>
          <w:color w:val="auto"/>
          <w:kern w:val="0"/>
          <w:sz w:val="22"/>
          <w:szCs w:val="22"/>
          <w:highlight w:val="none"/>
        </w:rPr>
        <w:t>、</w:t>
      </w:r>
      <w:r>
        <w:rPr>
          <w:rFonts w:hint="eastAsia" w:ascii="宋体" w:hAnsi="宋体" w:eastAsia="宋体" w:cs="宋体"/>
          <w:color w:val="auto"/>
          <w:sz w:val="22"/>
          <w:szCs w:val="22"/>
          <w:highlight w:val="none"/>
        </w:rPr>
        <w:t>中标人确定后，招标人将在政府指定媒体公告中标结果，招标人向中标人发出中标通知书。</w:t>
      </w:r>
    </w:p>
    <w:p w14:paraId="4E31E3DC">
      <w:pPr>
        <w:spacing w:line="460" w:lineRule="exact"/>
        <w:ind w:firstLine="759" w:firstLineChars="345"/>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18、招标人对决标结果不做任何解释，也不保证最低价中标。</w:t>
      </w:r>
    </w:p>
    <w:p w14:paraId="25D393DE">
      <w:pPr>
        <w:spacing w:line="460" w:lineRule="exact"/>
        <w:ind w:firstLine="759" w:firstLineChars="345"/>
        <w:rPr>
          <w:rFonts w:hint="eastAsia" w:ascii="宋体" w:hAnsi="宋体" w:eastAsia="宋体" w:cs="宋体"/>
          <w:b/>
          <w:color w:val="auto"/>
          <w:sz w:val="22"/>
          <w:szCs w:val="22"/>
          <w:highlight w:val="none"/>
        </w:rPr>
      </w:pPr>
      <w:r>
        <w:rPr>
          <w:rFonts w:hint="eastAsia" w:ascii="宋体" w:hAnsi="宋体" w:eastAsia="宋体" w:cs="宋体"/>
          <w:b w:val="0"/>
          <w:bCs w:val="0"/>
          <w:color w:val="auto"/>
          <w:sz w:val="22"/>
          <w:szCs w:val="22"/>
          <w:highlight w:val="none"/>
        </w:rPr>
        <w:t>19、评标细则详见“评标原则及方法”。</w:t>
      </w:r>
    </w:p>
    <w:p w14:paraId="08267583">
      <w:pPr>
        <w:spacing w:before="100" w:beforeAutospacing="1" w:after="100" w:afterAutospacing="1" w:line="440" w:lineRule="exact"/>
        <w:jc w:val="center"/>
        <w:outlineLvl w:val="1"/>
        <w:rPr>
          <w:rFonts w:hint="eastAsia" w:ascii="宋体" w:hAnsi="宋体" w:eastAsia="宋体" w:cs="宋体"/>
          <w:b/>
          <w:bCs/>
          <w:color w:val="auto"/>
          <w:sz w:val="26"/>
          <w:szCs w:val="26"/>
          <w:highlight w:val="none"/>
        </w:rPr>
      </w:pPr>
      <w:bookmarkStart w:id="22" w:name="_Toc26836"/>
      <w:bookmarkStart w:id="23" w:name="_Toc21056"/>
      <w:r>
        <w:rPr>
          <w:rFonts w:hint="eastAsia" w:ascii="宋体" w:hAnsi="宋体" w:eastAsia="宋体" w:cs="宋体"/>
          <w:b/>
          <w:bCs/>
          <w:color w:val="auto"/>
          <w:sz w:val="26"/>
          <w:szCs w:val="26"/>
          <w:highlight w:val="none"/>
        </w:rPr>
        <w:t>六、 授予合同</w:t>
      </w:r>
      <w:bookmarkEnd w:id="22"/>
      <w:bookmarkEnd w:id="23"/>
    </w:p>
    <w:p w14:paraId="051E21E7">
      <w:pPr>
        <w:spacing w:line="460" w:lineRule="exact"/>
        <w:ind w:firstLine="539" w:firstLineChars="245"/>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highlight w:val="none"/>
        </w:rPr>
        <w:t>1、中标通知书</w:t>
      </w:r>
    </w:p>
    <w:p w14:paraId="29F33FD8">
      <w:pPr>
        <w:spacing w:line="460" w:lineRule="exact"/>
        <w:ind w:firstLine="539" w:firstLineChars="245"/>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 xml:space="preserve">1.1中标人确定后，招标人将向中标人发出中标通知书。 </w:t>
      </w:r>
    </w:p>
    <w:p w14:paraId="0979DD34">
      <w:pPr>
        <w:spacing w:line="460" w:lineRule="exact"/>
        <w:ind w:firstLine="539" w:firstLineChars="245"/>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1.2中标通知书是合同的一个组成部分,对招标人和中标人均具有同等法律效力。</w:t>
      </w:r>
    </w:p>
    <w:p w14:paraId="72C54E0B">
      <w:pPr>
        <w:spacing w:line="460" w:lineRule="exact"/>
        <w:ind w:firstLine="539" w:firstLineChars="245"/>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highlight w:val="none"/>
        </w:rPr>
        <w:t>2、授标时更改采购货物数量的权力</w:t>
      </w:r>
    </w:p>
    <w:p w14:paraId="1F608AC9">
      <w:pPr>
        <w:spacing w:line="460" w:lineRule="exact"/>
        <w:ind w:firstLine="539" w:firstLineChars="245"/>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2.1招标人在授予合同时有权对采购货物的数量和服务在一定幅度范围内予以增加或减少,但不得对单价和其他的条款和条件作任何改变。</w:t>
      </w:r>
    </w:p>
    <w:p w14:paraId="6947F4C2">
      <w:pPr>
        <w:spacing w:line="460" w:lineRule="exact"/>
        <w:ind w:firstLine="539" w:firstLineChars="245"/>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highlight w:val="none"/>
        </w:rPr>
        <w:t>3、签订合同</w:t>
      </w:r>
    </w:p>
    <w:p w14:paraId="6EAB4337">
      <w:pPr>
        <w:spacing w:line="460" w:lineRule="exact"/>
        <w:ind w:firstLine="539" w:firstLineChars="245"/>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3.1中标人应按中标通知书规定的时间、地点与招标人签订合同。</w:t>
      </w:r>
    </w:p>
    <w:p w14:paraId="7BEA2C66">
      <w:pPr>
        <w:spacing w:line="460" w:lineRule="exact"/>
        <w:ind w:firstLine="539" w:firstLineChars="245"/>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3.2</w:t>
      </w:r>
      <w:r>
        <w:rPr>
          <w:rFonts w:hint="eastAsia" w:ascii="宋体" w:hAnsi="宋体" w:eastAsia="宋体" w:cs="宋体"/>
          <w:b w:val="0"/>
          <w:bCs/>
          <w:color w:val="auto"/>
          <w:spacing w:val="6"/>
          <w:sz w:val="22"/>
          <w:szCs w:val="22"/>
          <w:highlight w:val="none"/>
        </w:rPr>
        <w:t>在签订合同前，招标人有权在中标总价不变的前提下要求中标人对商务报价中的不平衡报价和缺漏项进行调整，如果中标人无合理理由拒绝调整，其中投标资格将被取消，保证金将不予退还，且将导致其它进一步的赔偿和处罚。</w:t>
      </w:r>
    </w:p>
    <w:p w14:paraId="68247691">
      <w:pPr>
        <w:spacing w:line="460" w:lineRule="exact"/>
        <w:ind w:firstLine="539" w:firstLineChars="245"/>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3.3招标文件、中标人的投标文件、投标修改文件、评标过程中有关澄清文件及经投标人和评委双方签字的询标纪要和中标通知书均作为合同附件。</w:t>
      </w:r>
    </w:p>
    <w:p w14:paraId="645046C1">
      <w:pPr>
        <w:spacing w:line="460" w:lineRule="exact"/>
        <w:ind w:firstLine="539" w:firstLineChars="245"/>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3.4拒签合同的违约责任</w:t>
      </w:r>
    </w:p>
    <w:p w14:paraId="3ABB95F9">
      <w:pPr>
        <w:spacing w:line="460" w:lineRule="exact"/>
        <w:ind w:firstLine="568" w:firstLineChars="245"/>
        <w:rPr>
          <w:rFonts w:hint="eastAsia" w:ascii="宋体" w:hAnsi="宋体" w:eastAsia="宋体" w:cs="宋体"/>
          <w:b w:val="0"/>
          <w:bCs/>
          <w:color w:val="auto"/>
          <w:spacing w:val="6"/>
          <w:sz w:val="22"/>
          <w:szCs w:val="22"/>
          <w:highlight w:val="none"/>
        </w:rPr>
      </w:pPr>
      <w:r>
        <w:rPr>
          <w:rFonts w:hint="eastAsia" w:ascii="宋体" w:hAnsi="宋体" w:eastAsia="宋体" w:cs="宋体"/>
          <w:b w:val="0"/>
          <w:bCs/>
          <w:color w:val="auto"/>
          <w:spacing w:val="6"/>
          <w:sz w:val="22"/>
          <w:szCs w:val="22"/>
          <w:highlight w:val="none"/>
        </w:rPr>
        <w:t>中标人接到中标通知书后，在规定时间内借故否认已经承诺的条件而拒签合同的，以违约处理。</w:t>
      </w:r>
    </w:p>
    <w:p w14:paraId="07782F5B">
      <w:pPr>
        <w:spacing w:line="460" w:lineRule="exact"/>
        <w:ind w:firstLine="539" w:firstLineChars="245"/>
        <w:rPr>
          <w:rFonts w:hint="eastAsia" w:ascii="宋体" w:hAnsi="宋体" w:eastAsia="宋体" w:cs="宋体"/>
          <w:b w:val="0"/>
          <w:bCs/>
          <w:color w:val="auto"/>
          <w:sz w:val="22"/>
          <w:szCs w:val="22"/>
          <w:highlight w:val="none"/>
        </w:rPr>
      </w:pPr>
      <w:r>
        <w:rPr>
          <w:rFonts w:hint="eastAsia" w:ascii="宋体" w:hAnsi="宋体" w:cs="宋体"/>
          <w:b w:val="0"/>
          <w:bCs/>
          <w:color w:val="auto"/>
          <w:sz w:val="22"/>
          <w:highlight w:val="none"/>
          <w:lang w:val="en-US" w:eastAsia="zh-CN"/>
        </w:rPr>
        <w:t>4</w:t>
      </w:r>
      <w:r>
        <w:rPr>
          <w:rFonts w:hint="eastAsia" w:ascii="宋体" w:hAnsi="宋体" w:eastAsia="宋体" w:cs="宋体"/>
          <w:b w:val="0"/>
          <w:bCs/>
          <w:color w:val="auto"/>
          <w:sz w:val="22"/>
          <w:highlight w:val="none"/>
        </w:rPr>
        <w:t>、质疑与投诉</w:t>
      </w:r>
    </w:p>
    <w:p w14:paraId="5775D46E">
      <w:pPr>
        <w:spacing w:line="460" w:lineRule="exact"/>
        <w:ind w:firstLine="568" w:firstLineChars="245"/>
        <w:rPr>
          <w:rFonts w:hint="default" w:ascii="宋体" w:hAnsi="宋体" w:cs="宋体"/>
          <w:b w:val="0"/>
          <w:bCs/>
          <w:color w:val="auto"/>
          <w:sz w:val="22"/>
          <w:highlight w:val="none"/>
          <w:lang w:val="en-US" w:eastAsia="zh-CN"/>
        </w:rPr>
      </w:pPr>
      <w:r>
        <w:rPr>
          <w:rFonts w:hint="eastAsia" w:ascii="宋体" w:hAnsi="宋体" w:eastAsia="宋体" w:cs="宋体"/>
          <w:b w:val="0"/>
          <w:bCs/>
          <w:color w:val="auto"/>
          <w:spacing w:val="6"/>
          <w:sz w:val="22"/>
          <w:szCs w:val="22"/>
          <w:highlight w:val="none"/>
          <w:lang w:val="en-US" w:eastAsia="zh-CN"/>
        </w:rPr>
        <w:t>4</w:t>
      </w:r>
      <w:r>
        <w:rPr>
          <w:rFonts w:hint="eastAsia" w:ascii="宋体" w:hAnsi="宋体" w:eastAsia="宋体" w:cs="宋体"/>
          <w:b w:val="0"/>
          <w:bCs/>
          <w:color w:val="auto"/>
          <w:spacing w:val="6"/>
          <w:sz w:val="22"/>
          <w:szCs w:val="22"/>
          <w:highlight w:val="none"/>
        </w:rPr>
        <w:t>.1</w:t>
      </w:r>
      <w:r>
        <w:rPr>
          <w:rFonts w:hint="eastAsia" w:ascii="宋体" w:hAnsi="宋体" w:cs="宋体"/>
          <w:b/>
          <w:bCs w:val="0"/>
          <w:color w:val="auto"/>
          <w:sz w:val="22"/>
          <w:highlight w:val="none"/>
          <w:lang w:val="en-US" w:eastAsia="zh-CN"/>
        </w:rPr>
        <w:t>特别提醒：</w:t>
      </w:r>
      <w:r>
        <w:rPr>
          <w:rFonts w:hint="eastAsia" w:ascii="宋体" w:hAnsi="宋体" w:eastAsia="宋体" w:cs="宋体"/>
          <w:color w:val="auto"/>
          <w:sz w:val="22"/>
          <w:highlight w:val="none"/>
          <w:lang w:val="en-US" w:eastAsia="zh-CN"/>
        </w:rPr>
        <w:t>供应商认为采购文件使自己的权益受到损害的，可以自获取采购文件之日或者采购文件公告期限届满之日（公告期限届满后获取采购文件的，以公告期限届满之日为准）起7个工作日内，对采购文件需求的以书面形式向采购人提出质疑，对其他内容的以书面形式向采购人和采购代理机构提出质疑</w:t>
      </w:r>
      <w:r>
        <w:rPr>
          <w:rFonts w:hint="eastAsia" w:ascii="宋体" w:hAnsi="宋体" w:cs="宋体"/>
          <w:bCs/>
          <w:color w:val="auto"/>
          <w:sz w:val="22"/>
          <w:highlight w:val="none"/>
          <w:lang w:eastAsia="zh-CN"/>
        </w:rPr>
        <w:t>，</w:t>
      </w:r>
      <w:r>
        <w:rPr>
          <w:rFonts w:hint="eastAsia" w:ascii="宋体" w:hAnsi="宋体" w:cs="宋体"/>
          <w:b w:val="0"/>
          <w:bCs/>
          <w:color w:val="auto"/>
          <w:sz w:val="22"/>
          <w:highlight w:val="none"/>
          <w:lang w:val="en-US" w:eastAsia="zh-CN"/>
        </w:rPr>
        <w:t>供应商在法定质疑期内应一次性提出针对同一采购程序环节的质疑，</w:t>
      </w:r>
      <w:r>
        <w:rPr>
          <w:rFonts w:hint="eastAsia" w:ascii="宋体" w:hAnsi="宋体" w:cs="宋体"/>
          <w:bCs/>
          <w:color w:val="auto"/>
          <w:sz w:val="22"/>
          <w:highlight w:val="none"/>
          <w:lang w:val="en-US" w:eastAsia="zh-CN"/>
        </w:rPr>
        <w:t>否则</w:t>
      </w:r>
      <w:r>
        <w:rPr>
          <w:rFonts w:hint="eastAsia" w:ascii="新宋体" w:hAnsi="新宋体" w:eastAsia="新宋体" w:cs="新宋体"/>
          <w:color w:val="auto"/>
          <w:sz w:val="22"/>
          <w:szCs w:val="22"/>
          <w:highlight w:val="none"/>
        </w:rPr>
        <w:t>不予受理、答复</w:t>
      </w:r>
      <w:r>
        <w:rPr>
          <w:rFonts w:hint="eastAsia" w:ascii="宋体" w:hAnsi="宋体" w:cs="宋体"/>
          <w:bCs/>
          <w:color w:val="auto"/>
          <w:sz w:val="22"/>
          <w:highlight w:val="none"/>
          <w:lang w:val="en-US" w:eastAsia="zh-CN"/>
        </w:rPr>
        <w:t>。</w:t>
      </w:r>
    </w:p>
    <w:p w14:paraId="36ECF32C">
      <w:pPr>
        <w:spacing w:line="460" w:lineRule="exact"/>
        <w:ind w:firstLine="539" w:firstLineChars="245"/>
        <w:rPr>
          <w:rFonts w:hint="eastAsia" w:ascii="宋体" w:hAnsi="宋体" w:eastAsia="宋体" w:cs="宋体"/>
          <w:b w:val="0"/>
          <w:bCs/>
          <w:color w:val="auto"/>
          <w:sz w:val="22"/>
          <w:szCs w:val="22"/>
          <w:highlight w:val="none"/>
        </w:rPr>
      </w:pPr>
      <w:r>
        <w:rPr>
          <w:rFonts w:hint="eastAsia" w:ascii="宋体" w:hAnsi="宋体" w:cs="宋体"/>
          <w:b w:val="0"/>
          <w:bCs/>
          <w:color w:val="auto"/>
          <w:sz w:val="22"/>
          <w:highlight w:val="none"/>
          <w:lang w:val="en-US" w:eastAsia="zh-CN"/>
        </w:rPr>
        <w:t>4</w:t>
      </w:r>
      <w:r>
        <w:rPr>
          <w:rFonts w:hint="eastAsia" w:ascii="宋体" w:hAnsi="宋体" w:eastAsia="宋体" w:cs="宋体"/>
          <w:b w:val="0"/>
          <w:bCs/>
          <w:color w:val="auto"/>
          <w:sz w:val="22"/>
          <w:highlight w:val="none"/>
        </w:rPr>
        <w:t>.2招标人或招标代理机构在收到投标人的书面质疑后七个工作日内作出答复，但答复的内容不得涉及商业秘密。质疑投标人对招标人或招标代理机构的答复不满意，可以在答复期满后十五个工作日内向同级政府采购监督管理部门投诉。</w:t>
      </w:r>
    </w:p>
    <w:p w14:paraId="7177589C">
      <w:pPr>
        <w:spacing w:line="460" w:lineRule="exact"/>
        <w:ind w:firstLine="539" w:firstLineChars="245"/>
        <w:rPr>
          <w:rFonts w:hint="eastAsia" w:ascii="宋体" w:hAnsi="宋体" w:eastAsia="宋体" w:cs="宋体"/>
          <w:b w:val="0"/>
          <w:bCs/>
          <w:color w:val="auto"/>
          <w:sz w:val="22"/>
          <w:highlight w:val="none"/>
        </w:rPr>
      </w:pPr>
      <w:r>
        <w:rPr>
          <w:rFonts w:hint="eastAsia" w:ascii="宋体" w:hAnsi="宋体" w:cs="宋体"/>
          <w:b w:val="0"/>
          <w:bCs/>
          <w:color w:val="auto"/>
          <w:sz w:val="22"/>
          <w:highlight w:val="none"/>
          <w:lang w:val="en-US" w:eastAsia="zh-CN"/>
        </w:rPr>
        <w:t>4</w:t>
      </w:r>
      <w:r>
        <w:rPr>
          <w:rFonts w:hint="eastAsia" w:ascii="宋体" w:hAnsi="宋体" w:eastAsia="宋体" w:cs="宋体"/>
          <w:b w:val="0"/>
          <w:bCs/>
          <w:color w:val="auto"/>
          <w:sz w:val="22"/>
          <w:highlight w:val="none"/>
        </w:rPr>
        <w:t>.3投诉人投诉时，应提交投诉书，投诉书应当由本人并由法定代表人签字盖公章，投诉书应说明具体的投诉事项及事实依据。投诉人对投诉书的真实性负责，恶意投诉将承当相应的法律和民事责任。</w:t>
      </w:r>
    </w:p>
    <w:p w14:paraId="160BF479">
      <w:pPr>
        <w:rPr>
          <w:rFonts w:hint="eastAsia" w:ascii="宋体" w:hAnsi="宋体" w:eastAsia="宋体" w:cs="宋体"/>
          <w:color w:val="auto"/>
          <w:highlight w:val="none"/>
        </w:rPr>
      </w:pPr>
      <w:bookmarkStart w:id="24" w:name="_Toc19043"/>
      <w:bookmarkStart w:id="25" w:name="_Toc28194"/>
      <w:r>
        <w:rPr>
          <w:rFonts w:hint="eastAsia" w:ascii="宋体" w:hAnsi="宋体" w:eastAsia="宋体" w:cs="宋体"/>
          <w:color w:val="auto"/>
          <w:highlight w:val="none"/>
        </w:rPr>
        <w:br w:type="page"/>
      </w:r>
    </w:p>
    <w:p w14:paraId="50F8DED7">
      <w:pPr>
        <w:pStyle w:val="3"/>
        <w:bidi w:val="0"/>
        <w:rPr>
          <w:rFonts w:hint="eastAsia" w:ascii="宋体" w:hAnsi="宋体" w:eastAsia="宋体" w:cs="宋体"/>
          <w:color w:val="auto"/>
          <w:highlight w:val="none"/>
        </w:rPr>
      </w:pPr>
      <w:r>
        <w:rPr>
          <w:rFonts w:hint="eastAsia" w:ascii="宋体" w:hAnsi="宋体" w:eastAsia="宋体" w:cs="宋体"/>
          <w:color w:val="auto"/>
          <w:highlight w:val="none"/>
        </w:rPr>
        <w:t>第二部分    合同主要条款</w:t>
      </w:r>
      <w:bookmarkEnd w:id="24"/>
      <w:bookmarkEnd w:id="25"/>
    </w:p>
    <w:p w14:paraId="667E4FF8">
      <w:pPr>
        <w:spacing w:line="460" w:lineRule="exact"/>
        <w:ind w:firstLine="541" w:firstLineChars="245"/>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注：如甲、乙双方同意，合同格式也可以按照其他形式, 具体条款以甲方为主协商确定。但合同条款的基本内容应与以下要求的内容相一致。</w:t>
      </w:r>
    </w:p>
    <w:p w14:paraId="40EA38DD">
      <w:pPr>
        <w:spacing w:line="460" w:lineRule="exact"/>
        <w:ind w:firstLine="539" w:firstLineChars="245"/>
        <w:jc w:val="center"/>
        <w:rPr>
          <w:rFonts w:hint="eastAsia" w:ascii="宋体" w:hAnsi="宋体" w:eastAsia="宋体" w:cs="宋体"/>
          <w:b/>
          <w:color w:val="auto"/>
          <w:sz w:val="22"/>
          <w:szCs w:val="22"/>
          <w:highlight w:val="none"/>
          <w:u w:val="single"/>
        </w:rPr>
      </w:pPr>
      <w:r>
        <w:rPr>
          <w:rFonts w:hint="eastAsia" w:ascii="宋体" w:hAnsi="宋体" w:eastAsia="宋体" w:cs="宋体"/>
          <w:color w:val="auto"/>
          <w:sz w:val="22"/>
          <w:szCs w:val="22"/>
          <w:highlight w:val="none"/>
          <w:u w:val="single"/>
        </w:rPr>
        <w:t>▲</w:t>
      </w:r>
      <w:r>
        <w:rPr>
          <w:rFonts w:hint="eastAsia" w:ascii="宋体" w:hAnsi="宋体" w:eastAsia="宋体" w:cs="宋体"/>
          <w:b/>
          <w:color w:val="auto"/>
          <w:sz w:val="22"/>
          <w:szCs w:val="22"/>
          <w:highlight w:val="none"/>
          <w:u w:val="single"/>
        </w:rPr>
        <w:t>中标单位需分别与温州市中心医院、温州市第六人民医院签订合同。</w:t>
      </w:r>
    </w:p>
    <w:p w14:paraId="73D2BCE4">
      <w:pPr>
        <w:keepNext/>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highlight w:val="none"/>
          <w:lang w:val="en-US" w:eastAsia="zh-CN"/>
        </w:rPr>
      </w:pPr>
    </w:p>
    <w:p w14:paraId="0C84A9EC">
      <w:pPr>
        <w:keepNext w:val="0"/>
        <w:keepLines w:val="0"/>
        <w:pageBreakBefore w:val="0"/>
        <w:widowControl w:val="0"/>
        <w:kinsoku/>
        <w:wordWrap/>
        <w:overflowPunct/>
        <w:topLinePunct w:val="0"/>
        <w:autoSpaceDE/>
        <w:autoSpaceDN/>
        <w:bidi w:val="0"/>
        <w:adjustRightInd/>
        <w:snapToGrid/>
        <w:spacing w:line="460" w:lineRule="exact"/>
        <w:ind w:firstLine="440" w:firstLineChars="200"/>
        <w:textAlignment w:val="auto"/>
        <w:rPr>
          <w:rFonts w:hint="eastAsia" w:ascii="宋体" w:hAnsi="宋体" w:eastAsia="宋体" w:cs="宋体"/>
          <w:b w:val="0"/>
          <w:bCs w:val="0"/>
          <w:color w:val="auto"/>
          <w:sz w:val="22"/>
          <w:szCs w:val="22"/>
          <w:highlight w:val="none"/>
        </w:rPr>
      </w:pPr>
    </w:p>
    <w:p w14:paraId="592023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auto"/>
          <w:sz w:val="36"/>
          <w:szCs w:val="36"/>
          <w:highlight w:val="none"/>
          <w:lang w:val="en-US"/>
        </w:rPr>
      </w:pPr>
      <w:r>
        <w:rPr>
          <w:rFonts w:hint="eastAsia" w:ascii="宋体" w:hAnsi="宋体" w:eastAsia="宋体" w:cs="宋体"/>
          <w:b/>
          <w:bCs/>
          <w:color w:val="auto"/>
          <w:sz w:val="36"/>
          <w:szCs w:val="36"/>
          <w:highlight w:val="none"/>
        </w:rPr>
        <w:t>温州市中心医院</w:t>
      </w:r>
      <w:r>
        <w:rPr>
          <w:rFonts w:hint="eastAsia" w:ascii="宋体" w:hAnsi="宋体" w:cs="宋体"/>
          <w:b/>
          <w:bCs/>
          <w:color w:val="auto"/>
          <w:sz w:val="36"/>
          <w:szCs w:val="36"/>
          <w:highlight w:val="none"/>
          <w:lang w:eastAsia="zh-CN"/>
        </w:rPr>
        <w:t>、</w:t>
      </w:r>
      <w:r>
        <w:rPr>
          <w:rFonts w:hint="eastAsia" w:ascii="宋体" w:hAnsi="宋体" w:cs="宋体"/>
          <w:b/>
          <w:bCs/>
          <w:color w:val="auto"/>
          <w:sz w:val="36"/>
          <w:szCs w:val="36"/>
          <w:highlight w:val="none"/>
          <w:lang w:val="en-US" w:eastAsia="zh-CN"/>
        </w:rPr>
        <w:t>温州市第六人民医院</w:t>
      </w:r>
      <w:r>
        <w:rPr>
          <w:rFonts w:hint="eastAsia" w:ascii="宋体" w:hAnsi="宋体" w:eastAsia="宋体" w:cs="宋体"/>
          <w:b/>
          <w:bCs/>
          <w:color w:val="auto"/>
          <w:sz w:val="36"/>
          <w:szCs w:val="36"/>
          <w:highlight w:val="none"/>
          <w:u w:val="none"/>
          <w:lang w:eastAsia="zh-CN"/>
        </w:rPr>
        <w:t>食用油</w:t>
      </w:r>
      <w:r>
        <w:rPr>
          <w:rFonts w:hint="eastAsia" w:ascii="宋体" w:hAnsi="宋体" w:cs="宋体"/>
          <w:b/>
          <w:bCs/>
          <w:color w:val="auto"/>
          <w:sz w:val="36"/>
          <w:szCs w:val="36"/>
          <w:highlight w:val="none"/>
          <w:u w:val="none"/>
          <w:lang w:val="en-US" w:eastAsia="zh-CN"/>
        </w:rPr>
        <w:t>采购合同</w:t>
      </w:r>
    </w:p>
    <w:p w14:paraId="0A574065">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b w:val="0"/>
          <w:bCs w:val="0"/>
          <w:color w:val="auto"/>
          <w:sz w:val="22"/>
          <w:szCs w:val="22"/>
          <w:highlight w:val="none"/>
        </w:rPr>
      </w:pPr>
    </w:p>
    <w:p w14:paraId="1A60A6BB">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甲方：</w:t>
      </w:r>
      <w:r>
        <w:rPr>
          <w:rFonts w:hint="eastAsia" w:ascii="宋体" w:hAnsi="宋体" w:eastAsia="宋体" w:cs="宋体"/>
          <w:b w:val="0"/>
          <w:bCs w:val="0"/>
          <w:color w:val="auto"/>
          <w:sz w:val="22"/>
          <w:szCs w:val="22"/>
          <w:highlight w:val="none"/>
          <w:u w:val="single"/>
          <w:lang w:val="en-US" w:eastAsia="zh-CN"/>
        </w:rPr>
        <w:t xml:space="preserve">                      </w:t>
      </w:r>
      <w:r>
        <w:rPr>
          <w:rFonts w:hint="eastAsia" w:ascii="宋体" w:hAnsi="宋体" w:eastAsia="宋体" w:cs="宋体"/>
          <w:b w:val="0"/>
          <w:bCs w:val="0"/>
          <w:color w:val="auto"/>
          <w:sz w:val="22"/>
          <w:szCs w:val="22"/>
          <w:highlight w:val="none"/>
        </w:rPr>
        <w:t>（以下简称：甲方）</w:t>
      </w:r>
    </w:p>
    <w:p w14:paraId="2AD751C3">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r>
        <w:rPr>
          <w:rFonts w:hint="eastAsia" w:ascii="宋体" w:hAnsi="宋体" w:eastAsia="宋体" w:cs="宋体"/>
          <w:b w:val="0"/>
          <w:bCs w:val="0"/>
          <w:color w:val="auto"/>
          <w:sz w:val="22"/>
          <w:szCs w:val="22"/>
          <w:highlight w:val="none"/>
        </w:rPr>
        <w:t>乙方：</w:t>
      </w:r>
      <w:r>
        <w:rPr>
          <w:rFonts w:hint="eastAsia" w:ascii="宋体" w:hAnsi="宋体" w:eastAsia="宋体" w:cs="宋体"/>
          <w:b w:val="0"/>
          <w:bCs w:val="0"/>
          <w:color w:val="auto"/>
          <w:sz w:val="22"/>
          <w:szCs w:val="22"/>
          <w:highlight w:val="none"/>
          <w:u w:val="single"/>
          <w:lang w:val="en-US" w:eastAsia="zh-CN"/>
        </w:rPr>
        <w:t xml:space="preserve">                      </w:t>
      </w:r>
      <w:r>
        <w:rPr>
          <w:rFonts w:hint="eastAsia" w:ascii="宋体" w:hAnsi="宋体" w:eastAsia="宋体" w:cs="宋体"/>
          <w:b w:val="0"/>
          <w:bCs w:val="0"/>
          <w:color w:val="auto"/>
          <w:sz w:val="22"/>
          <w:szCs w:val="22"/>
          <w:highlight w:val="none"/>
        </w:rPr>
        <w:t>（以下简称：乙方）</w:t>
      </w:r>
    </w:p>
    <w:p w14:paraId="52EBB9E4">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lang w:val="en-US" w:eastAsia="zh-CN"/>
        </w:rPr>
        <w:t>一、</w:t>
      </w:r>
      <w:r>
        <w:rPr>
          <w:rFonts w:hint="eastAsia" w:ascii="宋体" w:hAnsi="宋体" w:eastAsia="宋体" w:cs="宋体"/>
          <w:b/>
          <w:bCs/>
          <w:color w:val="auto"/>
          <w:sz w:val="22"/>
          <w:szCs w:val="22"/>
          <w:highlight w:val="none"/>
        </w:rPr>
        <w:t>定义：</w:t>
      </w:r>
    </w:p>
    <w:p w14:paraId="7F321C55">
      <w:pPr>
        <w:keepNext w:val="0"/>
        <w:keepLines w:val="0"/>
        <w:pageBreakBefore w:val="0"/>
        <w:widowControl w:val="0"/>
        <w:kinsoku/>
        <w:wordWrap/>
        <w:overflowPunct/>
        <w:topLinePunct w:val="0"/>
        <w:autoSpaceDE/>
        <w:autoSpaceDN/>
        <w:bidi w:val="0"/>
        <w:adjustRightInd/>
        <w:snapToGrid/>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本合同下列述语应解释为：</w:t>
      </w:r>
    </w:p>
    <w:p w14:paraId="5F359F48">
      <w:pPr>
        <w:keepNext w:val="0"/>
        <w:keepLines w:val="0"/>
        <w:pageBreakBefore w:val="0"/>
        <w:widowControl w:val="0"/>
        <w:numPr>
          <w:ilvl w:val="0"/>
          <w:numId w:val="0"/>
        </w:numPr>
        <w:tabs>
          <w:tab w:val="left" w:pos="540"/>
          <w:tab w:val="left" w:pos="851"/>
        </w:tabs>
        <w:kinsoku/>
        <w:wordWrap/>
        <w:overflowPunct/>
        <w:topLinePunct w:val="0"/>
        <w:autoSpaceDE/>
        <w:autoSpaceDN/>
        <w:bidi w:val="0"/>
        <w:adjustRightInd/>
        <w:snapToGrid/>
        <w:spacing w:line="460" w:lineRule="exact"/>
        <w:ind w:leftChars="0" w:firstLine="46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6"/>
          <w:sz w:val="22"/>
          <w:szCs w:val="22"/>
          <w:highlight w:val="none"/>
          <w:lang w:val="en-US" w:eastAsia="zh-CN"/>
        </w:rPr>
        <w:t>1.1</w:t>
      </w:r>
      <w:r>
        <w:rPr>
          <w:rFonts w:hint="eastAsia" w:ascii="宋体" w:hAnsi="宋体" w:eastAsia="宋体" w:cs="宋体"/>
          <w:color w:val="auto"/>
          <w:spacing w:val="6"/>
          <w:sz w:val="22"/>
          <w:szCs w:val="22"/>
          <w:highlight w:val="none"/>
        </w:rPr>
        <w:t>“</w:t>
      </w:r>
      <w:r>
        <w:rPr>
          <w:rFonts w:hint="eastAsia" w:ascii="宋体" w:hAnsi="宋体" w:eastAsia="宋体" w:cs="宋体"/>
          <w:color w:val="auto"/>
          <w:sz w:val="22"/>
          <w:szCs w:val="22"/>
          <w:highlight w:val="none"/>
        </w:rPr>
        <w:t>合同”即由甲乙方双方签订的合同格式中的文件，包括所有的附件、附录和组成合同部分的所有其他文件。</w:t>
      </w:r>
    </w:p>
    <w:p w14:paraId="2E2BCFD1">
      <w:pPr>
        <w:keepNext w:val="0"/>
        <w:keepLines w:val="0"/>
        <w:pageBreakBefore w:val="0"/>
        <w:widowControl w:val="0"/>
        <w:tabs>
          <w:tab w:val="left" w:pos="540"/>
          <w:tab w:val="left" w:pos="567"/>
        </w:tabs>
        <w:kinsoku/>
        <w:wordWrap/>
        <w:overflowPunct/>
        <w:topLinePunct w:val="0"/>
        <w:autoSpaceDE/>
        <w:autoSpaceDN/>
        <w:bidi w:val="0"/>
        <w:adjustRightInd/>
        <w:snapToGrid/>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合同将由温州市中心医院（以下简称甲方）与经评审最终确定的中标人（以下简称乙方）结合本项目具体情况协商后签订。以下为采购人提出涉及乙方的主要条款，投标人在投标文件中应对其进行确认或拒绝。如投标人在其投标文件中未做拒绝或提出修改要求的，采购人将视作认同。</w:t>
      </w:r>
    </w:p>
    <w:p w14:paraId="3B816983">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lang w:val="en-US" w:eastAsia="zh-CN"/>
        </w:rPr>
        <w:t>1.2</w:t>
      </w:r>
      <w:r>
        <w:rPr>
          <w:rFonts w:hint="eastAsia" w:ascii="宋体" w:hAnsi="宋体" w:eastAsia="宋体" w:cs="宋体"/>
          <w:b w:val="0"/>
          <w:bCs w:val="0"/>
          <w:color w:val="auto"/>
          <w:sz w:val="22"/>
          <w:szCs w:val="22"/>
          <w:highlight w:val="none"/>
        </w:rPr>
        <w:t>“合同价”是指根据本合同规定，乙方在正确地完全履行合同义务后甲方应支付给乙方的价款。包括但不限于制造、货物款、装卸、运输、税金、保险、检测验收（含第三方检测验收）、售后服务、质保期保障、招标代理服务费及其他不可预见费等全部费用，实行固定费用总包干。</w:t>
      </w:r>
    </w:p>
    <w:p w14:paraId="36AE19F5">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1.3</w:t>
      </w:r>
      <w:r>
        <w:rPr>
          <w:rFonts w:hint="eastAsia" w:ascii="宋体" w:hAnsi="宋体" w:eastAsia="宋体" w:cs="宋体"/>
          <w:color w:val="auto"/>
          <w:sz w:val="22"/>
          <w:szCs w:val="22"/>
          <w:highlight w:val="none"/>
        </w:rPr>
        <w:t>“货物”是指根据合同规定须向甲方提供的一切产品和其它材料。</w:t>
      </w:r>
    </w:p>
    <w:p w14:paraId="7888A39E">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1.4</w:t>
      </w:r>
      <w:r>
        <w:rPr>
          <w:rFonts w:hint="eastAsia" w:ascii="宋体" w:hAnsi="宋体" w:eastAsia="宋体" w:cs="宋体"/>
          <w:color w:val="auto"/>
          <w:sz w:val="22"/>
          <w:szCs w:val="22"/>
          <w:highlight w:val="none"/>
        </w:rPr>
        <w:t>“服务”是指根据合同规定乙方承担与供货有关的辅助服务，如运输、保险以及其它的伴随服务，例如三包、提供技术协助和合同中规定乙方应承担的其它义务。</w:t>
      </w:r>
    </w:p>
    <w:p w14:paraId="0DC8E2B3">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1.5</w:t>
      </w:r>
      <w:r>
        <w:rPr>
          <w:rFonts w:hint="eastAsia" w:ascii="宋体" w:hAnsi="宋体" w:eastAsia="宋体" w:cs="宋体"/>
          <w:color w:val="auto"/>
          <w:sz w:val="22"/>
          <w:szCs w:val="22"/>
          <w:highlight w:val="none"/>
        </w:rPr>
        <w:t>“现场”是指合同项下货物将要进行运送的地点。</w:t>
      </w:r>
    </w:p>
    <w:p w14:paraId="30ABEF83">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1.6</w:t>
      </w:r>
      <w:r>
        <w:rPr>
          <w:rFonts w:hint="eastAsia" w:ascii="宋体" w:hAnsi="宋体" w:eastAsia="宋体" w:cs="宋体"/>
          <w:color w:val="auto"/>
          <w:sz w:val="22"/>
          <w:szCs w:val="22"/>
          <w:highlight w:val="none"/>
        </w:rPr>
        <w:t>“验收”是指合同双方依据规定的程序和条件确认合同项下的货物符合技术规范的要求。</w:t>
      </w:r>
    </w:p>
    <w:p w14:paraId="48FC8739">
      <w:pPr>
        <w:keepNext w:val="0"/>
        <w:keepLines w:val="0"/>
        <w:pageBreakBefore w:val="0"/>
        <w:widowControl w:val="0"/>
        <w:kinsoku/>
        <w:wordWrap/>
        <w:overflowPunct/>
        <w:topLinePunct w:val="0"/>
        <w:autoSpaceDE/>
        <w:autoSpaceDN/>
        <w:bidi w:val="0"/>
        <w:adjustRightInd/>
        <w:snapToGrid/>
        <w:spacing w:line="460" w:lineRule="exact"/>
        <w:textAlignment w:val="auto"/>
        <w:outlineLvl w:val="9"/>
        <w:rPr>
          <w:rFonts w:hint="eastAsia" w:ascii="宋体" w:hAnsi="宋体" w:eastAsia="宋体" w:cs="宋体"/>
          <w:b/>
          <w:color w:val="auto"/>
          <w:sz w:val="22"/>
          <w:szCs w:val="22"/>
          <w:highlight w:val="none"/>
        </w:rPr>
      </w:pPr>
      <w:r>
        <w:rPr>
          <w:rFonts w:hint="eastAsia" w:ascii="宋体" w:hAnsi="宋体" w:eastAsia="宋体" w:cs="宋体"/>
          <w:b/>
          <w:bCs/>
          <w:color w:val="auto"/>
          <w:sz w:val="22"/>
          <w:szCs w:val="22"/>
          <w:highlight w:val="none"/>
          <w:lang w:val="en-US" w:eastAsia="zh-CN"/>
        </w:rPr>
        <w:t>二、</w:t>
      </w:r>
      <w:r>
        <w:rPr>
          <w:rFonts w:hint="eastAsia" w:ascii="宋体" w:hAnsi="宋体" w:eastAsia="宋体" w:cs="宋体"/>
          <w:b/>
          <w:color w:val="auto"/>
          <w:sz w:val="22"/>
          <w:szCs w:val="22"/>
          <w:highlight w:val="none"/>
        </w:rPr>
        <w:t>标志、标签、包装、运输和储存</w:t>
      </w:r>
    </w:p>
    <w:p w14:paraId="409F9615">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1标签应符合国家的规定及要求；</w:t>
      </w:r>
    </w:p>
    <w:p w14:paraId="08041AB7">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2销售包装应符合国家的规定和要求；</w:t>
      </w:r>
    </w:p>
    <w:p w14:paraId="2AB22043">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3包装容器及包装材料应符合国家有关卫生标准的规定和要求；</w:t>
      </w:r>
    </w:p>
    <w:p w14:paraId="0407A35E">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4包装容器必须专用、清洁、干燥和密封，应符合食品卫生安全标准；</w:t>
      </w:r>
    </w:p>
    <w:p w14:paraId="071C4189">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5产品应储存于阴凉、干燥和避光处。不得与有害有毒物品同库存放；</w:t>
      </w:r>
    </w:p>
    <w:p w14:paraId="4E9F5E63">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6运输要注意安全，防止日晒、雨淋、渗漏、污染和标签脱落。散装运输要用专车，保持车辆清洁、卫生。</w:t>
      </w:r>
    </w:p>
    <w:p w14:paraId="4DF7B910">
      <w:pPr>
        <w:keepNext w:val="0"/>
        <w:keepLines w:val="0"/>
        <w:pageBreakBefore w:val="0"/>
        <w:widowControl w:val="0"/>
        <w:kinsoku/>
        <w:wordWrap/>
        <w:overflowPunct/>
        <w:topLinePunct w:val="0"/>
        <w:autoSpaceDE/>
        <w:autoSpaceDN/>
        <w:bidi w:val="0"/>
        <w:adjustRightInd/>
        <w:snapToGrid/>
        <w:spacing w:line="460" w:lineRule="exact"/>
        <w:textAlignment w:val="auto"/>
        <w:outlineLvl w:val="9"/>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lang w:val="en-US" w:eastAsia="zh-CN"/>
        </w:rPr>
        <w:t>三</w:t>
      </w:r>
      <w:r>
        <w:rPr>
          <w:rFonts w:hint="eastAsia" w:ascii="宋体" w:hAnsi="宋体" w:eastAsia="宋体" w:cs="宋体"/>
          <w:b/>
          <w:color w:val="auto"/>
          <w:sz w:val="22"/>
          <w:szCs w:val="22"/>
          <w:highlight w:val="none"/>
        </w:rPr>
        <w:t>、供货质量要求及验收办法</w:t>
      </w:r>
    </w:p>
    <w:p w14:paraId="01F79475">
      <w:pPr>
        <w:spacing w:line="460" w:lineRule="exact"/>
        <w:ind w:firstLine="539" w:firstLineChars="245"/>
        <w:rPr>
          <w:rFonts w:hint="eastAsia" w:ascii="宋体" w:hAnsi="宋体" w:eastAsia="宋体" w:cs="宋体"/>
          <w:color w:val="auto"/>
          <w:sz w:val="22"/>
          <w:highlight w:val="none"/>
        </w:rPr>
      </w:pPr>
      <w:r>
        <w:rPr>
          <w:rFonts w:hint="eastAsia" w:ascii="宋体" w:hAnsi="宋体" w:eastAsia="宋体" w:cs="宋体"/>
          <w:color w:val="auto"/>
          <w:sz w:val="22"/>
          <w:highlight w:val="none"/>
          <w:lang w:val="en-US" w:eastAsia="zh-CN"/>
        </w:rPr>
        <w:t>3.1</w:t>
      </w:r>
      <w:r>
        <w:rPr>
          <w:rFonts w:hint="eastAsia" w:ascii="宋体" w:hAnsi="宋体" w:eastAsia="宋体" w:cs="宋体"/>
          <w:color w:val="auto"/>
          <w:sz w:val="22"/>
          <w:highlight w:val="none"/>
        </w:rPr>
        <w:t>依据产品质量监督检验单位提供的质量标准，</w:t>
      </w:r>
      <w:r>
        <w:rPr>
          <w:rFonts w:hint="eastAsia" w:ascii="宋体" w:hAnsi="宋体" w:eastAsia="宋体" w:cs="宋体"/>
          <w:color w:val="auto"/>
          <w:sz w:val="22"/>
          <w:highlight w:val="none"/>
          <w:lang w:val="en-US" w:eastAsia="zh-CN"/>
        </w:rPr>
        <w:t>乙方</w:t>
      </w:r>
      <w:r>
        <w:rPr>
          <w:rFonts w:hint="eastAsia" w:ascii="宋体" w:hAnsi="宋体" w:eastAsia="宋体" w:cs="宋体"/>
          <w:color w:val="auto"/>
          <w:sz w:val="22"/>
          <w:highlight w:val="none"/>
        </w:rPr>
        <w:t>提供的食用油必须是经过质量监督管理部门检验并取得合格证明的产品，每批次食用油提供时应交存食用油质量合格证明、食用油质量检测合格报告或检验报告复印件。</w:t>
      </w:r>
    </w:p>
    <w:p w14:paraId="50980722">
      <w:pPr>
        <w:spacing w:line="460" w:lineRule="exact"/>
        <w:ind w:firstLine="539" w:firstLineChars="245"/>
        <w:rPr>
          <w:rFonts w:hint="eastAsia" w:ascii="宋体" w:hAnsi="宋体" w:eastAsia="宋体" w:cs="宋体"/>
          <w:color w:val="auto"/>
          <w:sz w:val="22"/>
          <w:highlight w:val="none"/>
        </w:rPr>
      </w:pPr>
      <w:r>
        <w:rPr>
          <w:rFonts w:hint="eastAsia" w:ascii="宋体" w:hAnsi="宋体" w:eastAsia="宋体" w:cs="宋体"/>
          <w:color w:val="auto"/>
          <w:sz w:val="22"/>
          <w:highlight w:val="none"/>
          <w:lang w:val="en-US" w:eastAsia="zh-CN"/>
        </w:rPr>
        <w:t>3.2</w:t>
      </w:r>
      <w:r>
        <w:rPr>
          <w:rFonts w:hint="eastAsia" w:ascii="宋体" w:hAnsi="宋体" w:eastAsia="宋体" w:cs="宋体"/>
          <w:color w:val="auto"/>
          <w:sz w:val="22"/>
          <w:highlight w:val="none"/>
        </w:rPr>
        <w:t>乙方所供每批次产品，必须参照投标时合格的食用油样品标准、产品出厂检验报告，并经总务科验收、食堂入库签字确认。食用油入库前须经过医院食堂验收人员的感官检验、外观检验和试用检验，若产品外观、包装、形式不符合要求、感官检验不能达到食品卫生要求，当即拒收；</w:t>
      </w:r>
      <w:r>
        <w:rPr>
          <w:rFonts w:hint="eastAsia" w:ascii="宋体" w:hAnsi="宋体" w:eastAsia="宋体" w:cs="宋体"/>
          <w:color w:val="auto"/>
          <w:sz w:val="22"/>
          <w:highlight w:val="none"/>
          <w:lang w:val="en-US" w:eastAsia="zh-CN"/>
        </w:rPr>
        <w:t>乙方</w:t>
      </w:r>
      <w:r>
        <w:rPr>
          <w:rFonts w:hint="eastAsia" w:ascii="宋体" w:hAnsi="宋体" w:eastAsia="宋体" w:cs="宋体"/>
          <w:color w:val="auto"/>
          <w:sz w:val="22"/>
          <w:highlight w:val="none"/>
        </w:rPr>
        <w:t>不能满足食品的质量及售后服务要求时，</w:t>
      </w:r>
      <w:r>
        <w:rPr>
          <w:rFonts w:hint="eastAsia" w:ascii="宋体" w:hAnsi="宋体" w:eastAsia="宋体" w:cs="宋体"/>
          <w:color w:val="auto"/>
          <w:sz w:val="22"/>
          <w:highlight w:val="none"/>
          <w:lang w:val="en-US" w:eastAsia="zh-CN"/>
        </w:rPr>
        <w:t>乙方</w:t>
      </w:r>
      <w:r>
        <w:rPr>
          <w:rFonts w:hint="eastAsia" w:ascii="宋体" w:hAnsi="宋体" w:eastAsia="宋体" w:cs="宋体"/>
          <w:color w:val="auto"/>
          <w:sz w:val="22"/>
          <w:highlight w:val="none"/>
        </w:rPr>
        <w:t xml:space="preserve">应承担全部责任。 </w:t>
      </w:r>
    </w:p>
    <w:p w14:paraId="1D383FFF">
      <w:pPr>
        <w:spacing w:line="460" w:lineRule="exact"/>
        <w:ind w:firstLine="539" w:firstLineChars="245"/>
        <w:rPr>
          <w:rFonts w:hint="eastAsia" w:ascii="宋体" w:hAnsi="宋体" w:eastAsia="宋体" w:cs="宋体"/>
          <w:b w:val="0"/>
          <w:bCs w:val="0"/>
          <w:color w:val="auto"/>
          <w:sz w:val="22"/>
          <w:highlight w:val="none"/>
        </w:rPr>
      </w:pPr>
      <w:r>
        <w:rPr>
          <w:rFonts w:hint="eastAsia" w:ascii="宋体" w:hAnsi="宋体" w:eastAsia="宋体" w:cs="宋体"/>
          <w:b w:val="0"/>
          <w:bCs w:val="0"/>
          <w:color w:val="auto"/>
          <w:sz w:val="22"/>
          <w:highlight w:val="none"/>
          <w:lang w:val="en-US" w:eastAsia="zh-CN"/>
        </w:rPr>
        <w:t>3.3</w:t>
      </w:r>
      <w:r>
        <w:rPr>
          <w:rFonts w:hint="eastAsia" w:ascii="宋体" w:hAnsi="宋体" w:cs="宋体"/>
          <w:b w:val="0"/>
          <w:bCs w:val="0"/>
          <w:color w:val="auto"/>
          <w:sz w:val="22"/>
          <w:highlight w:val="none"/>
          <w:lang w:val="en-US" w:eastAsia="zh-CN"/>
        </w:rPr>
        <w:t>乙方</w:t>
      </w:r>
      <w:r>
        <w:rPr>
          <w:rFonts w:hint="eastAsia" w:ascii="宋体" w:hAnsi="宋体" w:eastAsia="宋体" w:cs="宋体"/>
          <w:b w:val="0"/>
          <w:bCs w:val="0"/>
          <w:color w:val="auto"/>
          <w:sz w:val="22"/>
          <w:highlight w:val="none"/>
        </w:rPr>
        <w:t>在合同期内，甲方负责组织相关职能部门不定期进行抽查检验，抽查检验所需的第三方检测费用，均由乙方负责，若发现以下情况，甲方有权终止合同并推荐备选中标供应商进行替代供应（一年中不定期抽查发现一次以下情况，甲方立即终止本合同），乙方还必须承担相关的经济赔偿和法律责任：</w:t>
      </w:r>
    </w:p>
    <w:p w14:paraId="21E071D3">
      <w:pPr>
        <w:spacing w:line="460" w:lineRule="exact"/>
        <w:ind w:firstLine="539" w:firstLineChars="245"/>
        <w:rPr>
          <w:rFonts w:hint="eastAsia" w:ascii="宋体" w:hAnsi="宋体" w:eastAsia="宋体" w:cs="宋体"/>
          <w:color w:val="auto"/>
          <w:sz w:val="22"/>
          <w:highlight w:val="none"/>
        </w:rPr>
      </w:pPr>
      <w:r>
        <w:rPr>
          <w:rFonts w:hint="eastAsia" w:ascii="宋体" w:hAnsi="宋体" w:eastAsia="宋体" w:cs="宋体"/>
          <w:color w:val="auto"/>
          <w:sz w:val="22"/>
          <w:highlight w:val="none"/>
        </w:rPr>
        <w:t>(1)食用油出现严重质量问题；</w:t>
      </w:r>
    </w:p>
    <w:p w14:paraId="5F29F4AB">
      <w:pPr>
        <w:spacing w:line="460" w:lineRule="exact"/>
        <w:ind w:firstLine="539" w:firstLineChars="245"/>
        <w:rPr>
          <w:rFonts w:hint="eastAsia" w:ascii="宋体" w:hAnsi="宋体" w:eastAsia="宋体" w:cs="宋体"/>
          <w:color w:val="auto"/>
          <w:sz w:val="22"/>
          <w:highlight w:val="none"/>
        </w:rPr>
      </w:pPr>
      <w:r>
        <w:rPr>
          <w:rFonts w:hint="eastAsia" w:ascii="宋体" w:hAnsi="宋体" w:eastAsia="宋体" w:cs="宋体"/>
          <w:color w:val="auto"/>
          <w:sz w:val="22"/>
          <w:highlight w:val="none"/>
        </w:rPr>
        <w:t>(2)食用油数量与实际不符；</w:t>
      </w:r>
    </w:p>
    <w:p w14:paraId="353FF369">
      <w:pPr>
        <w:spacing w:line="460" w:lineRule="exact"/>
        <w:ind w:firstLine="539" w:firstLineChars="245"/>
        <w:rPr>
          <w:rFonts w:hint="eastAsia" w:ascii="宋体" w:hAnsi="宋体" w:eastAsia="宋体" w:cs="宋体"/>
          <w:color w:val="auto"/>
          <w:sz w:val="22"/>
          <w:highlight w:val="none"/>
        </w:rPr>
      </w:pPr>
      <w:r>
        <w:rPr>
          <w:rFonts w:hint="eastAsia" w:ascii="宋体" w:hAnsi="宋体" w:eastAsia="宋体" w:cs="宋体"/>
          <w:color w:val="auto"/>
          <w:sz w:val="22"/>
          <w:highlight w:val="none"/>
        </w:rPr>
        <w:t xml:space="preserve">(3)偷梁换柱、以次充好或者将不合格食用油冒充合格的食用油。 </w:t>
      </w:r>
    </w:p>
    <w:p w14:paraId="527C6E40">
      <w:pPr>
        <w:spacing w:line="460" w:lineRule="exact"/>
        <w:ind w:firstLine="440" w:firstLineChars="200"/>
        <w:rPr>
          <w:rFonts w:hint="eastAsia" w:ascii="宋体" w:hAnsi="宋体" w:eastAsia="宋体" w:cs="宋体"/>
          <w:color w:val="auto"/>
          <w:sz w:val="22"/>
          <w:highlight w:val="none"/>
        </w:rPr>
      </w:pPr>
      <w:r>
        <w:rPr>
          <w:rFonts w:hint="eastAsia" w:ascii="宋体" w:hAnsi="宋体" w:eastAsia="宋体" w:cs="宋体"/>
          <w:color w:val="auto"/>
          <w:sz w:val="22"/>
          <w:highlight w:val="none"/>
        </w:rPr>
        <w:t>（4）食用油送到医院时，保质期已过半。</w:t>
      </w:r>
    </w:p>
    <w:p w14:paraId="03DFD0C2">
      <w:pPr>
        <w:spacing w:line="460" w:lineRule="exact"/>
        <w:ind w:firstLine="539" w:firstLineChars="245"/>
        <w:rPr>
          <w:rFonts w:hint="eastAsia" w:ascii="宋体" w:hAnsi="宋体" w:eastAsia="宋体" w:cs="宋体"/>
          <w:color w:val="auto"/>
          <w:sz w:val="22"/>
          <w:highlight w:val="none"/>
        </w:rPr>
      </w:pPr>
      <w:r>
        <w:rPr>
          <w:rFonts w:hint="eastAsia" w:ascii="宋体" w:hAnsi="宋体" w:eastAsia="宋体" w:cs="宋体"/>
          <w:color w:val="auto"/>
          <w:sz w:val="22"/>
          <w:highlight w:val="none"/>
          <w:lang w:val="en-US" w:eastAsia="zh-CN"/>
        </w:rPr>
        <w:t>3.4</w:t>
      </w:r>
      <w:r>
        <w:rPr>
          <w:rFonts w:hint="eastAsia" w:ascii="宋体" w:hAnsi="宋体" w:eastAsia="宋体" w:cs="宋体"/>
          <w:color w:val="auto"/>
          <w:sz w:val="22"/>
          <w:highlight w:val="none"/>
        </w:rPr>
        <w:t>甲方提出的质量异议，</w:t>
      </w:r>
      <w:r>
        <w:rPr>
          <w:rFonts w:hint="eastAsia" w:ascii="宋体" w:hAnsi="宋体" w:cs="宋体"/>
          <w:color w:val="auto"/>
          <w:sz w:val="22"/>
          <w:highlight w:val="none"/>
          <w:lang w:val="en-US" w:eastAsia="zh-CN"/>
        </w:rPr>
        <w:t>乙方</w:t>
      </w:r>
      <w:r>
        <w:rPr>
          <w:rFonts w:hint="eastAsia" w:ascii="宋体" w:hAnsi="宋体" w:eastAsia="宋体" w:cs="宋体"/>
          <w:color w:val="auto"/>
          <w:sz w:val="22"/>
          <w:highlight w:val="none"/>
        </w:rPr>
        <w:t>保证在20分钟以内作出答复，并妥善商处。无法在20分钟内解决的，应在1个小时内提供备用产品，使甲方能够正常使用。</w:t>
      </w:r>
    </w:p>
    <w:p w14:paraId="297C94E7">
      <w:pPr>
        <w:spacing w:line="460" w:lineRule="exact"/>
        <w:ind w:firstLine="539" w:firstLineChars="245"/>
        <w:rPr>
          <w:rFonts w:hint="eastAsia" w:ascii="宋体" w:hAnsi="宋体" w:eastAsia="宋体" w:cs="宋体"/>
          <w:color w:val="auto"/>
          <w:sz w:val="22"/>
          <w:highlight w:val="none"/>
        </w:rPr>
      </w:pPr>
      <w:r>
        <w:rPr>
          <w:rFonts w:hint="eastAsia" w:ascii="宋体" w:hAnsi="宋体" w:eastAsia="宋体" w:cs="宋体"/>
          <w:color w:val="auto"/>
          <w:sz w:val="22"/>
          <w:highlight w:val="none"/>
          <w:lang w:val="en-US" w:eastAsia="zh-CN"/>
        </w:rPr>
        <w:t>3.5</w:t>
      </w:r>
      <w:r>
        <w:rPr>
          <w:rFonts w:hint="eastAsia" w:ascii="宋体" w:hAnsi="宋体" w:eastAsia="宋体" w:cs="宋体"/>
          <w:color w:val="auto"/>
          <w:sz w:val="22"/>
          <w:highlight w:val="none"/>
        </w:rPr>
        <w:t xml:space="preserve">乙方在供货期间，凡因所供货物质量问题造成食物中毒等其它严重后果的，乙方必须承担一切经济和法律责任。 </w:t>
      </w:r>
    </w:p>
    <w:p w14:paraId="3A339086">
      <w:pPr>
        <w:keepNext w:val="0"/>
        <w:keepLines w:val="0"/>
        <w:pageBreakBefore w:val="0"/>
        <w:widowControl w:val="0"/>
        <w:numPr>
          <w:ilvl w:val="0"/>
          <w:numId w:val="0"/>
        </w:numPr>
        <w:tabs>
          <w:tab w:val="left" w:pos="540"/>
          <w:tab w:val="left" w:pos="992"/>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highlight w:val="none"/>
          <w:lang w:val="en-US" w:eastAsia="zh-CN"/>
        </w:rPr>
        <w:t>3.6</w:t>
      </w:r>
      <w:r>
        <w:rPr>
          <w:rFonts w:hint="eastAsia" w:ascii="宋体" w:hAnsi="宋体" w:eastAsia="宋体" w:cs="宋体"/>
          <w:color w:val="auto"/>
          <w:sz w:val="22"/>
          <w:highlight w:val="none"/>
        </w:rPr>
        <w:t>乙方在供货期间，凡所供货物质量问题和送货时间造成的，甲方有权利临时采购次位中标候选人同等品质食用油，其中的差价</w:t>
      </w:r>
      <w:r>
        <w:rPr>
          <w:rFonts w:hint="eastAsia" w:ascii="宋体" w:hAnsi="宋体" w:cs="宋体"/>
          <w:color w:val="auto"/>
          <w:sz w:val="22"/>
          <w:highlight w:val="none"/>
          <w:lang w:val="en-US" w:eastAsia="zh-CN"/>
        </w:rPr>
        <w:t>由</w:t>
      </w:r>
      <w:r>
        <w:rPr>
          <w:rFonts w:hint="eastAsia" w:ascii="宋体" w:hAnsi="宋体" w:eastAsia="宋体" w:cs="宋体"/>
          <w:color w:val="auto"/>
          <w:sz w:val="22"/>
          <w:highlight w:val="none"/>
        </w:rPr>
        <w:t>乙方负责</w:t>
      </w:r>
      <w:r>
        <w:rPr>
          <w:rFonts w:hint="eastAsia" w:ascii="宋体" w:hAnsi="宋体" w:cs="宋体"/>
          <w:color w:val="auto"/>
          <w:sz w:val="22"/>
          <w:highlight w:val="none"/>
          <w:lang w:eastAsia="zh-CN"/>
        </w:rPr>
        <w:t>，</w:t>
      </w:r>
      <w:r>
        <w:rPr>
          <w:rFonts w:hint="eastAsia" w:ascii="宋体" w:hAnsi="宋体" w:cs="宋体"/>
          <w:color w:val="auto"/>
          <w:sz w:val="22"/>
          <w:highlight w:val="none"/>
          <w:lang w:val="en-US" w:eastAsia="zh-CN"/>
        </w:rPr>
        <w:t>甲方将按价扣除相应的货款。</w:t>
      </w:r>
      <w:r>
        <w:rPr>
          <w:rFonts w:hint="eastAsia" w:ascii="宋体" w:hAnsi="宋体" w:eastAsia="宋体" w:cs="宋体"/>
          <w:color w:val="auto"/>
          <w:sz w:val="22"/>
          <w:highlight w:val="none"/>
        </w:rPr>
        <w:t xml:space="preserve">乙方另须承担其它一切法律责任和经济损失。 </w:t>
      </w:r>
    </w:p>
    <w:p w14:paraId="20C0FC7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lang w:val="en-US" w:eastAsia="zh-CN"/>
        </w:rPr>
        <w:t>四、</w:t>
      </w:r>
      <w:r>
        <w:rPr>
          <w:rFonts w:hint="eastAsia" w:ascii="宋体" w:hAnsi="宋体" w:eastAsia="宋体" w:cs="宋体"/>
          <w:b/>
          <w:bCs/>
          <w:color w:val="auto"/>
          <w:sz w:val="22"/>
          <w:szCs w:val="22"/>
          <w:highlight w:val="none"/>
        </w:rPr>
        <w:t>装运标记</w:t>
      </w:r>
    </w:p>
    <w:p w14:paraId="64F7DCF9">
      <w:pPr>
        <w:keepNext w:val="0"/>
        <w:keepLines w:val="0"/>
        <w:pageBreakBefore w:val="0"/>
        <w:widowControl w:val="0"/>
        <w:numPr>
          <w:ilvl w:val="0"/>
          <w:numId w:val="0"/>
        </w:numPr>
        <w:tabs>
          <w:tab w:val="left" w:pos="540"/>
          <w:tab w:val="left" w:pos="992"/>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4.1</w:t>
      </w:r>
      <w:r>
        <w:rPr>
          <w:rFonts w:hint="eastAsia" w:ascii="宋体" w:hAnsi="宋体" w:eastAsia="宋体" w:cs="宋体"/>
          <w:color w:val="auto"/>
          <w:sz w:val="22"/>
          <w:szCs w:val="22"/>
          <w:highlight w:val="none"/>
        </w:rPr>
        <w:t>乙方应在每一包装箱相邻的四侧用不可擦除的油漆以醒目的中文字样标注下列标记：</w:t>
      </w:r>
    </w:p>
    <w:p w14:paraId="5C07C4E3">
      <w:pPr>
        <w:keepNext w:val="0"/>
        <w:keepLines w:val="0"/>
        <w:pageBreakBefore w:val="0"/>
        <w:widowControl w:val="0"/>
        <w:kinsoku/>
        <w:wordWrap/>
        <w:overflowPunct/>
        <w:topLinePunct w:val="0"/>
        <w:autoSpaceDE/>
        <w:autoSpaceDN/>
        <w:bidi w:val="0"/>
        <w:adjustRightInd/>
        <w:snapToGrid/>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1）收货人</w:t>
      </w:r>
      <w:r>
        <w:rPr>
          <w:rFonts w:hint="eastAsia" w:ascii="宋体" w:hAnsi="宋体" w:eastAsia="宋体" w:cs="宋体"/>
          <w:color w:val="auto"/>
          <w:sz w:val="22"/>
          <w:szCs w:val="22"/>
          <w:highlight w:val="none"/>
          <w:u w:val="single"/>
        </w:rPr>
        <w:t xml:space="preserve">                                            </w:t>
      </w:r>
    </w:p>
    <w:p w14:paraId="18C5398F">
      <w:pPr>
        <w:keepNext w:val="0"/>
        <w:keepLines w:val="0"/>
        <w:pageBreakBefore w:val="0"/>
        <w:widowControl w:val="0"/>
        <w:kinsoku/>
        <w:wordWrap/>
        <w:overflowPunct/>
        <w:topLinePunct w:val="0"/>
        <w:autoSpaceDE/>
        <w:autoSpaceDN/>
        <w:bidi w:val="0"/>
        <w:adjustRightInd/>
        <w:snapToGrid/>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2）货物名称和箱号</w:t>
      </w:r>
      <w:r>
        <w:rPr>
          <w:rFonts w:hint="eastAsia" w:ascii="宋体" w:hAnsi="宋体" w:eastAsia="宋体" w:cs="宋体"/>
          <w:color w:val="auto"/>
          <w:sz w:val="22"/>
          <w:szCs w:val="22"/>
          <w:highlight w:val="none"/>
          <w:u w:val="single"/>
        </w:rPr>
        <w:t xml:space="preserve">                                    </w:t>
      </w:r>
    </w:p>
    <w:p w14:paraId="76CDFD8D">
      <w:pPr>
        <w:keepNext w:val="0"/>
        <w:keepLines w:val="0"/>
        <w:pageBreakBefore w:val="0"/>
        <w:widowControl w:val="0"/>
        <w:kinsoku/>
        <w:wordWrap/>
        <w:overflowPunct/>
        <w:topLinePunct w:val="0"/>
        <w:autoSpaceDE/>
        <w:autoSpaceDN/>
        <w:bidi w:val="0"/>
        <w:adjustRightInd/>
        <w:snapToGrid/>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3）合同号</w:t>
      </w:r>
      <w:r>
        <w:rPr>
          <w:rFonts w:hint="eastAsia" w:ascii="宋体" w:hAnsi="宋体" w:eastAsia="宋体" w:cs="宋体"/>
          <w:color w:val="auto"/>
          <w:sz w:val="22"/>
          <w:szCs w:val="22"/>
          <w:highlight w:val="none"/>
          <w:u w:val="single"/>
        </w:rPr>
        <w:t xml:space="preserve">                                            </w:t>
      </w:r>
    </w:p>
    <w:p w14:paraId="51867C94">
      <w:pPr>
        <w:keepNext w:val="0"/>
        <w:keepLines w:val="0"/>
        <w:pageBreakBefore w:val="0"/>
        <w:widowControl w:val="0"/>
        <w:kinsoku/>
        <w:wordWrap/>
        <w:overflowPunct/>
        <w:topLinePunct w:val="0"/>
        <w:autoSpaceDE/>
        <w:autoSpaceDN/>
        <w:bidi w:val="0"/>
        <w:adjustRightInd/>
        <w:snapToGrid/>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4）发货标记（唛头）</w:t>
      </w:r>
      <w:r>
        <w:rPr>
          <w:rFonts w:hint="eastAsia" w:ascii="宋体" w:hAnsi="宋体" w:eastAsia="宋体" w:cs="宋体"/>
          <w:color w:val="auto"/>
          <w:sz w:val="22"/>
          <w:szCs w:val="22"/>
          <w:highlight w:val="none"/>
          <w:u w:val="single"/>
        </w:rPr>
        <w:t xml:space="preserve">                                  </w:t>
      </w:r>
    </w:p>
    <w:p w14:paraId="2FE7C7E4">
      <w:pPr>
        <w:keepNext w:val="0"/>
        <w:keepLines w:val="0"/>
        <w:pageBreakBefore w:val="0"/>
        <w:widowControl w:val="0"/>
        <w:kinsoku/>
        <w:wordWrap/>
        <w:overflowPunct/>
        <w:topLinePunct w:val="0"/>
        <w:autoSpaceDE/>
        <w:autoSpaceDN/>
        <w:bidi w:val="0"/>
        <w:adjustRightInd/>
        <w:snapToGrid/>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5）到达站或到货地点</w:t>
      </w:r>
      <w:r>
        <w:rPr>
          <w:rFonts w:hint="eastAsia" w:ascii="宋体" w:hAnsi="宋体" w:eastAsia="宋体" w:cs="宋体"/>
          <w:color w:val="auto"/>
          <w:sz w:val="22"/>
          <w:szCs w:val="22"/>
          <w:highlight w:val="none"/>
          <w:u w:val="single"/>
        </w:rPr>
        <w:t xml:space="preserve">                                  </w:t>
      </w:r>
    </w:p>
    <w:p w14:paraId="00BAB9C9">
      <w:pPr>
        <w:keepNext w:val="0"/>
        <w:keepLines w:val="0"/>
        <w:pageBreakBefore w:val="0"/>
        <w:widowControl w:val="0"/>
        <w:kinsoku/>
        <w:wordWrap/>
        <w:overflowPunct/>
        <w:topLinePunct w:val="0"/>
        <w:autoSpaceDE/>
        <w:autoSpaceDN/>
        <w:bidi w:val="0"/>
        <w:adjustRightInd/>
        <w:snapToGrid/>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6）外型尺寸（长×宽×高用厘米表示）</w:t>
      </w:r>
      <w:r>
        <w:rPr>
          <w:rFonts w:hint="eastAsia" w:ascii="宋体" w:hAnsi="宋体" w:eastAsia="宋体" w:cs="宋体"/>
          <w:color w:val="auto"/>
          <w:sz w:val="22"/>
          <w:szCs w:val="22"/>
          <w:highlight w:val="none"/>
          <w:u w:val="single"/>
        </w:rPr>
        <w:t xml:space="preserve">                  </w:t>
      </w:r>
    </w:p>
    <w:p w14:paraId="3E7A5AFD">
      <w:pPr>
        <w:keepNext w:val="0"/>
        <w:keepLines w:val="0"/>
        <w:pageBreakBefore w:val="0"/>
        <w:widowControl w:val="0"/>
        <w:kinsoku/>
        <w:wordWrap/>
        <w:overflowPunct/>
        <w:topLinePunct w:val="0"/>
        <w:autoSpaceDE/>
        <w:autoSpaceDN/>
        <w:bidi w:val="0"/>
        <w:adjustRightInd/>
        <w:snapToGrid/>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7）毛重/净重（用公斤表示）</w:t>
      </w:r>
      <w:r>
        <w:rPr>
          <w:rFonts w:hint="eastAsia" w:ascii="宋体" w:hAnsi="宋体" w:eastAsia="宋体" w:cs="宋体"/>
          <w:color w:val="auto"/>
          <w:sz w:val="22"/>
          <w:szCs w:val="22"/>
          <w:highlight w:val="none"/>
          <w:u w:val="single"/>
        </w:rPr>
        <w:t xml:space="preserve">                           </w:t>
      </w:r>
    </w:p>
    <w:p w14:paraId="18E1B530">
      <w:pPr>
        <w:keepNext w:val="0"/>
        <w:keepLines w:val="0"/>
        <w:pageBreakBefore w:val="0"/>
        <w:widowControl w:val="0"/>
        <w:numPr>
          <w:ilvl w:val="0"/>
          <w:numId w:val="0"/>
        </w:numPr>
        <w:tabs>
          <w:tab w:val="left" w:pos="540"/>
          <w:tab w:val="left" w:pos="992"/>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4.2</w:t>
      </w:r>
      <w:r>
        <w:rPr>
          <w:rFonts w:hint="eastAsia" w:ascii="宋体" w:hAnsi="宋体" w:eastAsia="宋体" w:cs="宋体"/>
          <w:color w:val="auto"/>
          <w:sz w:val="22"/>
          <w:szCs w:val="22"/>
          <w:highlight w:val="none"/>
        </w:rPr>
        <w:t>如果货物单件重量在2吨或2吨以上，乙方应在包装箱的两侧用中文和国际贸易通用的运输标记标注，“重心”和“吊装点”以便装卸和搬运。同时根据货物的特点和运输的不同要求，乙方还应在包装箱上清楚地标注“小心轻放”、“防潮”、“此端向上”、“请勿倒置”“保持干燥”等字样和其他国际贸易中使用的适当标志。</w:t>
      </w:r>
    </w:p>
    <w:p w14:paraId="2CB8F614">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lang w:val="en-US" w:eastAsia="zh-CN"/>
        </w:rPr>
        <w:t>五、</w:t>
      </w:r>
      <w:r>
        <w:rPr>
          <w:rFonts w:hint="eastAsia" w:ascii="宋体" w:hAnsi="宋体" w:eastAsia="宋体" w:cs="宋体"/>
          <w:b/>
          <w:bCs/>
          <w:color w:val="auto"/>
          <w:sz w:val="22"/>
          <w:szCs w:val="22"/>
          <w:highlight w:val="none"/>
        </w:rPr>
        <w:t>供货</w:t>
      </w:r>
      <w:r>
        <w:rPr>
          <w:rFonts w:hint="eastAsia" w:ascii="宋体" w:hAnsi="宋体" w:eastAsia="宋体" w:cs="宋体"/>
          <w:b/>
          <w:bCs/>
          <w:color w:val="auto"/>
          <w:sz w:val="22"/>
          <w:szCs w:val="22"/>
          <w:highlight w:val="none"/>
          <w:lang w:val="en-US" w:eastAsia="zh-CN"/>
        </w:rPr>
        <w:t>要求</w:t>
      </w:r>
      <w:r>
        <w:rPr>
          <w:rFonts w:hint="eastAsia" w:ascii="宋体" w:hAnsi="宋体" w:eastAsia="宋体" w:cs="宋体"/>
          <w:b/>
          <w:bCs/>
          <w:color w:val="auto"/>
          <w:sz w:val="22"/>
          <w:szCs w:val="22"/>
          <w:highlight w:val="none"/>
        </w:rPr>
        <w:t>：</w:t>
      </w:r>
    </w:p>
    <w:p w14:paraId="7F38457D">
      <w:pPr>
        <w:keepLines w:val="0"/>
        <w:pageBreakBefore w:val="0"/>
        <w:kinsoku/>
        <w:wordWrap/>
        <w:overflowPunct/>
        <w:topLinePunct w:val="0"/>
        <w:bidi w:val="0"/>
        <w:spacing w:line="460" w:lineRule="exact"/>
        <w:ind w:firstLine="440" w:firstLineChars="200"/>
        <w:rPr>
          <w:rFonts w:hint="default" w:ascii="宋体" w:hAnsi="宋体" w:eastAsia="宋体" w:cs="宋体"/>
          <w:color w:val="auto"/>
          <w:sz w:val="22"/>
          <w:szCs w:val="28"/>
          <w:highlight w:val="none"/>
          <w:lang w:val="en-US" w:eastAsia="zh-CN"/>
        </w:rPr>
      </w:pPr>
      <w:r>
        <w:rPr>
          <w:rFonts w:hint="eastAsia" w:ascii="宋体" w:hAnsi="宋体" w:cs="宋体"/>
          <w:color w:val="auto"/>
          <w:sz w:val="22"/>
          <w:szCs w:val="28"/>
          <w:highlight w:val="none"/>
          <w:lang w:val="en-US" w:eastAsia="zh-CN"/>
        </w:rPr>
        <w:t>5.1入围供应商进行轮流配送，具体供货周期由甲方食堂根据配送质量、服务情况评估决定。</w:t>
      </w:r>
    </w:p>
    <w:p w14:paraId="5E8EB7D1">
      <w:pPr>
        <w:keepLines w:val="0"/>
        <w:pageBreakBefore w:val="0"/>
        <w:kinsoku/>
        <w:wordWrap/>
        <w:overflowPunct/>
        <w:topLinePunct w:val="0"/>
        <w:bidi w:val="0"/>
        <w:spacing w:line="460" w:lineRule="exact"/>
        <w:ind w:firstLine="440" w:firstLineChars="200"/>
        <w:rPr>
          <w:rFonts w:hint="eastAsia" w:ascii="宋体" w:hAnsi="宋体" w:eastAsia="宋体" w:cs="宋体"/>
          <w:color w:val="auto"/>
          <w:sz w:val="22"/>
          <w:szCs w:val="28"/>
          <w:highlight w:val="none"/>
          <w:lang w:val="en-GB"/>
        </w:rPr>
      </w:pPr>
      <w:r>
        <w:rPr>
          <w:rFonts w:hint="eastAsia" w:ascii="宋体" w:hAnsi="宋体" w:eastAsia="宋体" w:cs="宋体"/>
          <w:color w:val="auto"/>
          <w:sz w:val="22"/>
          <w:szCs w:val="28"/>
          <w:highlight w:val="none"/>
          <w:lang w:val="en-US" w:eastAsia="zh-CN"/>
        </w:rPr>
        <w:t>5.</w:t>
      </w:r>
      <w:r>
        <w:rPr>
          <w:rFonts w:hint="eastAsia" w:ascii="宋体" w:hAnsi="宋体" w:cs="宋体"/>
          <w:color w:val="auto"/>
          <w:sz w:val="22"/>
          <w:szCs w:val="28"/>
          <w:highlight w:val="none"/>
          <w:lang w:val="en-US" w:eastAsia="zh-CN"/>
        </w:rPr>
        <w:t>2</w:t>
      </w:r>
      <w:r>
        <w:rPr>
          <w:rFonts w:hint="eastAsia" w:ascii="宋体" w:hAnsi="宋体" w:eastAsia="宋体" w:cs="宋体"/>
          <w:color w:val="auto"/>
          <w:sz w:val="22"/>
          <w:szCs w:val="28"/>
          <w:highlight w:val="none"/>
          <w:lang w:val="en-GB" w:eastAsia="zh-CN"/>
        </w:rPr>
        <w:t>甲方</w:t>
      </w:r>
      <w:r>
        <w:rPr>
          <w:rFonts w:hint="eastAsia" w:ascii="宋体" w:hAnsi="宋体" w:eastAsia="宋体" w:cs="宋体"/>
          <w:color w:val="auto"/>
          <w:sz w:val="22"/>
          <w:szCs w:val="28"/>
          <w:highlight w:val="none"/>
          <w:lang w:val="en-GB"/>
        </w:rPr>
        <w:t>根据实际需求，由</w:t>
      </w:r>
      <w:r>
        <w:rPr>
          <w:rFonts w:hint="eastAsia" w:ascii="宋体" w:hAnsi="宋体" w:cs="宋体"/>
          <w:color w:val="auto"/>
          <w:sz w:val="22"/>
          <w:szCs w:val="28"/>
          <w:highlight w:val="none"/>
          <w:lang w:val="en-GB" w:eastAsia="zh-CN"/>
        </w:rPr>
        <w:t>各院区食堂</w:t>
      </w:r>
      <w:r>
        <w:rPr>
          <w:rFonts w:hint="eastAsia" w:ascii="宋体" w:hAnsi="宋体" w:eastAsia="宋体" w:cs="宋体"/>
          <w:color w:val="auto"/>
          <w:sz w:val="22"/>
          <w:szCs w:val="28"/>
          <w:highlight w:val="none"/>
          <w:lang w:val="en-GB"/>
        </w:rPr>
        <w:t>采购组办公室通过电话、传真、电子报表、微信等方式通知供应商采购需求；供应商必须按品种、数量及分装要求按时保质保量配送到指定地点</w:t>
      </w:r>
      <w:r>
        <w:rPr>
          <w:rFonts w:hint="eastAsia" w:ascii="宋体" w:hAnsi="宋体" w:eastAsia="宋体" w:cs="宋体"/>
          <w:color w:val="auto"/>
          <w:sz w:val="22"/>
          <w:szCs w:val="28"/>
          <w:highlight w:val="none"/>
          <w:lang w:val="en-GB" w:eastAsia="zh-CN"/>
        </w:rPr>
        <w:t>（对甲方临时的供货要求，需随订随送，至少在2个小时内响应）</w:t>
      </w:r>
      <w:r>
        <w:rPr>
          <w:rFonts w:hint="eastAsia" w:ascii="宋体" w:hAnsi="宋体" w:eastAsia="宋体" w:cs="宋体"/>
          <w:color w:val="auto"/>
          <w:sz w:val="22"/>
          <w:szCs w:val="28"/>
          <w:highlight w:val="none"/>
          <w:lang w:val="en-GB"/>
        </w:rPr>
        <w:t>，过秤验收，包装、装卸、运输等一切费用由供应商承担。运输过程中发生的成本及风险由</w:t>
      </w:r>
      <w:r>
        <w:rPr>
          <w:rFonts w:hint="eastAsia" w:ascii="宋体" w:hAnsi="宋体" w:eastAsia="宋体" w:cs="宋体"/>
          <w:color w:val="auto"/>
          <w:sz w:val="22"/>
          <w:szCs w:val="28"/>
          <w:highlight w:val="none"/>
          <w:lang w:val="en-GB" w:eastAsia="zh-CN"/>
        </w:rPr>
        <w:t>乙方</w:t>
      </w:r>
      <w:r>
        <w:rPr>
          <w:rFonts w:hint="eastAsia" w:ascii="宋体" w:hAnsi="宋体" w:eastAsia="宋体" w:cs="宋体"/>
          <w:color w:val="auto"/>
          <w:sz w:val="22"/>
          <w:szCs w:val="28"/>
          <w:highlight w:val="none"/>
          <w:lang w:val="en-GB"/>
        </w:rPr>
        <w:t>承担。</w:t>
      </w:r>
      <w:r>
        <w:rPr>
          <w:rFonts w:hint="eastAsia" w:ascii="宋体" w:hAnsi="宋体" w:eastAsia="宋体" w:cs="宋体"/>
          <w:color w:val="auto"/>
          <w:sz w:val="22"/>
          <w:szCs w:val="28"/>
          <w:highlight w:val="none"/>
          <w:lang w:val="en-GB" w:eastAsia="zh-CN"/>
        </w:rPr>
        <w:t>乙方</w:t>
      </w:r>
      <w:r>
        <w:rPr>
          <w:rFonts w:hint="eastAsia" w:ascii="宋体" w:hAnsi="宋体" w:eastAsia="宋体" w:cs="宋体"/>
          <w:color w:val="auto"/>
          <w:sz w:val="22"/>
          <w:szCs w:val="28"/>
          <w:highlight w:val="none"/>
          <w:lang w:val="en-GB"/>
        </w:rPr>
        <w:t>未准备所需数量的或超过规定时间仍未送货的，</w:t>
      </w:r>
      <w:r>
        <w:rPr>
          <w:rFonts w:hint="eastAsia" w:ascii="宋体" w:hAnsi="宋体" w:eastAsia="宋体" w:cs="宋体"/>
          <w:color w:val="auto"/>
          <w:sz w:val="22"/>
          <w:szCs w:val="28"/>
          <w:highlight w:val="none"/>
          <w:lang w:val="en-GB" w:eastAsia="zh-CN"/>
        </w:rPr>
        <w:t>甲方</w:t>
      </w:r>
      <w:r>
        <w:rPr>
          <w:rFonts w:hint="eastAsia" w:ascii="宋体" w:hAnsi="宋体" w:eastAsia="宋体" w:cs="宋体"/>
          <w:color w:val="auto"/>
          <w:sz w:val="22"/>
          <w:szCs w:val="28"/>
          <w:highlight w:val="none"/>
          <w:lang w:val="en-GB"/>
        </w:rPr>
        <w:t>有权选择解除合同。</w:t>
      </w:r>
    </w:p>
    <w:p w14:paraId="6633277C">
      <w:pPr>
        <w:keepLines w:val="0"/>
        <w:pageBreakBefore w:val="0"/>
        <w:kinsoku/>
        <w:wordWrap/>
        <w:overflowPunct/>
        <w:topLinePunct w:val="0"/>
        <w:bidi w:val="0"/>
        <w:spacing w:line="460" w:lineRule="exact"/>
        <w:ind w:firstLine="440" w:firstLineChars="200"/>
        <w:rPr>
          <w:rFonts w:hint="eastAsia" w:ascii="宋体" w:hAnsi="宋体" w:eastAsia="宋体" w:cs="宋体"/>
          <w:color w:val="auto"/>
          <w:sz w:val="22"/>
          <w:szCs w:val="28"/>
          <w:highlight w:val="none"/>
          <w:lang w:val="en-GB"/>
        </w:rPr>
      </w:pPr>
      <w:r>
        <w:rPr>
          <w:rFonts w:hint="eastAsia" w:ascii="宋体" w:hAnsi="宋体" w:eastAsia="宋体" w:cs="宋体"/>
          <w:color w:val="auto"/>
          <w:sz w:val="22"/>
          <w:szCs w:val="28"/>
          <w:highlight w:val="none"/>
          <w:lang w:val="en-US" w:eastAsia="zh-CN"/>
        </w:rPr>
        <w:t>5.</w:t>
      </w:r>
      <w:r>
        <w:rPr>
          <w:rFonts w:hint="eastAsia" w:ascii="宋体" w:hAnsi="宋体" w:cs="宋体"/>
          <w:color w:val="auto"/>
          <w:sz w:val="22"/>
          <w:szCs w:val="28"/>
          <w:highlight w:val="none"/>
          <w:lang w:val="en-US" w:eastAsia="zh-CN"/>
        </w:rPr>
        <w:t>3</w:t>
      </w:r>
      <w:r>
        <w:rPr>
          <w:rFonts w:hint="eastAsia" w:ascii="宋体" w:hAnsi="宋体" w:eastAsia="宋体" w:cs="宋体"/>
          <w:color w:val="auto"/>
          <w:sz w:val="22"/>
          <w:szCs w:val="28"/>
          <w:highlight w:val="none"/>
          <w:lang w:val="en-US" w:eastAsia="zh-CN"/>
        </w:rPr>
        <w:t>乙方</w:t>
      </w:r>
      <w:r>
        <w:rPr>
          <w:rFonts w:hint="eastAsia" w:ascii="宋体" w:hAnsi="宋体" w:eastAsia="宋体" w:cs="宋体"/>
          <w:color w:val="auto"/>
          <w:sz w:val="22"/>
          <w:szCs w:val="28"/>
          <w:highlight w:val="none"/>
          <w:lang w:val="en-GB"/>
        </w:rPr>
        <w:t>在供货期间，</w:t>
      </w:r>
      <w:r>
        <w:rPr>
          <w:rFonts w:hint="eastAsia" w:ascii="宋体" w:hAnsi="宋体" w:cs="宋体"/>
          <w:color w:val="auto"/>
          <w:sz w:val="22"/>
          <w:szCs w:val="28"/>
          <w:highlight w:val="none"/>
          <w:lang w:val="en-US" w:eastAsia="zh-CN"/>
        </w:rPr>
        <w:t>对</w:t>
      </w:r>
      <w:r>
        <w:rPr>
          <w:rFonts w:hint="eastAsia" w:ascii="宋体" w:hAnsi="宋体" w:eastAsia="宋体" w:cs="宋体"/>
          <w:color w:val="auto"/>
          <w:sz w:val="22"/>
          <w:szCs w:val="28"/>
          <w:highlight w:val="none"/>
          <w:lang w:val="en-GB"/>
        </w:rPr>
        <w:t>各</w:t>
      </w:r>
      <w:r>
        <w:rPr>
          <w:rFonts w:hint="eastAsia" w:ascii="宋体" w:hAnsi="宋体" w:cs="宋体"/>
          <w:color w:val="auto"/>
          <w:sz w:val="22"/>
          <w:szCs w:val="28"/>
          <w:highlight w:val="none"/>
          <w:lang w:val="en-US" w:eastAsia="zh-CN"/>
        </w:rPr>
        <w:t>产品</w:t>
      </w:r>
      <w:r>
        <w:rPr>
          <w:rFonts w:hint="eastAsia" w:ascii="宋体" w:hAnsi="宋体" w:eastAsia="宋体" w:cs="宋体"/>
          <w:color w:val="auto"/>
          <w:sz w:val="22"/>
          <w:szCs w:val="28"/>
          <w:highlight w:val="none"/>
          <w:lang w:val="en-GB"/>
        </w:rPr>
        <w:t>类不符合要求</w:t>
      </w:r>
      <w:r>
        <w:rPr>
          <w:rFonts w:hint="eastAsia" w:ascii="宋体" w:hAnsi="宋体" w:cs="宋体"/>
          <w:color w:val="auto"/>
          <w:sz w:val="22"/>
          <w:szCs w:val="28"/>
          <w:highlight w:val="none"/>
          <w:lang w:val="en-GB" w:eastAsia="zh-CN"/>
        </w:rPr>
        <w:t>，</w:t>
      </w:r>
      <w:r>
        <w:rPr>
          <w:rFonts w:hint="eastAsia" w:ascii="宋体" w:hAnsi="宋体" w:eastAsia="宋体" w:cs="宋体"/>
          <w:color w:val="auto"/>
          <w:sz w:val="22"/>
          <w:szCs w:val="28"/>
          <w:highlight w:val="none"/>
          <w:lang w:val="en-GB"/>
        </w:rPr>
        <w:t>出现质量问题</w:t>
      </w:r>
      <w:r>
        <w:rPr>
          <w:rFonts w:hint="eastAsia" w:ascii="宋体" w:hAnsi="宋体" w:cs="宋体"/>
          <w:color w:val="auto"/>
          <w:sz w:val="22"/>
          <w:szCs w:val="28"/>
          <w:highlight w:val="none"/>
          <w:lang w:val="en-US" w:eastAsia="zh-CN"/>
        </w:rPr>
        <w:t>的</w:t>
      </w:r>
      <w:r>
        <w:rPr>
          <w:rFonts w:hint="eastAsia" w:ascii="宋体" w:hAnsi="宋体" w:eastAsia="宋体" w:cs="宋体"/>
          <w:color w:val="auto"/>
          <w:sz w:val="22"/>
          <w:szCs w:val="28"/>
          <w:highlight w:val="none"/>
          <w:lang w:val="en-GB"/>
        </w:rPr>
        <w:t>产品负责退货，问题严重的将终止供货，由</w:t>
      </w:r>
      <w:r>
        <w:rPr>
          <w:rFonts w:hint="eastAsia" w:ascii="宋体" w:hAnsi="宋体" w:eastAsia="宋体" w:cs="宋体"/>
          <w:color w:val="auto"/>
          <w:sz w:val="22"/>
          <w:szCs w:val="28"/>
          <w:highlight w:val="none"/>
          <w:lang w:val="en-US" w:eastAsia="zh-CN"/>
        </w:rPr>
        <w:t>乙方</w:t>
      </w:r>
      <w:r>
        <w:rPr>
          <w:rFonts w:hint="eastAsia" w:ascii="宋体" w:hAnsi="宋体" w:eastAsia="宋体" w:cs="宋体"/>
          <w:color w:val="auto"/>
          <w:sz w:val="22"/>
          <w:szCs w:val="28"/>
          <w:highlight w:val="none"/>
          <w:lang w:val="en-GB"/>
        </w:rPr>
        <w:t>承担责任，并承担由此造成的全部经济损失及责任。</w:t>
      </w:r>
    </w:p>
    <w:p w14:paraId="25F8E317">
      <w:pPr>
        <w:keepLines w:val="0"/>
        <w:pageBreakBefore w:val="0"/>
        <w:kinsoku/>
        <w:wordWrap/>
        <w:overflowPunct/>
        <w:topLinePunct w:val="0"/>
        <w:bidi w:val="0"/>
        <w:spacing w:line="460" w:lineRule="exact"/>
        <w:ind w:firstLine="440" w:firstLineChars="200"/>
        <w:rPr>
          <w:rFonts w:hint="eastAsia" w:ascii="宋体" w:hAnsi="宋体" w:eastAsia="宋体" w:cs="宋体"/>
          <w:color w:val="auto"/>
          <w:sz w:val="22"/>
          <w:szCs w:val="28"/>
          <w:highlight w:val="none"/>
          <w:lang w:val="en-GB"/>
        </w:rPr>
      </w:pPr>
      <w:r>
        <w:rPr>
          <w:rFonts w:hint="eastAsia" w:ascii="宋体" w:hAnsi="宋体" w:eastAsia="宋体" w:cs="宋体"/>
          <w:color w:val="auto"/>
          <w:sz w:val="22"/>
          <w:szCs w:val="28"/>
          <w:highlight w:val="none"/>
          <w:lang w:val="en-US" w:eastAsia="zh-CN"/>
        </w:rPr>
        <w:t>5.</w:t>
      </w:r>
      <w:r>
        <w:rPr>
          <w:rFonts w:hint="eastAsia" w:ascii="宋体" w:hAnsi="宋体" w:cs="宋体"/>
          <w:color w:val="auto"/>
          <w:sz w:val="22"/>
          <w:szCs w:val="28"/>
          <w:highlight w:val="none"/>
          <w:lang w:val="en-US" w:eastAsia="zh-CN"/>
        </w:rPr>
        <w:t>4</w:t>
      </w:r>
      <w:r>
        <w:rPr>
          <w:rFonts w:hint="eastAsia" w:ascii="宋体" w:hAnsi="宋体" w:eastAsia="宋体" w:cs="宋体"/>
          <w:color w:val="auto"/>
          <w:sz w:val="22"/>
          <w:szCs w:val="28"/>
          <w:highlight w:val="none"/>
          <w:lang w:val="en-GB"/>
        </w:rPr>
        <w:t>当天应供应的货物中如</w:t>
      </w:r>
      <w:r>
        <w:rPr>
          <w:rFonts w:hint="eastAsia" w:ascii="宋体" w:hAnsi="宋体" w:eastAsia="宋体" w:cs="宋体"/>
          <w:color w:val="auto"/>
          <w:sz w:val="22"/>
          <w:szCs w:val="28"/>
          <w:highlight w:val="none"/>
          <w:lang w:val="en-US" w:eastAsia="zh-CN"/>
        </w:rPr>
        <w:t>乙方</w:t>
      </w:r>
      <w:r>
        <w:rPr>
          <w:rFonts w:hint="eastAsia" w:ascii="宋体" w:hAnsi="宋体" w:eastAsia="宋体" w:cs="宋体"/>
          <w:color w:val="auto"/>
          <w:sz w:val="22"/>
          <w:szCs w:val="28"/>
          <w:highlight w:val="none"/>
          <w:lang w:val="en-GB"/>
        </w:rPr>
        <w:t>临时缺货，未能满足</w:t>
      </w:r>
      <w:r>
        <w:rPr>
          <w:rFonts w:hint="eastAsia" w:ascii="宋体" w:hAnsi="宋体" w:eastAsia="宋体" w:cs="宋体"/>
          <w:color w:val="auto"/>
          <w:sz w:val="22"/>
          <w:szCs w:val="28"/>
          <w:highlight w:val="none"/>
          <w:lang w:val="en-US" w:eastAsia="zh-CN"/>
        </w:rPr>
        <w:t>甲方</w:t>
      </w:r>
      <w:r>
        <w:rPr>
          <w:rFonts w:hint="eastAsia" w:ascii="宋体" w:hAnsi="宋体" w:eastAsia="宋体" w:cs="宋体"/>
          <w:color w:val="auto"/>
          <w:sz w:val="22"/>
          <w:szCs w:val="28"/>
          <w:highlight w:val="none"/>
          <w:lang w:val="en-GB"/>
        </w:rPr>
        <w:t>时，</w:t>
      </w:r>
      <w:r>
        <w:rPr>
          <w:rFonts w:hint="eastAsia" w:ascii="宋体" w:hAnsi="宋体" w:eastAsia="宋体" w:cs="宋体"/>
          <w:color w:val="auto"/>
          <w:sz w:val="22"/>
          <w:szCs w:val="28"/>
          <w:highlight w:val="none"/>
          <w:lang w:val="en-US" w:eastAsia="zh-CN"/>
        </w:rPr>
        <w:t>乙方</w:t>
      </w:r>
      <w:r>
        <w:rPr>
          <w:rFonts w:hint="eastAsia" w:ascii="宋体" w:hAnsi="宋体" w:eastAsia="宋体" w:cs="宋体"/>
          <w:color w:val="auto"/>
          <w:sz w:val="22"/>
          <w:szCs w:val="28"/>
          <w:highlight w:val="none"/>
          <w:lang w:val="en-GB"/>
        </w:rPr>
        <w:t>应保证</w:t>
      </w:r>
      <w:r>
        <w:rPr>
          <w:rFonts w:hint="eastAsia" w:ascii="宋体" w:hAnsi="宋体" w:cs="宋体"/>
          <w:color w:val="auto"/>
          <w:sz w:val="22"/>
          <w:szCs w:val="28"/>
          <w:highlight w:val="none"/>
          <w:lang w:val="en-US" w:eastAsia="zh-CN"/>
        </w:rPr>
        <w:t>有</w:t>
      </w:r>
      <w:r>
        <w:rPr>
          <w:rFonts w:hint="eastAsia" w:ascii="宋体" w:hAnsi="宋体" w:eastAsia="宋体" w:cs="宋体"/>
          <w:color w:val="auto"/>
          <w:sz w:val="22"/>
          <w:szCs w:val="28"/>
          <w:highlight w:val="none"/>
          <w:lang w:val="en-GB"/>
        </w:rPr>
        <w:t>足够的资金及时让</w:t>
      </w:r>
      <w:r>
        <w:rPr>
          <w:rFonts w:hint="eastAsia" w:ascii="宋体" w:hAnsi="宋体" w:eastAsia="宋体" w:cs="宋体"/>
          <w:color w:val="auto"/>
          <w:sz w:val="22"/>
          <w:szCs w:val="28"/>
          <w:highlight w:val="none"/>
          <w:lang w:val="en-US" w:eastAsia="zh-CN"/>
        </w:rPr>
        <w:t>甲方</w:t>
      </w:r>
      <w:r>
        <w:rPr>
          <w:rFonts w:hint="eastAsia" w:ascii="宋体" w:hAnsi="宋体" w:eastAsia="宋体" w:cs="宋体"/>
          <w:color w:val="auto"/>
          <w:sz w:val="22"/>
          <w:szCs w:val="28"/>
          <w:highlight w:val="none"/>
          <w:lang w:val="en-GB"/>
        </w:rPr>
        <w:t>自行采购且及时付款，对于超出合同价的部分由</w:t>
      </w:r>
      <w:r>
        <w:rPr>
          <w:rFonts w:hint="eastAsia" w:ascii="宋体" w:hAnsi="宋体" w:eastAsia="宋体" w:cs="宋体"/>
          <w:color w:val="auto"/>
          <w:sz w:val="22"/>
          <w:szCs w:val="28"/>
          <w:highlight w:val="none"/>
          <w:lang w:val="en-US" w:eastAsia="zh-CN"/>
        </w:rPr>
        <w:t>乙方</w:t>
      </w:r>
      <w:r>
        <w:rPr>
          <w:rFonts w:hint="eastAsia" w:ascii="宋体" w:hAnsi="宋体" w:eastAsia="宋体" w:cs="宋体"/>
          <w:color w:val="auto"/>
          <w:sz w:val="22"/>
          <w:szCs w:val="28"/>
          <w:highlight w:val="none"/>
          <w:lang w:val="en-GB"/>
        </w:rPr>
        <w:t>商负责。</w:t>
      </w:r>
    </w:p>
    <w:p w14:paraId="0E71C54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lang w:val="en-US" w:eastAsia="zh-CN"/>
        </w:rPr>
        <w:t>六、</w:t>
      </w:r>
      <w:r>
        <w:rPr>
          <w:rFonts w:hint="eastAsia" w:ascii="宋体" w:hAnsi="宋体" w:eastAsia="宋体" w:cs="宋体"/>
          <w:b/>
          <w:bCs/>
          <w:color w:val="auto"/>
          <w:sz w:val="22"/>
          <w:szCs w:val="22"/>
          <w:highlight w:val="none"/>
        </w:rPr>
        <w:t xml:space="preserve">付款方式  </w:t>
      </w:r>
    </w:p>
    <w:p w14:paraId="18387E0B">
      <w:pPr>
        <w:keepNext w:val="0"/>
        <w:keepLines w:val="0"/>
        <w:pageBreakBefore w:val="0"/>
        <w:widowControl w:val="0"/>
        <w:numPr>
          <w:ilvl w:val="0"/>
          <w:numId w:val="0"/>
        </w:numPr>
        <w:tabs>
          <w:tab w:val="left" w:pos="540"/>
          <w:tab w:val="left" w:pos="992"/>
        </w:tabs>
        <w:kinsoku/>
        <w:wordWrap/>
        <w:overflowPunct/>
        <w:topLinePunct w:val="0"/>
        <w:autoSpaceDE/>
        <w:autoSpaceDN/>
        <w:bidi w:val="0"/>
        <w:adjustRightInd/>
        <w:snapToGrid/>
        <w:spacing w:line="460" w:lineRule="exact"/>
        <w:ind w:leftChars="0" w:firstLine="442" w:firstLineChars="200"/>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lang w:val="en-US" w:eastAsia="zh-CN"/>
        </w:rPr>
        <w:t>6.1</w:t>
      </w:r>
      <w:r>
        <w:rPr>
          <w:rFonts w:hint="eastAsia" w:ascii="宋体" w:hAnsi="宋体" w:cs="宋体"/>
          <w:b/>
          <w:bCs/>
          <w:color w:val="auto"/>
          <w:sz w:val="22"/>
          <w:szCs w:val="22"/>
          <w:highlight w:val="none"/>
          <w:lang w:val="en-US" w:eastAsia="zh-CN"/>
        </w:rPr>
        <w:t>价格</w:t>
      </w:r>
      <w:r>
        <w:rPr>
          <w:rFonts w:hint="eastAsia" w:ascii="宋体" w:hAnsi="宋体" w:eastAsia="宋体" w:cs="宋体"/>
          <w:b/>
          <w:bCs/>
          <w:color w:val="auto"/>
          <w:sz w:val="22"/>
          <w:szCs w:val="22"/>
          <w:highlight w:val="none"/>
        </w:rPr>
        <w:t>：</w:t>
      </w:r>
    </w:p>
    <w:tbl>
      <w:tblPr>
        <w:tblStyle w:val="52"/>
        <w:tblW w:w="9214" w:type="dxa"/>
        <w:tblInd w:w="4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487"/>
        <w:gridCol w:w="2125"/>
        <w:gridCol w:w="1438"/>
        <w:gridCol w:w="1325"/>
        <w:gridCol w:w="1939"/>
      </w:tblGrid>
      <w:tr w14:paraId="6412D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trPr>
        <w:tc>
          <w:tcPr>
            <w:tcW w:w="900" w:type="dxa"/>
            <w:shd w:val="clear" w:color="auto" w:fill="D9D9D9"/>
            <w:noWrap w:val="0"/>
            <w:vAlign w:val="center"/>
          </w:tcPr>
          <w:p w14:paraId="6BAC24B4">
            <w:pPr>
              <w:keepNext w:val="0"/>
              <w:keepLines w:val="0"/>
              <w:pageBreakBefore w:val="0"/>
              <w:widowControl w:val="0"/>
              <w:kinsoku/>
              <w:wordWrap/>
              <w:overflowPunct/>
              <w:topLinePunct w:val="0"/>
              <w:autoSpaceDE/>
              <w:autoSpaceDN/>
              <w:bidi w:val="0"/>
              <w:adjustRightInd/>
              <w:snapToGrid/>
              <w:spacing w:line="460" w:lineRule="exact"/>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序号</w:t>
            </w:r>
          </w:p>
        </w:tc>
        <w:tc>
          <w:tcPr>
            <w:tcW w:w="1487" w:type="dxa"/>
            <w:shd w:val="clear" w:color="auto" w:fill="D9D9D9"/>
            <w:noWrap w:val="0"/>
            <w:vAlign w:val="center"/>
          </w:tcPr>
          <w:p w14:paraId="3B27E5DD">
            <w:pPr>
              <w:keepNext w:val="0"/>
              <w:keepLines w:val="0"/>
              <w:pageBreakBefore w:val="0"/>
              <w:widowControl w:val="0"/>
              <w:kinsoku/>
              <w:wordWrap/>
              <w:overflowPunct/>
              <w:topLinePunct w:val="0"/>
              <w:autoSpaceDE/>
              <w:autoSpaceDN/>
              <w:bidi w:val="0"/>
              <w:adjustRightInd/>
              <w:snapToGrid/>
              <w:spacing w:line="460" w:lineRule="exact"/>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产品名称</w:t>
            </w:r>
          </w:p>
        </w:tc>
        <w:tc>
          <w:tcPr>
            <w:tcW w:w="2125" w:type="dxa"/>
            <w:shd w:val="clear" w:color="auto" w:fill="D9D9D9"/>
            <w:noWrap w:val="0"/>
            <w:vAlign w:val="center"/>
          </w:tcPr>
          <w:p w14:paraId="034BB344">
            <w:pPr>
              <w:keepNext w:val="0"/>
              <w:keepLines w:val="0"/>
              <w:pageBreakBefore w:val="0"/>
              <w:widowControl w:val="0"/>
              <w:kinsoku/>
              <w:wordWrap/>
              <w:overflowPunct/>
              <w:topLinePunct w:val="0"/>
              <w:autoSpaceDE/>
              <w:autoSpaceDN/>
              <w:bidi w:val="0"/>
              <w:adjustRightInd/>
              <w:snapToGrid/>
              <w:spacing w:line="460" w:lineRule="exact"/>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生产厂家或产地</w:t>
            </w:r>
          </w:p>
        </w:tc>
        <w:tc>
          <w:tcPr>
            <w:tcW w:w="1438" w:type="dxa"/>
            <w:shd w:val="clear" w:color="auto" w:fill="D9D9D9"/>
            <w:noWrap w:val="0"/>
            <w:vAlign w:val="center"/>
          </w:tcPr>
          <w:p w14:paraId="45B3D823">
            <w:pPr>
              <w:keepNext w:val="0"/>
              <w:keepLines w:val="0"/>
              <w:pageBreakBefore w:val="0"/>
              <w:widowControl w:val="0"/>
              <w:kinsoku/>
              <w:wordWrap/>
              <w:overflowPunct/>
              <w:topLinePunct w:val="0"/>
              <w:autoSpaceDE/>
              <w:autoSpaceDN/>
              <w:bidi w:val="0"/>
              <w:adjustRightInd/>
              <w:snapToGrid/>
              <w:spacing w:line="460" w:lineRule="exact"/>
              <w:jc w:val="center"/>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规格</w:t>
            </w:r>
          </w:p>
        </w:tc>
        <w:tc>
          <w:tcPr>
            <w:tcW w:w="1325" w:type="dxa"/>
            <w:shd w:val="clear" w:color="auto" w:fill="D9D9D9"/>
            <w:noWrap w:val="0"/>
            <w:vAlign w:val="center"/>
          </w:tcPr>
          <w:p w14:paraId="1480BD2E">
            <w:pPr>
              <w:keepNext w:val="0"/>
              <w:keepLines w:val="0"/>
              <w:pageBreakBefore w:val="0"/>
              <w:widowControl w:val="0"/>
              <w:kinsoku/>
              <w:wordWrap/>
              <w:overflowPunct/>
              <w:topLinePunct w:val="0"/>
              <w:autoSpaceDE/>
              <w:autoSpaceDN/>
              <w:bidi w:val="0"/>
              <w:adjustRightInd/>
              <w:snapToGrid/>
              <w:spacing w:line="460" w:lineRule="exact"/>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单价</w:t>
            </w:r>
          </w:p>
        </w:tc>
        <w:tc>
          <w:tcPr>
            <w:tcW w:w="1939" w:type="dxa"/>
            <w:shd w:val="clear" w:color="auto" w:fill="D9D9D9"/>
            <w:noWrap w:val="0"/>
            <w:vAlign w:val="center"/>
          </w:tcPr>
          <w:p w14:paraId="4F976BF8">
            <w:pPr>
              <w:keepNext w:val="0"/>
              <w:keepLines w:val="0"/>
              <w:pageBreakBefore w:val="0"/>
              <w:widowControl w:val="0"/>
              <w:kinsoku/>
              <w:wordWrap/>
              <w:overflowPunct/>
              <w:topLinePunct w:val="0"/>
              <w:autoSpaceDE/>
              <w:autoSpaceDN/>
              <w:bidi w:val="0"/>
              <w:adjustRightInd/>
              <w:snapToGrid/>
              <w:spacing w:line="460" w:lineRule="exact"/>
              <w:jc w:val="center"/>
              <w:rPr>
                <w:rFonts w:hint="eastAsia" w:ascii="宋体" w:hAnsi="宋体" w:eastAsia="宋体" w:cs="宋体"/>
                <w:b/>
                <w:color w:val="auto"/>
                <w:sz w:val="22"/>
                <w:szCs w:val="22"/>
                <w:highlight w:val="none"/>
                <w:lang w:eastAsia="zh-CN"/>
              </w:rPr>
            </w:pPr>
            <w:r>
              <w:rPr>
                <w:rFonts w:hint="eastAsia" w:ascii="宋体" w:hAnsi="宋体" w:cs="宋体"/>
                <w:b/>
                <w:color w:val="auto"/>
                <w:sz w:val="22"/>
                <w:szCs w:val="22"/>
                <w:highlight w:val="none"/>
                <w:lang w:val="en-US" w:eastAsia="zh-CN"/>
              </w:rPr>
              <w:t>质保期</w:t>
            </w:r>
          </w:p>
        </w:tc>
      </w:tr>
      <w:tr w14:paraId="29FC4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900" w:type="dxa"/>
            <w:noWrap w:val="0"/>
            <w:vAlign w:val="center"/>
          </w:tcPr>
          <w:p w14:paraId="4EF1B930">
            <w:pPr>
              <w:keepNext w:val="0"/>
              <w:keepLines w:val="0"/>
              <w:pageBreakBefore w:val="0"/>
              <w:widowControl w:val="0"/>
              <w:kinsoku/>
              <w:wordWrap/>
              <w:overflowPunct/>
              <w:topLinePunct w:val="0"/>
              <w:autoSpaceDE/>
              <w:autoSpaceDN/>
              <w:bidi w:val="0"/>
              <w:adjustRightInd/>
              <w:snapToGrid/>
              <w:spacing w:line="4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1487" w:type="dxa"/>
            <w:noWrap w:val="0"/>
            <w:vAlign w:val="center"/>
          </w:tcPr>
          <w:p w14:paraId="16AFE591">
            <w:pPr>
              <w:keepNext w:val="0"/>
              <w:keepLines w:val="0"/>
              <w:pageBreakBefore w:val="0"/>
              <w:widowControl w:val="0"/>
              <w:kinsoku/>
              <w:wordWrap/>
              <w:overflowPunct/>
              <w:topLinePunct w:val="0"/>
              <w:autoSpaceDE/>
              <w:autoSpaceDN/>
              <w:bidi w:val="0"/>
              <w:adjustRightInd/>
              <w:snapToGrid/>
              <w:spacing w:after="120" w:afterLines="50" w:line="460" w:lineRule="exact"/>
              <w:jc w:val="center"/>
              <w:rPr>
                <w:rFonts w:hint="eastAsia" w:ascii="宋体" w:hAnsi="宋体" w:eastAsia="宋体" w:cs="宋体"/>
                <w:b/>
                <w:color w:val="auto"/>
                <w:sz w:val="22"/>
                <w:szCs w:val="22"/>
                <w:highlight w:val="none"/>
              </w:rPr>
            </w:pPr>
          </w:p>
        </w:tc>
        <w:tc>
          <w:tcPr>
            <w:tcW w:w="2125" w:type="dxa"/>
            <w:noWrap w:val="0"/>
            <w:vAlign w:val="center"/>
          </w:tcPr>
          <w:p w14:paraId="0FF56685">
            <w:pPr>
              <w:keepNext w:val="0"/>
              <w:keepLines w:val="0"/>
              <w:pageBreakBefore w:val="0"/>
              <w:widowControl w:val="0"/>
              <w:kinsoku/>
              <w:wordWrap/>
              <w:overflowPunct/>
              <w:topLinePunct w:val="0"/>
              <w:autoSpaceDE/>
              <w:autoSpaceDN/>
              <w:bidi w:val="0"/>
              <w:adjustRightInd/>
              <w:snapToGrid/>
              <w:spacing w:line="460" w:lineRule="exact"/>
              <w:jc w:val="center"/>
              <w:rPr>
                <w:rFonts w:hint="eastAsia" w:ascii="宋体" w:hAnsi="宋体" w:eastAsia="宋体" w:cs="宋体"/>
                <w:color w:val="auto"/>
                <w:sz w:val="22"/>
                <w:szCs w:val="22"/>
                <w:highlight w:val="none"/>
              </w:rPr>
            </w:pPr>
          </w:p>
        </w:tc>
        <w:tc>
          <w:tcPr>
            <w:tcW w:w="1438" w:type="dxa"/>
            <w:noWrap w:val="0"/>
            <w:vAlign w:val="center"/>
          </w:tcPr>
          <w:p w14:paraId="56FD6944">
            <w:pPr>
              <w:keepNext w:val="0"/>
              <w:keepLines w:val="0"/>
              <w:pageBreakBefore w:val="0"/>
              <w:widowControl w:val="0"/>
              <w:kinsoku/>
              <w:wordWrap/>
              <w:overflowPunct/>
              <w:topLinePunct w:val="0"/>
              <w:autoSpaceDE/>
              <w:autoSpaceDN/>
              <w:bidi w:val="0"/>
              <w:adjustRightInd/>
              <w:snapToGrid/>
              <w:spacing w:line="460" w:lineRule="exact"/>
              <w:jc w:val="center"/>
              <w:rPr>
                <w:rFonts w:hint="eastAsia" w:ascii="宋体" w:hAnsi="宋体" w:eastAsia="宋体" w:cs="宋体"/>
                <w:color w:val="auto"/>
                <w:sz w:val="22"/>
                <w:szCs w:val="22"/>
                <w:highlight w:val="none"/>
              </w:rPr>
            </w:pPr>
          </w:p>
        </w:tc>
        <w:tc>
          <w:tcPr>
            <w:tcW w:w="1325" w:type="dxa"/>
            <w:noWrap w:val="0"/>
            <w:vAlign w:val="center"/>
          </w:tcPr>
          <w:p w14:paraId="76901E63">
            <w:pPr>
              <w:keepNext w:val="0"/>
              <w:keepLines w:val="0"/>
              <w:pageBreakBefore w:val="0"/>
              <w:widowControl w:val="0"/>
              <w:kinsoku/>
              <w:wordWrap/>
              <w:overflowPunct/>
              <w:topLinePunct w:val="0"/>
              <w:autoSpaceDE/>
              <w:autoSpaceDN/>
              <w:bidi w:val="0"/>
              <w:adjustRightInd/>
              <w:snapToGrid/>
              <w:spacing w:line="460" w:lineRule="exact"/>
              <w:jc w:val="center"/>
              <w:rPr>
                <w:rFonts w:hint="eastAsia" w:ascii="宋体" w:hAnsi="宋体" w:eastAsia="宋体" w:cs="宋体"/>
                <w:color w:val="auto"/>
                <w:sz w:val="22"/>
                <w:szCs w:val="22"/>
                <w:highlight w:val="none"/>
              </w:rPr>
            </w:pPr>
          </w:p>
        </w:tc>
        <w:tc>
          <w:tcPr>
            <w:tcW w:w="1939" w:type="dxa"/>
            <w:noWrap w:val="0"/>
            <w:vAlign w:val="center"/>
          </w:tcPr>
          <w:p w14:paraId="0AE671C1">
            <w:pPr>
              <w:keepNext w:val="0"/>
              <w:keepLines w:val="0"/>
              <w:pageBreakBefore w:val="0"/>
              <w:widowControl w:val="0"/>
              <w:kinsoku/>
              <w:wordWrap/>
              <w:overflowPunct/>
              <w:topLinePunct w:val="0"/>
              <w:autoSpaceDE/>
              <w:autoSpaceDN/>
              <w:bidi w:val="0"/>
              <w:adjustRightInd/>
              <w:snapToGrid/>
              <w:spacing w:line="460" w:lineRule="exact"/>
              <w:jc w:val="center"/>
              <w:rPr>
                <w:rFonts w:hint="eastAsia" w:ascii="宋体" w:hAnsi="宋体" w:eastAsia="宋体" w:cs="宋体"/>
                <w:color w:val="auto"/>
                <w:sz w:val="22"/>
                <w:szCs w:val="22"/>
                <w:highlight w:val="none"/>
              </w:rPr>
            </w:pPr>
          </w:p>
        </w:tc>
      </w:tr>
      <w:tr w14:paraId="048F7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900" w:type="dxa"/>
            <w:noWrap w:val="0"/>
            <w:vAlign w:val="center"/>
          </w:tcPr>
          <w:p w14:paraId="28F5BE54">
            <w:pPr>
              <w:keepNext w:val="0"/>
              <w:keepLines w:val="0"/>
              <w:pageBreakBefore w:val="0"/>
              <w:widowControl w:val="0"/>
              <w:kinsoku/>
              <w:wordWrap/>
              <w:overflowPunct/>
              <w:topLinePunct w:val="0"/>
              <w:autoSpaceDE/>
              <w:autoSpaceDN/>
              <w:bidi w:val="0"/>
              <w:adjustRightInd/>
              <w:snapToGrid/>
              <w:spacing w:line="4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1487" w:type="dxa"/>
            <w:noWrap w:val="0"/>
            <w:vAlign w:val="center"/>
          </w:tcPr>
          <w:p w14:paraId="0F41F579">
            <w:pPr>
              <w:keepNext w:val="0"/>
              <w:keepLines w:val="0"/>
              <w:pageBreakBefore w:val="0"/>
              <w:widowControl w:val="0"/>
              <w:kinsoku/>
              <w:wordWrap/>
              <w:overflowPunct/>
              <w:topLinePunct w:val="0"/>
              <w:autoSpaceDE/>
              <w:autoSpaceDN/>
              <w:bidi w:val="0"/>
              <w:adjustRightInd/>
              <w:snapToGrid/>
              <w:spacing w:line="460" w:lineRule="exact"/>
              <w:jc w:val="center"/>
              <w:rPr>
                <w:rFonts w:hint="eastAsia" w:ascii="宋体" w:hAnsi="宋体" w:eastAsia="宋体" w:cs="宋体"/>
                <w:color w:val="auto"/>
                <w:sz w:val="22"/>
                <w:szCs w:val="22"/>
                <w:highlight w:val="none"/>
              </w:rPr>
            </w:pPr>
          </w:p>
        </w:tc>
        <w:tc>
          <w:tcPr>
            <w:tcW w:w="2125" w:type="dxa"/>
            <w:noWrap w:val="0"/>
            <w:vAlign w:val="center"/>
          </w:tcPr>
          <w:p w14:paraId="0F080211">
            <w:pPr>
              <w:keepNext w:val="0"/>
              <w:keepLines w:val="0"/>
              <w:pageBreakBefore w:val="0"/>
              <w:widowControl w:val="0"/>
              <w:kinsoku/>
              <w:wordWrap/>
              <w:overflowPunct/>
              <w:topLinePunct w:val="0"/>
              <w:autoSpaceDE/>
              <w:autoSpaceDN/>
              <w:bidi w:val="0"/>
              <w:adjustRightInd/>
              <w:snapToGrid/>
              <w:spacing w:line="460" w:lineRule="exact"/>
              <w:ind w:left="420" w:leftChars="200"/>
              <w:jc w:val="center"/>
              <w:rPr>
                <w:rFonts w:hint="eastAsia" w:ascii="宋体" w:hAnsi="宋体" w:eastAsia="宋体" w:cs="宋体"/>
                <w:color w:val="auto"/>
                <w:sz w:val="22"/>
                <w:szCs w:val="22"/>
                <w:highlight w:val="none"/>
              </w:rPr>
            </w:pPr>
          </w:p>
        </w:tc>
        <w:tc>
          <w:tcPr>
            <w:tcW w:w="1438" w:type="dxa"/>
            <w:noWrap w:val="0"/>
            <w:vAlign w:val="center"/>
          </w:tcPr>
          <w:p w14:paraId="1E03D2EC">
            <w:pPr>
              <w:keepNext w:val="0"/>
              <w:keepLines w:val="0"/>
              <w:pageBreakBefore w:val="0"/>
              <w:widowControl w:val="0"/>
              <w:kinsoku/>
              <w:wordWrap/>
              <w:overflowPunct/>
              <w:topLinePunct w:val="0"/>
              <w:autoSpaceDE/>
              <w:autoSpaceDN/>
              <w:bidi w:val="0"/>
              <w:adjustRightInd/>
              <w:snapToGrid/>
              <w:spacing w:line="460" w:lineRule="exact"/>
              <w:jc w:val="center"/>
              <w:rPr>
                <w:rFonts w:hint="eastAsia" w:ascii="宋体" w:hAnsi="宋体" w:eastAsia="宋体" w:cs="宋体"/>
                <w:color w:val="auto"/>
                <w:sz w:val="22"/>
                <w:szCs w:val="22"/>
                <w:highlight w:val="none"/>
              </w:rPr>
            </w:pPr>
          </w:p>
        </w:tc>
        <w:tc>
          <w:tcPr>
            <w:tcW w:w="1325" w:type="dxa"/>
            <w:noWrap w:val="0"/>
            <w:vAlign w:val="center"/>
          </w:tcPr>
          <w:p w14:paraId="61AF4D39">
            <w:pPr>
              <w:keepNext w:val="0"/>
              <w:keepLines w:val="0"/>
              <w:pageBreakBefore w:val="0"/>
              <w:widowControl w:val="0"/>
              <w:kinsoku/>
              <w:wordWrap/>
              <w:overflowPunct/>
              <w:topLinePunct w:val="0"/>
              <w:autoSpaceDE/>
              <w:autoSpaceDN/>
              <w:bidi w:val="0"/>
              <w:adjustRightInd/>
              <w:snapToGrid/>
              <w:spacing w:line="460" w:lineRule="exact"/>
              <w:jc w:val="center"/>
              <w:rPr>
                <w:rFonts w:hint="eastAsia" w:ascii="宋体" w:hAnsi="宋体" w:eastAsia="宋体" w:cs="宋体"/>
                <w:color w:val="auto"/>
                <w:sz w:val="22"/>
                <w:szCs w:val="22"/>
                <w:highlight w:val="none"/>
              </w:rPr>
            </w:pPr>
          </w:p>
        </w:tc>
        <w:tc>
          <w:tcPr>
            <w:tcW w:w="1939" w:type="dxa"/>
            <w:noWrap w:val="0"/>
            <w:vAlign w:val="center"/>
          </w:tcPr>
          <w:p w14:paraId="11305FE2">
            <w:pPr>
              <w:keepNext w:val="0"/>
              <w:keepLines w:val="0"/>
              <w:pageBreakBefore w:val="0"/>
              <w:widowControl w:val="0"/>
              <w:kinsoku/>
              <w:wordWrap/>
              <w:overflowPunct/>
              <w:topLinePunct w:val="0"/>
              <w:autoSpaceDE/>
              <w:autoSpaceDN/>
              <w:bidi w:val="0"/>
              <w:adjustRightInd/>
              <w:snapToGrid/>
              <w:spacing w:line="460" w:lineRule="exact"/>
              <w:jc w:val="center"/>
              <w:rPr>
                <w:rFonts w:hint="eastAsia" w:ascii="宋体" w:hAnsi="宋体" w:eastAsia="宋体" w:cs="宋体"/>
                <w:color w:val="auto"/>
                <w:sz w:val="22"/>
                <w:szCs w:val="22"/>
                <w:highlight w:val="none"/>
              </w:rPr>
            </w:pPr>
          </w:p>
        </w:tc>
      </w:tr>
    </w:tbl>
    <w:p w14:paraId="1095D862">
      <w:pPr>
        <w:keepNext w:val="0"/>
        <w:keepLines w:val="0"/>
        <w:pageBreakBefore w:val="0"/>
        <w:widowControl w:val="0"/>
        <w:numPr>
          <w:ilvl w:val="0"/>
          <w:numId w:val="0"/>
        </w:numPr>
        <w:tabs>
          <w:tab w:val="left" w:pos="540"/>
          <w:tab w:val="left" w:pos="992"/>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6.2</w:t>
      </w:r>
      <w:r>
        <w:rPr>
          <w:rFonts w:hint="eastAsia" w:ascii="宋体" w:hAnsi="宋体" w:cs="宋体"/>
          <w:color w:val="auto"/>
          <w:sz w:val="22"/>
          <w:szCs w:val="22"/>
          <w:highlight w:val="none"/>
        </w:rPr>
        <w:t>三个院区预算情况：百里坊院区：</w:t>
      </w:r>
      <w:r>
        <w:rPr>
          <w:rFonts w:hint="eastAsia" w:ascii="宋体" w:hAnsi="宋体" w:cs="宋体"/>
          <w:color w:val="auto"/>
          <w:sz w:val="22"/>
          <w:szCs w:val="22"/>
          <w:highlight w:val="none"/>
          <w:lang w:eastAsia="zh-CN"/>
        </w:rPr>
        <w:t>6</w:t>
      </w:r>
      <w:r>
        <w:rPr>
          <w:rFonts w:hint="eastAsia" w:ascii="宋体" w:hAnsi="宋体" w:cs="宋体"/>
          <w:color w:val="auto"/>
          <w:sz w:val="22"/>
          <w:szCs w:val="22"/>
          <w:highlight w:val="none"/>
          <w:lang w:val="en-US" w:eastAsia="zh-CN"/>
        </w:rPr>
        <w:t>0万</w:t>
      </w:r>
      <w:r>
        <w:rPr>
          <w:rFonts w:hint="eastAsia" w:ascii="宋体" w:hAnsi="宋体" w:cs="宋体"/>
          <w:color w:val="auto"/>
          <w:sz w:val="22"/>
          <w:szCs w:val="22"/>
          <w:highlight w:val="none"/>
        </w:rPr>
        <w:t>元；双屿院区：</w:t>
      </w:r>
      <w:r>
        <w:rPr>
          <w:rFonts w:hint="eastAsia" w:ascii="宋体" w:hAnsi="宋体" w:cs="宋体"/>
          <w:color w:val="auto"/>
          <w:sz w:val="22"/>
          <w:szCs w:val="22"/>
          <w:highlight w:val="none"/>
          <w:lang w:eastAsia="zh-CN"/>
        </w:rPr>
        <w:t>2</w:t>
      </w:r>
      <w:r>
        <w:rPr>
          <w:rFonts w:hint="eastAsia" w:ascii="宋体" w:hAnsi="宋体" w:cs="宋体"/>
          <w:color w:val="auto"/>
          <w:sz w:val="22"/>
          <w:szCs w:val="22"/>
          <w:highlight w:val="none"/>
          <w:lang w:val="en-US" w:eastAsia="zh-CN"/>
        </w:rPr>
        <w:t>1万</w:t>
      </w:r>
      <w:r>
        <w:rPr>
          <w:rFonts w:hint="eastAsia" w:ascii="宋体" w:hAnsi="宋体" w:cs="宋体"/>
          <w:color w:val="auto"/>
          <w:sz w:val="22"/>
          <w:szCs w:val="22"/>
          <w:highlight w:val="none"/>
        </w:rPr>
        <w:t>元；南白象院区（温州市第六人民医院）：</w:t>
      </w:r>
      <w:r>
        <w:rPr>
          <w:rFonts w:hint="eastAsia" w:ascii="宋体" w:hAnsi="宋体" w:cs="宋体"/>
          <w:color w:val="auto"/>
          <w:sz w:val="22"/>
          <w:szCs w:val="22"/>
          <w:highlight w:val="none"/>
          <w:lang w:eastAsia="zh-CN"/>
        </w:rPr>
        <w:t>1</w:t>
      </w:r>
      <w:r>
        <w:rPr>
          <w:rFonts w:hint="eastAsia" w:ascii="宋体" w:hAnsi="宋体" w:cs="宋体"/>
          <w:color w:val="auto"/>
          <w:sz w:val="22"/>
          <w:szCs w:val="22"/>
          <w:highlight w:val="none"/>
          <w:lang w:val="en-US" w:eastAsia="zh-CN"/>
        </w:rPr>
        <w:t>2万</w:t>
      </w:r>
      <w:r>
        <w:rPr>
          <w:rFonts w:hint="eastAsia" w:ascii="宋体" w:hAnsi="宋体" w:cs="宋体"/>
          <w:color w:val="auto"/>
          <w:sz w:val="22"/>
          <w:szCs w:val="22"/>
          <w:highlight w:val="none"/>
        </w:rPr>
        <w:t>元。合同期内各院区食用油采购金额不得超过以上各院区预算金额，如超过则合同自动终止。</w:t>
      </w:r>
    </w:p>
    <w:p w14:paraId="5ED99DBD">
      <w:pPr>
        <w:keepNext w:val="0"/>
        <w:keepLines w:val="0"/>
        <w:pageBreakBefore w:val="0"/>
        <w:widowControl w:val="0"/>
        <w:numPr>
          <w:ilvl w:val="0"/>
          <w:numId w:val="0"/>
        </w:numPr>
        <w:tabs>
          <w:tab w:val="left" w:pos="540"/>
          <w:tab w:val="left" w:pos="992"/>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val="en-US" w:eastAsia="zh-CN"/>
        </w:rPr>
        <w:t>6.3</w:t>
      </w:r>
      <w:r>
        <w:rPr>
          <w:rFonts w:hint="eastAsia" w:ascii="宋体" w:hAnsi="宋体" w:eastAsia="宋体" w:cs="宋体"/>
          <w:color w:val="auto"/>
          <w:sz w:val="22"/>
          <w:szCs w:val="22"/>
          <w:highlight w:val="none"/>
        </w:rPr>
        <w:t>合同签订后，甲方</w:t>
      </w:r>
      <w:r>
        <w:rPr>
          <w:rFonts w:hint="eastAsia" w:ascii="宋体" w:hAnsi="宋体" w:cs="宋体"/>
          <w:color w:val="auto"/>
          <w:sz w:val="22"/>
          <w:szCs w:val="22"/>
          <w:highlight w:val="none"/>
          <w:lang w:val="en-US" w:eastAsia="zh-CN"/>
        </w:rPr>
        <w:t>各院区食堂</w:t>
      </w:r>
      <w:r>
        <w:rPr>
          <w:rFonts w:hint="eastAsia" w:ascii="宋体" w:hAnsi="宋体" w:eastAsia="宋体" w:cs="宋体"/>
          <w:color w:val="auto"/>
          <w:sz w:val="22"/>
          <w:szCs w:val="22"/>
          <w:highlight w:val="none"/>
        </w:rPr>
        <w:t>在</w:t>
      </w:r>
      <w:r>
        <w:rPr>
          <w:rFonts w:hint="eastAsia" w:ascii="宋体" w:hAnsi="宋体" w:eastAsia="宋体" w:cs="宋体"/>
          <w:color w:val="auto"/>
          <w:sz w:val="22"/>
          <w:szCs w:val="22"/>
          <w:highlight w:val="none"/>
          <w:lang w:val="en-US" w:eastAsia="zh-CN"/>
        </w:rPr>
        <w:t>收到乙方提供</w:t>
      </w:r>
      <w:r>
        <w:rPr>
          <w:rFonts w:hint="eastAsia" w:ascii="宋体" w:hAnsi="宋体" w:eastAsia="宋体" w:cs="宋体"/>
          <w:color w:val="auto"/>
          <w:sz w:val="22"/>
          <w:szCs w:val="22"/>
          <w:highlight w:val="none"/>
        </w:rPr>
        <w:t>的货物实物、随货联、发票三者到齐并确认完成入库手续，以实际供货量乘以对应的各项综合单价作为结算金额，每月30日前审核后进行支付金额汇总，原则上三个月内启动付款申请（节假日顺延）。</w:t>
      </w:r>
    </w:p>
    <w:p w14:paraId="3FD45318">
      <w:pPr>
        <w:keepNext w:val="0"/>
        <w:keepLines w:val="0"/>
        <w:pageBreakBefore w:val="0"/>
        <w:widowControl w:val="0"/>
        <w:numPr>
          <w:ilvl w:val="0"/>
          <w:numId w:val="0"/>
        </w:numPr>
        <w:tabs>
          <w:tab w:val="left" w:pos="540"/>
          <w:tab w:val="left" w:pos="992"/>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lang w:val="en-GB"/>
        </w:rPr>
      </w:pPr>
      <w:r>
        <w:rPr>
          <w:rFonts w:hint="eastAsia" w:ascii="宋体" w:hAnsi="宋体" w:eastAsia="宋体" w:cs="宋体"/>
          <w:color w:val="auto"/>
          <w:sz w:val="22"/>
          <w:szCs w:val="22"/>
          <w:highlight w:val="none"/>
          <w:lang w:val="en-US" w:eastAsia="zh-CN"/>
        </w:rPr>
        <w:t>6.</w:t>
      </w:r>
      <w:r>
        <w:rPr>
          <w:rFonts w:hint="eastAsia" w:ascii="宋体" w:hAnsi="宋体" w:cs="宋体"/>
          <w:color w:val="auto"/>
          <w:sz w:val="22"/>
          <w:szCs w:val="22"/>
          <w:highlight w:val="none"/>
          <w:lang w:val="en-US" w:eastAsia="zh-CN"/>
        </w:rPr>
        <w:t>4</w:t>
      </w:r>
      <w:r>
        <w:rPr>
          <w:rFonts w:hint="eastAsia" w:ascii="宋体" w:hAnsi="宋体" w:eastAsia="宋体" w:cs="宋体"/>
          <w:color w:val="auto"/>
          <w:sz w:val="22"/>
          <w:szCs w:val="22"/>
          <w:highlight w:val="none"/>
          <w:lang w:val="en-GB"/>
        </w:rPr>
        <w:t>调价机制：食用油在供货周期内，价格不作任何调整。</w:t>
      </w:r>
    </w:p>
    <w:p w14:paraId="070C8BD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lang w:val="en-US" w:eastAsia="zh-CN"/>
        </w:rPr>
        <w:t>七、</w:t>
      </w:r>
      <w:r>
        <w:rPr>
          <w:rFonts w:hint="eastAsia" w:ascii="宋体" w:hAnsi="宋体" w:eastAsia="宋体" w:cs="宋体"/>
          <w:b/>
          <w:bCs/>
          <w:color w:val="auto"/>
          <w:sz w:val="22"/>
          <w:szCs w:val="22"/>
          <w:highlight w:val="none"/>
        </w:rPr>
        <w:t>技术文件和资料</w:t>
      </w:r>
    </w:p>
    <w:p w14:paraId="238DC9EA">
      <w:pPr>
        <w:keepNext w:val="0"/>
        <w:keepLines w:val="0"/>
        <w:pageBreakBefore w:val="0"/>
        <w:widowControl w:val="0"/>
        <w:numPr>
          <w:ilvl w:val="0"/>
          <w:numId w:val="0"/>
        </w:numPr>
        <w:tabs>
          <w:tab w:val="left" w:pos="540"/>
          <w:tab w:val="left" w:pos="992"/>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7.1</w:t>
      </w:r>
      <w:r>
        <w:rPr>
          <w:rFonts w:hint="eastAsia" w:ascii="宋体" w:hAnsi="宋体" w:eastAsia="宋体" w:cs="宋体"/>
          <w:color w:val="auto"/>
          <w:sz w:val="22"/>
          <w:szCs w:val="22"/>
          <w:highlight w:val="none"/>
        </w:rPr>
        <w:t>提供技术文件和资料的种类和数量在本招标文件《招标内容及要求》部分中规定，买卖双方可根据招标要求和需要订立具体的技术文件和资料交付时间和数量。</w:t>
      </w:r>
    </w:p>
    <w:p w14:paraId="4ED96037">
      <w:pPr>
        <w:keepNext w:val="0"/>
        <w:keepLines w:val="0"/>
        <w:pageBreakBefore w:val="0"/>
        <w:widowControl w:val="0"/>
        <w:numPr>
          <w:ilvl w:val="0"/>
          <w:numId w:val="0"/>
        </w:numPr>
        <w:tabs>
          <w:tab w:val="left" w:pos="540"/>
          <w:tab w:val="left" w:pos="992"/>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b/>
          <w:bCs/>
          <w:color w:val="auto"/>
          <w:sz w:val="22"/>
          <w:szCs w:val="22"/>
          <w:highlight w:val="none"/>
        </w:rPr>
      </w:pPr>
      <w:r>
        <w:rPr>
          <w:rFonts w:hint="eastAsia" w:ascii="宋体" w:hAnsi="宋体" w:eastAsia="宋体" w:cs="宋体"/>
          <w:color w:val="auto"/>
          <w:sz w:val="22"/>
          <w:szCs w:val="22"/>
          <w:highlight w:val="none"/>
          <w:lang w:val="en-US" w:eastAsia="zh-CN"/>
        </w:rPr>
        <w:t>7.2</w:t>
      </w:r>
      <w:r>
        <w:rPr>
          <w:rFonts w:hint="eastAsia" w:ascii="宋体" w:hAnsi="宋体" w:eastAsia="宋体" w:cs="宋体"/>
          <w:color w:val="auto"/>
          <w:sz w:val="22"/>
          <w:szCs w:val="22"/>
          <w:highlight w:val="none"/>
        </w:rPr>
        <w:t>如果甲方确认乙方提供的技术文件和资料不完整，或在运输途中丢失，乙方应在收到甲方通知后3天内将这些文件、资料补齐。</w:t>
      </w:r>
    </w:p>
    <w:p w14:paraId="139B054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lang w:val="en-US" w:eastAsia="zh-CN"/>
        </w:rPr>
        <w:t>八、</w:t>
      </w:r>
      <w:r>
        <w:rPr>
          <w:rFonts w:hint="eastAsia" w:ascii="宋体" w:hAnsi="宋体" w:eastAsia="宋体" w:cs="宋体"/>
          <w:b/>
          <w:bCs/>
          <w:color w:val="auto"/>
          <w:sz w:val="22"/>
          <w:szCs w:val="22"/>
          <w:highlight w:val="none"/>
        </w:rPr>
        <w:t>质量保证</w:t>
      </w:r>
    </w:p>
    <w:p w14:paraId="17157908">
      <w:pPr>
        <w:keepNext w:val="0"/>
        <w:keepLines w:val="0"/>
        <w:pageBreakBefore w:val="0"/>
        <w:widowControl w:val="0"/>
        <w:kinsoku/>
        <w:wordWrap/>
        <w:overflowPunct/>
        <w:topLinePunct w:val="0"/>
        <w:autoSpaceDE/>
        <w:autoSpaceDN/>
        <w:bidi w:val="0"/>
        <w:adjustRightInd/>
        <w:snapToGrid/>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8</w:t>
      </w:r>
      <w:r>
        <w:rPr>
          <w:rFonts w:hint="eastAsia" w:ascii="宋体" w:hAnsi="宋体" w:eastAsia="宋体" w:cs="宋体"/>
          <w:color w:val="auto"/>
          <w:sz w:val="22"/>
          <w:szCs w:val="22"/>
          <w:highlight w:val="none"/>
        </w:rPr>
        <w:t xml:space="preserve">.1乙方所提供的货物应保证是企业原厂生产的产品而不是其他地方生产的、全新的、未使用过的，是原包装未拆封的，是用合格的工艺和材料制造而成的，并完全符合协议规定的质量、规格和性能要求，并随货提供质检报告单。 </w:t>
      </w:r>
    </w:p>
    <w:p w14:paraId="2DC78B87">
      <w:pPr>
        <w:keepNext w:val="0"/>
        <w:keepLines w:val="0"/>
        <w:pageBreakBefore w:val="0"/>
        <w:widowControl w:val="0"/>
        <w:tabs>
          <w:tab w:val="left" w:pos="540"/>
          <w:tab w:val="left" w:pos="992"/>
        </w:tabs>
        <w:kinsoku/>
        <w:wordWrap/>
        <w:overflowPunct/>
        <w:topLinePunct w:val="0"/>
        <w:autoSpaceDE/>
        <w:autoSpaceDN/>
        <w:bidi w:val="0"/>
        <w:adjustRightInd/>
        <w:snapToGrid/>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8</w:t>
      </w:r>
      <w:r>
        <w:rPr>
          <w:rFonts w:hint="eastAsia" w:ascii="宋体" w:hAnsi="宋体" w:eastAsia="宋体" w:cs="宋体"/>
          <w:color w:val="auto"/>
          <w:sz w:val="22"/>
          <w:szCs w:val="22"/>
          <w:highlight w:val="none"/>
        </w:rPr>
        <w:t xml:space="preserve">.2根据甲方按检验标准检验的结果或当地质检部门检验的结果，或者在质量保证期内，如果货物的数量、质量或规格与协议不符，或证实货物是有缺陷的，包括潜在的缺陷或使用不符合要求的材料等，甲方应尽快以书面形式通知乙方，提出索赔。 </w:t>
      </w:r>
    </w:p>
    <w:p w14:paraId="35461F38">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lang w:val="en-US" w:eastAsia="zh-CN"/>
        </w:rPr>
        <w:t>九、</w:t>
      </w:r>
      <w:r>
        <w:rPr>
          <w:rFonts w:hint="eastAsia" w:ascii="宋体" w:hAnsi="宋体" w:eastAsia="宋体" w:cs="宋体"/>
          <w:b/>
          <w:bCs/>
          <w:color w:val="auto"/>
          <w:sz w:val="22"/>
          <w:szCs w:val="22"/>
          <w:highlight w:val="none"/>
        </w:rPr>
        <w:t>乙方履约延误</w:t>
      </w:r>
    </w:p>
    <w:p w14:paraId="035F2AC3">
      <w:pPr>
        <w:keepNext w:val="0"/>
        <w:keepLines w:val="0"/>
        <w:pageBreakBefore w:val="0"/>
        <w:widowControl w:val="0"/>
        <w:tabs>
          <w:tab w:val="left" w:pos="540"/>
          <w:tab w:val="left" w:pos="992"/>
        </w:tabs>
        <w:kinsoku/>
        <w:wordWrap/>
        <w:overflowPunct/>
        <w:topLinePunct w:val="0"/>
        <w:autoSpaceDE/>
        <w:autoSpaceDN/>
        <w:bidi w:val="0"/>
        <w:adjustRightInd/>
        <w:snapToGrid/>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9</w:t>
      </w:r>
      <w:r>
        <w:rPr>
          <w:rFonts w:hint="eastAsia" w:ascii="宋体" w:hAnsi="宋体" w:eastAsia="宋体" w:cs="宋体"/>
          <w:color w:val="auto"/>
          <w:sz w:val="22"/>
          <w:szCs w:val="22"/>
          <w:highlight w:val="none"/>
        </w:rPr>
        <w:t>.1乙方应按照合同规定的时间交货和提供服务。</w:t>
      </w:r>
    </w:p>
    <w:p w14:paraId="0F3DFDFC">
      <w:pPr>
        <w:keepNext w:val="0"/>
        <w:keepLines w:val="0"/>
        <w:pageBreakBefore w:val="0"/>
        <w:widowControl w:val="0"/>
        <w:tabs>
          <w:tab w:val="left" w:pos="0"/>
          <w:tab w:val="left" w:pos="992"/>
        </w:tabs>
        <w:kinsoku/>
        <w:wordWrap/>
        <w:overflowPunct/>
        <w:topLinePunct w:val="0"/>
        <w:autoSpaceDE/>
        <w:autoSpaceDN/>
        <w:bidi w:val="0"/>
        <w:adjustRightInd/>
        <w:snapToGrid/>
        <w:spacing w:line="460" w:lineRule="exact"/>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9</w:t>
      </w:r>
      <w:r>
        <w:rPr>
          <w:rFonts w:hint="eastAsia" w:ascii="宋体" w:hAnsi="宋体" w:eastAsia="宋体" w:cs="宋体"/>
          <w:color w:val="auto"/>
          <w:sz w:val="22"/>
          <w:szCs w:val="22"/>
          <w:highlight w:val="none"/>
        </w:rPr>
        <w:t>.2在履行合同过程中，如果乙方遇到妨碍按时交货和提供服务的情况时，应及时以书面形式将延误的事实、可能拖延的时间和原因通知甲方。甲方在收到乙方通知后，应尽快对情况进行分析评价，并确定是否同意延长交货时间以及是否收取误期赔偿费。</w:t>
      </w:r>
    </w:p>
    <w:p w14:paraId="5004A2D0">
      <w:pPr>
        <w:keepNext w:val="0"/>
        <w:keepLines w:val="0"/>
        <w:pageBreakBefore w:val="0"/>
        <w:widowControl w:val="0"/>
        <w:tabs>
          <w:tab w:val="left" w:pos="540"/>
          <w:tab w:val="left" w:pos="992"/>
        </w:tabs>
        <w:kinsoku/>
        <w:wordWrap/>
        <w:overflowPunct/>
        <w:topLinePunct w:val="0"/>
        <w:autoSpaceDE/>
        <w:autoSpaceDN/>
        <w:bidi w:val="0"/>
        <w:adjustRightInd/>
        <w:snapToGrid/>
        <w:spacing w:line="460" w:lineRule="exact"/>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9</w:t>
      </w:r>
      <w:r>
        <w:rPr>
          <w:rFonts w:hint="eastAsia" w:ascii="宋体" w:hAnsi="宋体" w:eastAsia="宋体" w:cs="宋体"/>
          <w:color w:val="auto"/>
          <w:sz w:val="22"/>
          <w:szCs w:val="22"/>
          <w:highlight w:val="none"/>
        </w:rPr>
        <w:t>.3除了合同条款中不可抗力的情况外，除甲方同意延误并不收赔偿费外，乙方延误交货或提供服务将按</w:t>
      </w:r>
      <w:r>
        <w:rPr>
          <w:rFonts w:hint="eastAsia" w:ascii="宋体" w:hAnsi="宋体" w:cs="宋体"/>
          <w:color w:val="auto"/>
          <w:sz w:val="22"/>
          <w:szCs w:val="22"/>
          <w:highlight w:val="none"/>
          <w:lang w:val="en-US" w:eastAsia="zh-CN"/>
        </w:rPr>
        <w:t>本</w:t>
      </w:r>
      <w:r>
        <w:rPr>
          <w:rFonts w:hint="eastAsia" w:ascii="宋体" w:hAnsi="宋体" w:eastAsia="宋体" w:cs="宋体"/>
          <w:color w:val="auto"/>
          <w:sz w:val="22"/>
          <w:szCs w:val="22"/>
          <w:highlight w:val="none"/>
        </w:rPr>
        <w:t>合同</w:t>
      </w:r>
      <w:r>
        <w:rPr>
          <w:rFonts w:hint="eastAsia" w:ascii="宋体" w:hAnsi="宋体" w:cs="宋体"/>
          <w:color w:val="auto"/>
          <w:sz w:val="22"/>
          <w:szCs w:val="22"/>
          <w:highlight w:val="none"/>
          <w:lang w:val="en-US" w:eastAsia="zh-CN"/>
        </w:rPr>
        <w:t>第十</w:t>
      </w:r>
      <w:r>
        <w:rPr>
          <w:rFonts w:hint="eastAsia" w:ascii="宋体" w:hAnsi="宋体" w:eastAsia="宋体" w:cs="宋体"/>
          <w:color w:val="auto"/>
          <w:sz w:val="22"/>
          <w:szCs w:val="22"/>
          <w:highlight w:val="none"/>
        </w:rPr>
        <w:t>条规定被收取误期赔偿费。</w:t>
      </w:r>
    </w:p>
    <w:p w14:paraId="5A225E48">
      <w:pPr>
        <w:keepNext w:val="0"/>
        <w:keepLines w:val="0"/>
        <w:pageBreakBefore w:val="0"/>
        <w:widowControl w:val="0"/>
        <w:tabs>
          <w:tab w:val="left" w:pos="540"/>
          <w:tab w:val="left" w:pos="992"/>
        </w:tabs>
        <w:kinsoku/>
        <w:wordWrap/>
        <w:overflowPunct/>
        <w:topLinePunct w:val="0"/>
        <w:autoSpaceDE/>
        <w:autoSpaceDN/>
        <w:bidi w:val="0"/>
        <w:adjustRightInd/>
        <w:snapToGrid/>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9</w:t>
      </w:r>
      <w:r>
        <w:rPr>
          <w:rFonts w:hint="eastAsia" w:ascii="宋体" w:hAnsi="宋体" w:eastAsia="宋体" w:cs="宋体"/>
          <w:color w:val="auto"/>
          <w:sz w:val="22"/>
          <w:szCs w:val="22"/>
          <w:highlight w:val="none"/>
        </w:rPr>
        <w:t>.4所有提供的交货及验收都应服从甲方的统一安排。</w:t>
      </w:r>
    </w:p>
    <w:p w14:paraId="3A4F91F4">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lang w:val="en-US" w:eastAsia="zh-CN"/>
        </w:rPr>
        <w:t>十、</w:t>
      </w:r>
      <w:r>
        <w:rPr>
          <w:rFonts w:hint="eastAsia" w:ascii="宋体" w:hAnsi="宋体" w:eastAsia="宋体" w:cs="宋体"/>
          <w:b/>
          <w:bCs/>
          <w:color w:val="auto"/>
          <w:sz w:val="22"/>
          <w:szCs w:val="22"/>
          <w:highlight w:val="none"/>
        </w:rPr>
        <w:t>误期赔偿费</w:t>
      </w:r>
    </w:p>
    <w:p w14:paraId="7C13DB1F">
      <w:pPr>
        <w:keepNext w:val="0"/>
        <w:keepLines w:val="0"/>
        <w:pageBreakBefore w:val="0"/>
        <w:widowControl w:val="0"/>
        <w:tabs>
          <w:tab w:val="left" w:pos="540"/>
          <w:tab w:val="left" w:pos="992"/>
        </w:tabs>
        <w:kinsoku/>
        <w:wordWrap/>
        <w:overflowPunct/>
        <w:topLinePunct w:val="0"/>
        <w:autoSpaceDE/>
        <w:autoSpaceDN/>
        <w:bidi w:val="0"/>
        <w:adjustRightInd/>
        <w:snapToGrid/>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10</w:t>
      </w:r>
      <w:r>
        <w:rPr>
          <w:rFonts w:hint="eastAsia" w:ascii="宋体" w:hAnsi="宋体" w:eastAsia="宋体" w:cs="宋体"/>
          <w:color w:val="auto"/>
          <w:sz w:val="22"/>
          <w:szCs w:val="22"/>
          <w:highlight w:val="none"/>
        </w:rPr>
        <w:t>.1除不可抗力外，如果乙方没有按照合同规定的时间交货和提供服务，甲方在不影响合同项下的其他补救措施的情况下，从合同价款中扣除误期赔偿费。每延误一周（不足一周按一周计算）的赔偿费按迟交货物交货价或未提供服务的服务费用的百分之零点五（0.5%）计收，直至交货或提供服务为止。误期赔偿费最高限额为合同价的百分之五（5%）。一旦延到误期赔偿费的最高限额，甲方可终止合同。</w:t>
      </w:r>
    </w:p>
    <w:p w14:paraId="3B7A9D38">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lang w:val="en-US" w:eastAsia="zh-CN"/>
        </w:rPr>
        <w:t>十一、</w:t>
      </w:r>
      <w:r>
        <w:rPr>
          <w:rFonts w:hint="eastAsia" w:ascii="宋体" w:hAnsi="宋体" w:eastAsia="宋体" w:cs="宋体"/>
          <w:b/>
          <w:bCs/>
          <w:color w:val="auto"/>
          <w:sz w:val="22"/>
          <w:szCs w:val="22"/>
          <w:highlight w:val="none"/>
        </w:rPr>
        <w:t>不可抗力</w:t>
      </w:r>
    </w:p>
    <w:p w14:paraId="31ED0AF8">
      <w:pPr>
        <w:keepNext w:val="0"/>
        <w:keepLines w:val="0"/>
        <w:pageBreakBefore w:val="0"/>
        <w:widowControl w:val="0"/>
        <w:numPr>
          <w:ilvl w:val="0"/>
          <w:numId w:val="0"/>
        </w:numPr>
        <w:tabs>
          <w:tab w:val="left" w:pos="540"/>
          <w:tab w:val="left" w:pos="992"/>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11.1</w:t>
      </w:r>
      <w:r>
        <w:rPr>
          <w:rFonts w:hint="eastAsia" w:ascii="宋体" w:hAnsi="宋体" w:eastAsia="宋体" w:cs="宋体"/>
          <w:color w:val="auto"/>
          <w:sz w:val="22"/>
          <w:szCs w:val="22"/>
          <w:highlight w:val="none"/>
        </w:rPr>
        <w:t>如果双方中任何一方由于战争、严重火灾、水灾、破坏性台风和地震以及其它经双方同意属不可抗力的事故，致使合同履行受阻时，履行合同期限应予延长，延长时限应相当于事故所影响的时间，或双方协商解决。</w:t>
      </w:r>
    </w:p>
    <w:p w14:paraId="77FCBD5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lang w:val="en-US" w:eastAsia="zh-CN"/>
        </w:rPr>
        <w:t>十二、</w:t>
      </w:r>
      <w:r>
        <w:rPr>
          <w:rFonts w:hint="eastAsia" w:ascii="宋体" w:hAnsi="宋体" w:eastAsia="宋体" w:cs="宋体"/>
          <w:b/>
          <w:bCs/>
          <w:color w:val="auto"/>
          <w:sz w:val="22"/>
          <w:szCs w:val="22"/>
          <w:highlight w:val="none"/>
        </w:rPr>
        <w:t>税费</w:t>
      </w:r>
    </w:p>
    <w:p w14:paraId="658F0B7D">
      <w:pPr>
        <w:keepNext w:val="0"/>
        <w:keepLines w:val="0"/>
        <w:pageBreakBefore w:val="0"/>
        <w:widowControl w:val="0"/>
        <w:numPr>
          <w:ilvl w:val="0"/>
          <w:numId w:val="0"/>
        </w:numPr>
        <w:tabs>
          <w:tab w:val="left" w:pos="540"/>
          <w:tab w:val="left" w:pos="992"/>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12.1</w:t>
      </w:r>
      <w:r>
        <w:rPr>
          <w:rFonts w:hint="eastAsia" w:ascii="宋体" w:hAnsi="宋体" w:eastAsia="宋体" w:cs="宋体"/>
          <w:color w:val="auto"/>
          <w:sz w:val="22"/>
          <w:szCs w:val="22"/>
          <w:highlight w:val="none"/>
        </w:rPr>
        <w:t>根据国家现行税法对甲方征收的与本合同有关的一切费用由甲方承担。</w:t>
      </w:r>
    </w:p>
    <w:p w14:paraId="0D10D5F9">
      <w:pPr>
        <w:keepNext w:val="0"/>
        <w:keepLines w:val="0"/>
        <w:pageBreakBefore w:val="0"/>
        <w:widowControl w:val="0"/>
        <w:numPr>
          <w:ilvl w:val="0"/>
          <w:numId w:val="0"/>
        </w:numPr>
        <w:tabs>
          <w:tab w:val="left" w:pos="540"/>
          <w:tab w:val="left" w:pos="992"/>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12.2</w:t>
      </w:r>
      <w:r>
        <w:rPr>
          <w:rFonts w:hint="eastAsia" w:ascii="宋体" w:hAnsi="宋体" w:eastAsia="宋体" w:cs="宋体"/>
          <w:color w:val="auto"/>
          <w:sz w:val="22"/>
          <w:szCs w:val="22"/>
          <w:highlight w:val="none"/>
        </w:rPr>
        <w:t>根据现行税法对乙方征收的与本合同有关的一切税费均由乙方承担。</w:t>
      </w:r>
    </w:p>
    <w:p w14:paraId="6D277537">
      <w:pPr>
        <w:keepNext w:val="0"/>
        <w:keepLines w:val="0"/>
        <w:pageBreakBefore w:val="0"/>
        <w:widowControl w:val="0"/>
        <w:numPr>
          <w:ilvl w:val="0"/>
          <w:numId w:val="0"/>
        </w:numPr>
        <w:tabs>
          <w:tab w:val="left" w:pos="540"/>
          <w:tab w:val="left" w:pos="992"/>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12.3</w:t>
      </w:r>
      <w:r>
        <w:rPr>
          <w:rFonts w:hint="eastAsia" w:ascii="宋体" w:hAnsi="宋体" w:eastAsia="宋体" w:cs="宋体"/>
          <w:color w:val="auto"/>
          <w:sz w:val="22"/>
          <w:szCs w:val="22"/>
          <w:highlight w:val="none"/>
        </w:rPr>
        <w:t>在中国境外发生的与本合同执行有关的一切税费由乙方承担。</w:t>
      </w:r>
    </w:p>
    <w:p w14:paraId="1E95338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lang w:val="en-US" w:eastAsia="zh-CN"/>
        </w:rPr>
        <w:t>十三、</w:t>
      </w:r>
      <w:r>
        <w:rPr>
          <w:rFonts w:hint="eastAsia" w:ascii="宋体" w:hAnsi="宋体" w:eastAsia="宋体" w:cs="宋体"/>
          <w:b/>
          <w:bCs/>
          <w:color w:val="auto"/>
          <w:sz w:val="22"/>
          <w:szCs w:val="22"/>
          <w:highlight w:val="none"/>
        </w:rPr>
        <w:t>违约终止合同</w:t>
      </w:r>
    </w:p>
    <w:p w14:paraId="00CEAA0C">
      <w:pPr>
        <w:keepNext w:val="0"/>
        <w:keepLines w:val="0"/>
        <w:pageBreakBefore w:val="0"/>
        <w:widowControl w:val="0"/>
        <w:numPr>
          <w:ilvl w:val="0"/>
          <w:numId w:val="0"/>
        </w:numPr>
        <w:tabs>
          <w:tab w:val="left" w:pos="540"/>
          <w:tab w:val="left" w:pos="992"/>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13.1</w:t>
      </w:r>
      <w:r>
        <w:rPr>
          <w:rFonts w:hint="eastAsia" w:ascii="宋体" w:hAnsi="宋体" w:eastAsia="宋体" w:cs="宋体"/>
          <w:color w:val="auto"/>
          <w:sz w:val="22"/>
          <w:szCs w:val="22"/>
          <w:highlight w:val="none"/>
        </w:rPr>
        <w:t>甲方在乙方违约的情况下，如果发生下列情况之一，可考虑终止部分或全部合同：</w:t>
      </w:r>
    </w:p>
    <w:p w14:paraId="73EF7F61">
      <w:pPr>
        <w:keepNext w:val="0"/>
        <w:keepLines w:val="0"/>
        <w:pageBreakBefore w:val="0"/>
        <w:widowControl w:val="0"/>
        <w:kinsoku/>
        <w:wordWrap/>
        <w:overflowPunct/>
        <w:topLinePunct w:val="0"/>
        <w:autoSpaceDE/>
        <w:autoSpaceDN/>
        <w:bidi w:val="0"/>
        <w:adjustRightInd/>
        <w:snapToGrid/>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（1）乙方未能在合同规定的期限内或甲方同意延长的期限内提供全部或部分货物；</w:t>
      </w:r>
    </w:p>
    <w:p w14:paraId="60C47E02">
      <w:pPr>
        <w:keepNext w:val="0"/>
        <w:keepLines w:val="0"/>
        <w:pageBreakBefore w:val="0"/>
        <w:widowControl w:val="0"/>
        <w:kinsoku/>
        <w:wordWrap/>
        <w:overflowPunct/>
        <w:topLinePunct w:val="0"/>
        <w:autoSpaceDE/>
        <w:autoSpaceDN/>
        <w:bidi w:val="0"/>
        <w:adjustRightInd/>
        <w:snapToGrid/>
        <w:spacing w:line="460" w:lineRule="exact"/>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乙方未能履行合同规定的任何其他义务。乙方在收到甲方发出的违约通知后30天内，或经甲方书面认可延长的时间内未能纠正其过失。甲方可向乙方发出书面通知，终止部分或全部合同，通知到达乙方时合同即行解除。在这种情况下，并不影响甲方向乙方提出的索赔。如因乙方违约行为导致本合同提前终止的，乙方除承担本合同相应条款约定的责任外，还应承担本合同总金额</w:t>
      </w:r>
      <w:r>
        <w:rPr>
          <w:rFonts w:hint="default" w:ascii="宋体" w:hAnsi="宋体" w:cs="宋体"/>
          <w:color w:val="auto"/>
          <w:sz w:val="22"/>
          <w:szCs w:val="22"/>
          <w:highlight w:val="none"/>
          <w:woUserID w:val="1"/>
        </w:rPr>
        <w:t>5</w:t>
      </w:r>
      <w:r>
        <w:rPr>
          <w:rFonts w:hint="eastAsia" w:ascii="宋体" w:hAnsi="宋体" w:eastAsia="宋体" w:cs="宋体"/>
          <w:color w:val="auto"/>
          <w:sz w:val="22"/>
          <w:szCs w:val="22"/>
          <w:highlight w:val="none"/>
        </w:rPr>
        <w:t>%的违约金。</w:t>
      </w:r>
    </w:p>
    <w:p w14:paraId="6E5A3132">
      <w:pPr>
        <w:keepNext w:val="0"/>
        <w:keepLines w:val="0"/>
        <w:pageBreakBefore w:val="0"/>
        <w:widowControl w:val="0"/>
        <w:numPr>
          <w:ilvl w:val="0"/>
          <w:numId w:val="0"/>
        </w:numPr>
        <w:tabs>
          <w:tab w:val="left" w:pos="540"/>
          <w:tab w:val="left" w:pos="992"/>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13.2</w:t>
      </w:r>
      <w:r>
        <w:rPr>
          <w:rFonts w:hint="eastAsia" w:ascii="宋体" w:hAnsi="宋体" w:eastAsia="宋体" w:cs="宋体"/>
          <w:color w:val="auto"/>
          <w:sz w:val="22"/>
          <w:szCs w:val="22"/>
          <w:highlight w:val="none"/>
        </w:rPr>
        <w:t>如果甲方根据上述第1</w:t>
      </w: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rPr>
        <w:t>.1条的规定，终止了全部或部分合同，甲方可以依其认为适当的条件和方法购买与未交货物类似的货物或服务，乙方应承担甲方因购买类似货物或服务而产生的额外支出。但是，乙方应继续执行合同中未终止的部分。</w:t>
      </w:r>
    </w:p>
    <w:p w14:paraId="73145107">
      <w:pPr>
        <w:keepNext w:val="0"/>
        <w:keepLines w:val="0"/>
        <w:pageBreakBefore w:val="0"/>
        <w:widowControl w:val="0"/>
        <w:numPr>
          <w:ilvl w:val="0"/>
          <w:numId w:val="0"/>
        </w:numPr>
        <w:tabs>
          <w:tab w:val="left" w:pos="540"/>
          <w:tab w:val="left" w:pos="992"/>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13.3</w:t>
      </w:r>
      <w:r>
        <w:rPr>
          <w:rFonts w:hint="eastAsia" w:ascii="宋体" w:hAnsi="宋体" w:eastAsia="宋体" w:cs="宋体"/>
          <w:color w:val="auto"/>
          <w:sz w:val="22"/>
          <w:szCs w:val="22"/>
          <w:highlight w:val="none"/>
        </w:rPr>
        <w:t>若乙方提供的货物与合同规定的货物规格、数量、型号不符，并存在以次充好的情况，其情节严重的甲方有权直接终止合同并追究乙方造成的损失及乙方责任。</w:t>
      </w:r>
    </w:p>
    <w:p w14:paraId="6528E49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lang w:val="en-US" w:eastAsia="zh-CN"/>
        </w:rPr>
        <w:t>十四、</w:t>
      </w:r>
      <w:r>
        <w:rPr>
          <w:rFonts w:hint="eastAsia" w:ascii="宋体" w:hAnsi="宋体" w:eastAsia="宋体" w:cs="宋体"/>
          <w:b/>
          <w:bCs/>
          <w:color w:val="auto"/>
          <w:sz w:val="22"/>
          <w:szCs w:val="22"/>
          <w:highlight w:val="none"/>
        </w:rPr>
        <w:t>双方责任</w:t>
      </w:r>
    </w:p>
    <w:p w14:paraId="495482BE">
      <w:pPr>
        <w:keepNext w:val="0"/>
        <w:keepLines w:val="0"/>
        <w:pageBreakBefore w:val="0"/>
        <w:widowControl w:val="0"/>
        <w:numPr>
          <w:ilvl w:val="0"/>
          <w:numId w:val="0"/>
        </w:numPr>
        <w:tabs>
          <w:tab w:val="left" w:pos="540"/>
          <w:tab w:val="left" w:pos="992"/>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r>
        <w:rPr>
          <w:rFonts w:hint="eastAsia" w:ascii="宋体" w:hAnsi="宋体" w:cs="宋体"/>
          <w:color w:val="auto"/>
          <w:sz w:val="22"/>
          <w:szCs w:val="22"/>
          <w:highlight w:val="none"/>
          <w:lang w:val="en-US" w:eastAsia="zh-CN"/>
        </w:rPr>
        <w:t>4</w:t>
      </w: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甲方</w:t>
      </w:r>
    </w:p>
    <w:p w14:paraId="1DE96B73">
      <w:pPr>
        <w:keepNext w:val="0"/>
        <w:keepLines w:val="0"/>
        <w:pageBreakBefore w:val="0"/>
        <w:widowControl w:val="0"/>
        <w:kinsoku/>
        <w:wordWrap/>
        <w:overflowPunct/>
        <w:topLinePunct w:val="0"/>
        <w:autoSpaceDE/>
        <w:autoSpaceDN/>
        <w:bidi w:val="0"/>
        <w:adjustRightInd/>
        <w:snapToGrid/>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（1）按合同规定向乙方支付货款。</w:t>
      </w:r>
    </w:p>
    <w:p w14:paraId="311AF242">
      <w:pPr>
        <w:keepNext w:val="0"/>
        <w:keepLines w:val="0"/>
        <w:pageBreakBefore w:val="0"/>
        <w:widowControl w:val="0"/>
        <w:kinsoku/>
        <w:wordWrap/>
        <w:overflowPunct/>
        <w:topLinePunct w:val="0"/>
        <w:autoSpaceDE/>
        <w:autoSpaceDN/>
        <w:bidi w:val="0"/>
        <w:adjustRightInd/>
        <w:snapToGrid/>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（2）组织对货物的验收。</w:t>
      </w:r>
    </w:p>
    <w:p w14:paraId="2A37802C">
      <w:pPr>
        <w:keepNext w:val="0"/>
        <w:keepLines w:val="0"/>
        <w:pageBreakBefore w:val="0"/>
        <w:widowControl w:val="0"/>
        <w:numPr>
          <w:ilvl w:val="0"/>
          <w:numId w:val="0"/>
        </w:numPr>
        <w:tabs>
          <w:tab w:val="left" w:pos="540"/>
          <w:tab w:val="left" w:pos="992"/>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r>
        <w:rPr>
          <w:rFonts w:hint="eastAsia" w:ascii="宋体" w:hAnsi="宋体" w:cs="宋体"/>
          <w:color w:val="auto"/>
          <w:sz w:val="22"/>
          <w:szCs w:val="22"/>
          <w:highlight w:val="none"/>
          <w:lang w:val="en-US" w:eastAsia="zh-CN"/>
        </w:rPr>
        <w:t>4</w:t>
      </w: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乙方</w:t>
      </w:r>
    </w:p>
    <w:p w14:paraId="503E8F5C">
      <w:pPr>
        <w:keepNext w:val="0"/>
        <w:keepLines w:val="0"/>
        <w:pageBreakBefore w:val="0"/>
        <w:widowControl w:val="0"/>
        <w:kinsoku/>
        <w:wordWrap/>
        <w:overflowPunct/>
        <w:topLinePunct w:val="0"/>
        <w:autoSpaceDE/>
        <w:autoSpaceDN/>
        <w:bidi w:val="0"/>
        <w:adjustRightInd/>
        <w:snapToGrid/>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（1）按合同要求提供货物和服务。</w:t>
      </w:r>
    </w:p>
    <w:p w14:paraId="7AED2793">
      <w:pPr>
        <w:keepNext w:val="0"/>
        <w:keepLines w:val="0"/>
        <w:pageBreakBefore w:val="0"/>
        <w:widowControl w:val="0"/>
        <w:kinsoku/>
        <w:wordWrap/>
        <w:overflowPunct/>
        <w:topLinePunct w:val="0"/>
        <w:autoSpaceDE/>
        <w:autoSpaceDN/>
        <w:bidi w:val="0"/>
        <w:adjustRightInd/>
        <w:snapToGrid/>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（2）对所提供的货物和服务质量问题无条件负责处理。</w:t>
      </w:r>
    </w:p>
    <w:p w14:paraId="2A7EA911">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lang w:val="en-US" w:eastAsia="zh-CN"/>
        </w:rPr>
        <w:t>十五、</w:t>
      </w:r>
      <w:r>
        <w:rPr>
          <w:rFonts w:hint="eastAsia" w:ascii="宋体" w:hAnsi="宋体" w:eastAsia="宋体" w:cs="宋体"/>
          <w:b/>
          <w:bCs/>
          <w:color w:val="auto"/>
          <w:sz w:val="22"/>
          <w:szCs w:val="22"/>
          <w:highlight w:val="none"/>
        </w:rPr>
        <w:t>争端的解决</w:t>
      </w:r>
    </w:p>
    <w:p w14:paraId="04E44113">
      <w:pPr>
        <w:keepNext w:val="0"/>
        <w:keepLines w:val="0"/>
        <w:pageBreakBefore w:val="0"/>
        <w:tabs>
          <w:tab w:val="left" w:pos="360"/>
        </w:tabs>
        <w:kinsoku/>
        <w:overflowPunct/>
        <w:topLinePunct w:val="0"/>
        <w:bidi w:val="0"/>
        <w:spacing w:beforeAutospacing="0" w:afterAutospacing="0" w:line="460" w:lineRule="exact"/>
        <w:ind w:firstLine="550" w:firstLineChars="2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合同的实施或与合同有关的一切争端应通过双方友好协商解决。如果协商仍得不到解决，任何一方都可依法向甲方所在地人民法院提起诉讼。</w:t>
      </w:r>
    </w:p>
    <w:p w14:paraId="1576C2C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lang w:val="en-US" w:eastAsia="zh-CN"/>
        </w:rPr>
        <w:t>十六、</w:t>
      </w:r>
      <w:r>
        <w:rPr>
          <w:rFonts w:hint="eastAsia" w:ascii="宋体" w:hAnsi="宋体" w:eastAsia="宋体" w:cs="宋体"/>
          <w:b/>
          <w:bCs/>
          <w:color w:val="auto"/>
          <w:sz w:val="22"/>
          <w:szCs w:val="22"/>
          <w:highlight w:val="none"/>
        </w:rPr>
        <w:t>转让和分包及产品不可替代</w:t>
      </w:r>
    </w:p>
    <w:p w14:paraId="22F9BF8F">
      <w:pPr>
        <w:keepNext w:val="0"/>
        <w:keepLines w:val="0"/>
        <w:pageBreakBefore w:val="0"/>
        <w:widowControl w:val="0"/>
        <w:numPr>
          <w:ilvl w:val="0"/>
          <w:numId w:val="0"/>
        </w:numPr>
        <w:tabs>
          <w:tab w:val="left" w:pos="540"/>
          <w:tab w:val="left" w:pos="992"/>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r>
        <w:rPr>
          <w:rFonts w:hint="eastAsia" w:ascii="宋体" w:hAnsi="宋体" w:cs="宋体"/>
          <w:color w:val="auto"/>
          <w:sz w:val="22"/>
          <w:szCs w:val="22"/>
          <w:highlight w:val="none"/>
          <w:lang w:val="en-US" w:eastAsia="zh-CN"/>
        </w:rPr>
        <w:t>6</w:t>
      </w: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未经甲方事先书面同意，乙方不得部分转让或全部转让和分包其履行合同的义务。</w:t>
      </w:r>
    </w:p>
    <w:p w14:paraId="5DF45372">
      <w:pPr>
        <w:keepNext w:val="0"/>
        <w:keepLines w:val="0"/>
        <w:pageBreakBefore w:val="0"/>
        <w:widowControl w:val="0"/>
        <w:numPr>
          <w:ilvl w:val="0"/>
          <w:numId w:val="0"/>
        </w:numPr>
        <w:tabs>
          <w:tab w:val="left" w:pos="540"/>
          <w:tab w:val="left" w:pos="992"/>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r>
        <w:rPr>
          <w:rFonts w:hint="eastAsia" w:ascii="宋体" w:hAnsi="宋体" w:cs="宋体"/>
          <w:color w:val="auto"/>
          <w:sz w:val="22"/>
          <w:szCs w:val="22"/>
          <w:highlight w:val="none"/>
          <w:lang w:val="en-US" w:eastAsia="zh-CN"/>
        </w:rPr>
        <w:t>6</w:t>
      </w: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产品不可替代，乙方在没有取得甲方的书面授权的情况下，不得将合同货物的生产制造转交其他生产厂商或以其他厂商的产品替代。</w:t>
      </w:r>
    </w:p>
    <w:p w14:paraId="659CF4F4">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lang w:val="en-US" w:eastAsia="zh-CN"/>
        </w:rPr>
        <w:t>十七、</w:t>
      </w:r>
      <w:r>
        <w:rPr>
          <w:rFonts w:hint="eastAsia" w:ascii="宋体" w:hAnsi="宋体" w:eastAsia="宋体" w:cs="宋体"/>
          <w:b/>
          <w:bCs/>
          <w:color w:val="auto"/>
          <w:sz w:val="22"/>
          <w:szCs w:val="22"/>
          <w:highlight w:val="none"/>
        </w:rPr>
        <w:t>适用法律</w:t>
      </w:r>
    </w:p>
    <w:p w14:paraId="717F69AD">
      <w:pPr>
        <w:keepNext w:val="0"/>
        <w:keepLines w:val="0"/>
        <w:pageBreakBefore w:val="0"/>
        <w:widowControl w:val="0"/>
        <w:kinsoku/>
        <w:wordWrap/>
        <w:overflowPunct/>
        <w:topLinePunct w:val="0"/>
        <w:autoSpaceDE/>
        <w:autoSpaceDN/>
        <w:bidi w:val="0"/>
        <w:adjustRightInd/>
        <w:snapToGrid/>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本合同按照中华人民共和国的法律进行解释。</w:t>
      </w:r>
    </w:p>
    <w:p w14:paraId="41EE4144">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lang w:val="en-US" w:eastAsia="zh-CN"/>
        </w:rPr>
        <w:t>十八、</w:t>
      </w:r>
      <w:r>
        <w:rPr>
          <w:rFonts w:hint="eastAsia" w:ascii="宋体" w:hAnsi="宋体" w:eastAsia="宋体" w:cs="宋体"/>
          <w:b/>
          <w:bCs/>
          <w:color w:val="auto"/>
          <w:sz w:val="22"/>
          <w:szCs w:val="22"/>
          <w:highlight w:val="none"/>
        </w:rPr>
        <w:t>合同生效及其他</w:t>
      </w:r>
    </w:p>
    <w:p w14:paraId="22B86BAC">
      <w:pPr>
        <w:keepNext w:val="0"/>
        <w:keepLines w:val="0"/>
        <w:pageBreakBefore w:val="0"/>
        <w:widowControl w:val="0"/>
        <w:numPr>
          <w:ilvl w:val="0"/>
          <w:numId w:val="0"/>
        </w:numPr>
        <w:tabs>
          <w:tab w:val="left" w:pos="540"/>
          <w:tab w:val="left" w:pos="992"/>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18.1合同期限为1年（自2025年  月  日至  年  月  日）。</w:t>
      </w:r>
    </w:p>
    <w:p w14:paraId="68E596C7">
      <w:pPr>
        <w:keepNext w:val="0"/>
        <w:keepLines w:val="0"/>
        <w:pageBreakBefore w:val="0"/>
        <w:widowControl w:val="0"/>
        <w:numPr>
          <w:ilvl w:val="0"/>
          <w:numId w:val="0"/>
        </w:numPr>
        <w:tabs>
          <w:tab w:val="left" w:pos="540"/>
          <w:tab w:val="left" w:pos="992"/>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r>
        <w:rPr>
          <w:rFonts w:hint="eastAsia" w:ascii="宋体" w:hAnsi="宋体" w:cs="宋体"/>
          <w:color w:val="auto"/>
          <w:sz w:val="22"/>
          <w:szCs w:val="22"/>
          <w:highlight w:val="none"/>
          <w:lang w:val="en-US" w:eastAsia="zh-CN"/>
        </w:rPr>
        <w:t>8</w:t>
      </w:r>
      <w:r>
        <w:rPr>
          <w:rFonts w:hint="eastAsia" w:ascii="宋体" w:hAnsi="宋体" w:eastAsia="宋体" w:cs="宋体"/>
          <w:color w:val="auto"/>
          <w:sz w:val="22"/>
          <w:szCs w:val="22"/>
          <w:highlight w:val="none"/>
          <w:lang w:val="en-US" w:eastAsia="zh-CN"/>
        </w:rPr>
        <w:t>.</w:t>
      </w:r>
      <w:r>
        <w:rPr>
          <w:rFonts w:hint="eastAsia" w:ascii="宋体" w:hAnsi="宋体" w:cs="宋体"/>
          <w:color w:val="auto"/>
          <w:sz w:val="22"/>
          <w:szCs w:val="22"/>
          <w:highlight w:val="none"/>
          <w:lang w:val="en-US" w:eastAsia="zh-CN"/>
        </w:rPr>
        <w:t>2</w:t>
      </w:r>
      <w:r>
        <w:rPr>
          <w:rFonts w:hint="eastAsia" w:ascii="宋体" w:hAnsi="宋体" w:eastAsia="宋体" w:cs="宋体"/>
          <w:color w:val="auto"/>
          <w:sz w:val="22"/>
          <w:szCs w:val="22"/>
          <w:highlight w:val="none"/>
        </w:rPr>
        <w:t>合同应在双方签字</w:t>
      </w:r>
      <w:r>
        <w:rPr>
          <w:rFonts w:hint="eastAsia" w:ascii="宋体" w:hAnsi="宋体" w:cs="宋体"/>
          <w:color w:val="auto"/>
          <w:sz w:val="22"/>
          <w:szCs w:val="22"/>
          <w:highlight w:val="none"/>
          <w:lang w:val="en-US" w:eastAsia="zh-CN"/>
        </w:rPr>
        <w:t>并</w:t>
      </w:r>
      <w:r>
        <w:rPr>
          <w:rFonts w:hint="eastAsia" w:ascii="宋体" w:hAnsi="宋体" w:eastAsia="宋体" w:cs="宋体"/>
          <w:color w:val="auto"/>
          <w:sz w:val="22"/>
          <w:szCs w:val="22"/>
          <w:highlight w:val="none"/>
        </w:rPr>
        <w:t>盖章后开始生效。</w:t>
      </w:r>
    </w:p>
    <w:p w14:paraId="61D806CC">
      <w:pPr>
        <w:keepNext w:val="0"/>
        <w:keepLines w:val="0"/>
        <w:pageBreakBefore w:val="0"/>
        <w:widowControl w:val="0"/>
        <w:tabs>
          <w:tab w:val="left" w:pos="540"/>
          <w:tab w:val="left" w:pos="992"/>
        </w:tabs>
        <w:kinsoku/>
        <w:wordWrap/>
        <w:overflowPunct/>
        <w:topLinePunct w:val="0"/>
        <w:autoSpaceDE/>
        <w:autoSpaceDN/>
        <w:bidi w:val="0"/>
        <w:adjustRightInd/>
        <w:snapToGrid/>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r>
        <w:rPr>
          <w:rFonts w:hint="eastAsia" w:ascii="宋体" w:hAnsi="宋体" w:cs="宋体"/>
          <w:color w:val="auto"/>
          <w:sz w:val="22"/>
          <w:szCs w:val="22"/>
          <w:highlight w:val="none"/>
          <w:lang w:val="en-US" w:eastAsia="zh-CN"/>
        </w:rPr>
        <w:t>8</w:t>
      </w:r>
      <w:r>
        <w:rPr>
          <w:rFonts w:hint="eastAsia" w:ascii="宋体" w:hAnsi="宋体" w:eastAsia="宋体" w:cs="宋体"/>
          <w:color w:val="auto"/>
          <w:sz w:val="22"/>
          <w:szCs w:val="22"/>
          <w:highlight w:val="none"/>
        </w:rPr>
        <w:t>.</w:t>
      </w:r>
      <w:r>
        <w:rPr>
          <w:rFonts w:hint="eastAsia" w:ascii="宋体" w:hAnsi="宋体" w:cs="宋体"/>
          <w:color w:val="auto"/>
          <w:sz w:val="22"/>
          <w:szCs w:val="22"/>
          <w:highlight w:val="none"/>
          <w:lang w:val="en-US" w:eastAsia="zh-CN"/>
        </w:rPr>
        <w:t>3</w:t>
      </w:r>
      <w:r>
        <w:rPr>
          <w:rFonts w:hint="eastAsia" w:ascii="宋体" w:hAnsi="宋体" w:eastAsia="宋体" w:cs="宋体"/>
          <w:color w:val="auto"/>
          <w:sz w:val="22"/>
          <w:szCs w:val="22"/>
          <w:highlight w:val="none"/>
        </w:rPr>
        <w:t>本合同一式</w:t>
      </w:r>
      <w:r>
        <w:rPr>
          <w:rFonts w:hint="eastAsia" w:ascii="宋体" w:hAnsi="宋体" w:cs="宋体"/>
          <w:color w:val="auto"/>
          <w:sz w:val="22"/>
          <w:szCs w:val="22"/>
          <w:highlight w:val="none"/>
          <w:lang w:val="en-US" w:eastAsia="zh-CN"/>
        </w:rPr>
        <w:t>叁</w:t>
      </w:r>
      <w:r>
        <w:rPr>
          <w:rFonts w:hint="eastAsia" w:ascii="宋体" w:hAnsi="宋体" w:eastAsia="宋体" w:cs="宋体"/>
          <w:color w:val="auto"/>
          <w:sz w:val="22"/>
          <w:szCs w:val="22"/>
          <w:highlight w:val="none"/>
        </w:rPr>
        <w:t>份，甲方执</w:t>
      </w:r>
      <w:r>
        <w:rPr>
          <w:rFonts w:hint="eastAsia" w:ascii="宋体" w:hAnsi="宋体" w:cs="宋体"/>
          <w:color w:val="auto"/>
          <w:sz w:val="22"/>
          <w:szCs w:val="22"/>
          <w:highlight w:val="none"/>
          <w:lang w:val="en-US" w:eastAsia="zh-CN"/>
        </w:rPr>
        <w:t>贰</w:t>
      </w:r>
      <w:r>
        <w:rPr>
          <w:rFonts w:hint="eastAsia" w:ascii="宋体" w:hAnsi="宋体" w:eastAsia="宋体" w:cs="宋体"/>
          <w:color w:val="auto"/>
          <w:sz w:val="22"/>
          <w:szCs w:val="22"/>
          <w:highlight w:val="none"/>
        </w:rPr>
        <w:t>份，乙方执</w:t>
      </w:r>
      <w:r>
        <w:rPr>
          <w:rFonts w:hint="eastAsia" w:ascii="宋体" w:hAnsi="宋体" w:cs="宋体"/>
          <w:color w:val="auto"/>
          <w:sz w:val="22"/>
          <w:szCs w:val="22"/>
          <w:highlight w:val="none"/>
          <w:lang w:val="en-US" w:eastAsia="zh-CN"/>
        </w:rPr>
        <w:t>壹</w:t>
      </w:r>
      <w:r>
        <w:rPr>
          <w:rFonts w:hint="eastAsia" w:ascii="宋体" w:hAnsi="宋体" w:eastAsia="宋体" w:cs="宋体"/>
          <w:color w:val="auto"/>
          <w:sz w:val="22"/>
          <w:szCs w:val="22"/>
          <w:highlight w:val="none"/>
        </w:rPr>
        <w:t>份，具有同等法律效</w:t>
      </w:r>
      <w:r>
        <w:rPr>
          <w:rFonts w:hint="eastAsia" w:ascii="宋体" w:hAnsi="宋体" w:cs="宋体"/>
          <w:color w:val="auto"/>
          <w:sz w:val="22"/>
          <w:szCs w:val="22"/>
          <w:highlight w:val="none"/>
          <w:lang w:val="en-US" w:eastAsia="zh-CN"/>
        </w:rPr>
        <w:t>力</w:t>
      </w:r>
      <w:r>
        <w:rPr>
          <w:rFonts w:hint="eastAsia" w:ascii="宋体" w:hAnsi="宋体" w:eastAsia="宋体" w:cs="宋体"/>
          <w:color w:val="auto"/>
          <w:sz w:val="22"/>
          <w:szCs w:val="22"/>
          <w:highlight w:val="none"/>
        </w:rPr>
        <w:t>。</w:t>
      </w:r>
    </w:p>
    <w:p w14:paraId="06A83410">
      <w:pPr>
        <w:keepNext w:val="0"/>
        <w:keepLines w:val="0"/>
        <w:pageBreakBefore w:val="0"/>
        <w:widowControl w:val="0"/>
        <w:tabs>
          <w:tab w:val="left" w:pos="0"/>
          <w:tab w:val="left" w:pos="992"/>
        </w:tabs>
        <w:kinsoku/>
        <w:wordWrap/>
        <w:overflowPunct/>
        <w:topLinePunct w:val="0"/>
        <w:autoSpaceDE/>
        <w:autoSpaceDN/>
        <w:bidi w:val="0"/>
        <w:adjustRightInd/>
        <w:snapToGrid/>
        <w:spacing w:line="460" w:lineRule="exact"/>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r>
        <w:rPr>
          <w:rFonts w:hint="eastAsia" w:ascii="宋体" w:hAnsi="宋体" w:cs="宋体"/>
          <w:color w:val="auto"/>
          <w:sz w:val="22"/>
          <w:szCs w:val="22"/>
          <w:highlight w:val="none"/>
          <w:lang w:val="en-US" w:eastAsia="zh-CN"/>
        </w:rPr>
        <w:t>8</w:t>
      </w:r>
      <w:r>
        <w:rPr>
          <w:rFonts w:hint="eastAsia" w:ascii="宋体" w:hAnsi="宋体" w:eastAsia="宋体" w:cs="宋体"/>
          <w:color w:val="auto"/>
          <w:sz w:val="22"/>
          <w:szCs w:val="22"/>
          <w:highlight w:val="none"/>
        </w:rPr>
        <w:t>.</w:t>
      </w:r>
      <w:r>
        <w:rPr>
          <w:rFonts w:hint="eastAsia" w:ascii="宋体" w:hAnsi="宋体" w:cs="宋体"/>
          <w:color w:val="auto"/>
          <w:sz w:val="22"/>
          <w:szCs w:val="22"/>
          <w:highlight w:val="none"/>
          <w:lang w:val="en-US" w:eastAsia="zh-CN"/>
        </w:rPr>
        <w:t>4</w:t>
      </w:r>
      <w:r>
        <w:rPr>
          <w:rFonts w:hint="eastAsia" w:ascii="宋体" w:hAnsi="宋体" w:eastAsia="宋体" w:cs="宋体"/>
          <w:color w:val="auto"/>
          <w:sz w:val="22"/>
          <w:szCs w:val="22"/>
          <w:highlight w:val="none"/>
        </w:rPr>
        <w:t>如需修改或补充合同内容，经协商，双方应签署书面修改或补充协议，该协议将作为本合同的一个组成部分。</w:t>
      </w:r>
    </w:p>
    <w:p w14:paraId="43A4220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lang w:val="en-US" w:eastAsia="zh-CN"/>
        </w:rPr>
        <w:t>十九、</w:t>
      </w:r>
      <w:r>
        <w:rPr>
          <w:rFonts w:hint="eastAsia" w:ascii="宋体" w:hAnsi="宋体" w:eastAsia="宋体" w:cs="宋体"/>
          <w:b/>
          <w:bCs/>
          <w:color w:val="auto"/>
          <w:sz w:val="22"/>
          <w:szCs w:val="22"/>
          <w:highlight w:val="none"/>
        </w:rPr>
        <w:t>合同组成部分：</w:t>
      </w:r>
    </w:p>
    <w:p w14:paraId="252A3C9A">
      <w:pPr>
        <w:keepNext w:val="0"/>
        <w:keepLines w:val="0"/>
        <w:pageBreakBefore w:val="0"/>
        <w:widowControl w:val="0"/>
        <w:numPr>
          <w:ilvl w:val="0"/>
          <w:numId w:val="0"/>
        </w:numPr>
        <w:tabs>
          <w:tab w:val="left" w:pos="540"/>
          <w:tab w:val="left" w:pos="992"/>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val="en-US" w:eastAsia="zh-CN"/>
        </w:rPr>
        <w:t>19</w:t>
      </w: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合同补充条款或说明（如有）</w:t>
      </w:r>
    </w:p>
    <w:p w14:paraId="0152402C">
      <w:pPr>
        <w:keepNext w:val="0"/>
        <w:keepLines w:val="0"/>
        <w:pageBreakBefore w:val="0"/>
        <w:widowControl w:val="0"/>
        <w:numPr>
          <w:ilvl w:val="0"/>
          <w:numId w:val="0"/>
        </w:numPr>
        <w:tabs>
          <w:tab w:val="left" w:pos="540"/>
          <w:tab w:val="left" w:pos="992"/>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val="en-US" w:eastAsia="zh-CN"/>
        </w:rPr>
        <w:t>19</w:t>
      </w: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合同主要条款</w:t>
      </w:r>
    </w:p>
    <w:p w14:paraId="53B42FB6">
      <w:pPr>
        <w:keepNext w:val="0"/>
        <w:keepLines w:val="0"/>
        <w:pageBreakBefore w:val="0"/>
        <w:widowControl w:val="0"/>
        <w:numPr>
          <w:ilvl w:val="0"/>
          <w:numId w:val="0"/>
        </w:numPr>
        <w:tabs>
          <w:tab w:val="left" w:pos="540"/>
          <w:tab w:val="left" w:pos="992"/>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val="en-US" w:eastAsia="zh-CN"/>
        </w:rPr>
        <w:t>19</w:t>
      </w: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rPr>
        <w:t>中标通知书</w:t>
      </w:r>
    </w:p>
    <w:p w14:paraId="6A2DA8D5">
      <w:pPr>
        <w:keepNext w:val="0"/>
        <w:keepLines w:val="0"/>
        <w:pageBreakBefore w:val="0"/>
        <w:widowControl w:val="0"/>
        <w:numPr>
          <w:ilvl w:val="0"/>
          <w:numId w:val="0"/>
        </w:numPr>
        <w:tabs>
          <w:tab w:val="left" w:pos="540"/>
          <w:tab w:val="left" w:pos="992"/>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val="en-US" w:eastAsia="zh-CN"/>
        </w:rPr>
        <w:t>19</w:t>
      </w:r>
      <w:r>
        <w:rPr>
          <w:rFonts w:hint="eastAsia" w:ascii="宋体" w:hAnsi="宋体" w:eastAsia="宋体" w:cs="宋体"/>
          <w:color w:val="auto"/>
          <w:sz w:val="22"/>
          <w:szCs w:val="22"/>
          <w:highlight w:val="none"/>
          <w:lang w:val="en-US" w:eastAsia="zh-CN"/>
        </w:rPr>
        <w:t>.4</w:t>
      </w:r>
      <w:r>
        <w:rPr>
          <w:rFonts w:hint="eastAsia" w:ascii="宋体" w:hAnsi="宋体" w:eastAsia="宋体" w:cs="宋体"/>
          <w:color w:val="auto"/>
          <w:sz w:val="22"/>
          <w:szCs w:val="22"/>
          <w:highlight w:val="none"/>
        </w:rPr>
        <w:t>承诺书（含询标记录和优惠条件）</w:t>
      </w:r>
    </w:p>
    <w:p w14:paraId="1AEF8894">
      <w:pPr>
        <w:keepNext w:val="0"/>
        <w:keepLines w:val="0"/>
        <w:pageBreakBefore w:val="0"/>
        <w:widowControl w:val="0"/>
        <w:numPr>
          <w:ilvl w:val="0"/>
          <w:numId w:val="0"/>
        </w:numPr>
        <w:tabs>
          <w:tab w:val="left" w:pos="540"/>
          <w:tab w:val="left" w:pos="992"/>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val="en-US" w:eastAsia="zh-CN"/>
        </w:rPr>
        <w:t>19</w:t>
      </w: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rPr>
        <w:t xml:space="preserve">投标文件               </w:t>
      </w:r>
    </w:p>
    <w:p w14:paraId="4ADF435B">
      <w:pPr>
        <w:keepNext w:val="0"/>
        <w:keepLines w:val="0"/>
        <w:pageBreakBefore w:val="0"/>
        <w:widowControl w:val="0"/>
        <w:numPr>
          <w:ilvl w:val="0"/>
          <w:numId w:val="0"/>
        </w:numPr>
        <w:tabs>
          <w:tab w:val="left" w:pos="540"/>
          <w:tab w:val="left" w:pos="992"/>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val="en-US" w:eastAsia="zh-CN"/>
        </w:rPr>
        <w:t>19</w:t>
      </w: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rPr>
        <w:t>招标文件的补充文件（如有）</w:t>
      </w:r>
    </w:p>
    <w:p w14:paraId="56D08D61">
      <w:pPr>
        <w:keepNext w:val="0"/>
        <w:keepLines w:val="0"/>
        <w:pageBreakBefore w:val="0"/>
        <w:widowControl w:val="0"/>
        <w:numPr>
          <w:ilvl w:val="0"/>
          <w:numId w:val="0"/>
        </w:numPr>
        <w:tabs>
          <w:tab w:val="left" w:pos="540"/>
          <w:tab w:val="left" w:pos="992"/>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val="en-US" w:eastAsia="zh-CN"/>
        </w:rPr>
        <w:t>19</w:t>
      </w:r>
      <w:r>
        <w:rPr>
          <w:rFonts w:hint="eastAsia" w:ascii="宋体" w:hAnsi="宋体" w:eastAsia="宋体" w:cs="宋体"/>
          <w:color w:val="auto"/>
          <w:sz w:val="22"/>
          <w:szCs w:val="22"/>
          <w:highlight w:val="none"/>
          <w:lang w:val="en-US" w:eastAsia="zh-CN"/>
        </w:rPr>
        <w:t>.6</w:t>
      </w:r>
      <w:r>
        <w:rPr>
          <w:rFonts w:hint="eastAsia" w:ascii="宋体" w:hAnsi="宋体" w:eastAsia="宋体" w:cs="宋体"/>
          <w:color w:val="auto"/>
          <w:sz w:val="22"/>
          <w:szCs w:val="22"/>
          <w:highlight w:val="none"/>
        </w:rPr>
        <w:t xml:space="preserve">招标文件    </w:t>
      </w:r>
    </w:p>
    <w:p w14:paraId="303F7CB7">
      <w:pPr>
        <w:keepNext w:val="0"/>
        <w:keepLines w:val="0"/>
        <w:pageBreakBefore w:val="0"/>
        <w:widowControl w:val="0"/>
        <w:tabs>
          <w:tab w:val="left" w:pos="2715"/>
        </w:tabs>
        <w:kinsoku/>
        <w:wordWrap/>
        <w:overflowPunct/>
        <w:topLinePunct w:val="0"/>
        <w:autoSpaceDE/>
        <w:autoSpaceDN/>
        <w:bidi w:val="0"/>
        <w:adjustRightInd/>
        <w:snapToGrid/>
        <w:spacing w:line="460" w:lineRule="exact"/>
        <w:ind w:left="877" w:leftChars="208" w:hanging="440" w:hangingChars="200"/>
        <w:textAlignment w:val="auto"/>
        <w:rPr>
          <w:rFonts w:hint="default" w:ascii="Times New Roman" w:hAnsi="Times New Roman" w:eastAsia="新宋体" w:cs="Times New Roman"/>
          <w:color w:val="auto"/>
          <w:sz w:val="22"/>
          <w:szCs w:val="22"/>
          <w:highlight w:val="none"/>
        </w:rPr>
      </w:pPr>
    </w:p>
    <w:p w14:paraId="71E76936">
      <w:pPr>
        <w:keepNext w:val="0"/>
        <w:keepLines w:val="0"/>
        <w:pageBreakBefore w:val="0"/>
        <w:widowControl w:val="0"/>
        <w:tabs>
          <w:tab w:val="left" w:pos="2715"/>
        </w:tabs>
        <w:kinsoku/>
        <w:wordWrap/>
        <w:overflowPunct/>
        <w:topLinePunct w:val="0"/>
        <w:autoSpaceDE/>
        <w:autoSpaceDN/>
        <w:bidi w:val="0"/>
        <w:adjustRightInd/>
        <w:snapToGrid/>
        <w:spacing w:line="460" w:lineRule="exact"/>
        <w:ind w:left="877" w:leftChars="208" w:hanging="440" w:hangingChars="200"/>
        <w:textAlignment w:val="auto"/>
        <w:rPr>
          <w:rFonts w:hint="default" w:ascii="Times New Roman" w:hAnsi="Times New Roman" w:eastAsia="新宋体" w:cs="Times New Roman"/>
          <w:color w:val="auto"/>
          <w:sz w:val="22"/>
          <w:szCs w:val="22"/>
          <w:highlight w:val="none"/>
        </w:rPr>
      </w:pPr>
    </w:p>
    <w:p w14:paraId="4F5ED0A3">
      <w:pPr>
        <w:keepNext w:val="0"/>
        <w:keepLines w:val="0"/>
        <w:pageBreakBefore w:val="0"/>
        <w:widowControl w:val="0"/>
        <w:tabs>
          <w:tab w:val="left" w:pos="2715"/>
        </w:tabs>
        <w:kinsoku/>
        <w:wordWrap/>
        <w:overflowPunct/>
        <w:topLinePunct w:val="0"/>
        <w:autoSpaceDE/>
        <w:autoSpaceDN/>
        <w:bidi w:val="0"/>
        <w:adjustRightInd/>
        <w:snapToGrid/>
        <w:spacing w:line="460" w:lineRule="exact"/>
        <w:ind w:left="877" w:leftChars="208" w:hanging="440" w:hangingChars="200"/>
        <w:textAlignment w:val="auto"/>
        <w:rPr>
          <w:rFonts w:hint="default" w:ascii="Times New Roman" w:hAnsi="Times New Roman" w:eastAsia="新宋体" w:cs="Times New Roman"/>
          <w:color w:val="auto"/>
          <w:sz w:val="22"/>
          <w:szCs w:val="22"/>
          <w:highlight w:val="none"/>
          <w:lang w:val="en-US" w:eastAsia="zh-CN"/>
        </w:rPr>
      </w:pPr>
      <w:r>
        <w:rPr>
          <w:rFonts w:hint="default" w:ascii="Times New Roman" w:hAnsi="Times New Roman" w:eastAsia="新宋体" w:cs="Times New Roman"/>
          <w:color w:val="auto"/>
          <w:sz w:val="22"/>
          <w:szCs w:val="22"/>
          <w:highlight w:val="none"/>
        </w:rPr>
        <w:t>甲方：</w:t>
      </w:r>
      <w:r>
        <w:rPr>
          <w:rFonts w:hint="eastAsia" w:eastAsia="新宋体" w:cs="Times New Roman"/>
          <w:color w:val="auto"/>
          <w:sz w:val="22"/>
          <w:szCs w:val="22"/>
          <w:highlight w:val="none"/>
          <w:lang w:val="en-US" w:eastAsia="zh-CN"/>
        </w:rPr>
        <w:t>温州市中心医院</w:t>
      </w:r>
      <w:r>
        <w:rPr>
          <w:rFonts w:hint="default" w:ascii="Times New Roman" w:hAnsi="Times New Roman" w:eastAsia="新宋体" w:cs="Times New Roman"/>
          <w:color w:val="auto"/>
          <w:sz w:val="22"/>
          <w:szCs w:val="22"/>
          <w:highlight w:val="none"/>
        </w:rPr>
        <w:t xml:space="preserve">               乙方：</w:t>
      </w:r>
      <w:r>
        <w:rPr>
          <w:rFonts w:hint="eastAsia" w:eastAsia="新宋体" w:cs="Times New Roman"/>
          <w:color w:val="auto"/>
          <w:sz w:val="22"/>
          <w:szCs w:val="22"/>
          <w:highlight w:val="none"/>
          <w:lang w:val="en-US" w:eastAsia="zh-CN"/>
        </w:rPr>
        <w:t xml:space="preserve"> </w:t>
      </w:r>
    </w:p>
    <w:p w14:paraId="3D60CE30">
      <w:pPr>
        <w:keepNext w:val="0"/>
        <w:keepLines w:val="0"/>
        <w:pageBreakBefore w:val="0"/>
        <w:widowControl w:val="0"/>
        <w:tabs>
          <w:tab w:val="left" w:pos="2715"/>
        </w:tabs>
        <w:kinsoku/>
        <w:wordWrap/>
        <w:overflowPunct/>
        <w:topLinePunct w:val="0"/>
        <w:autoSpaceDE/>
        <w:autoSpaceDN/>
        <w:bidi w:val="0"/>
        <w:adjustRightInd/>
        <w:snapToGrid/>
        <w:spacing w:line="460" w:lineRule="exact"/>
        <w:ind w:left="4617" w:leftChars="208" w:hanging="4180" w:hangingChars="1900"/>
        <w:textAlignment w:val="auto"/>
        <w:rPr>
          <w:rFonts w:hint="default" w:ascii="Times New Roman" w:hAnsi="Times New Roman" w:eastAsia="新宋体" w:cs="Times New Roman"/>
          <w:color w:val="auto"/>
          <w:sz w:val="22"/>
          <w:szCs w:val="22"/>
          <w:highlight w:val="none"/>
          <w:lang w:val="en-US" w:eastAsia="zh-CN"/>
        </w:rPr>
      </w:pPr>
      <w:r>
        <w:rPr>
          <w:rFonts w:hint="default" w:ascii="Times New Roman" w:hAnsi="Times New Roman" w:eastAsia="新宋体" w:cs="Times New Roman"/>
          <w:color w:val="auto"/>
          <w:sz w:val="22"/>
          <w:szCs w:val="22"/>
          <w:highlight w:val="none"/>
        </w:rPr>
        <w:t>地址：</w:t>
      </w:r>
      <w:r>
        <w:rPr>
          <w:rFonts w:hint="eastAsia" w:eastAsia="新宋体" w:cs="Times New Roman"/>
          <w:color w:val="auto"/>
          <w:sz w:val="22"/>
          <w:szCs w:val="22"/>
          <w:highlight w:val="none"/>
          <w:lang w:val="en-US" w:eastAsia="zh-CN"/>
        </w:rPr>
        <w:t xml:space="preserve">                          </w:t>
      </w:r>
      <w:r>
        <w:rPr>
          <w:rFonts w:hint="default" w:ascii="Times New Roman" w:hAnsi="Times New Roman" w:eastAsia="新宋体" w:cs="Times New Roman"/>
          <w:color w:val="auto"/>
          <w:sz w:val="22"/>
          <w:szCs w:val="22"/>
          <w:highlight w:val="none"/>
        </w:rPr>
        <w:t xml:space="preserve">   地址：</w:t>
      </w:r>
      <w:r>
        <w:rPr>
          <w:rFonts w:hint="eastAsia" w:eastAsia="新宋体" w:cs="Times New Roman"/>
          <w:color w:val="auto"/>
          <w:sz w:val="22"/>
          <w:szCs w:val="22"/>
          <w:highlight w:val="none"/>
          <w:lang w:val="en-US" w:eastAsia="zh-CN"/>
        </w:rPr>
        <w:t xml:space="preserve"> </w:t>
      </w:r>
    </w:p>
    <w:p w14:paraId="2B9282BF">
      <w:pPr>
        <w:keepNext w:val="0"/>
        <w:keepLines w:val="0"/>
        <w:pageBreakBefore w:val="0"/>
        <w:widowControl w:val="0"/>
        <w:tabs>
          <w:tab w:val="left" w:pos="2715"/>
        </w:tabs>
        <w:kinsoku/>
        <w:wordWrap/>
        <w:overflowPunct/>
        <w:topLinePunct w:val="0"/>
        <w:autoSpaceDE/>
        <w:autoSpaceDN/>
        <w:bidi w:val="0"/>
        <w:adjustRightInd/>
        <w:snapToGrid/>
        <w:spacing w:line="460" w:lineRule="exact"/>
        <w:ind w:left="877" w:leftChars="208" w:hanging="440" w:hangingChars="200"/>
        <w:textAlignment w:val="auto"/>
        <w:rPr>
          <w:rFonts w:hint="default" w:ascii="Times New Roman" w:hAnsi="Times New Roman" w:eastAsia="新宋体" w:cs="Times New Roman"/>
          <w:color w:val="auto"/>
          <w:sz w:val="22"/>
          <w:szCs w:val="22"/>
          <w:highlight w:val="none"/>
        </w:rPr>
      </w:pPr>
      <w:r>
        <w:rPr>
          <w:rFonts w:hint="default" w:ascii="Times New Roman" w:hAnsi="Times New Roman" w:eastAsia="新宋体" w:cs="Times New Roman"/>
          <w:color w:val="auto"/>
          <w:sz w:val="22"/>
          <w:szCs w:val="22"/>
          <w:highlight w:val="none"/>
          <w:lang w:eastAsia="zh-CN"/>
        </w:rPr>
        <w:t>法定代表人</w:t>
      </w:r>
      <w:r>
        <w:rPr>
          <w:rFonts w:hint="default" w:ascii="Times New Roman" w:hAnsi="Times New Roman" w:eastAsia="新宋体" w:cs="Times New Roman"/>
          <w:color w:val="auto"/>
          <w:sz w:val="22"/>
          <w:szCs w:val="22"/>
          <w:highlight w:val="none"/>
        </w:rPr>
        <w:t xml:space="preserve">：                      </w:t>
      </w:r>
      <w:r>
        <w:rPr>
          <w:rFonts w:hint="default" w:ascii="Times New Roman" w:hAnsi="Times New Roman" w:eastAsia="新宋体" w:cs="Times New Roman"/>
          <w:color w:val="auto"/>
          <w:sz w:val="22"/>
          <w:szCs w:val="22"/>
          <w:highlight w:val="none"/>
          <w:lang w:val="en-US" w:eastAsia="zh-CN"/>
        </w:rPr>
        <w:t xml:space="preserve"> </w:t>
      </w:r>
      <w:r>
        <w:rPr>
          <w:rFonts w:hint="default" w:ascii="Times New Roman" w:hAnsi="Times New Roman" w:eastAsia="新宋体" w:cs="Times New Roman"/>
          <w:color w:val="auto"/>
          <w:sz w:val="22"/>
          <w:szCs w:val="22"/>
          <w:highlight w:val="none"/>
          <w:lang w:eastAsia="zh-CN"/>
        </w:rPr>
        <w:t>法定代表人</w:t>
      </w:r>
      <w:r>
        <w:rPr>
          <w:rFonts w:hint="default" w:ascii="Times New Roman" w:hAnsi="Times New Roman" w:eastAsia="新宋体" w:cs="Times New Roman"/>
          <w:color w:val="auto"/>
          <w:sz w:val="22"/>
          <w:szCs w:val="22"/>
          <w:highlight w:val="none"/>
        </w:rPr>
        <w:t>：</w:t>
      </w:r>
    </w:p>
    <w:p w14:paraId="1CD6C4A5">
      <w:pPr>
        <w:keepNext w:val="0"/>
        <w:keepLines w:val="0"/>
        <w:pageBreakBefore w:val="0"/>
        <w:widowControl w:val="0"/>
        <w:tabs>
          <w:tab w:val="left" w:pos="2715"/>
        </w:tabs>
        <w:kinsoku/>
        <w:wordWrap/>
        <w:overflowPunct/>
        <w:topLinePunct w:val="0"/>
        <w:autoSpaceDE/>
        <w:autoSpaceDN/>
        <w:bidi w:val="0"/>
        <w:adjustRightInd/>
        <w:snapToGrid/>
        <w:spacing w:line="460" w:lineRule="exact"/>
        <w:ind w:left="877" w:leftChars="208" w:hanging="440" w:hangingChars="200"/>
        <w:textAlignment w:val="auto"/>
        <w:rPr>
          <w:rFonts w:hint="default" w:ascii="Times New Roman" w:hAnsi="Times New Roman" w:eastAsia="新宋体" w:cs="Times New Roman"/>
          <w:color w:val="auto"/>
          <w:sz w:val="22"/>
          <w:szCs w:val="22"/>
          <w:highlight w:val="none"/>
        </w:rPr>
      </w:pPr>
      <w:r>
        <w:rPr>
          <w:rFonts w:hint="eastAsia" w:ascii="宋体" w:hAnsi="宋体" w:eastAsia="宋体" w:cs="宋体"/>
          <w:color w:val="auto"/>
          <w:sz w:val="22"/>
          <w:szCs w:val="22"/>
          <w:highlight w:val="none"/>
        </w:rPr>
        <w:t>电话：                             电话：</w:t>
      </w:r>
    </w:p>
    <w:p w14:paraId="10E28459">
      <w:pPr>
        <w:keepNext w:val="0"/>
        <w:keepLines w:val="0"/>
        <w:pageBreakBefore w:val="0"/>
        <w:widowControl w:val="0"/>
        <w:tabs>
          <w:tab w:val="left" w:pos="2715"/>
        </w:tabs>
        <w:kinsoku/>
        <w:wordWrap/>
        <w:overflowPunct/>
        <w:topLinePunct w:val="0"/>
        <w:autoSpaceDE/>
        <w:autoSpaceDN/>
        <w:bidi w:val="0"/>
        <w:adjustRightInd/>
        <w:snapToGrid/>
        <w:spacing w:line="460" w:lineRule="exact"/>
        <w:ind w:firstLine="440" w:firstLineChars="200"/>
        <w:textAlignment w:val="auto"/>
        <w:rPr>
          <w:rFonts w:hint="default" w:ascii="Times New Roman" w:hAnsi="Times New Roman" w:eastAsia="新宋体" w:cs="Times New Roman"/>
          <w:color w:val="auto"/>
          <w:sz w:val="22"/>
          <w:szCs w:val="22"/>
          <w:highlight w:val="none"/>
        </w:rPr>
      </w:pPr>
      <w:r>
        <w:rPr>
          <w:rFonts w:hint="eastAsia" w:ascii="宋体" w:hAnsi="宋体" w:eastAsia="宋体" w:cs="宋体"/>
          <w:color w:val="auto"/>
          <w:sz w:val="22"/>
          <w:szCs w:val="22"/>
          <w:highlight w:val="none"/>
        </w:rPr>
        <w:t>开户银行：                         开户银行：</w:t>
      </w:r>
    </w:p>
    <w:p w14:paraId="0C69D10E">
      <w:pPr>
        <w:keepNext w:val="0"/>
        <w:keepLines w:val="0"/>
        <w:pageBreakBefore w:val="0"/>
        <w:widowControl w:val="0"/>
        <w:tabs>
          <w:tab w:val="left" w:pos="2715"/>
        </w:tabs>
        <w:kinsoku/>
        <w:wordWrap/>
        <w:overflowPunct/>
        <w:topLinePunct w:val="0"/>
        <w:autoSpaceDE/>
        <w:autoSpaceDN/>
        <w:bidi w:val="0"/>
        <w:adjustRightInd/>
        <w:snapToGrid/>
        <w:spacing w:line="4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帐号：                             帐号：</w:t>
      </w:r>
    </w:p>
    <w:p w14:paraId="13E59A12">
      <w:pPr>
        <w:keepNext w:val="0"/>
        <w:keepLines w:val="0"/>
        <w:pageBreakBefore w:val="0"/>
        <w:widowControl w:val="0"/>
        <w:tabs>
          <w:tab w:val="left" w:pos="2715"/>
        </w:tabs>
        <w:kinsoku/>
        <w:wordWrap/>
        <w:overflowPunct/>
        <w:topLinePunct w:val="0"/>
        <w:autoSpaceDE/>
        <w:autoSpaceDN/>
        <w:bidi w:val="0"/>
        <w:adjustRightInd/>
        <w:snapToGrid/>
        <w:spacing w:line="4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邮政编码：                         邮政编码：</w:t>
      </w:r>
    </w:p>
    <w:p w14:paraId="0E49E8A4">
      <w:pPr>
        <w:keepNext w:val="0"/>
        <w:keepLines w:val="0"/>
        <w:pageBreakBefore w:val="0"/>
        <w:widowControl w:val="0"/>
        <w:kinsoku/>
        <w:wordWrap/>
        <w:overflowPunct/>
        <w:topLinePunct w:val="0"/>
        <w:autoSpaceDE/>
        <w:autoSpaceDN/>
        <w:bidi w:val="0"/>
        <w:adjustRightInd/>
        <w:snapToGrid/>
        <w:spacing w:line="460" w:lineRule="exact"/>
        <w:ind w:firstLine="440" w:firstLineChars="200"/>
        <w:textAlignment w:val="auto"/>
        <w:rPr>
          <w:rFonts w:hint="default" w:ascii="Times New Roman" w:hAnsi="Times New Roman" w:eastAsia="新宋体" w:cs="Times New Roman"/>
          <w:color w:val="auto"/>
          <w:sz w:val="22"/>
          <w:szCs w:val="22"/>
          <w:highlight w:val="none"/>
        </w:rPr>
      </w:pPr>
      <w:r>
        <w:rPr>
          <w:rFonts w:hint="eastAsia" w:ascii="宋体" w:hAnsi="宋体" w:eastAsia="宋体" w:cs="宋体"/>
          <w:color w:val="auto"/>
          <w:sz w:val="22"/>
          <w:szCs w:val="22"/>
          <w:highlight w:val="none"/>
        </w:rPr>
        <w:t>日期：                             日期：</w:t>
      </w:r>
    </w:p>
    <w:p w14:paraId="5EED9188">
      <w:pPr>
        <w:keepNext w:val="0"/>
        <w:keepLines w:val="0"/>
        <w:pageBreakBefore w:val="0"/>
        <w:widowControl w:val="0"/>
        <w:numPr>
          <w:ilvl w:val="0"/>
          <w:numId w:val="0"/>
        </w:numPr>
        <w:tabs>
          <w:tab w:val="left" w:pos="540"/>
          <w:tab w:val="left" w:pos="992"/>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w:t>
      </w:r>
    </w:p>
    <w:p w14:paraId="5E32E5DA">
      <w:pPr>
        <w:rPr>
          <w:rFonts w:hint="eastAsia" w:ascii="宋体" w:hAnsi="宋体" w:eastAsia="宋体" w:cs="宋体"/>
          <w:b/>
          <w:color w:val="auto"/>
          <w:sz w:val="30"/>
          <w:highlight w:val="none"/>
        </w:rPr>
      </w:pPr>
    </w:p>
    <w:p w14:paraId="6A14FD14">
      <w:pPr>
        <w:rPr>
          <w:rFonts w:hint="eastAsia" w:ascii="宋体" w:hAnsi="宋体" w:eastAsia="宋体" w:cs="宋体"/>
          <w:color w:val="auto"/>
          <w:highlight w:val="none"/>
        </w:rPr>
      </w:pPr>
      <w:bookmarkStart w:id="26" w:name="_Toc19081"/>
      <w:bookmarkStart w:id="27" w:name="_Toc18439"/>
      <w:r>
        <w:rPr>
          <w:rFonts w:hint="eastAsia" w:ascii="宋体" w:hAnsi="宋体" w:eastAsia="宋体" w:cs="宋体"/>
          <w:color w:val="auto"/>
          <w:highlight w:val="none"/>
        </w:rPr>
        <w:br w:type="page"/>
      </w:r>
    </w:p>
    <w:p w14:paraId="0B7454BD">
      <w:pPr>
        <w:pStyle w:val="3"/>
        <w:bidi w:val="0"/>
        <w:rPr>
          <w:rFonts w:hint="eastAsia" w:ascii="宋体" w:hAnsi="宋体" w:eastAsia="宋体" w:cs="宋体"/>
          <w:color w:val="auto"/>
          <w:highlight w:val="none"/>
        </w:rPr>
      </w:pPr>
      <w:r>
        <w:rPr>
          <w:rFonts w:hint="eastAsia" w:ascii="宋体" w:hAnsi="宋体" w:eastAsia="宋体" w:cs="宋体"/>
          <w:color w:val="auto"/>
          <w:highlight w:val="none"/>
        </w:rPr>
        <w:t>第三部分    附件</w:t>
      </w:r>
      <w:bookmarkEnd w:id="26"/>
      <w:bookmarkEnd w:id="27"/>
    </w:p>
    <w:p w14:paraId="7F5EBD59">
      <w:pPr>
        <w:pStyle w:val="22"/>
        <w:spacing w:line="460" w:lineRule="exact"/>
        <w:ind w:left="433" w:hanging="433" w:hangingChars="196"/>
        <w:outlineLvl w:val="1"/>
        <w:rPr>
          <w:rFonts w:hint="eastAsia" w:ascii="宋体" w:hAnsi="宋体" w:eastAsia="宋体" w:cs="宋体"/>
          <w:b/>
          <w:color w:val="auto"/>
          <w:sz w:val="22"/>
          <w:highlight w:val="none"/>
        </w:rPr>
      </w:pPr>
      <w:bookmarkStart w:id="28" w:name="_Toc7056"/>
      <w:bookmarkStart w:id="29" w:name="_Toc6368"/>
      <w:r>
        <w:rPr>
          <w:rFonts w:hint="eastAsia" w:ascii="宋体" w:hAnsi="宋体" w:eastAsia="宋体" w:cs="宋体"/>
          <w:b/>
          <w:color w:val="auto"/>
          <w:sz w:val="22"/>
          <w:highlight w:val="none"/>
        </w:rPr>
        <w:t>附件一</w:t>
      </w:r>
      <w:bookmarkEnd w:id="28"/>
      <w:bookmarkEnd w:id="29"/>
    </w:p>
    <w:p w14:paraId="08DEAF0F">
      <w:pPr>
        <w:spacing w:line="400" w:lineRule="exact"/>
        <w:jc w:val="center"/>
        <w:outlineLvl w:val="2"/>
        <w:rPr>
          <w:rFonts w:hint="eastAsia" w:ascii="宋体" w:hAnsi="宋体" w:eastAsia="宋体" w:cs="宋体"/>
          <w:b/>
          <w:bCs/>
          <w:color w:val="auto"/>
          <w:sz w:val="28"/>
          <w:szCs w:val="28"/>
          <w:highlight w:val="none"/>
        </w:rPr>
      </w:pPr>
      <w:bookmarkStart w:id="30" w:name="_Toc13365"/>
      <w:bookmarkStart w:id="31" w:name="_Toc5430"/>
      <w:r>
        <w:rPr>
          <w:rFonts w:hint="eastAsia" w:ascii="宋体" w:hAnsi="宋体" w:eastAsia="宋体" w:cs="宋体"/>
          <w:b/>
          <w:bCs/>
          <w:color w:val="auto"/>
          <w:sz w:val="28"/>
          <w:szCs w:val="28"/>
          <w:highlight w:val="none"/>
        </w:rPr>
        <w:t>报价文件</w:t>
      </w:r>
      <w:bookmarkEnd w:id="30"/>
      <w:bookmarkEnd w:id="31"/>
    </w:p>
    <w:p w14:paraId="4CF46BE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宋体" w:hAnsi="宋体" w:eastAsia="宋体" w:cs="宋体"/>
          <w:b/>
          <w:color w:val="auto"/>
          <w:sz w:val="28"/>
          <w:szCs w:val="28"/>
          <w:highlight w:val="none"/>
          <w:lang w:val="zh-CN"/>
        </w:rPr>
      </w:pPr>
    </w:p>
    <w:p w14:paraId="182FAC87">
      <w:pPr>
        <w:spacing w:line="400" w:lineRule="exact"/>
        <w:jc w:val="center"/>
        <w:outlineLvl w:val="3"/>
        <w:rPr>
          <w:rFonts w:hint="eastAsia" w:ascii="宋体" w:hAnsi="宋体" w:eastAsia="宋体" w:cs="宋体"/>
          <w:b/>
          <w:color w:val="auto"/>
          <w:sz w:val="28"/>
          <w:szCs w:val="28"/>
          <w:highlight w:val="none"/>
          <w:lang w:val="zh-CN"/>
        </w:rPr>
      </w:pPr>
      <w:r>
        <w:rPr>
          <w:rFonts w:hint="eastAsia" w:ascii="宋体" w:hAnsi="宋体" w:eastAsia="宋体" w:cs="宋体"/>
          <w:b/>
          <w:color w:val="auto"/>
          <w:sz w:val="28"/>
          <w:szCs w:val="28"/>
          <w:highlight w:val="none"/>
          <w:lang w:val="zh-CN"/>
        </w:rPr>
        <w:t>1、投标函</w:t>
      </w:r>
    </w:p>
    <w:p w14:paraId="772E3466">
      <w:pPr>
        <w:spacing w:line="460" w:lineRule="exac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致：</w:t>
      </w:r>
      <w:r>
        <w:rPr>
          <w:rFonts w:hint="eastAsia" w:ascii="宋体" w:hAnsi="宋体" w:cs="宋体"/>
          <w:color w:val="auto"/>
          <w:sz w:val="22"/>
          <w:szCs w:val="22"/>
          <w:highlight w:val="none"/>
          <w:lang w:eastAsia="zh-CN"/>
        </w:rPr>
        <w:t>温州市中心医院</w:t>
      </w:r>
    </w:p>
    <w:p w14:paraId="0393A8AA">
      <w:pPr>
        <w:spacing w:line="460" w:lineRule="exact"/>
        <w:ind w:firstLine="539" w:firstLineChars="2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根据贵方为</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项目（招标编号：</w:t>
      </w:r>
      <w:r>
        <w:rPr>
          <w:rFonts w:hint="eastAsia" w:ascii="宋体" w:hAnsi="宋体" w:eastAsia="宋体" w:cs="宋体"/>
          <w:b/>
          <w:color w:val="auto"/>
          <w:sz w:val="22"/>
          <w:szCs w:val="22"/>
          <w:highlight w:val="none"/>
          <w:u w:val="single"/>
        </w:rPr>
        <w:t xml:space="preserve">        </w:t>
      </w:r>
      <w:r>
        <w:rPr>
          <w:rFonts w:hint="eastAsia" w:ascii="宋体" w:hAnsi="宋体" w:eastAsia="宋体" w:cs="宋体"/>
          <w:b/>
          <w:color w:val="auto"/>
          <w:sz w:val="22"/>
          <w:szCs w:val="22"/>
          <w:highlight w:val="none"/>
        </w:rPr>
        <w:t xml:space="preserve"> </w:t>
      </w:r>
      <w:r>
        <w:rPr>
          <w:rFonts w:hint="eastAsia" w:ascii="宋体" w:hAnsi="宋体" w:eastAsia="宋体" w:cs="宋体"/>
          <w:color w:val="auto"/>
          <w:sz w:val="22"/>
          <w:szCs w:val="22"/>
          <w:highlight w:val="none"/>
        </w:rPr>
        <w:t>）的投标邀请，我方</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（投标人名称）作为投标人正式授权</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（授权代表全名，职务）代表我方处理有关本投标的一切事宜。为此：</w:t>
      </w:r>
    </w:p>
    <w:p w14:paraId="49B0CFA6">
      <w:pPr>
        <w:shd w:val="clear" w:color="auto" w:fill="FFFFFF"/>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1、我方同意在投标人</w:t>
      </w:r>
      <w:r>
        <w:rPr>
          <w:rFonts w:hint="eastAsia" w:ascii="宋体" w:hAnsi="宋体" w:eastAsia="宋体" w:cs="宋体"/>
          <w:color w:val="auto"/>
          <w:kern w:val="44"/>
          <w:sz w:val="22"/>
          <w:szCs w:val="22"/>
          <w:highlight w:val="none"/>
        </w:rPr>
        <w:t>编制和提交投标文件须知</w:t>
      </w:r>
      <w:r>
        <w:rPr>
          <w:rFonts w:hint="eastAsia" w:ascii="宋体" w:hAnsi="宋体" w:eastAsia="宋体" w:cs="宋体"/>
          <w:color w:val="auto"/>
          <w:sz w:val="22"/>
          <w:szCs w:val="22"/>
          <w:highlight w:val="none"/>
        </w:rPr>
        <w:t>规定的开标日期起遵守本投标书中的承诺且在投标有效期满之前均具有约束力。</w:t>
      </w:r>
    </w:p>
    <w:p w14:paraId="7E9F23FE">
      <w:pPr>
        <w:shd w:val="clear" w:color="auto" w:fill="FFFFFF"/>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2、我方承诺已经具备《中华人民共和国政府采购法》中规定的参加政府采购活动的供应商应当具备的条件：</w:t>
      </w:r>
    </w:p>
    <w:p w14:paraId="3301DB69">
      <w:pPr>
        <w:shd w:val="clear" w:color="auto" w:fill="FFFFFF"/>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(1)具有独立承担民事责任的能力；</w:t>
      </w:r>
    </w:p>
    <w:p w14:paraId="4C5476F7">
      <w:pPr>
        <w:shd w:val="clear" w:color="auto" w:fill="FFFFFF"/>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(2)遵守国家法律、行政法规，具有良好的信誉和商业道德；</w:t>
      </w:r>
    </w:p>
    <w:p w14:paraId="46143A89">
      <w:pPr>
        <w:shd w:val="clear" w:color="auto" w:fill="FFFFFF"/>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(3)具有履行合同的能力和良好的履行合同记录；</w:t>
      </w:r>
    </w:p>
    <w:p w14:paraId="6A5EC095">
      <w:pPr>
        <w:shd w:val="clear" w:color="auto" w:fill="FFFFFF"/>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(4)良好的资金、财务状况；</w:t>
      </w:r>
    </w:p>
    <w:p w14:paraId="63812DF9">
      <w:pPr>
        <w:shd w:val="clear" w:color="auto" w:fill="FFFFFF"/>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(5)提供的产品和服务符合中国政府规定的相应标准和环保标准；</w:t>
      </w:r>
    </w:p>
    <w:p w14:paraId="263E70A7">
      <w:pPr>
        <w:shd w:val="clear" w:color="auto" w:fill="FFFFFF"/>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(6)没有违反政府采购法规、政策的记录；</w:t>
      </w:r>
    </w:p>
    <w:p w14:paraId="62C1B229">
      <w:pPr>
        <w:shd w:val="clear" w:color="auto" w:fill="FFFFFF"/>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(7)没有发生重大经济纠纷和走私犯罪记录。</w:t>
      </w:r>
    </w:p>
    <w:p w14:paraId="7A1236CE">
      <w:pPr>
        <w:shd w:val="clear" w:color="auto" w:fill="FFFFFF"/>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3、提供</w:t>
      </w:r>
      <w:r>
        <w:rPr>
          <w:rFonts w:hint="eastAsia" w:ascii="宋体" w:hAnsi="宋体" w:eastAsia="宋体" w:cs="宋体"/>
          <w:color w:val="auto"/>
          <w:kern w:val="44"/>
          <w:sz w:val="22"/>
          <w:szCs w:val="22"/>
          <w:highlight w:val="none"/>
        </w:rPr>
        <w:t>编制和提交投标文件须知</w:t>
      </w:r>
      <w:r>
        <w:rPr>
          <w:rFonts w:hint="eastAsia" w:ascii="宋体" w:hAnsi="宋体" w:eastAsia="宋体" w:cs="宋体"/>
          <w:color w:val="auto"/>
          <w:sz w:val="22"/>
          <w:szCs w:val="22"/>
          <w:highlight w:val="none"/>
        </w:rPr>
        <w:t>规定的全部投标文件，包括资格文件、报价文件、商务技术文件。具体内容为：</w:t>
      </w:r>
    </w:p>
    <w:p w14:paraId="4F44024E">
      <w:pPr>
        <w:shd w:val="clear" w:color="auto" w:fill="FFFFFF"/>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(1)资格文件</w:t>
      </w:r>
    </w:p>
    <w:p w14:paraId="5C2517F4">
      <w:pPr>
        <w:shd w:val="clear" w:color="auto" w:fill="FFFFFF"/>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(2)报价文件；</w:t>
      </w:r>
    </w:p>
    <w:p w14:paraId="5194A252">
      <w:pPr>
        <w:shd w:val="clear" w:color="auto" w:fill="FFFFFF"/>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r>
        <w:rPr>
          <w:rFonts w:hint="eastAsia" w:ascii="宋体" w:hAnsi="宋体" w:eastAsia="宋体" w:cs="宋体"/>
          <w:color w:val="auto"/>
          <w:sz w:val="22"/>
          <w:szCs w:val="22"/>
          <w:highlight w:val="none"/>
          <w:lang w:val="zh-CN"/>
        </w:rPr>
        <w:t>商务</w:t>
      </w:r>
      <w:r>
        <w:rPr>
          <w:rFonts w:hint="eastAsia" w:ascii="宋体" w:hAnsi="宋体" w:eastAsia="宋体" w:cs="宋体"/>
          <w:color w:val="auto"/>
          <w:kern w:val="0"/>
          <w:sz w:val="22"/>
          <w:szCs w:val="22"/>
          <w:highlight w:val="none"/>
          <w:lang w:val="zh-CN"/>
        </w:rPr>
        <w:t>技术文件</w:t>
      </w:r>
      <w:r>
        <w:rPr>
          <w:rFonts w:hint="eastAsia" w:ascii="宋体" w:hAnsi="宋体" w:eastAsia="宋体" w:cs="宋体"/>
          <w:color w:val="auto"/>
          <w:sz w:val="22"/>
          <w:szCs w:val="22"/>
          <w:highlight w:val="none"/>
        </w:rPr>
        <w:t>；</w:t>
      </w:r>
    </w:p>
    <w:p w14:paraId="6DC5BC9F">
      <w:pPr>
        <w:shd w:val="clear" w:color="auto" w:fill="FFFFFF"/>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w:t>
      </w:r>
      <w:r>
        <w:rPr>
          <w:rFonts w:hint="eastAsia" w:ascii="宋体" w:hAnsi="宋体" w:eastAsia="宋体" w:cs="宋体"/>
          <w:color w:val="auto"/>
          <w:kern w:val="44"/>
          <w:sz w:val="22"/>
          <w:szCs w:val="22"/>
          <w:highlight w:val="none"/>
        </w:rPr>
        <w:t>编制和提交投标文件须知</w:t>
      </w:r>
      <w:r>
        <w:rPr>
          <w:rFonts w:hint="eastAsia" w:ascii="宋体" w:hAnsi="宋体" w:eastAsia="宋体" w:cs="宋体"/>
          <w:color w:val="auto"/>
          <w:sz w:val="22"/>
          <w:szCs w:val="22"/>
          <w:highlight w:val="none"/>
        </w:rPr>
        <w:t>要求投标人提交的全部文件；</w:t>
      </w:r>
    </w:p>
    <w:p w14:paraId="17A5ED32">
      <w:pPr>
        <w:shd w:val="clear" w:color="auto" w:fill="FFFFFF"/>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(5)按招标文件要求提供和交付的货物和服务的投标报价详见开标一览表；</w:t>
      </w:r>
    </w:p>
    <w:p w14:paraId="4B676335">
      <w:pPr>
        <w:shd w:val="clear" w:color="auto" w:fill="FFFFFF"/>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(6)保证忠实地执行双方所签订的合同，并承担合同规定的责任和义务；</w:t>
      </w:r>
    </w:p>
    <w:p w14:paraId="1EF6A0D2">
      <w:pPr>
        <w:shd w:val="clear" w:color="auto" w:fill="FFFFFF"/>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(7)保证遵守招标文件中的其他有关规定。</w:t>
      </w:r>
    </w:p>
    <w:p w14:paraId="0832A96B">
      <w:pPr>
        <w:shd w:val="clear" w:color="auto" w:fill="FFFFFF"/>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4、投标有效期内不撤销投标文件，如中标，有效期将延至合同终止日为止。</w:t>
      </w:r>
    </w:p>
    <w:p w14:paraId="703B611E">
      <w:pPr>
        <w:shd w:val="clear" w:color="auto" w:fill="FFFFFF"/>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5、我方完全理解贵方不一定要接受最低价的投标。</w:t>
      </w:r>
    </w:p>
    <w:p w14:paraId="64CE1106">
      <w:pPr>
        <w:shd w:val="clear" w:color="auto" w:fill="FFFFFF"/>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6、如中标，按招标文件规定与招标人签订合同。如拒绝签订合同，承诺按本项目预算金额的2%对招标人进行赔偿；赔偿金额不足以弥补招标人损失的，承诺继续承担超过部分的损失。</w:t>
      </w:r>
    </w:p>
    <w:p w14:paraId="0601E1D5">
      <w:pPr>
        <w:shd w:val="clear" w:color="auto" w:fill="FFFFFF"/>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7、如中标，按招标文件规定的招标代理服务费标准，在领取中标通知书时向招标代理机构支付招标代理服务费。</w:t>
      </w:r>
    </w:p>
    <w:p w14:paraId="50484A17">
      <w:pPr>
        <w:shd w:val="clear" w:color="auto" w:fill="FFFFFF"/>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8、我方愿意向贵方提供任何与该项投标有关的数据、情况和服务资料。若贵方需要，我方愿意提供我方作出的一切承诺的证明材料。</w:t>
      </w:r>
    </w:p>
    <w:p w14:paraId="72B9559F">
      <w:pPr>
        <w:shd w:val="clear" w:color="auto" w:fill="FFFFFF"/>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9、我方已详细审核全部招标文件，包括招标文件修改书（如有的话）、参考资料及有关附件，确认无误。我方完全理解并接受招标文件的各项规定和要求，对招标文件的合理性、合法性不再有异议。</w:t>
      </w:r>
    </w:p>
    <w:p w14:paraId="2F64051F">
      <w:pPr>
        <w:shd w:val="clear" w:color="auto" w:fill="FFFFFF"/>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26D7A30C">
      <w:pPr>
        <w:shd w:val="clear" w:color="auto" w:fill="FFFFFF"/>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(1)提供虚假材料谋取中标、成交的；</w:t>
      </w:r>
    </w:p>
    <w:p w14:paraId="5FAA0A58">
      <w:pPr>
        <w:shd w:val="clear" w:color="auto" w:fill="FFFFFF"/>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(2)采取不正当手段诋毁、排挤其他供应商的；</w:t>
      </w:r>
    </w:p>
    <w:p w14:paraId="6A756412">
      <w:pPr>
        <w:shd w:val="clear" w:color="auto" w:fill="FFFFFF"/>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(3)与招标人、其它供应商或者招标代理机构恶意串通的；</w:t>
      </w:r>
    </w:p>
    <w:p w14:paraId="58407C9B">
      <w:pPr>
        <w:shd w:val="clear" w:color="auto" w:fill="FFFFFF"/>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(4)向招标人、招标代理机构行贿或者提供其他不正当利益的；</w:t>
      </w:r>
    </w:p>
    <w:p w14:paraId="53DBF92A">
      <w:pPr>
        <w:shd w:val="clear" w:color="auto" w:fill="FFFFFF"/>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(5)在招标采购过程中与招标人进行协商谈判的；</w:t>
      </w:r>
    </w:p>
    <w:p w14:paraId="104079DD">
      <w:pPr>
        <w:shd w:val="clear" w:color="auto" w:fill="FFFFFF"/>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(6)拒绝有关部门监督检查或提供虚假情况的。</w:t>
      </w:r>
    </w:p>
    <w:p w14:paraId="422E7559">
      <w:pPr>
        <w:shd w:val="clear" w:color="auto" w:fill="FFFFFF"/>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供应商有前款第(1)至(5)项情形之一的，中标、成交无效。</w:t>
      </w:r>
    </w:p>
    <w:p w14:paraId="103549AB">
      <w:pPr>
        <w:shd w:val="clear" w:color="auto" w:fill="FFFFFF"/>
        <w:snapToGrid w:val="0"/>
        <w:spacing w:line="360" w:lineRule="auto"/>
        <w:rPr>
          <w:rFonts w:hint="eastAsia" w:ascii="宋体" w:hAnsi="宋体" w:eastAsia="宋体" w:cs="宋体"/>
          <w:color w:val="auto"/>
          <w:kern w:val="0"/>
          <w:sz w:val="22"/>
          <w:szCs w:val="22"/>
          <w:highlight w:val="none"/>
          <w:lang w:val="zh-CN"/>
        </w:rPr>
      </w:pPr>
    </w:p>
    <w:p w14:paraId="002F55A2">
      <w:pPr>
        <w:shd w:val="clear" w:color="auto" w:fill="FFFFFF"/>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zh-CN"/>
        </w:rPr>
        <w:t>法定（授权）代表人（签字）：</w:t>
      </w:r>
      <w:r>
        <w:rPr>
          <w:rFonts w:hint="eastAsia" w:ascii="宋体" w:hAnsi="宋体" w:eastAsia="宋体" w:cs="宋体"/>
          <w:color w:val="auto"/>
          <w:kern w:val="0"/>
          <w:sz w:val="22"/>
          <w:szCs w:val="22"/>
          <w:highlight w:val="none"/>
          <w:u w:val="single"/>
          <w:lang w:val="zh-CN"/>
        </w:rPr>
        <w:t xml:space="preserve">                    </w:t>
      </w:r>
      <w:r>
        <w:rPr>
          <w:rFonts w:hint="eastAsia" w:ascii="宋体" w:hAnsi="宋体" w:eastAsia="宋体" w:cs="宋体"/>
          <w:color w:val="auto"/>
          <w:kern w:val="0"/>
          <w:sz w:val="22"/>
          <w:szCs w:val="22"/>
          <w:highlight w:val="none"/>
        </w:rPr>
        <w:tab/>
      </w:r>
    </w:p>
    <w:p w14:paraId="49474792">
      <w:pPr>
        <w:shd w:val="clear" w:color="auto" w:fill="FFFFFF"/>
        <w:snapToGrid w:val="0"/>
        <w:spacing w:line="360" w:lineRule="auto"/>
        <w:ind w:firstLine="440" w:firstLineChars="200"/>
        <w:rPr>
          <w:rFonts w:hint="eastAsia" w:ascii="宋体" w:hAnsi="宋体" w:eastAsia="宋体" w:cs="宋体"/>
          <w:color w:val="auto"/>
          <w:kern w:val="0"/>
          <w:sz w:val="22"/>
          <w:szCs w:val="22"/>
          <w:highlight w:val="none"/>
          <w:u w:val="single"/>
          <w:lang w:val="zh-CN"/>
        </w:rPr>
      </w:pPr>
      <w:r>
        <w:rPr>
          <w:rFonts w:hint="eastAsia" w:ascii="宋体" w:hAnsi="宋体" w:eastAsia="宋体" w:cs="宋体"/>
          <w:color w:val="auto"/>
          <w:kern w:val="0"/>
          <w:sz w:val="22"/>
          <w:szCs w:val="22"/>
          <w:highlight w:val="none"/>
          <w:lang w:val="zh-CN"/>
        </w:rPr>
        <w:t>投标人</w:t>
      </w:r>
      <w:r>
        <w:rPr>
          <w:rFonts w:hint="eastAsia" w:ascii="宋体" w:hAnsi="宋体" w:cs="宋体"/>
          <w:color w:val="auto"/>
          <w:kern w:val="0"/>
          <w:sz w:val="22"/>
          <w:szCs w:val="22"/>
          <w:highlight w:val="none"/>
          <w:lang w:val="zh-CN"/>
        </w:rPr>
        <w:t>（</w:t>
      </w:r>
      <w:r>
        <w:rPr>
          <w:rFonts w:hint="eastAsia" w:ascii="宋体" w:hAnsi="宋体" w:eastAsia="宋体" w:cs="宋体"/>
          <w:color w:val="auto"/>
          <w:kern w:val="0"/>
          <w:sz w:val="22"/>
          <w:szCs w:val="22"/>
          <w:highlight w:val="none"/>
          <w:lang w:val="zh-CN"/>
        </w:rPr>
        <w:t>盖章</w:t>
      </w:r>
      <w:r>
        <w:rPr>
          <w:rFonts w:hint="eastAsia" w:ascii="宋体" w:hAnsi="宋体" w:cs="宋体"/>
          <w:color w:val="auto"/>
          <w:kern w:val="0"/>
          <w:sz w:val="22"/>
          <w:szCs w:val="22"/>
          <w:highlight w:val="none"/>
          <w:lang w:val="zh-CN"/>
        </w:rPr>
        <w:t>）</w:t>
      </w:r>
      <w:r>
        <w:rPr>
          <w:rFonts w:hint="eastAsia" w:ascii="宋体" w:hAnsi="宋体" w:eastAsia="宋体" w:cs="宋体"/>
          <w:color w:val="auto"/>
          <w:kern w:val="0"/>
          <w:sz w:val="22"/>
          <w:szCs w:val="22"/>
          <w:highlight w:val="none"/>
          <w:lang w:val="zh-CN"/>
        </w:rPr>
        <w:t>：</w:t>
      </w:r>
      <w:r>
        <w:rPr>
          <w:rFonts w:hint="eastAsia" w:ascii="宋体" w:hAnsi="宋体" w:eastAsia="宋体" w:cs="宋体"/>
          <w:color w:val="auto"/>
          <w:kern w:val="0"/>
          <w:sz w:val="22"/>
          <w:szCs w:val="22"/>
          <w:highlight w:val="none"/>
          <w:u w:val="single"/>
          <w:lang w:val="zh-CN"/>
        </w:rPr>
        <w:t xml:space="preserve">                     </w:t>
      </w:r>
    </w:p>
    <w:p w14:paraId="25BEA158">
      <w:pPr>
        <w:shd w:val="clear" w:color="auto" w:fill="FFFFFF"/>
        <w:snapToGrid w:val="0"/>
        <w:spacing w:line="360" w:lineRule="auto"/>
        <w:ind w:firstLine="440" w:firstLineChars="200"/>
        <w:rPr>
          <w:rFonts w:hint="eastAsia" w:ascii="宋体" w:hAnsi="宋体" w:eastAsia="宋体" w:cs="宋体"/>
          <w:color w:val="auto"/>
          <w:kern w:val="0"/>
          <w:sz w:val="22"/>
          <w:szCs w:val="22"/>
          <w:highlight w:val="none"/>
          <w:u w:val="single"/>
          <w:lang w:val="zh-CN"/>
        </w:rPr>
      </w:pPr>
      <w:r>
        <w:rPr>
          <w:rFonts w:hint="eastAsia" w:ascii="宋体" w:hAnsi="宋体" w:eastAsia="宋体" w:cs="宋体"/>
          <w:color w:val="auto"/>
          <w:kern w:val="0"/>
          <w:sz w:val="22"/>
          <w:szCs w:val="22"/>
          <w:highlight w:val="none"/>
          <w:lang w:val="zh-CN"/>
        </w:rPr>
        <w:t xml:space="preserve">联系电话： </w:t>
      </w:r>
      <w:r>
        <w:rPr>
          <w:rFonts w:hint="eastAsia" w:ascii="宋体" w:hAnsi="宋体" w:eastAsia="宋体" w:cs="宋体"/>
          <w:color w:val="auto"/>
          <w:kern w:val="0"/>
          <w:sz w:val="22"/>
          <w:szCs w:val="22"/>
          <w:highlight w:val="none"/>
          <w:u w:val="single"/>
          <w:lang w:val="zh-CN"/>
        </w:rPr>
        <w:t xml:space="preserve">          </w:t>
      </w:r>
    </w:p>
    <w:p w14:paraId="363BFF82">
      <w:pPr>
        <w:shd w:val="clear" w:color="auto" w:fill="FFFFFF"/>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zh-CN"/>
        </w:rPr>
        <w:t xml:space="preserve">电子邮件：  </w:t>
      </w:r>
      <w:r>
        <w:rPr>
          <w:rFonts w:hint="eastAsia" w:ascii="宋体" w:hAnsi="宋体" w:eastAsia="宋体" w:cs="宋体"/>
          <w:color w:val="auto"/>
          <w:kern w:val="0"/>
          <w:sz w:val="22"/>
          <w:szCs w:val="22"/>
          <w:highlight w:val="none"/>
          <w:u w:val="single"/>
          <w:lang w:val="zh-CN"/>
        </w:rPr>
        <w:t xml:space="preserve">              </w:t>
      </w:r>
    </w:p>
    <w:p w14:paraId="50B88269">
      <w:pPr>
        <w:shd w:val="clear" w:color="auto" w:fill="FFFFFF"/>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zh-CN"/>
        </w:rPr>
        <w:t>联系地址：</w:t>
      </w:r>
      <w:r>
        <w:rPr>
          <w:rFonts w:hint="eastAsia" w:ascii="宋体" w:hAnsi="宋体" w:eastAsia="宋体" w:cs="宋体"/>
          <w:color w:val="auto"/>
          <w:kern w:val="0"/>
          <w:sz w:val="22"/>
          <w:szCs w:val="22"/>
          <w:highlight w:val="none"/>
          <w:u w:val="single"/>
          <w:lang w:val="zh-CN"/>
        </w:rPr>
        <w:t xml:space="preserve">                    </w:t>
      </w:r>
    </w:p>
    <w:p w14:paraId="6B3EDBD6">
      <w:pPr>
        <w:shd w:val="clear" w:color="auto" w:fill="FFFFFF"/>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zh-CN"/>
        </w:rPr>
        <w:t>邮政编码：</w:t>
      </w:r>
      <w:r>
        <w:rPr>
          <w:rFonts w:hint="eastAsia" w:ascii="宋体" w:hAnsi="宋体" w:eastAsia="宋体" w:cs="宋体"/>
          <w:color w:val="auto"/>
          <w:kern w:val="0"/>
          <w:sz w:val="22"/>
          <w:szCs w:val="22"/>
          <w:highlight w:val="none"/>
          <w:u w:val="single"/>
          <w:lang w:val="zh-CN"/>
        </w:rPr>
        <w:t xml:space="preserve">                     </w:t>
      </w:r>
    </w:p>
    <w:p w14:paraId="72096336">
      <w:pPr>
        <w:shd w:val="clear" w:color="auto" w:fill="FFFFFF"/>
        <w:snapToGrid w:val="0"/>
        <w:spacing w:line="360" w:lineRule="auto"/>
        <w:ind w:firstLine="440" w:firstLineChars="200"/>
        <w:rPr>
          <w:rFonts w:hint="eastAsia" w:ascii="宋体" w:hAnsi="宋体" w:eastAsia="宋体" w:cs="宋体"/>
          <w:color w:val="auto"/>
          <w:kern w:val="0"/>
          <w:sz w:val="22"/>
          <w:szCs w:val="22"/>
          <w:highlight w:val="none"/>
          <w:u w:val="single"/>
        </w:rPr>
      </w:pPr>
      <w:r>
        <w:rPr>
          <w:rFonts w:hint="eastAsia" w:ascii="宋体" w:hAnsi="宋体" w:eastAsia="宋体" w:cs="宋体"/>
          <w:color w:val="auto"/>
          <w:kern w:val="0"/>
          <w:sz w:val="22"/>
          <w:szCs w:val="22"/>
          <w:highlight w:val="none"/>
          <w:lang w:val="zh-CN"/>
        </w:rPr>
        <w:t>日</w:t>
      </w:r>
      <w:r>
        <w:rPr>
          <w:rFonts w:hint="eastAsia" w:ascii="宋体" w:hAnsi="宋体" w:eastAsia="宋体" w:cs="宋体"/>
          <w:color w:val="auto"/>
          <w:kern w:val="0"/>
          <w:sz w:val="22"/>
          <w:szCs w:val="22"/>
          <w:highlight w:val="none"/>
        </w:rPr>
        <w:t xml:space="preserve">    </w:t>
      </w:r>
      <w:r>
        <w:rPr>
          <w:rFonts w:hint="eastAsia" w:ascii="宋体" w:hAnsi="宋体" w:eastAsia="宋体" w:cs="宋体"/>
          <w:color w:val="auto"/>
          <w:kern w:val="0"/>
          <w:sz w:val="22"/>
          <w:szCs w:val="22"/>
          <w:highlight w:val="none"/>
          <w:lang w:val="zh-CN"/>
        </w:rPr>
        <w:t>期</w:t>
      </w:r>
      <w:r>
        <w:rPr>
          <w:rFonts w:hint="eastAsia" w:ascii="宋体" w:hAnsi="宋体" w:eastAsia="宋体" w:cs="宋体"/>
          <w:color w:val="auto"/>
          <w:kern w:val="0"/>
          <w:sz w:val="22"/>
          <w:szCs w:val="22"/>
          <w:highlight w:val="none"/>
        </w:rPr>
        <w:t xml:space="preserve">： </w:t>
      </w:r>
      <w:r>
        <w:rPr>
          <w:rFonts w:hint="eastAsia" w:ascii="宋体" w:hAnsi="宋体" w:eastAsia="宋体" w:cs="宋体"/>
          <w:color w:val="auto"/>
          <w:kern w:val="0"/>
          <w:sz w:val="22"/>
          <w:szCs w:val="22"/>
          <w:highlight w:val="none"/>
          <w:u w:val="single"/>
        </w:rPr>
        <w:t xml:space="preserve">     </w:t>
      </w:r>
      <w:r>
        <w:rPr>
          <w:rFonts w:hint="eastAsia" w:ascii="宋体" w:hAnsi="宋体" w:eastAsia="宋体" w:cs="宋体"/>
          <w:color w:val="auto"/>
          <w:kern w:val="0"/>
          <w:sz w:val="22"/>
          <w:szCs w:val="22"/>
          <w:highlight w:val="none"/>
          <w:lang w:val="zh-CN"/>
        </w:rPr>
        <w:t>年</w:t>
      </w:r>
      <w:r>
        <w:rPr>
          <w:rFonts w:hint="eastAsia" w:ascii="宋体" w:hAnsi="宋体" w:eastAsia="宋体" w:cs="宋体"/>
          <w:color w:val="auto"/>
          <w:kern w:val="0"/>
          <w:sz w:val="22"/>
          <w:szCs w:val="22"/>
          <w:highlight w:val="none"/>
          <w:u w:val="single"/>
        </w:rPr>
        <w:t xml:space="preserve">  </w:t>
      </w:r>
      <w:r>
        <w:rPr>
          <w:rFonts w:hint="eastAsia" w:ascii="宋体" w:hAnsi="宋体" w:eastAsia="宋体" w:cs="宋体"/>
          <w:color w:val="auto"/>
          <w:kern w:val="0"/>
          <w:sz w:val="22"/>
          <w:szCs w:val="22"/>
          <w:highlight w:val="none"/>
          <w:u w:val="single"/>
        </w:rPr>
        <w:tab/>
      </w:r>
      <w:r>
        <w:rPr>
          <w:rFonts w:hint="eastAsia" w:ascii="宋体" w:hAnsi="宋体" w:eastAsia="宋体" w:cs="宋体"/>
          <w:color w:val="auto"/>
          <w:kern w:val="0"/>
          <w:sz w:val="22"/>
          <w:szCs w:val="22"/>
          <w:highlight w:val="none"/>
          <w:lang w:val="zh-CN"/>
        </w:rPr>
        <w:t>月</w:t>
      </w:r>
      <w:r>
        <w:rPr>
          <w:rFonts w:hint="eastAsia" w:ascii="宋体" w:hAnsi="宋体" w:eastAsia="宋体" w:cs="宋体"/>
          <w:color w:val="auto"/>
          <w:kern w:val="0"/>
          <w:sz w:val="22"/>
          <w:szCs w:val="22"/>
          <w:highlight w:val="none"/>
          <w:u w:val="single"/>
          <w:lang w:val="zh-CN"/>
        </w:rPr>
        <w:t xml:space="preserve">    </w:t>
      </w:r>
      <w:r>
        <w:rPr>
          <w:rFonts w:hint="eastAsia" w:ascii="宋体" w:hAnsi="宋体" w:eastAsia="宋体" w:cs="宋体"/>
          <w:color w:val="auto"/>
          <w:kern w:val="0"/>
          <w:sz w:val="22"/>
          <w:szCs w:val="22"/>
          <w:highlight w:val="none"/>
          <w:lang w:val="zh-CN"/>
        </w:rPr>
        <w:t>日</w:t>
      </w:r>
    </w:p>
    <w:p w14:paraId="58C9A857">
      <w:pPr>
        <w:spacing w:line="440" w:lineRule="exact"/>
        <w:rPr>
          <w:rFonts w:hint="eastAsia" w:ascii="宋体" w:hAnsi="宋体" w:eastAsia="宋体" w:cs="宋体"/>
          <w:b/>
          <w:bCs/>
          <w:color w:val="auto"/>
          <w:sz w:val="22"/>
          <w:szCs w:val="22"/>
          <w:highlight w:val="none"/>
        </w:rPr>
      </w:pPr>
      <w:r>
        <w:rPr>
          <w:rFonts w:hint="eastAsia" w:ascii="宋体" w:hAnsi="宋体" w:eastAsia="宋体" w:cs="宋体"/>
          <w:b/>
          <w:bCs/>
          <w:color w:val="auto"/>
          <w:kern w:val="0"/>
          <w:sz w:val="22"/>
          <w:szCs w:val="22"/>
          <w:highlight w:val="none"/>
          <w:lang w:val="zh-CN"/>
        </w:rPr>
        <w:t>注：未按照本投标响应函要求填报的将被视为非实质性响应，从而可能导致该投标文件被拒绝。</w:t>
      </w:r>
    </w:p>
    <w:p w14:paraId="5D7C9B6F">
      <w:pPr>
        <w:pStyle w:val="22"/>
        <w:ind w:left="442" w:hanging="442"/>
        <w:rPr>
          <w:rFonts w:hint="eastAsia" w:ascii="宋体" w:hAnsi="宋体" w:eastAsia="宋体" w:cs="宋体"/>
          <w:b/>
          <w:bCs/>
          <w:color w:val="auto"/>
          <w:sz w:val="22"/>
          <w:szCs w:val="22"/>
          <w:highlight w:val="none"/>
        </w:rPr>
      </w:pPr>
    </w:p>
    <w:p w14:paraId="7CFA31DA">
      <w:pPr>
        <w:pStyle w:val="22"/>
        <w:ind w:left="442" w:hanging="442"/>
        <w:rPr>
          <w:rFonts w:hint="eastAsia" w:ascii="宋体" w:hAnsi="宋体" w:eastAsia="宋体" w:cs="宋体"/>
          <w:b/>
          <w:bCs/>
          <w:color w:val="auto"/>
          <w:sz w:val="22"/>
          <w:szCs w:val="22"/>
          <w:highlight w:val="none"/>
        </w:rPr>
      </w:pPr>
    </w:p>
    <w:p w14:paraId="2944C17B">
      <w:pPr>
        <w:pStyle w:val="22"/>
        <w:ind w:left="442" w:hanging="442"/>
        <w:rPr>
          <w:rFonts w:hint="eastAsia" w:ascii="宋体" w:hAnsi="宋体" w:eastAsia="宋体" w:cs="宋体"/>
          <w:b/>
          <w:bCs/>
          <w:color w:val="auto"/>
          <w:sz w:val="22"/>
          <w:szCs w:val="22"/>
          <w:highlight w:val="none"/>
        </w:rPr>
      </w:pPr>
    </w:p>
    <w:p w14:paraId="6E032DF0">
      <w:pPr>
        <w:pStyle w:val="22"/>
        <w:ind w:left="442" w:hanging="442"/>
        <w:rPr>
          <w:rFonts w:hint="eastAsia" w:ascii="宋体" w:hAnsi="宋体" w:eastAsia="宋体" w:cs="宋体"/>
          <w:b/>
          <w:bCs/>
          <w:color w:val="auto"/>
          <w:sz w:val="22"/>
          <w:szCs w:val="22"/>
          <w:highlight w:val="none"/>
        </w:rPr>
      </w:pPr>
    </w:p>
    <w:p w14:paraId="21892CBC">
      <w:pPr>
        <w:pStyle w:val="22"/>
        <w:ind w:left="442" w:hanging="442"/>
        <w:rPr>
          <w:rFonts w:hint="eastAsia" w:ascii="宋体" w:hAnsi="宋体" w:eastAsia="宋体" w:cs="宋体"/>
          <w:b/>
          <w:bCs/>
          <w:color w:val="auto"/>
          <w:sz w:val="22"/>
          <w:szCs w:val="22"/>
          <w:highlight w:val="none"/>
        </w:rPr>
      </w:pPr>
    </w:p>
    <w:p w14:paraId="4EFB5EC9">
      <w:pPr>
        <w:pStyle w:val="22"/>
        <w:ind w:left="442" w:hanging="442"/>
        <w:rPr>
          <w:rFonts w:hint="eastAsia" w:ascii="宋体" w:hAnsi="宋体" w:eastAsia="宋体" w:cs="宋体"/>
          <w:b/>
          <w:bCs/>
          <w:color w:val="auto"/>
          <w:sz w:val="22"/>
          <w:szCs w:val="22"/>
          <w:highlight w:val="none"/>
        </w:rPr>
      </w:pPr>
    </w:p>
    <w:p w14:paraId="1B224528">
      <w:pPr>
        <w:pStyle w:val="22"/>
        <w:ind w:left="442" w:hanging="442"/>
        <w:rPr>
          <w:rFonts w:hint="eastAsia" w:ascii="宋体" w:hAnsi="宋体" w:eastAsia="宋体" w:cs="宋体"/>
          <w:b/>
          <w:bCs/>
          <w:color w:val="auto"/>
          <w:sz w:val="22"/>
          <w:szCs w:val="22"/>
          <w:highlight w:val="none"/>
        </w:rPr>
      </w:pPr>
    </w:p>
    <w:p w14:paraId="5F323C52">
      <w:pPr>
        <w:pStyle w:val="22"/>
        <w:ind w:left="442" w:hanging="442"/>
        <w:rPr>
          <w:rFonts w:hint="eastAsia" w:ascii="宋体" w:hAnsi="宋体" w:eastAsia="宋体" w:cs="宋体"/>
          <w:b/>
          <w:bCs/>
          <w:color w:val="auto"/>
          <w:sz w:val="22"/>
          <w:szCs w:val="22"/>
          <w:highlight w:val="none"/>
        </w:rPr>
      </w:pPr>
    </w:p>
    <w:p w14:paraId="1400F975">
      <w:pPr>
        <w:spacing w:line="460" w:lineRule="exact"/>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 xml:space="preserve">  </w:t>
      </w:r>
    </w:p>
    <w:p w14:paraId="084A36C2">
      <w:pPr>
        <w:spacing w:line="400" w:lineRule="exact"/>
        <w:jc w:val="center"/>
        <w:outlineLvl w:val="3"/>
        <w:rPr>
          <w:rFonts w:hint="eastAsia" w:ascii="宋体" w:hAnsi="宋体" w:eastAsia="宋体" w:cs="宋体"/>
          <w:b/>
          <w:color w:val="auto"/>
          <w:sz w:val="22"/>
          <w:szCs w:val="22"/>
          <w:highlight w:val="none"/>
          <w:lang w:val="zh-CN"/>
        </w:rPr>
      </w:pPr>
      <w:r>
        <w:rPr>
          <w:rFonts w:hint="eastAsia" w:ascii="宋体" w:hAnsi="宋体" w:eastAsia="宋体" w:cs="宋体"/>
          <w:b/>
          <w:color w:val="auto"/>
          <w:sz w:val="28"/>
          <w:szCs w:val="28"/>
          <w:highlight w:val="none"/>
        </w:rPr>
        <w:t>2、</w:t>
      </w:r>
      <w:r>
        <w:rPr>
          <w:rFonts w:hint="eastAsia" w:ascii="宋体" w:hAnsi="宋体" w:eastAsia="宋体" w:cs="宋体"/>
          <w:b/>
          <w:color w:val="auto"/>
          <w:sz w:val="28"/>
          <w:szCs w:val="28"/>
          <w:highlight w:val="none"/>
          <w:lang w:val="zh-CN"/>
        </w:rPr>
        <w:t>投标报价一览表</w:t>
      </w:r>
    </w:p>
    <w:p w14:paraId="4E3D62B6">
      <w:pPr>
        <w:spacing w:line="380" w:lineRule="exact"/>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 xml:space="preserve"> </w:t>
      </w:r>
    </w:p>
    <w:p w14:paraId="2CFD32ED">
      <w:pPr>
        <w:spacing w:line="380" w:lineRule="exact"/>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 xml:space="preserve">                                         </w:t>
      </w:r>
    </w:p>
    <w:p w14:paraId="03EA6337">
      <w:pPr>
        <w:spacing w:line="360" w:lineRule="auto"/>
        <w:rPr>
          <w:rFonts w:hint="eastAsia" w:ascii="宋体" w:hAnsi="宋体" w:eastAsia="宋体" w:cs="宋体"/>
          <w:b w:val="0"/>
          <w:bCs w:val="0"/>
          <w:color w:val="auto"/>
          <w:sz w:val="22"/>
          <w:szCs w:val="22"/>
          <w:highlight w:val="none"/>
          <w:lang w:eastAsia="zh-CN"/>
        </w:rPr>
      </w:pPr>
      <w:r>
        <w:rPr>
          <w:rFonts w:hint="eastAsia" w:ascii="宋体" w:hAnsi="宋体" w:eastAsia="宋体" w:cs="宋体"/>
          <w:b w:val="0"/>
          <w:bCs w:val="0"/>
          <w:color w:val="auto"/>
          <w:sz w:val="22"/>
          <w:szCs w:val="22"/>
          <w:highlight w:val="none"/>
        </w:rPr>
        <w:t>项目编号：</w:t>
      </w:r>
      <w:r>
        <w:rPr>
          <w:rFonts w:hint="eastAsia" w:ascii="宋体" w:hAnsi="宋体" w:cs="宋体"/>
          <w:b w:val="0"/>
          <w:bCs w:val="0"/>
          <w:color w:val="auto"/>
          <w:sz w:val="22"/>
          <w:szCs w:val="22"/>
          <w:highlight w:val="none"/>
          <w:lang w:eastAsia="zh-CN"/>
        </w:rPr>
        <w:t>WZLCZB（W）-2025-05055</w:t>
      </w:r>
    </w:p>
    <w:p w14:paraId="3495F4E9">
      <w:pPr>
        <w:keepNext/>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color w:val="auto"/>
          <w:highlight w:val="none"/>
          <w:lang w:eastAsia="zh-CN"/>
        </w:rPr>
      </w:pPr>
      <w:r>
        <w:rPr>
          <w:rFonts w:hint="eastAsia" w:ascii="宋体" w:hAnsi="宋体" w:eastAsia="宋体" w:cs="宋体"/>
          <w:b w:val="0"/>
          <w:bCs w:val="0"/>
          <w:color w:val="auto"/>
          <w:sz w:val="22"/>
          <w:szCs w:val="22"/>
          <w:highlight w:val="none"/>
        </w:rPr>
        <w:t>项目名称：</w:t>
      </w:r>
      <w:r>
        <w:rPr>
          <w:rFonts w:hint="eastAsia" w:ascii="宋体" w:hAnsi="宋体" w:cs="宋体"/>
          <w:b w:val="0"/>
          <w:bCs w:val="0"/>
          <w:color w:val="auto"/>
          <w:sz w:val="22"/>
          <w:szCs w:val="22"/>
          <w:highlight w:val="none"/>
          <w:lang w:eastAsia="zh-CN"/>
        </w:rPr>
        <w:t xml:space="preserve"> 食用油</w:t>
      </w:r>
    </w:p>
    <w:tbl>
      <w:tblPr>
        <w:tblStyle w:val="52"/>
        <w:tblW w:w="96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2522"/>
        <w:gridCol w:w="5413"/>
        <w:gridCol w:w="868"/>
      </w:tblGrid>
      <w:tr w14:paraId="4B9B3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815" w:type="dxa"/>
            <w:vAlign w:val="center"/>
          </w:tcPr>
          <w:p w14:paraId="442E17DE">
            <w:pPr>
              <w:spacing w:line="380" w:lineRule="exact"/>
              <w:jc w:val="center"/>
              <w:rPr>
                <w:rFonts w:hint="eastAsia" w:ascii="宋体" w:hAnsi="宋体" w:eastAsia="宋体" w:cs="宋体"/>
                <w:b/>
                <w:bCs/>
                <w:color w:val="auto"/>
                <w:sz w:val="22"/>
                <w:highlight w:val="none"/>
              </w:rPr>
            </w:pPr>
            <w:r>
              <w:rPr>
                <w:rFonts w:hint="eastAsia" w:ascii="宋体" w:hAnsi="宋体" w:eastAsia="宋体" w:cs="宋体"/>
                <w:b/>
                <w:bCs/>
                <w:color w:val="auto"/>
                <w:sz w:val="22"/>
                <w:highlight w:val="none"/>
              </w:rPr>
              <w:t>序号</w:t>
            </w:r>
          </w:p>
        </w:tc>
        <w:tc>
          <w:tcPr>
            <w:tcW w:w="2522" w:type="dxa"/>
            <w:vAlign w:val="center"/>
          </w:tcPr>
          <w:p w14:paraId="00FFEBB6">
            <w:pPr>
              <w:spacing w:line="380" w:lineRule="exact"/>
              <w:jc w:val="center"/>
              <w:rPr>
                <w:rFonts w:hint="eastAsia" w:ascii="宋体" w:hAnsi="宋体" w:eastAsia="宋体" w:cs="宋体"/>
                <w:b/>
                <w:bCs/>
                <w:color w:val="auto"/>
                <w:sz w:val="22"/>
                <w:highlight w:val="none"/>
              </w:rPr>
            </w:pPr>
            <w:r>
              <w:rPr>
                <w:rFonts w:hint="eastAsia" w:ascii="宋体" w:hAnsi="宋体" w:eastAsia="宋体" w:cs="宋体"/>
                <w:b/>
                <w:bCs/>
                <w:color w:val="auto"/>
                <w:sz w:val="22"/>
                <w:szCs w:val="22"/>
                <w:highlight w:val="none"/>
              </w:rPr>
              <w:t>项目名称</w:t>
            </w:r>
          </w:p>
        </w:tc>
        <w:tc>
          <w:tcPr>
            <w:tcW w:w="5413" w:type="dxa"/>
            <w:vAlign w:val="center"/>
          </w:tcPr>
          <w:p w14:paraId="2A0AEEA5">
            <w:pPr>
              <w:spacing w:line="380" w:lineRule="exact"/>
              <w:jc w:val="center"/>
              <w:rPr>
                <w:rFonts w:hint="eastAsia" w:ascii="宋体" w:hAnsi="宋体" w:eastAsia="宋体" w:cs="宋体"/>
                <w:b/>
                <w:bCs/>
                <w:color w:val="auto"/>
                <w:sz w:val="22"/>
                <w:highlight w:val="none"/>
              </w:rPr>
            </w:pPr>
            <w:r>
              <w:rPr>
                <w:rFonts w:hint="eastAsia" w:ascii="宋体" w:hAnsi="宋体" w:eastAsia="宋体" w:cs="宋体"/>
                <w:b/>
                <w:bCs/>
                <w:color w:val="auto"/>
                <w:sz w:val="22"/>
                <w:highlight w:val="none"/>
              </w:rPr>
              <w:t>投标单价（人民币）</w:t>
            </w:r>
          </w:p>
        </w:tc>
        <w:tc>
          <w:tcPr>
            <w:tcW w:w="868" w:type="dxa"/>
            <w:vAlign w:val="center"/>
          </w:tcPr>
          <w:p w14:paraId="14DDE2AB">
            <w:pPr>
              <w:spacing w:line="380" w:lineRule="exact"/>
              <w:jc w:val="center"/>
              <w:rPr>
                <w:rFonts w:hint="eastAsia" w:ascii="宋体" w:hAnsi="宋体" w:eastAsia="宋体" w:cs="宋体"/>
                <w:b/>
                <w:bCs/>
                <w:color w:val="auto"/>
                <w:sz w:val="22"/>
                <w:highlight w:val="none"/>
              </w:rPr>
            </w:pPr>
            <w:r>
              <w:rPr>
                <w:rFonts w:hint="eastAsia" w:ascii="宋体" w:hAnsi="宋体" w:eastAsia="宋体" w:cs="宋体"/>
                <w:b/>
                <w:bCs/>
                <w:color w:val="auto"/>
                <w:sz w:val="22"/>
                <w:highlight w:val="none"/>
              </w:rPr>
              <w:t>备注</w:t>
            </w:r>
          </w:p>
        </w:tc>
      </w:tr>
      <w:tr w14:paraId="2CC6E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jc w:val="center"/>
        </w:trPr>
        <w:tc>
          <w:tcPr>
            <w:tcW w:w="815" w:type="dxa"/>
            <w:vAlign w:val="center"/>
          </w:tcPr>
          <w:p w14:paraId="01341C88">
            <w:pPr>
              <w:spacing w:line="380" w:lineRule="exact"/>
              <w:jc w:val="center"/>
              <w:rPr>
                <w:rFonts w:hint="eastAsia" w:ascii="宋体" w:hAnsi="宋体" w:eastAsia="宋体" w:cs="宋体"/>
                <w:color w:val="auto"/>
                <w:sz w:val="22"/>
                <w:highlight w:val="none"/>
                <w:lang w:val="en-US" w:eastAsia="zh-CN"/>
              </w:rPr>
            </w:pPr>
            <w:r>
              <w:rPr>
                <w:rFonts w:hint="eastAsia" w:ascii="宋体" w:hAnsi="宋体" w:eastAsia="宋体" w:cs="宋体"/>
                <w:color w:val="auto"/>
                <w:sz w:val="22"/>
                <w:highlight w:val="none"/>
                <w:lang w:val="en-US" w:eastAsia="zh-CN"/>
              </w:rPr>
              <w:t>1</w:t>
            </w:r>
          </w:p>
        </w:tc>
        <w:tc>
          <w:tcPr>
            <w:tcW w:w="2522" w:type="dxa"/>
            <w:vAlign w:val="center"/>
          </w:tcPr>
          <w:p w14:paraId="193BC839">
            <w:pPr>
              <w:spacing w:line="380" w:lineRule="exact"/>
              <w:jc w:val="center"/>
              <w:rPr>
                <w:rFonts w:hint="eastAsia" w:ascii="宋体" w:hAnsi="宋体" w:eastAsia="宋体" w:cs="宋体"/>
                <w:color w:val="auto"/>
                <w:sz w:val="22"/>
                <w:highlight w:val="none"/>
              </w:rPr>
            </w:pPr>
            <w:r>
              <w:rPr>
                <w:rFonts w:hint="eastAsia" w:ascii="宋体" w:hAnsi="宋体" w:eastAsia="宋体" w:cs="宋体"/>
                <w:bCs/>
                <w:color w:val="auto"/>
                <w:sz w:val="22"/>
                <w:szCs w:val="22"/>
                <w:highlight w:val="none"/>
              </w:rPr>
              <w:t>大豆油（非转基因）一级（规格：每瓶10</w:t>
            </w:r>
            <w:r>
              <w:rPr>
                <w:rFonts w:hint="eastAsia" w:ascii="宋体" w:hAnsi="宋体" w:eastAsia="宋体" w:cs="宋体"/>
                <w:bCs/>
                <w:color w:val="auto"/>
                <w:sz w:val="22"/>
                <w:szCs w:val="22"/>
                <w:highlight w:val="none"/>
                <w:lang w:val="en-US" w:eastAsia="zh-CN"/>
              </w:rPr>
              <w:t>L</w:t>
            </w:r>
            <w:r>
              <w:rPr>
                <w:rFonts w:hint="eastAsia" w:ascii="宋体" w:hAnsi="宋体" w:eastAsia="宋体" w:cs="宋体"/>
                <w:bCs/>
                <w:color w:val="auto"/>
                <w:sz w:val="22"/>
                <w:szCs w:val="22"/>
                <w:highlight w:val="none"/>
              </w:rPr>
              <w:t>）</w:t>
            </w:r>
          </w:p>
        </w:tc>
        <w:tc>
          <w:tcPr>
            <w:tcW w:w="5413" w:type="dxa"/>
            <w:vAlign w:val="center"/>
          </w:tcPr>
          <w:p w14:paraId="2277AD2E">
            <w:pPr>
              <w:pStyle w:val="6"/>
              <w:spacing w:line="360" w:lineRule="auto"/>
              <w:rPr>
                <w:rFonts w:hint="eastAsia" w:ascii="宋体" w:hAnsi="宋体" w:eastAsia="宋体" w:cs="宋体"/>
                <w:bCs/>
                <w:color w:val="auto"/>
                <w:kern w:val="2"/>
                <w:sz w:val="22"/>
                <w:szCs w:val="22"/>
                <w:highlight w:val="none"/>
                <w:lang w:val="en-US" w:eastAsia="zh-CN" w:bidi="ar-SA"/>
              </w:rPr>
            </w:pPr>
            <w:r>
              <w:rPr>
                <w:rFonts w:hint="eastAsia" w:ascii="宋体" w:hAnsi="宋体" w:eastAsia="宋体" w:cs="宋体"/>
                <w:bCs/>
                <w:color w:val="auto"/>
                <w:kern w:val="2"/>
                <w:sz w:val="22"/>
                <w:szCs w:val="22"/>
                <w:highlight w:val="none"/>
                <w:lang w:val="en-US" w:eastAsia="zh-CN" w:bidi="ar-SA"/>
              </w:rPr>
              <w:t>大写：</w:t>
            </w:r>
          </w:p>
          <w:p w14:paraId="3FFC3AB0">
            <w:pPr>
              <w:spacing w:line="360" w:lineRule="auto"/>
              <w:rPr>
                <w:rFonts w:hint="eastAsia" w:ascii="宋体" w:hAnsi="宋体" w:eastAsia="宋体" w:cs="宋体"/>
                <w:color w:val="auto"/>
                <w:highlight w:val="none"/>
                <w:lang w:val="en-US" w:eastAsia="zh-CN"/>
              </w:rPr>
            </w:pPr>
            <w:r>
              <w:rPr>
                <w:rFonts w:hint="eastAsia" w:ascii="宋体" w:hAnsi="宋体" w:eastAsia="宋体" w:cs="宋体"/>
                <w:bCs/>
                <w:color w:val="auto"/>
                <w:kern w:val="2"/>
                <w:sz w:val="22"/>
                <w:szCs w:val="22"/>
                <w:highlight w:val="none"/>
                <w:lang w:val="en-US" w:eastAsia="zh-CN" w:bidi="ar-SA"/>
              </w:rPr>
              <w:t>小写：</w:t>
            </w:r>
          </w:p>
        </w:tc>
        <w:tc>
          <w:tcPr>
            <w:tcW w:w="868" w:type="dxa"/>
            <w:vAlign w:val="center"/>
          </w:tcPr>
          <w:p w14:paraId="4990E4D8">
            <w:pPr>
              <w:spacing w:line="380" w:lineRule="exact"/>
              <w:jc w:val="center"/>
              <w:rPr>
                <w:rFonts w:hint="eastAsia" w:ascii="宋体" w:hAnsi="宋体" w:eastAsia="宋体" w:cs="宋体"/>
                <w:color w:val="auto"/>
                <w:sz w:val="22"/>
                <w:highlight w:val="none"/>
              </w:rPr>
            </w:pPr>
          </w:p>
        </w:tc>
      </w:tr>
      <w:tr w14:paraId="5F8C6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jc w:val="center"/>
        </w:trPr>
        <w:tc>
          <w:tcPr>
            <w:tcW w:w="815" w:type="dxa"/>
            <w:vAlign w:val="center"/>
          </w:tcPr>
          <w:p w14:paraId="5C993F66">
            <w:pPr>
              <w:spacing w:line="380" w:lineRule="exact"/>
              <w:jc w:val="center"/>
              <w:rPr>
                <w:rFonts w:hint="eastAsia" w:ascii="宋体" w:hAnsi="宋体" w:eastAsia="宋体" w:cs="宋体"/>
                <w:color w:val="auto"/>
                <w:sz w:val="22"/>
                <w:highlight w:val="none"/>
                <w:lang w:val="en-US" w:eastAsia="zh-CN"/>
              </w:rPr>
            </w:pPr>
            <w:r>
              <w:rPr>
                <w:rFonts w:hint="eastAsia" w:ascii="宋体" w:hAnsi="宋体" w:eastAsia="宋体" w:cs="宋体"/>
                <w:color w:val="auto"/>
                <w:sz w:val="22"/>
                <w:highlight w:val="none"/>
                <w:lang w:val="en-US" w:eastAsia="zh-CN"/>
              </w:rPr>
              <w:t>2</w:t>
            </w:r>
          </w:p>
        </w:tc>
        <w:tc>
          <w:tcPr>
            <w:tcW w:w="2522" w:type="dxa"/>
            <w:vAlign w:val="center"/>
          </w:tcPr>
          <w:p w14:paraId="39AC1FEE">
            <w:pPr>
              <w:spacing w:line="380" w:lineRule="exact"/>
              <w:jc w:val="center"/>
              <w:rPr>
                <w:rFonts w:hint="eastAsia" w:ascii="宋体" w:hAnsi="宋体" w:eastAsia="宋体" w:cs="宋体"/>
                <w:color w:val="auto"/>
                <w:sz w:val="22"/>
                <w:highlight w:val="none"/>
              </w:rPr>
            </w:pPr>
            <w:r>
              <w:rPr>
                <w:rFonts w:hint="eastAsia" w:ascii="宋体" w:hAnsi="宋体" w:eastAsia="宋体" w:cs="宋体"/>
                <w:bCs/>
                <w:color w:val="auto"/>
                <w:sz w:val="22"/>
                <w:szCs w:val="22"/>
                <w:highlight w:val="none"/>
              </w:rPr>
              <w:t>菜籽油（非转基因）一级（规格：每瓶10</w:t>
            </w:r>
            <w:r>
              <w:rPr>
                <w:rFonts w:hint="eastAsia" w:ascii="宋体" w:hAnsi="宋体" w:eastAsia="宋体" w:cs="宋体"/>
                <w:bCs/>
                <w:color w:val="auto"/>
                <w:sz w:val="22"/>
                <w:szCs w:val="22"/>
                <w:highlight w:val="none"/>
                <w:lang w:val="en-US" w:eastAsia="zh-CN"/>
              </w:rPr>
              <w:t>L</w:t>
            </w:r>
            <w:r>
              <w:rPr>
                <w:rFonts w:hint="eastAsia" w:ascii="宋体" w:hAnsi="宋体" w:eastAsia="宋体" w:cs="宋体"/>
                <w:bCs/>
                <w:color w:val="auto"/>
                <w:sz w:val="22"/>
                <w:szCs w:val="22"/>
                <w:highlight w:val="none"/>
              </w:rPr>
              <w:t>）</w:t>
            </w:r>
          </w:p>
        </w:tc>
        <w:tc>
          <w:tcPr>
            <w:tcW w:w="5413" w:type="dxa"/>
            <w:vAlign w:val="center"/>
          </w:tcPr>
          <w:p w14:paraId="4CC87896">
            <w:pPr>
              <w:pStyle w:val="6"/>
              <w:spacing w:line="360" w:lineRule="auto"/>
              <w:rPr>
                <w:rFonts w:hint="eastAsia" w:ascii="宋体" w:hAnsi="宋体" w:eastAsia="宋体" w:cs="宋体"/>
                <w:bCs/>
                <w:color w:val="auto"/>
                <w:kern w:val="2"/>
                <w:sz w:val="22"/>
                <w:szCs w:val="22"/>
                <w:highlight w:val="none"/>
                <w:lang w:val="en-US" w:eastAsia="zh-CN" w:bidi="ar-SA"/>
              </w:rPr>
            </w:pPr>
            <w:r>
              <w:rPr>
                <w:rFonts w:hint="eastAsia" w:ascii="宋体" w:hAnsi="宋体" w:eastAsia="宋体" w:cs="宋体"/>
                <w:bCs/>
                <w:color w:val="auto"/>
                <w:kern w:val="2"/>
                <w:sz w:val="22"/>
                <w:szCs w:val="22"/>
                <w:highlight w:val="none"/>
                <w:lang w:val="en-US" w:eastAsia="zh-CN" w:bidi="ar-SA"/>
              </w:rPr>
              <w:t>大写：</w:t>
            </w:r>
          </w:p>
          <w:p w14:paraId="3A18709A">
            <w:pPr>
              <w:pStyle w:val="6"/>
              <w:rPr>
                <w:rFonts w:hint="eastAsia" w:ascii="宋体" w:hAnsi="宋体" w:eastAsia="宋体" w:cs="宋体"/>
                <w:color w:val="auto"/>
                <w:highlight w:val="none"/>
              </w:rPr>
            </w:pPr>
            <w:r>
              <w:rPr>
                <w:rFonts w:hint="eastAsia" w:ascii="宋体" w:hAnsi="宋体" w:eastAsia="宋体" w:cs="宋体"/>
                <w:bCs/>
                <w:color w:val="auto"/>
                <w:kern w:val="2"/>
                <w:sz w:val="22"/>
                <w:szCs w:val="22"/>
                <w:highlight w:val="none"/>
                <w:lang w:val="en-US" w:eastAsia="zh-CN" w:bidi="ar-SA"/>
              </w:rPr>
              <w:t>小写：</w:t>
            </w:r>
          </w:p>
        </w:tc>
        <w:tc>
          <w:tcPr>
            <w:tcW w:w="868" w:type="dxa"/>
            <w:vAlign w:val="center"/>
          </w:tcPr>
          <w:p w14:paraId="6BCF7884">
            <w:pPr>
              <w:spacing w:line="380" w:lineRule="exact"/>
              <w:jc w:val="center"/>
              <w:rPr>
                <w:rFonts w:hint="eastAsia" w:ascii="宋体" w:hAnsi="宋体" w:eastAsia="宋体" w:cs="宋体"/>
                <w:color w:val="auto"/>
                <w:sz w:val="22"/>
                <w:highlight w:val="none"/>
              </w:rPr>
            </w:pPr>
          </w:p>
        </w:tc>
      </w:tr>
    </w:tbl>
    <w:p w14:paraId="65B58C87">
      <w:pPr>
        <w:spacing w:line="400" w:lineRule="exact"/>
        <w:ind w:firstLine="541" w:firstLineChars="245"/>
        <w:rPr>
          <w:rFonts w:hint="eastAsia" w:ascii="宋体" w:hAnsi="宋体" w:eastAsia="宋体" w:cs="宋体"/>
          <w:b/>
          <w:color w:val="auto"/>
          <w:sz w:val="22"/>
          <w:highlight w:val="none"/>
        </w:rPr>
      </w:pPr>
      <w:r>
        <w:rPr>
          <w:rFonts w:hint="eastAsia" w:ascii="宋体" w:hAnsi="宋体" w:eastAsia="宋体" w:cs="宋体"/>
          <w:b/>
          <w:color w:val="auto"/>
          <w:sz w:val="22"/>
          <w:highlight w:val="none"/>
        </w:rPr>
        <w:t>说明：</w:t>
      </w:r>
    </w:p>
    <w:p w14:paraId="2F5C2B68">
      <w:pPr>
        <w:keepNext w:val="0"/>
        <w:keepLines w:val="0"/>
        <w:pageBreakBefore w:val="0"/>
        <w:widowControl w:val="0"/>
        <w:numPr>
          <w:ilvl w:val="0"/>
          <w:numId w:val="2"/>
        </w:numPr>
        <w:tabs>
          <w:tab w:val="left" w:pos="540"/>
        </w:tabs>
        <w:kinsoku/>
        <w:wordWrap/>
        <w:overflowPunct/>
        <w:topLinePunct w:val="0"/>
        <w:autoSpaceDE w:val="0"/>
        <w:autoSpaceDN w:val="0"/>
        <w:bidi w:val="0"/>
        <w:adjustRightInd w:val="0"/>
        <w:snapToGrid w:val="0"/>
        <w:spacing w:line="460" w:lineRule="exact"/>
        <w:ind w:firstLine="442" w:firstLineChars="200"/>
        <w:jc w:val="left"/>
        <w:textAlignment w:val="baseline"/>
        <w:rPr>
          <w:rFonts w:hint="default" w:ascii="Times New Roman" w:hAnsi="Times New Roman" w:eastAsia="新宋体" w:cs="Times New Roman"/>
          <w:b/>
          <w:color w:val="auto"/>
          <w:sz w:val="22"/>
          <w:szCs w:val="22"/>
          <w:highlight w:val="none"/>
          <w:u w:val="single"/>
        </w:rPr>
      </w:pPr>
      <w:r>
        <w:rPr>
          <w:rFonts w:hint="default" w:ascii="Times New Roman" w:hAnsi="Times New Roman" w:eastAsia="新宋体" w:cs="Times New Roman"/>
          <w:b/>
          <w:color w:val="auto"/>
          <w:sz w:val="22"/>
          <w:szCs w:val="22"/>
          <w:highlight w:val="none"/>
          <w:u w:val="single"/>
        </w:rPr>
        <w:t>▲如投标人投标单价超过预算</w:t>
      </w:r>
      <w:r>
        <w:rPr>
          <w:rFonts w:hint="default" w:ascii="Times New Roman" w:hAnsi="Times New Roman" w:eastAsia="新宋体" w:cs="Times New Roman"/>
          <w:b/>
          <w:color w:val="auto"/>
          <w:sz w:val="22"/>
          <w:szCs w:val="22"/>
          <w:highlight w:val="none"/>
          <w:u w:val="single"/>
          <w:lang w:val="en-US" w:eastAsia="zh-CN"/>
        </w:rPr>
        <w:t>单价</w:t>
      </w:r>
      <w:r>
        <w:rPr>
          <w:rFonts w:hint="default" w:ascii="Times New Roman" w:hAnsi="Times New Roman" w:eastAsia="新宋体" w:cs="Times New Roman"/>
          <w:b/>
          <w:color w:val="auto"/>
          <w:sz w:val="22"/>
          <w:szCs w:val="22"/>
          <w:highlight w:val="none"/>
          <w:u w:val="single"/>
        </w:rPr>
        <w:t>按无效标处理。</w:t>
      </w:r>
    </w:p>
    <w:p w14:paraId="6126F362">
      <w:pPr>
        <w:keepNext w:val="0"/>
        <w:keepLines w:val="0"/>
        <w:pageBreakBefore w:val="0"/>
        <w:widowControl w:val="0"/>
        <w:numPr>
          <w:ilvl w:val="0"/>
          <w:numId w:val="2"/>
        </w:numPr>
        <w:tabs>
          <w:tab w:val="left" w:pos="540"/>
        </w:tabs>
        <w:kinsoku/>
        <w:wordWrap/>
        <w:overflowPunct/>
        <w:topLinePunct w:val="0"/>
        <w:autoSpaceDE w:val="0"/>
        <w:autoSpaceDN w:val="0"/>
        <w:bidi w:val="0"/>
        <w:adjustRightInd w:val="0"/>
        <w:snapToGrid w:val="0"/>
        <w:spacing w:line="460" w:lineRule="exact"/>
        <w:ind w:firstLine="442" w:firstLineChars="200"/>
        <w:jc w:val="left"/>
        <w:textAlignment w:val="baseline"/>
        <w:rPr>
          <w:rFonts w:hint="eastAsia" w:ascii="宋体" w:hAnsi="宋体" w:eastAsia="宋体" w:cs="宋体"/>
          <w:b/>
          <w:color w:val="auto"/>
          <w:sz w:val="22"/>
          <w:highlight w:val="none"/>
        </w:rPr>
      </w:pPr>
      <w:r>
        <w:rPr>
          <w:rFonts w:hint="eastAsia" w:ascii="宋体" w:hAnsi="宋体" w:eastAsia="宋体" w:cs="宋体"/>
          <w:b/>
          <w:color w:val="auto"/>
          <w:sz w:val="22"/>
          <w:highlight w:val="none"/>
        </w:rPr>
        <w:t>不提供此表格将被视为没有实质性响应招标文件</w:t>
      </w:r>
    </w:p>
    <w:p w14:paraId="6CD1502F">
      <w:pPr>
        <w:numPr>
          <w:ilvl w:val="0"/>
          <w:numId w:val="0"/>
        </w:numPr>
        <w:spacing w:line="450" w:lineRule="exact"/>
        <w:ind w:firstLine="541" w:firstLineChars="245"/>
        <w:rPr>
          <w:rFonts w:hint="eastAsia" w:ascii="宋体" w:hAnsi="宋体" w:eastAsia="宋体" w:cs="宋体"/>
          <w:b/>
          <w:color w:val="auto"/>
          <w:sz w:val="22"/>
          <w:highlight w:val="none"/>
          <w:u w:val="single"/>
        </w:rPr>
      </w:pPr>
    </w:p>
    <w:p w14:paraId="700F87D0">
      <w:pPr>
        <w:spacing w:line="360" w:lineRule="auto"/>
        <w:jc w:val="center"/>
        <w:rPr>
          <w:rFonts w:hint="eastAsia" w:ascii="宋体" w:hAnsi="宋体" w:eastAsia="宋体" w:cs="宋体"/>
          <w:color w:val="auto"/>
          <w:sz w:val="22"/>
          <w:szCs w:val="22"/>
          <w:highlight w:val="none"/>
        </w:rPr>
      </w:pPr>
    </w:p>
    <w:p w14:paraId="1C6B9FFD">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投标人全称（盖章）：</w:t>
      </w:r>
    </w:p>
    <w:p w14:paraId="3930366B">
      <w:pPr>
        <w:spacing w:line="360" w:lineRule="auto"/>
        <w:jc w:val="center"/>
        <w:rPr>
          <w:rFonts w:hint="eastAsia" w:ascii="宋体" w:hAnsi="宋体" w:eastAsia="宋体" w:cs="宋体"/>
          <w:color w:val="auto"/>
          <w:sz w:val="22"/>
          <w:szCs w:val="22"/>
          <w:highlight w:val="none"/>
        </w:rPr>
      </w:pPr>
      <w:r>
        <w:rPr>
          <w:rFonts w:hint="eastAsia" w:ascii="宋体" w:hAnsi="宋体" w:cs="宋体"/>
          <w:color w:val="auto"/>
          <w:kern w:val="0"/>
          <w:sz w:val="22"/>
          <w:szCs w:val="22"/>
          <w:highlight w:val="none"/>
          <w:lang w:val="en-US" w:eastAsia="zh-CN"/>
        </w:rPr>
        <w:t xml:space="preserve">                  </w:t>
      </w:r>
      <w:r>
        <w:rPr>
          <w:rFonts w:hint="eastAsia" w:ascii="宋体" w:hAnsi="宋体" w:eastAsia="宋体" w:cs="宋体"/>
          <w:color w:val="auto"/>
          <w:kern w:val="0"/>
          <w:sz w:val="22"/>
          <w:szCs w:val="22"/>
          <w:highlight w:val="none"/>
        </w:rPr>
        <w:t>法定代表人或其授权代表（签字或盖章）</w:t>
      </w:r>
      <w:r>
        <w:rPr>
          <w:rFonts w:hint="eastAsia" w:ascii="宋体" w:hAnsi="宋体" w:eastAsia="宋体" w:cs="宋体"/>
          <w:color w:val="auto"/>
          <w:sz w:val="22"/>
          <w:szCs w:val="22"/>
          <w:highlight w:val="none"/>
        </w:rPr>
        <w:t>：</w:t>
      </w:r>
    </w:p>
    <w:p w14:paraId="59533844">
      <w:pPr>
        <w:spacing w:line="360" w:lineRule="auto"/>
        <w:ind w:firstLine="220" w:firstLineChars="1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日    期：</w:t>
      </w:r>
    </w:p>
    <w:p w14:paraId="7968E917">
      <w:pPr>
        <w:pStyle w:val="51"/>
        <w:ind w:left="860" w:hanging="440"/>
        <w:rPr>
          <w:rFonts w:hint="eastAsia" w:ascii="宋体" w:hAnsi="宋体" w:eastAsia="宋体" w:cs="宋体"/>
          <w:color w:val="auto"/>
          <w:sz w:val="22"/>
          <w:szCs w:val="22"/>
          <w:highlight w:val="none"/>
        </w:rPr>
      </w:pPr>
    </w:p>
    <w:p w14:paraId="608D2706">
      <w:pPr>
        <w:pStyle w:val="51"/>
        <w:ind w:left="860" w:hanging="440"/>
        <w:rPr>
          <w:rFonts w:hint="eastAsia" w:ascii="宋体" w:hAnsi="宋体" w:eastAsia="宋体" w:cs="宋体"/>
          <w:color w:val="auto"/>
          <w:sz w:val="22"/>
          <w:szCs w:val="22"/>
          <w:highlight w:val="none"/>
        </w:rPr>
      </w:pPr>
    </w:p>
    <w:p w14:paraId="29B75AEB">
      <w:pPr>
        <w:pStyle w:val="51"/>
        <w:ind w:left="860" w:hanging="440"/>
        <w:rPr>
          <w:rFonts w:hint="eastAsia" w:ascii="宋体" w:hAnsi="宋体" w:eastAsia="宋体" w:cs="宋体"/>
          <w:color w:val="auto"/>
          <w:sz w:val="22"/>
          <w:szCs w:val="22"/>
          <w:highlight w:val="none"/>
        </w:rPr>
      </w:pPr>
    </w:p>
    <w:p w14:paraId="5E6B9BB1">
      <w:pPr>
        <w:pStyle w:val="51"/>
        <w:ind w:left="860" w:hanging="440"/>
        <w:rPr>
          <w:rFonts w:hint="eastAsia" w:ascii="宋体" w:hAnsi="宋体" w:eastAsia="宋体" w:cs="宋体"/>
          <w:color w:val="auto"/>
          <w:sz w:val="22"/>
          <w:szCs w:val="22"/>
          <w:highlight w:val="none"/>
        </w:rPr>
      </w:pPr>
    </w:p>
    <w:p w14:paraId="7DC42A30">
      <w:pPr>
        <w:pStyle w:val="51"/>
        <w:ind w:left="860" w:hanging="440"/>
        <w:rPr>
          <w:rFonts w:hint="eastAsia" w:ascii="宋体" w:hAnsi="宋体" w:eastAsia="宋体" w:cs="宋体"/>
          <w:color w:val="auto"/>
          <w:sz w:val="22"/>
          <w:szCs w:val="22"/>
          <w:highlight w:val="none"/>
        </w:rPr>
      </w:pPr>
    </w:p>
    <w:p w14:paraId="7743B0CF">
      <w:pPr>
        <w:pStyle w:val="51"/>
        <w:ind w:left="860" w:hanging="440"/>
        <w:rPr>
          <w:rFonts w:hint="eastAsia" w:ascii="宋体" w:hAnsi="宋体" w:eastAsia="宋体" w:cs="宋体"/>
          <w:color w:val="auto"/>
          <w:sz w:val="22"/>
          <w:szCs w:val="22"/>
          <w:highlight w:val="none"/>
        </w:rPr>
      </w:pPr>
    </w:p>
    <w:p w14:paraId="781F3747">
      <w:pPr>
        <w:rPr>
          <w:rFonts w:hint="eastAsia" w:ascii="宋体" w:hAnsi="宋体" w:eastAsia="宋体" w:cs="宋体"/>
          <w:b/>
          <w:color w:val="auto"/>
          <w:sz w:val="22"/>
          <w:szCs w:val="22"/>
          <w:highlight w:val="none"/>
        </w:rPr>
      </w:pPr>
      <w:r>
        <w:rPr>
          <w:rFonts w:hint="eastAsia" w:ascii="宋体" w:hAnsi="宋体" w:eastAsia="宋体" w:cs="宋体"/>
          <w:b/>
          <w:color w:val="auto"/>
          <w:sz w:val="28"/>
          <w:szCs w:val="28"/>
          <w:highlight w:val="none"/>
          <w:lang w:val="zh-CN"/>
        </w:rPr>
        <w:br w:type="page"/>
      </w:r>
    </w:p>
    <w:p w14:paraId="51E81D15">
      <w:pPr>
        <w:pStyle w:val="22"/>
        <w:spacing w:line="460" w:lineRule="exact"/>
        <w:ind w:left="433" w:hanging="433" w:hangingChars="196"/>
        <w:outlineLvl w:val="1"/>
        <w:rPr>
          <w:rFonts w:hint="eastAsia" w:ascii="宋体" w:hAnsi="宋体" w:eastAsia="宋体" w:cs="宋体"/>
          <w:b/>
          <w:color w:val="auto"/>
          <w:sz w:val="22"/>
          <w:szCs w:val="22"/>
          <w:highlight w:val="none"/>
        </w:rPr>
      </w:pPr>
      <w:bookmarkStart w:id="32" w:name="_Toc19402"/>
      <w:bookmarkStart w:id="33" w:name="_Toc12035"/>
      <w:r>
        <w:rPr>
          <w:rFonts w:hint="eastAsia" w:ascii="宋体" w:hAnsi="宋体" w:eastAsia="宋体" w:cs="宋体"/>
          <w:b/>
          <w:color w:val="auto"/>
          <w:sz w:val="22"/>
          <w:szCs w:val="22"/>
          <w:highlight w:val="none"/>
        </w:rPr>
        <w:t>附件二</w:t>
      </w:r>
      <w:bookmarkEnd w:id="32"/>
      <w:bookmarkEnd w:id="33"/>
    </w:p>
    <w:p w14:paraId="137C6014">
      <w:pPr>
        <w:spacing w:line="460" w:lineRule="exact"/>
        <w:jc w:val="center"/>
        <w:outlineLvl w:val="2"/>
        <w:rPr>
          <w:rFonts w:hint="eastAsia" w:ascii="宋体" w:hAnsi="宋体" w:eastAsia="宋体" w:cs="宋体"/>
          <w:color w:val="auto"/>
          <w:sz w:val="28"/>
          <w:szCs w:val="28"/>
          <w:highlight w:val="none"/>
        </w:rPr>
      </w:pPr>
      <w:bookmarkStart w:id="34" w:name="_Toc4718"/>
      <w:bookmarkStart w:id="35" w:name="_Toc25309"/>
      <w:r>
        <w:rPr>
          <w:rFonts w:hint="eastAsia" w:ascii="宋体" w:hAnsi="宋体" w:eastAsia="宋体" w:cs="宋体"/>
          <w:b/>
          <w:bCs/>
          <w:color w:val="auto"/>
          <w:sz w:val="32"/>
          <w:szCs w:val="32"/>
          <w:highlight w:val="none"/>
        </w:rPr>
        <w:t>资格证明文件</w:t>
      </w:r>
      <w:bookmarkEnd w:id="34"/>
      <w:bookmarkEnd w:id="35"/>
      <w:r>
        <w:rPr>
          <w:rFonts w:hint="eastAsia" w:ascii="宋体" w:hAnsi="宋体" w:eastAsia="宋体" w:cs="宋体"/>
          <w:color w:val="auto"/>
          <w:sz w:val="28"/>
          <w:szCs w:val="28"/>
          <w:highlight w:val="none"/>
        </w:rPr>
        <w:t xml:space="preserve"> </w:t>
      </w:r>
    </w:p>
    <w:p w14:paraId="7E92341B">
      <w:pPr>
        <w:pStyle w:val="47"/>
        <w:keepNext w:val="0"/>
        <w:keepLines w:val="0"/>
        <w:pageBreakBefore w:val="0"/>
        <w:widowControl/>
        <w:numPr>
          <w:ilvl w:val="0"/>
          <w:numId w:val="0"/>
        </w:numPr>
        <w:tabs>
          <w:tab w:val="left" w:pos="630"/>
          <w:tab w:val="left" w:pos="840"/>
          <w:tab w:val="left" w:pos="1050"/>
        </w:tabs>
        <w:kinsoku/>
        <w:wordWrap/>
        <w:overflowPunct/>
        <w:topLinePunct w:val="0"/>
        <w:autoSpaceDE/>
        <w:autoSpaceDN/>
        <w:bidi w:val="0"/>
        <w:adjustRightInd w:val="0"/>
        <w:snapToGrid w:val="0"/>
        <w:spacing w:before="0" w:beforeAutospacing="0" w:after="0" w:afterAutospacing="0" w:line="360" w:lineRule="auto"/>
        <w:jc w:val="center"/>
        <w:textAlignment w:val="auto"/>
        <w:outlineLvl w:val="9"/>
        <w:rPr>
          <w:rFonts w:hint="eastAsia" w:cs="宋体"/>
          <w:b/>
          <w:bCs w:val="0"/>
          <w:color w:val="auto"/>
          <w:kern w:val="0"/>
          <w:sz w:val="32"/>
          <w:szCs w:val="32"/>
          <w:highlight w:val="none"/>
          <w:lang w:val="en-US" w:eastAsia="zh-CN" w:bidi="ar-SA"/>
        </w:rPr>
      </w:pPr>
      <w:bookmarkStart w:id="36" w:name="_Toc16516"/>
      <w:bookmarkStart w:id="37" w:name="_Toc31356"/>
    </w:p>
    <w:p w14:paraId="68FE58BF">
      <w:pPr>
        <w:pStyle w:val="47"/>
        <w:keepNext w:val="0"/>
        <w:keepLines w:val="0"/>
        <w:pageBreakBefore w:val="0"/>
        <w:widowControl/>
        <w:numPr>
          <w:ilvl w:val="0"/>
          <w:numId w:val="0"/>
        </w:numPr>
        <w:tabs>
          <w:tab w:val="left" w:pos="630"/>
          <w:tab w:val="left" w:pos="840"/>
          <w:tab w:val="left" w:pos="1050"/>
        </w:tabs>
        <w:kinsoku/>
        <w:wordWrap/>
        <w:overflowPunct/>
        <w:topLinePunct w:val="0"/>
        <w:autoSpaceDE/>
        <w:autoSpaceDN/>
        <w:bidi w:val="0"/>
        <w:adjustRightInd w:val="0"/>
        <w:snapToGrid w:val="0"/>
        <w:spacing w:before="0" w:beforeAutospacing="0" w:after="0" w:afterAutospacing="0" w:line="360" w:lineRule="auto"/>
        <w:jc w:val="center"/>
        <w:textAlignment w:val="auto"/>
        <w:outlineLvl w:val="3"/>
        <w:rPr>
          <w:rFonts w:hint="eastAsia" w:ascii="宋体" w:hAnsi="宋体" w:eastAsia="宋体" w:cs="宋体"/>
          <w:b/>
          <w:bCs w:val="0"/>
          <w:color w:val="auto"/>
          <w:sz w:val="28"/>
          <w:szCs w:val="28"/>
          <w:highlight w:val="none"/>
        </w:rPr>
      </w:pPr>
      <w:r>
        <w:rPr>
          <w:rFonts w:hint="eastAsia" w:cs="宋体"/>
          <w:b/>
          <w:bCs w:val="0"/>
          <w:color w:val="auto"/>
          <w:kern w:val="0"/>
          <w:sz w:val="28"/>
          <w:szCs w:val="28"/>
          <w:highlight w:val="none"/>
          <w:lang w:val="en-US" w:eastAsia="zh-CN" w:bidi="ar-SA"/>
        </w:rPr>
        <w:t>1、</w:t>
      </w:r>
      <w:r>
        <w:rPr>
          <w:rFonts w:hint="eastAsia" w:ascii="宋体" w:hAnsi="宋体" w:eastAsia="宋体" w:cs="宋体"/>
          <w:b/>
          <w:bCs w:val="0"/>
          <w:color w:val="auto"/>
          <w:kern w:val="0"/>
          <w:sz w:val="28"/>
          <w:szCs w:val="28"/>
          <w:highlight w:val="none"/>
          <w:lang w:val="en-US" w:eastAsia="zh-CN" w:bidi="ar-SA"/>
        </w:rPr>
        <w:t>资格条件承诺函</w:t>
      </w:r>
    </w:p>
    <w:p w14:paraId="70B706C9">
      <w:pPr>
        <w:shd w:val="clear" w:color="auto" w:fill="FFFFFF"/>
        <w:snapToGrid w:val="0"/>
        <w:spacing w:line="440" w:lineRule="exact"/>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eastAsia="zh-CN"/>
        </w:rPr>
        <w:t>温州市中心医院</w:t>
      </w:r>
      <w:r>
        <w:rPr>
          <w:rFonts w:hint="eastAsia" w:ascii="宋体" w:hAnsi="宋体" w:eastAsia="宋体" w:cs="宋体"/>
          <w:color w:val="auto"/>
          <w:sz w:val="22"/>
          <w:szCs w:val="22"/>
          <w:highlight w:val="none"/>
        </w:rPr>
        <w:t>、温州历程招标有限公司：</w:t>
      </w:r>
    </w:p>
    <w:p w14:paraId="02EE88FD">
      <w:pPr>
        <w:widowControl/>
        <w:spacing w:line="44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我方参与</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（采购项目名称、编号）投标，现郑重承诺</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kern w:val="0"/>
          <w:sz w:val="22"/>
          <w:szCs w:val="22"/>
          <w:highlight w:val="none"/>
        </w:rPr>
        <w:t>参加本次政府采购活动前3年内</w:t>
      </w:r>
      <w:r>
        <w:rPr>
          <w:rFonts w:hint="eastAsia" w:ascii="宋体" w:hAnsi="宋体" w:eastAsia="宋体" w:cs="宋体"/>
          <w:color w:val="auto"/>
          <w:sz w:val="22"/>
          <w:szCs w:val="22"/>
          <w:highlight w:val="none"/>
        </w:rPr>
        <w:t>：</w:t>
      </w:r>
    </w:p>
    <w:p w14:paraId="46B28818">
      <w:pPr>
        <w:widowControl/>
        <w:spacing w:line="44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1、我方符合《中华人民共和国政府采购法》第22条规定的资格条件，即</w:t>
      </w:r>
    </w:p>
    <w:p w14:paraId="11F6FCDB">
      <w:pPr>
        <w:widowControl/>
        <w:snapToGrid w:val="0"/>
        <w:spacing w:line="440" w:lineRule="exact"/>
        <w:ind w:left="420" w:leftChars="200" w:firstLine="220" w:firstLineChars="10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（1）我方具有独立承担民事责任的能力；</w:t>
      </w:r>
    </w:p>
    <w:p w14:paraId="633CA7AC">
      <w:pPr>
        <w:widowControl/>
        <w:snapToGrid w:val="0"/>
        <w:spacing w:line="440" w:lineRule="exact"/>
        <w:ind w:left="420" w:leftChars="200" w:firstLine="220" w:firstLineChars="10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（2）我方具有良好的商业信誉和健全的财务会计制度；</w:t>
      </w:r>
    </w:p>
    <w:p w14:paraId="71801117">
      <w:pPr>
        <w:widowControl/>
        <w:snapToGrid w:val="0"/>
        <w:spacing w:line="440" w:lineRule="exact"/>
        <w:ind w:left="420" w:leftChars="200" w:firstLine="220" w:firstLineChars="10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（3）我方具有履行合同所必需的设备和专业技术能力；</w:t>
      </w:r>
    </w:p>
    <w:p w14:paraId="3DF32DFB">
      <w:pPr>
        <w:widowControl/>
        <w:snapToGrid w:val="0"/>
        <w:spacing w:line="440" w:lineRule="exact"/>
        <w:ind w:left="420" w:leftChars="200" w:firstLine="220" w:firstLineChars="10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（4）我方有依法缴纳税收和社会保障资金的良好记录；</w:t>
      </w:r>
    </w:p>
    <w:p w14:paraId="1D51EFC8">
      <w:pPr>
        <w:widowControl/>
        <w:snapToGrid w:val="0"/>
        <w:spacing w:line="440" w:lineRule="exact"/>
        <w:ind w:left="989" w:leftChars="314" w:hanging="330" w:hangingChars="15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5）我方参加本次政府采购活动前3年内在经营活动中没有重大违法记录（没有因违法经营受到刑事处罚，没有被责令停产停业、被吊销许可证或者执照、被处以较大数额罚款等行政处罚，没有因违法经营被禁止参加政府采购活动的期限未满情形）。</w:t>
      </w:r>
    </w:p>
    <w:p w14:paraId="2CB5E54F">
      <w:pPr>
        <w:widowControl/>
        <w:spacing w:line="440" w:lineRule="exact"/>
        <w:ind w:left="479" w:leftChars="228" w:firstLine="180" w:firstLineChars="82"/>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2、到本项目投标截止时间为止，我方未被“信用中国（</w:t>
      </w:r>
      <w:r>
        <w:rPr>
          <w:rFonts w:hint="eastAsia" w:ascii="宋体" w:hAnsi="宋体" w:eastAsia="宋体" w:cs="宋体"/>
          <w:color w:val="auto"/>
          <w:kern w:val="0"/>
          <w:sz w:val="22"/>
          <w:szCs w:val="22"/>
          <w:highlight w:val="none"/>
        </w:rPr>
        <w:fldChar w:fldCharType="begin"/>
      </w:r>
      <w:r>
        <w:rPr>
          <w:rFonts w:hint="eastAsia" w:ascii="宋体" w:hAnsi="宋体" w:eastAsia="宋体" w:cs="宋体"/>
          <w:color w:val="auto"/>
          <w:kern w:val="0"/>
          <w:sz w:val="22"/>
          <w:szCs w:val="22"/>
          <w:highlight w:val="none"/>
        </w:rPr>
        <w:instrText xml:space="preserve"> HYPERLINK "http://www.creditchina.gov.cn）、" </w:instrText>
      </w:r>
      <w:r>
        <w:rPr>
          <w:rFonts w:hint="eastAsia" w:ascii="宋体" w:hAnsi="宋体" w:eastAsia="宋体" w:cs="宋体"/>
          <w:color w:val="auto"/>
          <w:kern w:val="0"/>
          <w:sz w:val="22"/>
          <w:szCs w:val="22"/>
          <w:highlight w:val="none"/>
        </w:rPr>
        <w:fldChar w:fldCharType="separate"/>
      </w:r>
      <w:r>
        <w:rPr>
          <w:rFonts w:hint="eastAsia" w:ascii="宋体" w:hAnsi="宋体" w:eastAsia="宋体" w:cs="宋体"/>
          <w:color w:val="auto"/>
          <w:kern w:val="0"/>
          <w:sz w:val="22"/>
          <w:szCs w:val="22"/>
          <w:highlight w:val="none"/>
        </w:rPr>
        <w:t>www.creditchina.gov.cn）、</w:t>
      </w:r>
      <w:r>
        <w:rPr>
          <w:rFonts w:hint="eastAsia" w:ascii="宋体" w:hAnsi="宋体" w:eastAsia="宋体" w:cs="宋体"/>
          <w:color w:val="auto"/>
          <w:kern w:val="0"/>
          <w:sz w:val="22"/>
          <w:szCs w:val="22"/>
          <w:highlight w:val="none"/>
        </w:rPr>
        <w:fldChar w:fldCharType="end"/>
      </w:r>
      <w:r>
        <w:rPr>
          <w:rFonts w:hint="eastAsia" w:ascii="宋体" w:hAnsi="宋体" w:eastAsia="宋体" w:cs="宋体"/>
          <w:color w:val="auto"/>
          <w:kern w:val="0"/>
          <w:sz w:val="22"/>
          <w:szCs w:val="22"/>
          <w:highlight w:val="none"/>
        </w:rPr>
        <w:t xml:space="preserve"> 中国政府采购网（www.ccgp.gov.cn）列入失信被执行人名单、重大税收违法案件当事人名单、政府采购严重违法失信行为记录名单。</w:t>
      </w:r>
    </w:p>
    <w:p w14:paraId="1B7D2C6A">
      <w:pPr>
        <w:widowControl/>
        <w:spacing w:line="440" w:lineRule="exact"/>
        <w:ind w:left="479" w:leftChars="228" w:firstLine="180" w:firstLineChars="82"/>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3、我方与参加本次项目同一合同项下政府采购活动的其他供应商不存在单位负责人为同一人或者直接控股、管理关系。</w:t>
      </w:r>
    </w:p>
    <w:p w14:paraId="1AC6957F">
      <w:pPr>
        <w:widowControl/>
        <w:spacing w:line="440" w:lineRule="exact"/>
        <w:ind w:left="479" w:leftChars="228" w:firstLine="180" w:firstLineChars="82"/>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4、我方</w:t>
      </w:r>
      <w:r>
        <w:rPr>
          <w:rFonts w:hint="eastAsia" w:ascii="宋体" w:hAnsi="宋体" w:eastAsia="宋体" w:cs="宋体"/>
          <w:color w:val="auto"/>
          <w:kern w:val="0"/>
          <w:sz w:val="22"/>
          <w:szCs w:val="22"/>
          <w:highlight w:val="none"/>
        </w:rPr>
        <w:t>不属于公益一类事业单位。</w:t>
      </w:r>
    </w:p>
    <w:p w14:paraId="3453851C">
      <w:pPr>
        <w:widowControl/>
        <w:snapToGrid w:val="0"/>
        <w:spacing w:line="440" w:lineRule="exact"/>
        <w:ind w:firstLine="440" w:firstLineChars="200"/>
        <w:jc w:val="left"/>
        <w:rPr>
          <w:rFonts w:hint="eastAsia" w:ascii="宋体" w:hAnsi="宋体" w:eastAsia="宋体" w:cs="宋体"/>
          <w:color w:val="auto"/>
          <w:kern w:val="0"/>
          <w:sz w:val="22"/>
          <w:szCs w:val="22"/>
          <w:highlight w:val="none"/>
          <w:lang w:val="en-US" w:eastAsia="zh-CN"/>
        </w:rPr>
      </w:pPr>
    </w:p>
    <w:p w14:paraId="1FADD44E">
      <w:pPr>
        <w:widowControl/>
        <w:snapToGrid w:val="0"/>
        <w:spacing w:line="440" w:lineRule="exact"/>
        <w:ind w:left="210" w:leftChars="100" w:firstLine="440" w:firstLineChars="20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以上承诺如有虚假，</w:t>
      </w:r>
      <w:r>
        <w:rPr>
          <w:rFonts w:hint="eastAsia" w:ascii="宋体" w:hAnsi="宋体" w:eastAsia="宋体" w:cs="宋体"/>
          <w:color w:val="auto"/>
          <w:sz w:val="22"/>
          <w:szCs w:val="22"/>
          <w:highlight w:val="none"/>
        </w:rPr>
        <w:t>愿接受取消</w:t>
      </w:r>
      <w:r>
        <w:rPr>
          <w:rFonts w:hint="eastAsia" w:ascii="宋体" w:hAnsi="宋体" w:eastAsia="宋体" w:cs="宋体"/>
          <w:color w:val="auto"/>
          <w:kern w:val="0"/>
          <w:sz w:val="22"/>
          <w:szCs w:val="22"/>
          <w:highlight w:val="none"/>
        </w:rPr>
        <w:t>我方任何资格（投标/成交/签订合同）</w:t>
      </w:r>
      <w:r>
        <w:rPr>
          <w:rFonts w:hint="eastAsia" w:ascii="宋体" w:hAnsi="宋体" w:eastAsia="宋体" w:cs="宋体"/>
          <w:color w:val="auto"/>
          <w:sz w:val="22"/>
          <w:szCs w:val="22"/>
          <w:highlight w:val="none"/>
        </w:rPr>
        <w:t>及其他任何形式的处理。</w:t>
      </w:r>
    </w:p>
    <w:p w14:paraId="3FDD3662">
      <w:pPr>
        <w:widowControl/>
        <w:snapToGrid w:val="0"/>
        <w:spacing w:line="440" w:lineRule="exact"/>
        <w:ind w:firstLine="440" w:firstLineChars="200"/>
        <w:jc w:val="left"/>
        <w:rPr>
          <w:rFonts w:hint="eastAsia" w:ascii="宋体" w:hAnsi="宋体" w:eastAsia="宋体" w:cs="宋体"/>
          <w:color w:val="auto"/>
          <w:kern w:val="0"/>
          <w:sz w:val="22"/>
          <w:szCs w:val="22"/>
          <w:highlight w:val="none"/>
        </w:rPr>
      </w:pPr>
    </w:p>
    <w:p w14:paraId="551F8BB1">
      <w:pPr>
        <w:snapToGrid w:val="0"/>
        <w:spacing w:line="360" w:lineRule="auto"/>
        <w:ind w:firstLine="5060" w:firstLineChars="2300"/>
        <w:rPr>
          <w:rFonts w:hint="eastAsia" w:ascii="宋体" w:hAnsi="宋体" w:eastAsia="宋体" w:cs="宋体"/>
          <w:color w:val="auto"/>
          <w:kern w:val="0"/>
          <w:sz w:val="22"/>
          <w:szCs w:val="22"/>
          <w:highlight w:val="none"/>
          <w:lang w:val="zh-CN"/>
        </w:rPr>
      </w:pPr>
    </w:p>
    <w:p w14:paraId="4439D40B">
      <w:pPr>
        <w:widowControl/>
        <w:snapToGrid w:val="0"/>
        <w:spacing w:line="460" w:lineRule="exact"/>
        <w:ind w:firstLine="440" w:firstLineChars="200"/>
        <w:jc w:val="left"/>
        <w:rPr>
          <w:rFonts w:hint="eastAsia" w:ascii="宋体" w:hAnsi="宋体" w:eastAsia="宋体" w:cs="宋体"/>
          <w:color w:val="auto"/>
          <w:kern w:val="0"/>
          <w:sz w:val="22"/>
          <w:szCs w:val="22"/>
          <w:highlight w:val="none"/>
        </w:rPr>
      </w:pPr>
      <w:r>
        <w:rPr>
          <w:rFonts w:hint="eastAsia" w:ascii="宋体" w:hAnsi="宋体" w:eastAsia="宋体" w:cs="宋体"/>
          <w:color w:val="auto"/>
          <w:sz w:val="22"/>
          <w:szCs w:val="22"/>
          <w:highlight w:val="none"/>
        </w:rPr>
        <w:t>投标人全称（盖章）</w:t>
      </w:r>
      <w:r>
        <w:rPr>
          <w:rFonts w:hint="eastAsia" w:ascii="宋体" w:hAnsi="宋体" w:eastAsia="宋体" w:cs="宋体"/>
          <w:color w:val="auto"/>
          <w:kern w:val="0"/>
          <w:sz w:val="22"/>
          <w:szCs w:val="22"/>
          <w:highlight w:val="none"/>
        </w:rPr>
        <w:t xml:space="preserve"> ：</w:t>
      </w:r>
    </w:p>
    <w:p w14:paraId="66E73133">
      <w:pPr>
        <w:widowControl/>
        <w:snapToGrid w:val="0"/>
        <w:spacing w:line="460" w:lineRule="exact"/>
        <w:ind w:firstLine="440" w:firstLineChars="20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法定代表人或其授权代表（签字或盖章）：</w:t>
      </w:r>
    </w:p>
    <w:p w14:paraId="5ED98C72">
      <w:pPr>
        <w:widowControl/>
        <w:snapToGrid w:val="0"/>
        <w:spacing w:line="460" w:lineRule="exact"/>
        <w:ind w:firstLine="440" w:firstLineChars="20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日期：     年  月  日</w:t>
      </w:r>
    </w:p>
    <w:p w14:paraId="654EF7A9">
      <w:pPr>
        <w:rPr>
          <w:rFonts w:hint="eastAsia" w:ascii="宋体" w:hAnsi="宋体" w:eastAsia="宋体" w:cs="宋体"/>
          <w:color w:val="auto"/>
          <w:highlight w:val="none"/>
        </w:rPr>
      </w:pPr>
    </w:p>
    <w:p w14:paraId="326391CB">
      <w:pPr>
        <w:numPr>
          <w:ilvl w:val="0"/>
          <w:numId w:val="0"/>
        </w:numPr>
        <w:spacing w:line="450" w:lineRule="exact"/>
        <w:ind w:firstLine="539" w:firstLineChars="245"/>
        <w:rPr>
          <w:rFonts w:hint="eastAsia" w:ascii="宋体" w:hAnsi="宋体" w:eastAsia="宋体" w:cs="宋体"/>
          <w:color w:val="auto"/>
          <w:sz w:val="22"/>
          <w:szCs w:val="22"/>
          <w:highlight w:val="none"/>
          <w:u w:val="single"/>
        </w:rPr>
      </w:pPr>
    </w:p>
    <w:p w14:paraId="095E2A15">
      <w:pPr>
        <w:numPr>
          <w:ilvl w:val="0"/>
          <w:numId w:val="0"/>
        </w:numPr>
        <w:spacing w:line="450" w:lineRule="exact"/>
        <w:rPr>
          <w:rFonts w:hint="eastAsia" w:ascii="宋体" w:hAnsi="宋体" w:eastAsia="宋体" w:cs="宋体"/>
          <w:b/>
          <w:color w:val="auto"/>
          <w:sz w:val="22"/>
          <w:highlight w:val="none"/>
          <w:u w:val="single"/>
        </w:rPr>
      </w:pPr>
      <w:r>
        <w:rPr>
          <w:rFonts w:hint="eastAsia" w:ascii="宋体" w:hAnsi="宋体" w:eastAsia="宋体" w:cs="宋体"/>
          <w:color w:val="auto"/>
          <w:sz w:val="22"/>
          <w:szCs w:val="22"/>
          <w:highlight w:val="none"/>
          <w:u w:val="single"/>
        </w:rPr>
        <w:t>▲</w:t>
      </w:r>
      <w:r>
        <w:rPr>
          <w:rFonts w:hint="eastAsia" w:ascii="宋体" w:hAnsi="宋体" w:eastAsia="宋体" w:cs="宋体"/>
          <w:b/>
          <w:color w:val="auto"/>
          <w:sz w:val="22"/>
          <w:highlight w:val="none"/>
          <w:u w:val="single"/>
        </w:rPr>
        <w:t>不提供此表格将被视为没有实质性响应招标文件</w:t>
      </w:r>
      <w:r>
        <w:rPr>
          <w:rFonts w:hint="eastAsia" w:ascii="宋体" w:hAnsi="宋体" w:cs="宋体"/>
          <w:b/>
          <w:color w:val="auto"/>
          <w:sz w:val="22"/>
          <w:highlight w:val="none"/>
          <w:u w:val="single"/>
          <w:lang w:eastAsia="zh-CN"/>
        </w:rPr>
        <w:t>。</w:t>
      </w:r>
    </w:p>
    <w:p w14:paraId="4941B44A">
      <w:pPr>
        <w:pStyle w:val="47"/>
        <w:keepNext w:val="0"/>
        <w:keepLines w:val="0"/>
        <w:pageBreakBefore w:val="0"/>
        <w:widowControl/>
        <w:numPr>
          <w:ilvl w:val="0"/>
          <w:numId w:val="0"/>
        </w:numPr>
        <w:tabs>
          <w:tab w:val="left" w:pos="630"/>
          <w:tab w:val="left" w:pos="840"/>
          <w:tab w:val="left" w:pos="1050"/>
        </w:tabs>
        <w:kinsoku/>
        <w:wordWrap/>
        <w:overflowPunct/>
        <w:topLinePunct w:val="0"/>
        <w:autoSpaceDE/>
        <w:autoSpaceDN/>
        <w:bidi w:val="0"/>
        <w:adjustRightInd w:val="0"/>
        <w:snapToGrid w:val="0"/>
        <w:spacing w:before="0" w:beforeAutospacing="0" w:after="0" w:afterAutospacing="0" w:line="360" w:lineRule="auto"/>
        <w:jc w:val="both"/>
        <w:textAlignment w:val="auto"/>
        <w:outlineLvl w:val="9"/>
        <w:rPr>
          <w:rFonts w:hint="eastAsia" w:ascii="宋体" w:hAnsi="宋体" w:eastAsia="宋体" w:cs="宋体"/>
          <w:b/>
          <w:bCs w:val="0"/>
          <w:color w:val="auto"/>
          <w:sz w:val="28"/>
          <w:szCs w:val="28"/>
          <w:highlight w:val="none"/>
        </w:rPr>
      </w:pPr>
    </w:p>
    <w:p w14:paraId="5FCD395D">
      <w:pPr>
        <w:rPr>
          <w:rFonts w:hint="eastAsia" w:ascii="宋体" w:hAnsi="宋体" w:eastAsia="宋体" w:cs="宋体"/>
          <w:b/>
          <w:bCs w:val="0"/>
          <w:color w:val="auto"/>
          <w:kern w:val="0"/>
          <w:sz w:val="32"/>
          <w:szCs w:val="32"/>
          <w:highlight w:val="none"/>
          <w:lang w:val="en-US" w:eastAsia="zh-CN" w:bidi="ar-SA"/>
        </w:rPr>
      </w:pPr>
      <w:r>
        <w:rPr>
          <w:rFonts w:hint="eastAsia" w:ascii="宋体" w:hAnsi="宋体" w:eastAsia="宋体" w:cs="宋体"/>
          <w:b/>
          <w:bCs w:val="0"/>
          <w:color w:val="auto"/>
          <w:kern w:val="0"/>
          <w:sz w:val="32"/>
          <w:szCs w:val="32"/>
          <w:highlight w:val="none"/>
          <w:lang w:val="en-US" w:eastAsia="zh-CN" w:bidi="ar-SA"/>
        </w:rPr>
        <w:br w:type="page"/>
      </w:r>
    </w:p>
    <w:p w14:paraId="1FD98228">
      <w:pPr>
        <w:pStyle w:val="47"/>
        <w:keepNext w:val="0"/>
        <w:keepLines w:val="0"/>
        <w:pageBreakBefore w:val="0"/>
        <w:widowControl/>
        <w:numPr>
          <w:ilvl w:val="0"/>
          <w:numId w:val="0"/>
        </w:numPr>
        <w:tabs>
          <w:tab w:val="left" w:pos="630"/>
          <w:tab w:val="left" w:pos="840"/>
          <w:tab w:val="left" w:pos="1050"/>
        </w:tabs>
        <w:kinsoku/>
        <w:wordWrap/>
        <w:overflowPunct/>
        <w:topLinePunct w:val="0"/>
        <w:autoSpaceDE/>
        <w:autoSpaceDN/>
        <w:bidi w:val="0"/>
        <w:adjustRightInd w:val="0"/>
        <w:snapToGrid w:val="0"/>
        <w:spacing w:before="0" w:beforeAutospacing="0" w:after="0" w:afterAutospacing="0" w:line="360" w:lineRule="auto"/>
        <w:jc w:val="center"/>
        <w:textAlignment w:val="auto"/>
        <w:outlineLvl w:val="3"/>
        <w:rPr>
          <w:rFonts w:hint="eastAsia" w:cs="宋体"/>
          <w:b/>
          <w:bCs w:val="0"/>
          <w:color w:val="auto"/>
          <w:kern w:val="0"/>
          <w:sz w:val="28"/>
          <w:szCs w:val="28"/>
          <w:highlight w:val="none"/>
          <w:lang w:val="en-US" w:eastAsia="zh-CN" w:bidi="ar-SA"/>
        </w:rPr>
      </w:pPr>
      <w:r>
        <w:rPr>
          <w:rFonts w:hint="eastAsia" w:cs="宋体"/>
          <w:b/>
          <w:bCs w:val="0"/>
          <w:color w:val="auto"/>
          <w:kern w:val="0"/>
          <w:sz w:val="28"/>
          <w:szCs w:val="28"/>
          <w:highlight w:val="none"/>
          <w:lang w:val="en-US" w:eastAsia="zh-CN" w:bidi="ar-SA"/>
        </w:rPr>
        <w:t>2、有效营业执照</w:t>
      </w:r>
    </w:p>
    <w:p w14:paraId="0B6F606D">
      <w:pPr>
        <w:pStyle w:val="47"/>
        <w:tabs>
          <w:tab w:val="left" w:pos="630"/>
          <w:tab w:val="left" w:pos="840"/>
          <w:tab w:val="left" w:pos="1050"/>
        </w:tabs>
        <w:adjustRightInd w:val="0"/>
        <w:snapToGrid w:val="0"/>
        <w:spacing w:before="0" w:beforeAutospacing="0" w:after="0" w:afterAutospacing="0" w:line="360" w:lineRule="auto"/>
        <w:ind w:left="420"/>
        <w:rPr>
          <w:rFonts w:hint="eastAsia" w:ascii="宋体" w:hAnsi="宋体" w:eastAsia="宋体" w:cs="宋体"/>
          <w:bCs/>
          <w:color w:val="auto"/>
          <w:sz w:val="24"/>
          <w:szCs w:val="24"/>
          <w:highlight w:val="none"/>
        </w:rPr>
      </w:pPr>
    </w:p>
    <w:p w14:paraId="327F1BC2">
      <w:pPr>
        <w:pStyle w:val="47"/>
        <w:tabs>
          <w:tab w:val="left" w:pos="630"/>
          <w:tab w:val="left" w:pos="840"/>
          <w:tab w:val="left" w:pos="1050"/>
        </w:tabs>
        <w:adjustRightInd w:val="0"/>
        <w:snapToGrid w:val="0"/>
        <w:spacing w:before="0" w:beforeAutospacing="0" w:after="0" w:afterAutospacing="0" w:line="360" w:lineRule="auto"/>
        <w:ind w:left="420"/>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投标人须在投标文件中出具符合以下情况的证明材料复印件（五选一）：</w:t>
      </w:r>
    </w:p>
    <w:p w14:paraId="5EFFAF14">
      <w:pPr>
        <w:pStyle w:val="47"/>
        <w:numPr>
          <w:ilvl w:val="0"/>
          <w:numId w:val="0"/>
        </w:numPr>
        <w:tabs>
          <w:tab w:val="left" w:pos="312"/>
        </w:tabs>
        <w:adjustRightInd w:val="0"/>
        <w:snapToGrid w:val="0"/>
        <w:spacing w:before="0" w:beforeAutospacing="0" w:after="0" w:afterAutospacing="0" w:line="360" w:lineRule="auto"/>
        <w:ind w:leftChars="200"/>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lang w:val="en-US" w:eastAsia="zh-CN"/>
        </w:rPr>
        <w:t>①</w:t>
      </w:r>
      <w:r>
        <w:rPr>
          <w:rFonts w:hint="eastAsia" w:ascii="宋体" w:hAnsi="宋体" w:eastAsia="宋体" w:cs="宋体"/>
          <w:bCs/>
          <w:color w:val="auto"/>
          <w:sz w:val="22"/>
          <w:szCs w:val="22"/>
          <w:highlight w:val="none"/>
        </w:rPr>
        <w:t>如投标人是企业（包括合伙企业），提供在工商部门注册的有效“企业法人营业执照”或“营业执照”；</w:t>
      </w:r>
    </w:p>
    <w:p w14:paraId="373495CA">
      <w:pPr>
        <w:pStyle w:val="47"/>
        <w:numPr>
          <w:ilvl w:val="0"/>
          <w:numId w:val="0"/>
        </w:numPr>
        <w:tabs>
          <w:tab w:val="left" w:pos="312"/>
        </w:tabs>
        <w:adjustRightInd w:val="0"/>
        <w:snapToGrid w:val="0"/>
        <w:spacing w:before="0" w:beforeAutospacing="0" w:after="0" w:afterAutospacing="0" w:line="360" w:lineRule="auto"/>
        <w:ind w:leftChars="200"/>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lang w:val="en-US" w:eastAsia="zh-CN"/>
        </w:rPr>
        <w:t>②</w:t>
      </w:r>
      <w:r>
        <w:rPr>
          <w:rFonts w:hint="eastAsia" w:ascii="宋体" w:hAnsi="宋体" w:eastAsia="宋体" w:cs="宋体"/>
          <w:bCs/>
          <w:color w:val="auto"/>
          <w:sz w:val="22"/>
          <w:szCs w:val="22"/>
          <w:highlight w:val="none"/>
        </w:rPr>
        <w:t>如投标人是事业单位，提供有效的“事业单位法人证书”；</w:t>
      </w:r>
    </w:p>
    <w:p w14:paraId="5B4BC73D">
      <w:pPr>
        <w:pStyle w:val="47"/>
        <w:numPr>
          <w:ilvl w:val="0"/>
          <w:numId w:val="0"/>
        </w:numPr>
        <w:tabs>
          <w:tab w:val="left" w:pos="312"/>
        </w:tabs>
        <w:adjustRightInd w:val="0"/>
        <w:snapToGrid w:val="0"/>
        <w:spacing w:before="0" w:beforeAutospacing="0" w:after="0" w:afterAutospacing="0" w:line="360" w:lineRule="auto"/>
        <w:ind w:leftChars="200"/>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lang w:val="en-US" w:eastAsia="zh-CN"/>
        </w:rPr>
        <w:t>③</w:t>
      </w:r>
      <w:r>
        <w:rPr>
          <w:rFonts w:hint="eastAsia" w:ascii="宋体" w:hAnsi="宋体" w:eastAsia="宋体" w:cs="宋体"/>
          <w:bCs/>
          <w:color w:val="auto"/>
          <w:sz w:val="22"/>
          <w:szCs w:val="22"/>
          <w:highlight w:val="none"/>
        </w:rPr>
        <w:t>如投标人是非企业专业服务机构的，提供执业许可证等证明文件；</w:t>
      </w:r>
    </w:p>
    <w:p w14:paraId="7A762ECE">
      <w:pPr>
        <w:pStyle w:val="47"/>
        <w:numPr>
          <w:ilvl w:val="0"/>
          <w:numId w:val="0"/>
        </w:numPr>
        <w:tabs>
          <w:tab w:val="left" w:pos="312"/>
        </w:tabs>
        <w:adjustRightInd w:val="0"/>
        <w:snapToGrid w:val="0"/>
        <w:spacing w:before="0" w:beforeAutospacing="0" w:after="0" w:afterAutospacing="0" w:line="360" w:lineRule="auto"/>
        <w:ind w:leftChars="200"/>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lang w:val="en-US" w:eastAsia="zh-CN"/>
        </w:rPr>
        <w:t>④</w:t>
      </w:r>
      <w:r>
        <w:rPr>
          <w:rFonts w:hint="eastAsia" w:ascii="宋体" w:hAnsi="宋体" w:eastAsia="宋体" w:cs="宋体"/>
          <w:bCs/>
          <w:color w:val="auto"/>
          <w:sz w:val="22"/>
          <w:szCs w:val="22"/>
          <w:highlight w:val="none"/>
        </w:rPr>
        <w:t>如投标人是个体工商户，提供有效的“个体工商户营业执照”；</w:t>
      </w:r>
    </w:p>
    <w:p w14:paraId="07AF847C">
      <w:pPr>
        <w:pStyle w:val="47"/>
        <w:numPr>
          <w:ilvl w:val="0"/>
          <w:numId w:val="0"/>
        </w:numPr>
        <w:tabs>
          <w:tab w:val="left" w:pos="312"/>
        </w:tabs>
        <w:adjustRightInd w:val="0"/>
        <w:snapToGrid w:val="0"/>
        <w:spacing w:before="0" w:beforeAutospacing="0" w:after="0" w:afterAutospacing="0" w:line="360" w:lineRule="auto"/>
        <w:ind w:leftChars="200"/>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lang w:val="en-US" w:eastAsia="zh-CN"/>
        </w:rPr>
        <w:t>⑤</w:t>
      </w:r>
      <w:r>
        <w:rPr>
          <w:rFonts w:hint="eastAsia" w:ascii="宋体" w:hAnsi="宋体" w:eastAsia="宋体" w:cs="宋体"/>
          <w:bCs/>
          <w:color w:val="auto"/>
          <w:sz w:val="22"/>
          <w:szCs w:val="22"/>
          <w:highlight w:val="none"/>
        </w:rPr>
        <w:t>如投标人是自然人，提供有效的自然人身份证明（居民身份证正反面或公安机关出具的临时居民身份证正反面或港澳台胞证或护照）。</w:t>
      </w:r>
    </w:p>
    <w:p w14:paraId="25D8DDD3">
      <w:pPr>
        <w:pStyle w:val="47"/>
        <w:tabs>
          <w:tab w:val="left" w:pos="312"/>
        </w:tabs>
        <w:adjustRightInd w:val="0"/>
        <w:snapToGrid w:val="0"/>
        <w:spacing w:before="0" w:beforeAutospacing="0" w:after="0" w:afterAutospacing="0" w:line="360" w:lineRule="auto"/>
        <w:rPr>
          <w:rFonts w:hint="eastAsia" w:ascii="宋体" w:hAnsi="宋体" w:eastAsia="宋体" w:cs="宋体"/>
          <w:bCs/>
          <w:color w:val="auto"/>
          <w:sz w:val="22"/>
          <w:szCs w:val="22"/>
          <w:highlight w:val="none"/>
        </w:rPr>
      </w:pPr>
    </w:p>
    <w:p w14:paraId="2F8E1B82">
      <w:pPr>
        <w:pStyle w:val="218"/>
        <w:tabs>
          <w:tab w:val="left" w:pos="1212"/>
          <w:tab w:val="left" w:pos="3888"/>
        </w:tabs>
        <w:snapToGrid w:val="0"/>
        <w:spacing w:line="360" w:lineRule="auto"/>
        <w:ind w:firstLine="42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金融、保险、通讯等特定行业的全国性企业所设立的区域性分支机构，以及个体工商户、个人独资企业、合伙企业，如果已经依法办理了工商、税务和社保登记手续，并且获得总公司（总机构）授权或能够提供房产权证或其他有效财产证明材料（在投标文件中提供相关材料），证明其具备实际承担责任的能力和法定的缔结合同能力，可以独立参加政府采购活动，由单位负责人签署相关文件材料。</w:t>
      </w:r>
    </w:p>
    <w:p w14:paraId="05528120">
      <w:pP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p>
    <w:p w14:paraId="7E833B62">
      <w:pPr>
        <w:rPr>
          <w:rFonts w:hint="eastAsia" w:ascii="宋体" w:hAnsi="宋体" w:eastAsia="宋体" w:cs="宋体"/>
          <w:color w:val="auto"/>
          <w:highlight w:val="none"/>
        </w:rPr>
      </w:pPr>
    </w:p>
    <w:p w14:paraId="28858AC0">
      <w:pPr>
        <w:pStyle w:val="47"/>
        <w:keepNext w:val="0"/>
        <w:keepLines w:val="0"/>
        <w:pageBreakBefore w:val="0"/>
        <w:widowControl/>
        <w:numPr>
          <w:ilvl w:val="0"/>
          <w:numId w:val="0"/>
        </w:numPr>
        <w:tabs>
          <w:tab w:val="left" w:pos="630"/>
          <w:tab w:val="left" w:pos="840"/>
          <w:tab w:val="left" w:pos="1050"/>
        </w:tabs>
        <w:kinsoku/>
        <w:wordWrap/>
        <w:overflowPunct/>
        <w:topLinePunct w:val="0"/>
        <w:autoSpaceDE/>
        <w:autoSpaceDN/>
        <w:bidi w:val="0"/>
        <w:adjustRightInd w:val="0"/>
        <w:snapToGrid w:val="0"/>
        <w:spacing w:before="0" w:beforeAutospacing="0" w:after="0" w:afterAutospacing="0" w:line="360" w:lineRule="auto"/>
        <w:jc w:val="center"/>
        <w:textAlignment w:val="auto"/>
        <w:outlineLvl w:val="3"/>
        <w:rPr>
          <w:rFonts w:hint="eastAsia" w:cs="宋体"/>
          <w:b/>
          <w:bCs w:val="0"/>
          <w:color w:val="auto"/>
          <w:kern w:val="0"/>
          <w:sz w:val="28"/>
          <w:szCs w:val="28"/>
          <w:highlight w:val="none"/>
          <w:lang w:val="en-US" w:eastAsia="zh-CN" w:bidi="ar-SA"/>
        </w:rPr>
      </w:pPr>
      <w:r>
        <w:rPr>
          <w:rFonts w:hint="eastAsia" w:cs="宋体"/>
          <w:b/>
          <w:bCs w:val="0"/>
          <w:color w:val="auto"/>
          <w:kern w:val="0"/>
          <w:sz w:val="28"/>
          <w:szCs w:val="28"/>
          <w:highlight w:val="none"/>
          <w:lang w:val="en-US" w:eastAsia="zh-CN" w:bidi="ar-SA"/>
        </w:rPr>
        <w:t>3、投标人信用查询</w:t>
      </w:r>
    </w:p>
    <w:p w14:paraId="541C5904">
      <w:pPr>
        <w:tabs>
          <w:tab w:val="left" w:pos="360"/>
        </w:tabs>
        <w:spacing w:line="460" w:lineRule="exact"/>
        <w:ind w:firstLine="550" w:firstLineChars="250"/>
        <w:rPr>
          <w:rFonts w:hint="eastAsia" w:ascii="宋体" w:hAnsi="宋体" w:eastAsia="宋体" w:cs="宋体"/>
          <w:color w:val="auto"/>
          <w:sz w:val="22"/>
          <w:highlight w:val="none"/>
        </w:rPr>
      </w:pPr>
      <w:r>
        <w:rPr>
          <w:rFonts w:hint="eastAsia" w:ascii="宋体" w:hAnsi="宋体" w:eastAsia="宋体" w:cs="宋体"/>
          <w:color w:val="auto"/>
          <w:sz w:val="22"/>
          <w:highlight w:val="none"/>
        </w:rPr>
        <w:t>1、投标人信用信息查询的查询渠道：“信用中国”(www.creditchina.gov.cn)；“中国政府采购网”（http://www.ccgp.gov.cn/）；</w:t>
      </w:r>
    </w:p>
    <w:p w14:paraId="04F70C22">
      <w:pPr>
        <w:tabs>
          <w:tab w:val="left" w:pos="360"/>
        </w:tabs>
        <w:spacing w:line="460" w:lineRule="exact"/>
        <w:ind w:firstLine="550" w:firstLineChars="250"/>
        <w:rPr>
          <w:rFonts w:hint="eastAsia" w:ascii="宋体" w:hAnsi="宋体" w:eastAsia="宋体" w:cs="宋体"/>
          <w:color w:val="auto"/>
          <w:sz w:val="22"/>
          <w:highlight w:val="none"/>
        </w:rPr>
      </w:pPr>
      <w:r>
        <w:rPr>
          <w:rFonts w:hint="eastAsia" w:ascii="宋体" w:hAnsi="宋体" w:eastAsia="宋体" w:cs="宋体"/>
          <w:color w:val="auto"/>
          <w:sz w:val="22"/>
          <w:highlight w:val="none"/>
        </w:rPr>
        <w:t>2、投标人信用信息查询截止时点：招标公告发布之日至投标截止时间前。</w:t>
      </w:r>
    </w:p>
    <w:p w14:paraId="4A8AB46E">
      <w:pPr>
        <w:tabs>
          <w:tab w:val="left" w:pos="360"/>
        </w:tabs>
        <w:spacing w:line="460" w:lineRule="exact"/>
        <w:ind w:firstLine="550" w:firstLineChars="250"/>
        <w:rPr>
          <w:rFonts w:hint="eastAsia" w:ascii="宋体" w:hAnsi="宋体" w:eastAsia="宋体" w:cs="宋体"/>
          <w:color w:val="auto"/>
          <w:sz w:val="22"/>
          <w:highlight w:val="none"/>
        </w:rPr>
      </w:pPr>
      <w:r>
        <w:rPr>
          <w:rFonts w:hint="eastAsia" w:ascii="宋体" w:hAnsi="宋体" w:eastAsia="宋体" w:cs="宋体"/>
          <w:color w:val="auto"/>
          <w:sz w:val="22"/>
          <w:highlight w:val="none"/>
        </w:rPr>
        <w:t>3、投标人信用信息查询记录和证据留存的具体方式：</w:t>
      </w:r>
      <w:r>
        <w:rPr>
          <w:rFonts w:hint="eastAsia" w:ascii="宋体" w:hAnsi="宋体" w:eastAsia="宋体" w:cs="宋体"/>
          <w:b/>
          <w:bCs/>
          <w:color w:val="auto"/>
          <w:sz w:val="22"/>
          <w:highlight w:val="none"/>
        </w:rPr>
        <w:t>网页截图</w:t>
      </w:r>
      <w:r>
        <w:rPr>
          <w:rFonts w:hint="eastAsia" w:ascii="宋体" w:hAnsi="宋体" w:eastAsia="宋体" w:cs="宋体"/>
          <w:color w:val="auto"/>
          <w:sz w:val="22"/>
          <w:highlight w:val="none"/>
        </w:rPr>
        <w:t>；</w:t>
      </w:r>
    </w:p>
    <w:p w14:paraId="15F8A598">
      <w:pPr>
        <w:tabs>
          <w:tab w:val="left" w:pos="360"/>
        </w:tabs>
        <w:spacing w:line="460" w:lineRule="exact"/>
        <w:ind w:firstLine="550" w:firstLineChars="250"/>
        <w:rPr>
          <w:rFonts w:hint="eastAsia" w:ascii="宋体" w:hAnsi="宋体" w:eastAsia="宋体" w:cs="宋体"/>
          <w:b w:val="0"/>
          <w:bCs w:val="0"/>
          <w:color w:val="auto"/>
          <w:sz w:val="22"/>
          <w:szCs w:val="22"/>
          <w:highlight w:val="none"/>
          <w:u w:val="none"/>
        </w:rPr>
      </w:pPr>
      <w:r>
        <w:rPr>
          <w:rFonts w:hint="eastAsia" w:ascii="宋体" w:hAnsi="宋体" w:eastAsia="宋体" w:cs="宋体"/>
          <w:b w:val="0"/>
          <w:bCs w:val="0"/>
          <w:color w:val="auto"/>
          <w:sz w:val="22"/>
          <w:highlight w:val="none"/>
          <w:u w:val="none"/>
        </w:rPr>
        <w:t>4、信用信息的使用规则：对列入失信被执行人、重大税收违法案件当事人名单、政府采购严重违法失信行为记录名单的投标人，其投标将作无效标处理。</w:t>
      </w:r>
    </w:p>
    <w:p w14:paraId="1D5EBB57">
      <w:pPr>
        <w:rPr>
          <w:rFonts w:hint="eastAsia" w:cs="宋体"/>
          <w:b/>
          <w:bCs w:val="0"/>
          <w:color w:val="auto"/>
          <w:kern w:val="0"/>
          <w:sz w:val="28"/>
          <w:szCs w:val="28"/>
          <w:highlight w:val="none"/>
          <w:lang w:val="en-US" w:eastAsia="zh-CN" w:bidi="ar-SA"/>
        </w:rPr>
      </w:pPr>
    </w:p>
    <w:p w14:paraId="2455D8FD">
      <w:pPr>
        <w:rPr>
          <w:rFonts w:hint="eastAsia" w:cs="宋体"/>
          <w:b/>
          <w:bCs w:val="0"/>
          <w:color w:val="auto"/>
          <w:kern w:val="0"/>
          <w:sz w:val="28"/>
          <w:szCs w:val="28"/>
          <w:highlight w:val="none"/>
          <w:lang w:val="en-US" w:eastAsia="zh-CN" w:bidi="ar-SA"/>
        </w:rPr>
      </w:pPr>
      <w:r>
        <w:rPr>
          <w:rFonts w:hint="eastAsia" w:cs="宋体"/>
          <w:b/>
          <w:bCs w:val="0"/>
          <w:color w:val="auto"/>
          <w:kern w:val="0"/>
          <w:sz w:val="28"/>
          <w:szCs w:val="28"/>
          <w:highlight w:val="none"/>
          <w:lang w:val="en-US" w:eastAsia="zh-CN" w:bidi="ar-SA"/>
        </w:rPr>
        <w:br w:type="page"/>
      </w:r>
    </w:p>
    <w:p w14:paraId="28F6E63B">
      <w:pPr>
        <w:pStyle w:val="47"/>
        <w:keepNext w:val="0"/>
        <w:keepLines w:val="0"/>
        <w:pageBreakBefore w:val="0"/>
        <w:widowControl/>
        <w:numPr>
          <w:ilvl w:val="0"/>
          <w:numId w:val="0"/>
        </w:numPr>
        <w:tabs>
          <w:tab w:val="left" w:pos="630"/>
          <w:tab w:val="left" w:pos="840"/>
          <w:tab w:val="left" w:pos="1050"/>
        </w:tabs>
        <w:kinsoku/>
        <w:wordWrap/>
        <w:overflowPunct/>
        <w:topLinePunct w:val="0"/>
        <w:autoSpaceDE/>
        <w:autoSpaceDN/>
        <w:bidi w:val="0"/>
        <w:adjustRightInd w:val="0"/>
        <w:snapToGrid w:val="0"/>
        <w:spacing w:before="0" w:beforeAutospacing="0" w:after="0" w:afterAutospacing="0" w:line="360" w:lineRule="auto"/>
        <w:jc w:val="center"/>
        <w:textAlignment w:val="auto"/>
        <w:outlineLvl w:val="3"/>
        <w:rPr>
          <w:rFonts w:hint="eastAsia" w:cs="宋体"/>
          <w:b/>
          <w:bCs w:val="0"/>
          <w:color w:val="auto"/>
          <w:kern w:val="0"/>
          <w:sz w:val="28"/>
          <w:szCs w:val="28"/>
          <w:highlight w:val="none"/>
          <w:lang w:val="en-US" w:eastAsia="zh-CN" w:bidi="ar-SA"/>
        </w:rPr>
      </w:pPr>
      <w:r>
        <w:rPr>
          <w:rFonts w:hint="eastAsia" w:cs="宋体"/>
          <w:b/>
          <w:bCs w:val="0"/>
          <w:color w:val="auto"/>
          <w:kern w:val="0"/>
          <w:sz w:val="28"/>
          <w:szCs w:val="28"/>
          <w:highlight w:val="none"/>
          <w:lang w:val="en-US" w:eastAsia="zh-CN" w:bidi="ar-SA"/>
        </w:rPr>
        <w:t>4、采购活动现场确认声明书</w:t>
      </w:r>
    </w:p>
    <w:p w14:paraId="32E5C02C">
      <w:pPr>
        <w:spacing w:line="460" w:lineRule="exact"/>
        <w:rPr>
          <w:rFonts w:hint="eastAsia" w:ascii="宋体" w:hAnsi="宋体" w:eastAsia="宋体" w:cs="宋体"/>
          <w:b/>
          <w:bCs/>
          <w:color w:val="auto"/>
          <w:sz w:val="22"/>
          <w:szCs w:val="22"/>
          <w:highlight w:val="none"/>
        </w:rPr>
      </w:pPr>
    </w:p>
    <w:p w14:paraId="08DE4D27">
      <w:pPr>
        <w:spacing w:line="460" w:lineRule="exact"/>
        <w:rPr>
          <w:rFonts w:hint="eastAsia" w:ascii="宋体" w:hAnsi="宋体" w:eastAsia="宋体" w:cs="宋体"/>
          <w:b/>
          <w:bCs/>
          <w:color w:val="auto"/>
          <w:sz w:val="22"/>
          <w:szCs w:val="22"/>
          <w:highlight w:val="none"/>
        </w:rPr>
      </w:pPr>
      <w:r>
        <w:rPr>
          <w:rFonts w:hint="eastAsia" w:ascii="宋体" w:hAnsi="宋体" w:eastAsia="宋体" w:cs="宋体"/>
          <w:color w:val="auto"/>
          <w:sz w:val="22"/>
          <w:szCs w:val="22"/>
          <w:highlight w:val="none"/>
          <w:lang w:eastAsia="zh-CN"/>
        </w:rPr>
        <w:t>温州历程招标有限公司</w:t>
      </w:r>
      <w:r>
        <w:rPr>
          <w:rFonts w:hint="eastAsia" w:ascii="宋体" w:hAnsi="宋体" w:eastAsia="宋体" w:cs="宋体"/>
          <w:color w:val="auto"/>
          <w:sz w:val="22"/>
          <w:szCs w:val="22"/>
          <w:highlight w:val="none"/>
        </w:rPr>
        <w:t>：</w:t>
      </w:r>
    </w:p>
    <w:p w14:paraId="41B12B81">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本人经由</w:t>
      </w:r>
      <w:r>
        <w:rPr>
          <w:rFonts w:hint="eastAsia" w:ascii="宋体" w:hAnsi="宋体" w:eastAsia="宋体" w:cs="宋体"/>
          <w:color w:val="auto"/>
          <w:kern w:val="0"/>
          <w:sz w:val="22"/>
          <w:szCs w:val="22"/>
          <w:highlight w:val="none"/>
          <w:u w:val="single"/>
        </w:rPr>
        <w:t xml:space="preserve">            </w:t>
      </w:r>
      <w:r>
        <w:rPr>
          <w:rFonts w:hint="eastAsia" w:ascii="宋体" w:hAnsi="宋体" w:eastAsia="宋体" w:cs="宋体"/>
          <w:color w:val="auto"/>
          <w:kern w:val="0"/>
          <w:sz w:val="22"/>
          <w:szCs w:val="22"/>
          <w:highlight w:val="none"/>
        </w:rPr>
        <w:t>（供应商名称）负责人</w:t>
      </w:r>
      <w:r>
        <w:rPr>
          <w:rFonts w:hint="eastAsia" w:ascii="宋体" w:hAnsi="宋体" w:eastAsia="宋体" w:cs="宋体"/>
          <w:color w:val="auto"/>
          <w:kern w:val="0"/>
          <w:sz w:val="22"/>
          <w:szCs w:val="22"/>
          <w:highlight w:val="none"/>
          <w:u w:val="single"/>
        </w:rPr>
        <w:t xml:space="preserve">        </w:t>
      </w:r>
      <w:r>
        <w:rPr>
          <w:rFonts w:hint="eastAsia" w:ascii="宋体" w:hAnsi="宋体" w:eastAsia="宋体" w:cs="宋体"/>
          <w:color w:val="auto"/>
          <w:kern w:val="0"/>
          <w:sz w:val="22"/>
          <w:szCs w:val="22"/>
          <w:highlight w:val="none"/>
        </w:rPr>
        <w:t>（姓名）合法授权参加</w:t>
      </w:r>
      <w:r>
        <w:rPr>
          <w:rFonts w:hint="eastAsia" w:ascii="宋体" w:hAnsi="宋体" w:eastAsia="宋体" w:cs="宋体"/>
          <w:color w:val="auto"/>
          <w:kern w:val="0"/>
          <w:sz w:val="22"/>
          <w:szCs w:val="22"/>
          <w:highlight w:val="none"/>
          <w:u w:val="single"/>
        </w:rPr>
        <w:t xml:space="preserve">             </w:t>
      </w:r>
      <w:r>
        <w:rPr>
          <w:rFonts w:hint="eastAsia" w:ascii="宋体" w:hAnsi="宋体" w:eastAsia="宋体" w:cs="宋体"/>
          <w:color w:val="auto"/>
          <w:kern w:val="0"/>
          <w:sz w:val="22"/>
          <w:szCs w:val="22"/>
          <w:highlight w:val="none"/>
        </w:rPr>
        <w:t>项目（编号：</w:t>
      </w:r>
      <w:r>
        <w:rPr>
          <w:rFonts w:hint="eastAsia" w:ascii="宋体" w:hAnsi="宋体" w:eastAsia="宋体" w:cs="宋体"/>
          <w:color w:val="auto"/>
          <w:kern w:val="0"/>
          <w:sz w:val="22"/>
          <w:szCs w:val="22"/>
          <w:highlight w:val="none"/>
          <w:u w:val="single"/>
        </w:rPr>
        <w:t xml:space="preserve">                </w:t>
      </w:r>
      <w:r>
        <w:rPr>
          <w:rFonts w:hint="eastAsia" w:ascii="宋体" w:hAnsi="宋体" w:eastAsia="宋体" w:cs="宋体"/>
          <w:color w:val="auto"/>
          <w:kern w:val="0"/>
          <w:sz w:val="22"/>
          <w:szCs w:val="22"/>
          <w:highlight w:val="none"/>
        </w:rPr>
        <w:t>）采购活动，经与本单位法人代表（负责人）联系确认，现就有关公平竞争事项郑重声明如下：</w:t>
      </w:r>
    </w:p>
    <w:p w14:paraId="20F73682">
      <w:pPr>
        <w:numPr>
          <w:ilvl w:val="0"/>
          <w:numId w:val="3"/>
        </w:numPr>
        <w:spacing w:line="460" w:lineRule="exac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本单位与招标人之间 □不存在利害关系 □存在下列利害关系：</w:t>
      </w:r>
      <w:r>
        <w:rPr>
          <w:rFonts w:hint="eastAsia" w:ascii="宋体" w:hAnsi="宋体" w:eastAsia="宋体" w:cs="宋体"/>
          <w:color w:val="auto"/>
          <w:kern w:val="0"/>
          <w:sz w:val="22"/>
          <w:szCs w:val="22"/>
          <w:highlight w:val="none"/>
        </w:rPr>
        <w:br w:type="textWrapping"/>
      </w:r>
      <w:r>
        <w:rPr>
          <w:rFonts w:hint="eastAsia" w:ascii="宋体" w:hAnsi="宋体" w:eastAsia="宋体" w:cs="宋体"/>
          <w:color w:val="auto"/>
          <w:kern w:val="0"/>
          <w:sz w:val="22"/>
          <w:szCs w:val="22"/>
          <w:highlight w:val="none"/>
        </w:rPr>
        <w:t xml:space="preserve">      A.投资关系    </w:t>
      </w:r>
    </w:p>
    <w:p w14:paraId="670424DD">
      <w:pPr>
        <w:spacing w:line="460" w:lineRule="exact"/>
        <w:ind w:firstLine="660" w:firstLineChars="3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 xml:space="preserve">B.行政隶属关系    </w:t>
      </w:r>
    </w:p>
    <w:p w14:paraId="4D11E0C5">
      <w:pPr>
        <w:spacing w:line="460" w:lineRule="exact"/>
        <w:ind w:firstLine="660" w:firstLineChars="3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 xml:space="preserve">C.业务指导关系  </w:t>
      </w:r>
    </w:p>
    <w:p w14:paraId="7D06999B">
      <w:pPr>
        <w:spacing w:line="460" w:lineRule="exact"/>
        <w:ind w:firstLine="660" w:firstLineChars="300"/>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D.其他可能影响采购公正的利害关系</w:t>
      </w:r>
      <w:r>
        <w:rPr>
          <w:rStyle w:val="332"/>
          <w:rFonts w:hint="eastAsia" w:ascii="宋体" w:hAnsi="宋体" w:eastAsia="宋体" w:cs="宋体"/>
          <w:color w:val="auto"/>
          <w:sz w:val="22"/>
          <w:szCs w:val="22"/>
          <w:highlight w:val="none"/>
        </w:rPr>
        <w:t xml:space="preserve">（如有，请如实说明）                 </w:t>
      </w:r>
      <w:r>
        <w:rPr>
          <w:rFonts w:hint="eastAsia" w:ascii="宋体" w:hAnsi="宋体" w:eastAsia="宋体" w:cs="宋体"/>
          <w:color w:val="auto"/>
          <w:kern w:val="0"/>
          <w:sz w:val="22"/>
          <w:szCs w:val="22"/>
          <w:highlight w:val="none"/>
        </w:rPr>
        <w:t>。</w:t>
      </w:r>
    </w:p>
    <w:p w14:paraId="5DA9F7D8">
      <w:pPr>
        <w:numPr>
          <w:ilvl w:val="0"/>
          <w:numId w:val="3"/>
        </w:numPr>
        <w:spacing w:line="460" w:lineRule="exac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 xml:space="preserve">现已清楚知道参加本项目采购活动的其他所有供应商名称，本单位 </w:t>
      </w:r>
      <w:r>
        <w:rPr>
          <w:rFonts w:hint="eastAsia" w:ascii="宋体" w:hAnsi="宋体" w:eastAsia="宋体" w:cs="宋体"/>
          <w:color w:val="auto"/>
          <w:kern w:val="0"/>
          <w:sz w:val="22"/>
          <w:szCs w:val="22"/>
          <w:highlight w:val="none"/>
        </w:rPr>
        <w:br w:type="textWrapping"/>
      </w:r>
      <w:r>
        <w:rPr>
          <w:rFonts w:hint="eastAsia" w:ascii="宋体" w:hAnsi="宋体" w:eastAsia="宋体" w:cs="宋体"/>
          <w:color w:val="auto"/>
          <w:kern w:val="0"/>
          <w:sz w:val="22"/>
          <w:szCs w:val="22"/>
          <w:highlight w:val="none"/>
        </w:rPr>
        <w:t xml:space="preserve">      □与其他所有供应商之间均不存在利害关系 </w:t>
      </w:r>
      <w:r>
        <w:rPr>
          <w:rFonts w:hint="eastAsia" w:ascii="宋体" w:hAnsi="宋体" w:eastAsia="宋体" w:cs="宋体"/>
          <w:color w:val="auto"/>
          <w:kern w:val="0"/>
          <w:sz w:val="22"/>
          <w:szCs w:val="22"/>
          <w:highlight w:val="none"/>
        </w:rPr>
        <w:br w:type="textWrapping"/>
      </w:r>
      <w:r>
        <w:rPr>
          <w:rFonts w:hint="eastAsia" w:ascii="宋体" w:hAnsi="宋体" w:eastAsia="宋体" w:cs="宋体"/>
          <w:color w:val="auto"/>
          <w:kern w:val="0"/>
          <w:sz w:val="22"/>
          <w:szCs w:val="22"/>
          <w:highlight w:val="none"/>
        </w:rPr>
        <w:t xml:space="preserve">      □与</w:t>
      </w:r>
      <w:r>
        <w:rPr>
          <w:rFonts w:hint="eastAsia" w:ascii="宋体" w:hAnsi="宋体" w:eastAsia="宋体" w:cs="宋体"/>
          <w:color w:val="auto"/>
          <w:kern w:val="0"/>
          <w:sz w:val="22"/>
          <w:szCs w:val="22"/>
          <w:highlight w:val="none"/>
          <w:u w:val="single"/>
        </w:rPr>
        <w:t xml:space="preserve">           （</w:t>
      </w:r>
      <w:r>
        <w:rPr>
          <w:rFonts w:hint="eastAsia" w:ascii="宋体" w:hAnsi="宋体" w:eastAsia="宋体" w:cs="宋体"/>
          <w:color w:val="auto"/>
          <w:kern w:val="0"/>
          <w:sz w:val="22"/>
          <w:szCs w:val="22"/>
          <w:highlight w:val="none"/>
        </w:rPr>
        <w:t>供应商名称）之间存在下列利害关系</w:t>
      </w:r>
      <w:r>
        <w:rPr>
          <w:rFonts w:hint="eastAsia" w:ascii="宋体" w:hAnsi="宋体" w:eastAsia="宋体" w:cs="宋体"/>
          <w:color w:val="auto"/>
          <w:kern w:val="0"/>
          <w:sz w:val="22"/>
          <w:szCs w:val="22"/>
          <w:highlight w:val="none"/>
          <w:u w:val="single"/>
        </w:rPr>
        <w:t xml:space="preserve">          </w:t>
      </w:r>
      <w:r>
        <w:rPr>
          <w:rFonts w:hint="eastAsia" w:ascii="宋体" w:hAnsi="宋体" w:eastAsia="宋体" w:cs="宋体"/>
          <w:color w:val="auto"/>
          <w:kern w:val="0"/>
          <w:sz w:val="22"/>
          <w:szCs w:val="22"/>
          <w:highlight w:val="none"/>
        </w:rPr>
        <w:t>：</w:t>
      </w:r>
      <w:r>
        <w:rPr>
          <w:rFonts w:hint="eastAsia" w:ascii="宋体" w:hAnsi="宋体" w:eastAsia="宋体" w:cs="宋体"/>
          <w:color w:val="auto"/>
          <w:kern w:val="0"/>
          <w:sz w:val="22"/>
          <w:szCs w:val="22"/>
          <w:highlight w:val="none"/>
        </w:rPr>
        <w:br w:type="textWrapping"/>
      </w:r>
      <w:r>
        <w:rPr>
          <w:rFonts w:hint="eastAsia" w:ascii="宋体" w:hAnsi="宋体" w:eastAsia="宋体" w:cs="宋体"/>
          <w:color w:val="auto"/>
          <w:kern w:val="0"/>
          <w:sz w:val="22"/>
          <w:szCs w:val="22"/>
          <w:highlight w:val="none"/>
        </w:rPr>
        <w:t xml:space="preserve">      A.法定代表人或负责人或实际控制人是同一人</w:t>
      </w:r>
      <w:r>
        <w:rPr>
          <w:rFonts w:hint="eastAsia" w:ascii="宋体" w:hAnsi="宋体" w:eastAsia="宋体" w:cs="宋体"/>
          <w:color w:val="auto"/>
          <w:kern w:val="0"/>
          <w:sz w:val="22"/>
          <w:szCs w:val="22"/>
          <w:highlight w:val="none"/>
        </w:rPr>
        <w:br w:type="textWrapping"/>
      </w:r>
      <w:r>
        <w:rPr>
          <w:rFonts w:hint="eastAsia" w:ascii="宋体" w:hAnsi="宋体" w:eastAsia="宋体" w:cs="宋体"/>
          <w:color w:val="auto"/>
          <w:kern w:val="0"/>
          <w:sz w:val="22"/>
          <w:szCs w:val="22"/>
          <w:highlight w:val="none"/>
        </w:rPr>
        <w:t xml:space="preserve">      B.法定代表人或负责人或实际控制人是夫妻关系</w:t>
      </w:r>
      <w:r>
        <w:rPr>
          <w:rFonts w:hint="eastAsia" w:ascii="宋体" w:hAnsi="宋体" w:eastAsia="宋体" w:cs="宋体"/>
          <w:color w:val="auto"/>
          <w:kern w:val="0"/>
          <w:sz w:val="22"/>
          <w:szCs w:val="22"/>
          <w:highlight w:val="none"/>
        </w:rPr>
        <w:br w:type="textWrapping"/>
      </w:r>
      <w:r>
        <w:rPr>
          <w:rFonts w:hint="eastAsia" w:ascii="宋体" w:hAnsi="宋体" w:eastAsia="宋体" w:cs="宋体"/>
          <w:color w:val="auto"/>
          <w:kern w:val="0"/>
          <w:sz w:val="22"/>
          <w:szCs w:val="22"/>
          <w:highlight w:val="none"/>
        </w:rPr>
        <w:t xml:space="preserve">      C.法定代表人或负责人或实际控制人是直系血亲关系</w:t>
      </w:r>
      <w:r>
        <w:rPr>
          <w:rFonts w:hint="eastAsia" w:ascii="宋体" w:hAnsi="宋体" w:eastAsia="宋体" w:cs="宋体"/>
          <w:color w:val="auto"/>
          <w:kern w:val="0"/>
          <w:sz w:val="22"/>
          <w:szCs w:val="22"/>
          <w:highlight w:val="none"/>
        </w:rPr>
        <w:br w:type="textWrapping"/>
      </w:r>
      <w:r>
        <w:rPr>
          <w:rFonts w:hint="eastAsia" w:ascii="宋体" w:hAnsi="宋体" w:eastAsia="宋体" w:cs="宋体"/>
          <w:color w:val="auto"/>
          <w:kern w:val="0"/>
          <w:sz w:val="22"/>
          <w:szCs w:val="22"/>
          <w:highlight w:val="none"/>
        </w:rPr>
        <w:t xml:space="preserve">      D.法定代表人或负责人或实际控制人存在三代以内旁系血亲关系</w:t>
      </w:r>
      <w:r>
        <w:rPr>
          <w:rFonts w:hint="eastAsia" w:ascii="宋体" w:hAnsi="宋体" w:eastAsia="宋体" w:cs="宋体"/>
          <w:color w:val="auto"/>
          <w:kern w:val="0"/>
          <w:sz w:val="22"/>
          <w:szCs w:val="22"/>
          <w:highlight w:val="none"/>
        </w:rPr>
        <w:br w:type="textWrapping"/>
      </w:r>
      <w:r>
        <w:rPr>
          <w:rFonts w:hint="eastAsia" w:ascii="宋体" w:hAnsi="宋体" w:eastAsia="宋体" w:cs="宋体"/>
          <w:color w:val="auto"/>
          <w:kern w:val="0"/>
          <w:sz w:val="22"/>
          <w:szCs w:val="22"/>
          <w:highlight w:val="none"/>
        </w:rPr>
        <w:t xml:space="preserve">      E.法定代表人或负责人或实际控制人存在近姻亲关系</w:t>
      </w:r>
      <w:r>
        <w:rPr>
          <w:rFonts w:hint="eastAsia" w:ascii="宋体" w:hAnsi="宋体" w:eastAsia="宋体" w:cs="宋体"/>
          <w:color w:val="auto"/>
          <w:kern w:val="0"/>
          <w:sz w:val="22"/>
          <w:szCs w:val="22"/>
          <w:highlight w:val="none"/>
        </w:rPr>
        <w:br w:type="textWrapping"/>
      </w:r>
      <w:r>
        <w:rPr>
          <w:rFonts w:hint="eastAsia" w:ascii="宋体" w:hAnsi="宋体" w:eastAsia="宋体" w:cs="宋体"/>
          <w:color w:val="auto"/>
          <w:kern w:val="0"/>
          <w:sz w:val="22"/>
          <w:szCs w:val="22"/>
          <w:highlight w:val="none"/>
        </w:rPr>
        <w:t xml:space="preserve">      F.法定代表人或负责人或实际控制人存在股份控制或实际控制关系</w:t>
      </w:r>
      <w:r>
        <w:rPr>
          <w:rFonts w:hint="eastAsia" w:ascii="宋体" w:hAnsi="宋体" w:eastAsia="宋体" w:cs="宋体"/>
          <w:color w:val="auto"/>
          <w:kern w:val="0"/>
          <w:sz w:val="22"/>
          <w:szCs w:val="22"/>
          <w:highlight w:val="none"/>
        </w:rPr>
        <w:br w:type="textWrapping"/>
      </w:r>
      <w:r>
        <w:rPr>
          <w:rFonts w:hint="eastAsia" w:ascii="宋体" w:hAnsi="宋体" w:eastAsia="宋体" w:cs="宋体"/>
          <w:color w:val="auto"/>
          <w:kern w:val="0"/>
          <w:sz w:val="22"/>
          <w:szCs w:val="22"/>
          <w:highlight w:val="none"/>
        </w:rPr>
        <w:t xml:space="preserve">      G.存在共同直接或间接投资设立子公司、联营企业和合营企业情况</w:t>
      </w:r>
      <w:r>
        <w:rPr>
          <w:rFonts w:hint="eastAsia" w:ascii="宋体" w:hAnsi="宋体" w:eastAsia="宋体" w:cs="宋体"/>
          <w:color w:val="auto"/>
          <w:kern w:val="0"/>
          <w:sz w:val="22"/>
          <w:szCs w:val="22"/>
          <w:highlight w:val="none"/>
        </w:rPr>
        <w:br w:type="textWrapping"/>
      </w:r>
      <w:r>
        <w:rPr>
          <w:rFonts w:hint="eastAsia" w:ascii="宋体" w:hAnsi="宋体" w:eastAsia="宋体" w:cs="宋体"/>
          <w:color w:val="auto"/>
          <w:kern w:val="0"/>
          <w:sz w:val="22"/>
          <w:szCs w:val="22"/>
          <w:highlight w:val="none"/>
        </w:rPr>
        <w:t xml:space="preserve">      H.存在分级代理或代销关系、同一生产制造商关系、管理关系、重要业务（占主营业务收入50%以上）或重要财务往来关系（如融资）等其他实质性控制关系</w:t>
      </w:r>
      <w:r>
        <w:rPr>
          <w:rFonts w:hint="eastAsia" w:ascii="宋体" w:hAnsi="宋体" w:eastAsia="宋体" w:cs="宋体"/>
          <w:color w:val="auto"/>
          <w:kern w:val="0"/>
          <w:sz w:val="22"/>
          <w:szCs w:val="22"/>
          <w:highlight w:val="none"/>
        </w:rPr>
        <w:br w:type="textWrapping"/>
      </w:r>
      <w:r>
        <w:rPr>
          <w:rFonts w:hint="eastAsia" w:ascii="宋体" w:hAnsi="宋体" w:eastAsia="宋体" w:cs="宋体"/>
          <w:color w:val="auto"/>
          <w:kern w:val="0"/>
          <w:sz w:val="22"/>
          <w:szCs w:val="22"/>
          <w:highlight w:val="none"/>
        </w:rPr>
        <w:t xml:space="preserve">      I.其他利害关系情况</w:t>
      </w:r>
      <w:r>
        <w:rPr>
          <w:rFonts w:hint="eastAsia" w:ascii="宋体" w:hAnsi="宋体" w:eastAsia="宋体" w:cs="宋体"/>
          <w:color w:val="auto"/>
          <w:kern w:val="0"/>
          <w:sz w:val="22"/>
          <w:szCs w:val="22"/>
          <w:highlight w:val="none"/>
          <w:u w:val="single"/>
        </w:rPr>
        <w:t xml:space="preserve">                              。</w:t>
      </w:r>
    </w:p>
    <w:p w14:paraId="32243957">
      <w:pPr>
        <w:pStyle w:val="22"/>
        <w:spacing w:line="460" w:lineRule="exact"/>
        <w:ind w:left="0" w:firstLine="0" w:firstLineChars="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（三）现已清楚知道并严格遵守政府采购法律法规和现场纪律</w:t>
      </w:r>
    </w:p>
    <w:p w14:paraId="1549210A">
      <w:pPr>
        <w:pStyle w:val="22"/>
        <w:spacing w:line="460" w:lineRule="exact"/>
        <w:ind w:left="0" w:firstLine="0" w:firstLineChars="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（四）我发现</w:t>
      </w:r>
      <w:r>
        <w:rPr>
          <w:rStyle w:val="332"/>
          <w:rFonts w:hint="eastAsia" w:ascii="宋体" w:hAnsi="宋体" w:eastAsia="宋体" w:cs="宋体"/>
          <w:color w:val="auto"/>
          <w:sz w:val="22"/>
          <w:szCs w:val="22"/>
          <w:highlight w:val="none"/>
          <w:u w:val="single"/>
        </w:rPr>
        <w:t xml:space="preserve">                  </w:t>
      </w:r>
      <w:r>
        <w:rPr>
          <w:rStyle w:val="332"/>
          <w:rFonts w:hint="eastAsia" w:ascii="宋体" w:hAnsi="宋体" w:eastAsia="宋体" w:cs="宋体"/>
          <w:color w:val="auto"/>
          <w:sz w:val="22"/>
          <w:szCs w:val="22"/>
          <w:highlight w:val="none"/>
        </w:rPr>
        <w:t>与</w:t>
      </w:r>
      <w:r>
        <w:rPr>
          <w:rStyle w:val="332"/>
          <w:rFonts w:hint="eastAsia" w:ascii="宋体" w:hAnsi="宋体" w:eastAsia="宋体" w:cs="宋体"/>
          <w:color w:val="auto"/>
          <w:sz w:val="22"/>
          <w:szCs w:val="22"/>
          <w:highlight w:val="none"/>
          <w:u w:val="single"/>
        </w:rPr>
        <w:t xml:space="preserve">                  </w:t>
      </w:r>
      <w:r>
        <w:rPr>
          <w:rStyle w:val="332"/>
          <w:rFonts w:hint="eastAsia" w:ascii="宋体" w:hAnsi="宋体" w:eastAsia="宋体" w:cs="宋体"/>
          <w:color w:val="auto"/>
          <w:sz w:val="22"/>
          <w:szCs w:val="22"/>
          <w:highlight w:val="none"/>
        </w:rPr>
        <w:t>（供应商名称）</w:t>
      </w:r>
      <w:r>
        <w:rPr>
          <w:rFonts w:hint="eastAsia" w:ascii="宋体" w:hAnsi="宋体" w:eastAsia="宋体" w:cs="宋体"/>
          <w:color w:val="auto"/>
          <w:kern w:val="0"/>
          <w:sz w:val="22"/>
          <w:szCs w:val="22"/>
          <w:highlight w:val="none"/>
        </w:rPr>
        <w:t>之间存在或可能存在上述第二条第</w:t>
      </w:r>
      <w:r>
        <w:rPr>
          <w:rStyle w:val="332"/>
          <w:rFonts w:hint="eastAsia" w:ascii="宋体" w:hAnsi="宋体" w:eastAsia="宋体" w:cs="宋体"/>
          <w:color w:val="auto"/>
          <w:sz w:val="22"/>
          <w:szCs w:val="22"/>
          <w:highlight w:val="none"/>
          <w:u w:val="single"/>
        </w:rPr>
        <w:t xml:space="preserve">        </w:t>
      </w:r>
      <w:r>
        <w:rPr>
          <w:rFonts w:hint="eastAsia" w:ascii="宋体" w:hAnsi="宋体" w:eastAsia="宋体" w:cs="宋体"/>
          <w:color w:val="auto"/>
          <w:kern w:val="0"/>
          <w:sz w:val="22"/>
          <w:szCs w:val="22"/>
          <w:highlight w:val="none"/>
        </w:rPr>
        <w:t>项利害关系。</w:t>
      </w:r>
    </w:p>
    <w:p w14:paraId="3E437BA6">
      <w:pPr>
        <w:pStyle w:val="22"/>
        <w:spacing w:line="460" w:lineRule="exact"/>
        <w:ind w:left="0" w:firstLine="0" w:firstLineChars="0"/>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供应商代表签名:</w:t>
      </w:r>
    </w:p>
    <w:p w14:paraId="5C201131">
      <w:pPr>
        <w:pStyle w:val="22"/>
        <w:spacing w:line="460" w:lineRule="exact"/>
        <w:ind w:left="0" w:firstLine="0" w:firstLineChars="0"/>
        <w:jc w:val="right"/>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日期:202</w:t>
      </w:r>
      <w:r>
        <w:rPr>
          <w:rFonts w:hint="eastAsia" w:ascii="宋体" w:hAnsi="宋体" w:eastAsia="宋体" w:cs="宋体"/>
          <w:b/>
          <w:color w:val="auto"/>
          <w:kern w:val="0"/>
          <w:sz w:val="22"/>
          <w:szCs w:val="22"/>
          <w:highlight w:val="none"/>
          <w:lang w:val="en-US" w:eastAsia="zh-CN"/>
        </w:rPr>
        <w:t xml:space="preserve">  </w:t>
      </w:r>
      <w:r>
        <w:rPr>
          <w:rFonts w:hint="eastAsia" w:ascii="宋体" w:hAnsi="宋体" w:eastAsia="宋体" w:cs="宋体"/>
          <w:b/>
          <w:color w:val="auto"/>
          <w:kern w:val="0"/>
          <w:sz w:val="22"/>
          <w:szCs w:val="22"/>
          <w:highlight w:val="none"/>
        </w:rPr>
        <w:t>年    月    日</w:t>
      </w:r>
    </w:p>
    <w:p w14:paraId="79783611">
      <w:pPr>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br w:type="page"/>
      </w:r>
    </w:p>
    <w:p w14:paraId="6F447860">
      <w:pPr>
        <w:pStyle w:val="22"/>
        <w:keepNext w:val="0"/>
        <w:keepLines w:val="0"/>
        <w:pageBreakBefore w:val="0"/>
        <w:widowControl w:val="0"/>
        <w:kinsoku/>
        <w:wordWrap/>
        <w:overflowPunct/>
        <w:topLinePunct w:val="0"/>
        <w:autoSpaceDE/>
        <w:autoSpaceDN/>
        <w:bidi w:val="0"/>
        <w:adjustRightInd/>
        <w:snapToGrid/>
        <w:spacing w:line="460" w:lineRule="exact"/>
        <w:ind w:left="0" w:firstLine="0" w:firstLineChars="0"/>
        <w:jc w:val="left"/>
        <w:textAlignment w:val="auto"/>
        <w:outlineLvl w:val="3"/>
        <w:rPr>
          <w:rFonts w:hint="eastAsia" w:ascii="宋体" w:hAnsi="宋体" w:eastAsia="宋体" w:cs="宋体"/>
          <w:b/>
          <w:bCs w:val="0"/>
          <w:color w:val="auto"/>
          <w:kern w:val="0"/>
          <w:sz w:val="28"/>
          <w:szCs w:val="28"/>
          <w:highlight w:val="none"/>
          <w:lang w:val="en-US" w:eastAsia="zh-CN" w:bidi="ar-SA"/>
        </w:rPr>
      </w:pPr>
      <w:r>
        <w:rPr>
          <w:rFonts w:hint="eastAsia" w:ascii="宋体" w:hAnsi="宋体" w:eastAsia="宋体" w:cs="宋体"/>
          <w:b/>
          <w:bCs w:val="0"/>
          <w:color w:val="auto"/>
          <w:kern w:val="0"/>
          <w:sz w:val="28"/>
          <w:szCs w:val="28"/>
          <w:highlight w:val="none"/>
          <w:lang w:val="en-US" w:eastAsia="zh-CN" w:bidi="ar-SA"/>
        </w:rPr>
        <w:t>5、投标人具有有效的食品经营许可证（食品流通许可证）或食品生产许可证或相关备案证明材料。</w:t>
      </w:r>
    </w:p>
    <w:p w14:paraId="5E8929EF">
      <w:pP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br w:type="page"/>
      </w:r>
    </w:p>
    <w:p w14:paraId="3F678CF8">
      <w:pPr>
        <w:rPr>
          <w:rFonts w:hint="eastAsia" w:ascii="宋体" w:hAnsi="宋体" w:eastAsia="宋体" w:cs="宋体"/>
          <w:b/>
          <w:bCs/>
          <w:color w:val="auto"/>
          <w:sz w:val="22"/>
          <w:szCs w:val="22"/>
          <w:highlight w:val="none"/>
        </w:rPr>
      </w:pPr>
    </w:p>
    <w:p w14:paraId="7F86A5A6">
      <w:pPr>
        <w:outlineLvl w:val="1"/>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附件三</w:t>
      </w:r>
      <w:bookmarkEnd w:id="36"/>
      <w:bookmarkEnd w:id="37"/>
    </w:p>
    <w:p w14:paraId="1E67E444">
      <w:pPr>
        <w:spacing w:line="460" w:lineRule="exact"/>
        <w:jc w:val="center"/>
        <w:outlineLvl w:val="2"/>
        <w:rPr>
          <w:rFonts w:hint="eastAsia" w:ascii="宋体" w:hAnsi="宋体" w:eastAsia="宋体" w:cs="宋体"/>
          <w:b/>
          <w:bCs/>
          <w:color w:val="auto"/>
          <w:sz w:val="28"/>
          <w:szCs w:val="28"/>
          <w:highlight w:val="none"/>
          <w:lang w:val="zh-CN"/>
        </w:rPr>
      </w:pPr>
      <w:bookmarkStart w:id="38" w:name="_Toc13639"/>
      <w:bookmarkStart w:id="39" w:name="_Toc29102"/>
      <w:r>
        <w:rPr>
          <w:rFonts w:hint="eastAsia" w:ascii="宋体" w:hAnsi="宋体" w:eastAsia="宋体" w:cs="宋体"/>
          <w:b/>
          <w:bCs/>
          <w:color w:val="auto"/>
          <w:sz w:val="28"/>
          <w:szCs w:val="28"/>
          <w:highlight w:val="none"/>
          <w:lang w:val="zh-CN"/>
        </w:rPr>
        <w:t>商务技术文件</w:t>
      </w:r>
      <w:bookmarkEnd w:id="38"/>
      <w:bookmarkEnd w:id="39"/>
    </w:p>
    <w:p w14:paraId="4E094DC3">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宋体" w:hAnsi="宋体" w:eastAsia="宋体" w:cs="宋体"/>
          <w:b/>
          <w:bCs/>
          <w:color w:val="auto"/>
          <w:sz w:val="28"/>
          <w:szCs w:val="28"/>
          <w:highlight w:val="none"/>
          <w:lang w:val="en-US" w:eastAsia="zh-CN"/>
        </w:rPr>
      </w:pPr>
    </w:p>
    <w:p w14:paraId="725C8072">
      <w:pPr>
        <w:spacing w:line="400" w:lineRule="exact"/>
        <w:jc w:val="center"/>
        <w:outlineLvl w:val="3"/>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1、法定代表人授权书</w:t>
      </w:r>
    </w:p>
    <w:p w14:paraId="185FC2BB">
      <w:pPr>
        <w:spacing w:line="460" w:lineRule="exact"/>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eastAsia="zh-CN"/>
        </w:rPr>
        <w:t>温州市中心医院、</w:t>
      </w:r>
      <w:r>
        <w:rPr>
          <w:rFonts w:hint="eastAsia" w:ascii="宋体" w:hAnsi="宋体" w:cs="宋体"/>
          <w:color w:val="auto"/>
          <w:sz w:val="22"/>
          <w:szCs w:val="22"/>
          <w:highlight w:val="none"/>
          <w:lang w:val="en-US" w:eastAsia="zh-CN"/>
        </w:rPr>
        <w:t>温州历程招标有限公司</w:t>
      </w:r>
      <w:r>
        <w:rPr>
          <w:rFonts w:hint="eastAsia" w:ascii="宋体" w:hAnsi="宋体" w:eastAsia="宋体" w:cs="宋体"/>
          <w:color w:val="auto"/>
          <w:sz w:val="22"/>
          <w:szCs w:val="22"/>
          <w:highlight w:val="none"/>
        </w:rPr>
        <w:t>：</w:t>
      </w:r>
    </w:p>
    <w:p w14:paraId="33678C3D">
      <w:pPr>
        <w:spacing w:line="460" w:lineRule="exact"/>
        <w:rPr>
          <w:rFonts w:hint="eastAsia" w:ascii="宋体" w:hAnsi="宋体" w:eastAsia="宋体" w:cs="宋体"/>
          <w:color w:val="auto"/>
          <w:sz w:val="22"/>
          <w:szCs w:val="22"/>
          <w:highlight w:val="none"/>
          <w:u w:val="single"/>
        </w:rPr>
      </w:pPr>
    </w:p>
    <w:p w14:paraId="7E8D64A2">
      <w:pPr>
        <w:spacing w:line="460" w:lineRule="exact"/>
        <w:ind w:firstLine="550" w:firstLineChars="2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（投标人全称）法定代表人</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授权</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（全权代表姓名）为全权代表，参加贵处组织的（项目名称</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、编号</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）的招标活动，全权代表我方处理招标活动中的一切事宜。</w:t>
      </w:r>
    </w:p>
    <w:p w14:paraId="29445410">
      <w:pPr>
        <w:spacing w:line="460" w:lineRule="exact"/>
        <w:ind w:firstLine="2955"/>
        <w:rPr>
          <w:rFonts w:hint="eastAsia" w:ascii="宋体" w:hAnsi="宋体" w:eastAsia="宋体" w:cs="宋体"/>
          <w:color w:val="auto"/>
          <w:sz w:val="22"/>
          <w:szCs w:val="22"/>
          <w:highlight w:val="none"/>
        </w:rPr>
      </w:pPr>
    </w:p>
    <w:p w14:paraId="4BC16209">
      <w:pPr>
        <w:spacing w:line="460" w:lineRule="exact"/>
        <w:ind w:firstLine="295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w:t>
      </w:r>
    </w:p>
    <w:p w14:paraId="24B25145">
      <w:pPr>
        <w:spacing w:line="460" w:lineRule="exact"/>
        <w:ind w:firstLine="4081" w:firstLineChars="185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法定代表人 (签字或盖章)：</w:t>
      </w:r>
    </w:p>
    <w:p w14:paraId="16EA1AEC">
      <w:pPr>
        <w:spacing w:line="460" w:lineRule="exact"/>
        <w:ind w:firstLine="295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投标人全称（公章）：</w:t>
      </w:r>
    </w:p>
    <w:p w14:paraId="23D2969C">
      <w:pPr>
        <w:spacing w:line="460" w:lineRule="exact"/>
        <w:ind w:firstLine="295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日   期：  </w:t>
      </w:r>
    </w:p>
    <w:p w14:paraId="0F79A911">
      <w:pPr>
        <w:spacing w:line="380" w:lineRule="exact"/>
        <w:rPr>
          <w:rFonts w:hint="eastAsia" w:ascii="宋体" w:hAnsi="宋体" w:eastAsia="宋体" w:cs="宋体"/>
          <w:color w:val="auto"/>
          <w:sz w:val="22"/>
          <w:szCs w:val="22"/>
          <w:highlight w:val="none"/>
        </w:rPr>
      </w:pPr>
    </w:p>
    <w:p w14:paraId="4DB52ABC">
      <w:pPr>
        <w:spacing w:line="380" w:lineRule="exact"/>
        <w:rPr>
          <w:rFonts w:hint="eastAsia" w:ascii="宋体" w:hAnsi="宋体" w:eastAsia="宋体" w:cs="宋体"/>
          <w:color w:val="auto"/>
          <w:sz w:val="22"/>
          <w:szCs w:val="22"/>
          <w:highlight w:val="none"/>
        </w:rPr>
      </w:pPr>
    </w:p>
    <w:p w14:paraId="5FB429E0">
      <w:pPr>
        <w:spacing w:line="380" w:lineRule="exact"/>
        <w:rPr>
          <w:rFonts w:hint="eastAsia" w:ascii="宋体" w:hAnsi="宋体" w:eastAsia="宋体" w:cs="宋体"/>
          <w:color w:val="auto"/>
          <w:sz w:val="22"/>
          <w:szCs w:val="22"/>
          <w:highlight w:val="none"/>
        </w:rPr>
      </w:pPr>
    </w:p>
    <w:p w14:paraId="2581A0A6">
      <w:pPr>
        <w:spacing w:line="460" w:lineRule="exact"/>
        <w:ind w:firstLine="541" w:firstLineChars="245"/>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附：</w:t>
      </w:r>
    </w:p>
    <w:p w14:paraId="66D4222E">
      <w:pPr>
        <w:spacing w:line="460" w:lineRule="exact"/>
        <w:ind w:firstLine="539" w:firstLineChars="245"/>
        <w:rPr>
          <w:rFonts w:hint="eastAsia" w:ascii="宋体" w:hAnsi="宋体" w:eastAsia="宋体" w:cs="宋体"/>
          <w:b/>
          <w:bCs/>
          <w:color w:val="auto"/>
          <w:sz w:val="22"/>
          <w:szCs w:val="22"/>
          <w:highlight w:val="none"/>
        </w:rPr>
      </w:pPr>
      <w:r>
        <w:rPr>
          <w:rFonts w:hint="eastAsia" w:ascii="宋体" w:hAnsi="宋体" w:eastAsia="宋体" w:cs="宋体"/>
          <w:color w:val="auto"/>
          <w:sz w:val="22"/>
          <w:szCs w:val="22"/>
          <w:highlight w:val="none"/>
        </w:rPr>
        <w:t xml:space="preserve">授权代表姓名：                               </w:t>
      </w:r>
    </w:p>
    <w:p w14:paraId="74ABAA4A">
      <w:pPr>
        <w:spacing w:line="460" w:lineRule="exact"/>
        <w:ind w:firstLine="539" w:firstLineChars="245"/>
        <w:rPr>
          <w:rFonts w:hint="eastAsia" w:ascii="宋体" w:hAnsi="宋体" w:eastAsia="宋体" w:cs="宋体"/>
          <w:b/>
          <w:bCs/>
          <w:color w:val="auto"/>
          <w:sz w:val="22"/>
          <w:szCs w:val="22"/>
          <w:highlight w:val="none"/>
        </w:rPr>
      </w:pPr>
      <w:r>
        <w:rPr>
          <w:rFonts w:hint="eastAsia" w:ascii="宋体" w:hAnsi="宋体" w:eastAsia="宋体" w:cs="宋体"/>
          <w:color w:val="auto"/>
          <w:sz w:val="22"/>
          <w:szCs w:val="22"/>
          <w:highlight w:val="none"/>
        </w:rPr>
        <w:t>职务：</w:t>
      </w:r>
    </w:p>
    <w:p w14:paraId="0683F8BF">
      <w:pPr>
        <w:spacing w:line="460" w:lineRule="exact"/>
        <w:ind w:firstLine="539" w:firstLineChars="245"/>
        <w:rPr>
          <w:rFonts w:hint="eastAsia" w:ascii="宋体" w:hAnsi="宋体" w:eastAsia="宋体" w:cs="宋体"/>
          <w:b/>
          <w:bCs/>
          <w:color w:val="auto"/>
          <w:sz w:val="22"/>
          <w:szCs w:val="22"/>
          <w:highlight w:val="none"/>
        </w:rPr>
      </w:pPr>
      <w:r>
        <w:rPr>
          <w:rFonts w:hint="eastAsia" w:ascii="宋体" w:hAnsi="宋体" w:eastAsia="宋体" w:cs="宋体"/>
          <w:color w:val="auto"/>
          <w:sz w:val="22"/>
          <w:szCs w:val="22"/>
          <w:highlight w:val="none"/>
        </w:rPr>
        <w:t>详细通讯地址：</w:t>
      </w:r>
    </w:p>
    <w:p w14:paraId="0E64A520">
      <w:pPr>
        <w:spacing w:line="460" w:lineRule="exact"/>
        <w:ind w:firstLine="539" w:firstLineChars="245"/>
        <w:rPr>
          <w:rFonts w:hint="eastAsia" w:ascii="宋体" w:hAnsi="宋体" w:eastAsia="宋体" w:cs="宋体"/>
          <w:b/>
          <w:bCs/>
          <w:color w:val="auto"/>
          <w:sz w:val="22"/>
          <w:szCs w:val="22"/>
          <w:highlight w:val="none"/>
        </w:rPr>
      </w:pPr>
      <w:r>
        <w:rPr>
          <w:rFonts w:hint="eastAsia" w:ascii="宋体" w:hAnsi="宋体" w:eastAsia="宋体" w:cs="宋体"/>
          <w:color w:val="auto"/>
          <w:sz w:val="22"/>
          <w:szCs w:val="22"/>
          <w:highlight w:val="none"/>
        </w:rPr>
        <w:t>电话：</w:t>
      </w:r>
    </w:p>
    <w:p w14:paraId="7B772705">
      <w:pPr>
        <w:spacing w:line="460" w:lineRule="exact"/>
        <w:ind w:firstLine="539" w:firstLineChars="245"/>
        <w:rPr>
          <w:rFonts w:hint="eastAsia" w:ascii="宋体" w:hAnsi="宋体" w:eastAsia="宋体" w:cs="宋体"/>
          <w:b/>
          <w:bCs/>
          <w:color w:val="auto"/>
          <w:sz w:val="22"/>
          <w:szCs w:val="22"/>
          <w:highlight w:val="none"/>
        </w:rPr>
      </w:pPr>
      <w:r>
        <w:rPr>
          <w:rFonts w:hint="eastAsia" w:ascii="宋体" w:hAnsi="宋体" w:eastAsia="宋体" w:cs="宋体"/>
          <w:color w:val="auto"/>
          <w:sz w:val="22"/>
          <w:szCs w:val="22"/>
          <w:highlight w:val="none"/>
        </w:rPr>
        <w:t>传真：</w:t>
      </w:r>
    </w:p>
    <w:p w14:paraId="2E6131FC">
      <w:pPr>
        <w:spacing w:line="460" w:lineRule="exact"/>
        <w:ind w:firstLine="539" w:firstLineChars="245"/>
        <w:rPr>
          <w:rFonts w:hint="eastAsia" w:ascii="宋体" w:hAnsi="宋体" w:eastAsia="宋体" w:cs="宋体"/>
          <w:b/>
          <w:bCs/>
          <w:color w:val="auto"/>
          <w:sz w:val="22"/>
          <w:szCs w:val="22"/>
          <w:highlight w:val="none"/>
        </w:rPr>
      </w:pPr>
      <w:r>
        <w:rPr>
          <w:rFonts w:hint="eastAsia" w:ascii="宋体" w:hAnsi="宋体" w:eastAsia="宋体" w:cs="宋体"/>
          <w:color w:val="auto"/>
          <w:sz w:val="22"/>
          <w:szCs w:val="22"/>
          <w:highlight w:val="none"/>
        </w:rPr>
        <w:t>邮政编码:</w:t>
      </w:r>
    </w:p>
    <w:p w14:paraId="39481377">
      <w:pPr>
        <w:spacing w:line="380" w:lineRule="exact"/>
        <w:rPr>
          <w:rFonts w:hint="eastAsia" w:ascii="宋体" w:hAnsi="宋体" w:eastAsia="宋体" w:cs="宋体"/>
          <w:color w:val="auto"/>
          <w:sz w:val="22"/>
          <w:szCs w:val="22"/>
          <w:highlight w:val="none"/>
        </w:rPr>
      </w:pPr>
    </w:p>
    <w:p w14:paraId="1DB096E8">
      <w:pPr>
        <w:spacing w:line="460" w:lineRule="exact"/>
        <w:jc w:val="center"/>
        <w:rPr>
          <w:rFonts w:hint="eastAsia" w:ascii="宋体" w:hAnsi="宋体" w:eastAsia="宋体" w:cs="宋体"/>
          <w:b/>
          <w:bCs/>
          <w:color w:val="auto"/>
          <w:sz w:val="28"/>
          <w:szCs w:val="28"/>
          <w:highlight w:val="none"/>
        </w:rPr>
      </w:pPr>
    </w:p>
    <w:p w14:paraId="17B3D918">
      <w:pPr>
        <w:spacing w:line="460" w:lineRule="exact"/>
        <w:jc w:val="center"/>
        <w:rPr>
          <w:rFonts w:hint="eastAsia" w:ascii="宋体" w:hAnsi="宋体" w:eastAsia="宋体" w:cs="宋体"/>
          <w:b/>
          <w:bCs/>
          <w:color w:val="auto"/>
          <w:sz w:val="28"/>
          <w:szCs w:val="28"/>
          <w:highlight w:val="none"/>
        </w:rPr>
      </w:pPr>
    </w:p>
    <w:p w14:paraId="578463FA">
      <w:pPr>
        <w:spacing w:line="460" w:lineRule="exact"/>
        <w:jc w:val="center"/>
        <w:rPr>
          <w:rFonts w:hint="eastAsia" w:ascii="宋体" w:hAnsi="宋体" w:eastAsia="宋体" w:cs="宋体"/>
          <w:b/>
          <w:bCs/>
          <w:color w:val="auto"/>
          <w:sz w:val="28"/>
          <w:szCs w:val="28"/>
          <w:highlight w:val="none"/>
        </w:rPr>
      </w:pPr>
    </w:p>
    <w:p w14:paraId="5CFD65B5">
      <w:pPr>
        <w:spacing w:line="460" w:lineRule="exact"/>
        <w:jc w:val="center"/>
        <w:rPr>
          <w:rFonts w:hint="eastAsia" w:ascii="宋体" w:hAnsi="宋体" w:eastAsia="宋体" w:cs="宋体"/>
          <w:b/>
          <w:bCs/>
          <w:color w:val="auto"/>
          <w:sz w:val="28"/>
          <w:szCs w:val="28"/>
          <w:highlight w:val="none"/>
        </w:rPr>
      </w:pPr>
    </w:p>
    <w:p w14:paraId="092DA26F">
      <w:pPr>
        <w:spacing w:line="460" w:lineRule="exact"/>
        <w:jc w:val="center"/>
        <w:rPr>
          <w:rFonts w:hint="eastAsia" w:ascii="宋体" w:hAnsi="宋体" w:eastAsia="宋体" w:cs="宋体"/>
          <w:b/>
          <w:bCs/>
          <w:color w:val="auto"/>
          <w:sz w:val="28"/>
          <w:szCs w:val="28"/>
          <w:highlight w:val="none"/>
        </w:rPr>
      </w:pPr>
    </w:p>
    <w:p w14:paraId="447ECA14">
      <w:pPr>
        <w:spacing w:line="460" w:lineRule="exact"/>
        <w:jc w:val="center"/>
        <w:rPr>
          <w:rFonts w:hint="eastAsia" w:ascii="宋体" w:hAnsi="宋体" w:eastAsia="宋体" w:cs="宋体"/>
          <w:b/>
          <w:bCs/>
          <w:color w:val="auto"/>
          <w:sz w:val="28"/>
          <w:szCs w:val="28"/>
          <w:highlight w:val="none"/>
        </w:rPr>
      </w:pPr>
    </w:p>
    <w:p w14:paraId="6014FFBC">
      <w:pPr>
        <w:spacing w:line="460" w:lineRule="exact"/>
        <w:jc w:val="center"/>
        <w:rPr>
          <w:rFonts w:hint="eastAsia" w:ascii="宋体" w:hAnsi="宋体" w:eastAsia="宋体" w:cs="宋体"/>
          <w:b/>
          <w:bCs/>
          <w:color w:val="auto"/>
          <w:sz w:val="28"/>
          <w:szCs w:val="28"/>
          <w:highlight w:val="none"/>
        </w:rPr>
      </w:pPr>
    </w:p>
    <w:p w14:paraId="2B51F75F">
      <w:pPr>
        <w:spacing w:line="460" w:lineRule="exact"/>
        <w:jc w:val="center"/>
        <w:rPr>
          <w:rFonts w:hint="eastAsia" w:ascii="宋体" w:hAnsi="宋体" w:eastAsia="宋体" w:cs="宋体"/>
          <w:b/>
          <w:bCs/>
          <w:color w:val="auto"/>
          <w:sz w:val="28"/>
          <w:szCs w:val="28"/>
          <w:highlight w:val="none"/>
        </w:rPr>
      </w:pPr>
    </w:p>
    <w:p w14:paraId="724779EB">
      <w:pPr>
        <w:spacing w:line="460" w:lineRule="exact"/>
        <w:jc w:val="center"/>
        <w:rPr>
          <w:rFonts w:hint="eastAsia" w:ascii="宋体" w:hAnsi="宋体" w:eastAsia="宋体" w:cs="宋体"/>
          <w:b/>
          <w:bCs/>
          <w:color w:val="auto"/>
          <w:sz w:val="28"/>
          <w:szCs w:val="28"/>
          <w:highlight w:val="none"/>
        </w:rPr>
      </w:pPr>
    </w:p>
    <w:p w14:paraId="0ACD64B5">
      <w:pPr>
        <w:spacing w:line="460" w:lineRule="exact"/>
        <w:jc w:val="center"/>
        <w:rPr>
          <w:rFonts w:hint="eastAsia" w:ascii="宋体" w:hAnsi="宋体" w:eastAsia="宋体" w:cs="宋体"/>
          <w:b/>
          <w:bCs/>
          <w:color w:val="auto"/>
          <w:sz w:val="28"/>
          <w:szCs w:val="28"/>
          <w:highlight w:val="none"/>
        </w:rPr>
      </w:pPr>
      <w:r>
        <w:rPr>
          <w:rFonts w:hint="eastAsia" w:ascii="宋体" w:hAnsi="宋体" w:eastAsia="宋体" w:cs="宋体"/>
          <w:color w:val="auto"/>
          <w:sz w:val="22"/>
          <w:szCs w:val="22"/>
          <w:highlight w:val="none"/>
          <w:lang w:val="zh-CN"/>
        </w:rPr>
        <mc:AlternateContent>
          <mc:Choice Requires="wps">
            <w:drawing>
              <wp:anchor distT="0" distB="0" distL="114300" distR="114300" simplePos="0" relativeHeight="251659264" behindDoc="0" locked="0" layoutInCell="1" allowOverlap="1">
                <wp:simplePos x="0" y="0"/>
                <wp:positionH relativeFrom="column">
                  <wp:posOffset>113665</wp:posOffset>
                </wp:positionH>
                <wp:positionV relativeFrom="paragraph">
                  <wp:posOffset>320675</wp:posOffset>
                </wp:positionV>
                <wp:extent cx="6254115" cy="3004185"/>
                <wp:effectExtent l="5080" t="4445" r="8255" b="20320"/>
                <wp:wrapNone/>
                <wp:docPr id="6" name="Text Box 2"/>
                <wp:cNvGraphicFramePr/>
                <a:graphic xmlns:a="http://schemas.openxmlformats.org/drawingml/2006/main">
                  <a:graphicData uri="http://schemas.microsoft.com/office/word/2010/wordprocessingShape">
                    <wps:wsp>
                      <wps:cNvSpPr txBox="1"/>
                      <wps:spPr>
                        <a:xfrm>
                          <a:off x="0" y="0"/>
                          <a:ext cx="6254115" cy="30041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A71B6F6">
                            <w:r>
                              <w:rPr>
                                <w:rFonts w:hint="eastAsia" w:ascii="新宋体" w:hAnsi="新宋体" w:eastAsia="新宋体"/>
                                <w:sz w:val="22"/>
                                <w:szCs w:val="22"/>
                              </w:rPr>
                              <w:t xml:space="preserve">  法定代表人身份证（正反面）：</w:t>
                            </w:r>
                          </w:p>
                        </w:txbxContent>
                      </wps:txbx>
                      <wps:bodyPr upright="1"/>
                    </wps:wsp>
                  </a:graphicData>
                </a:graphic>
              </wp:anchor>
            </w:drawing>
          </mc:Choice>
          <mc:Fallback>
            <w:pict>
              <v:shape id="Text Box 2" o:spid="_x0000_s1026" o:spt="202" type="#_x0000_t202" style="position:absolute;left:0pt;margin-left:8.95pt;margin-top:25.25pt;height:236.55pt;width:492.45pt;z-index:251659264;mso-width-relative:page;mso-height-relative:page;" fillcolor="#FFFFFF" filled="t" stroked="t" coordsize="21600,21600" o:gfxdata="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l9wjaNgAAAAKAQAADwAAAAAAAAABACAAAAAiAAAAZHJzL2Rv&#10;d25yZXYueG1sUEsBAhQAFAAAAAgAh07iQCalZX0BAgAARAQAAA4AAAAAAAAAAQAgAAAAJwEAAGRy&#10;cy9lMm9Eb2MueG1sUEsFBgAAAAAGAAYAWQEAAJoFAAAAAA==&#10;">
                <v:fill on="t" focussize="0,0"/>
                <v:stroke color="#000000" joinstyle="miter"/>
                <v:imagedata o:title=""/>
                <o:lock v:ext="edit" aspectratio="f"/>
                <v:textbox>
                  <w:txbxContent>
                    <w:p w14:paraId="0A71B6F6">
                      <w:r>
                        <w:rPr>
                          <w:rFonts w:hint="eastAsia" w:ascii="新宋体" w:hAnsi="新宋体" w:eastAsia="新宋体"/>
                          <w:sz w:val="22"/>
                          <w:szCs w:val="22"/>
                        </w:rPr>
                        <w:t xml:space="preserve">  法定代表人身份证（正反面）：</w:t>
                      </w:r>
                    </w:p>
                  </w:txbxContent>
                </v:textbox>
              </v:shape>
            </w:pict>
          </mc:Fallback>
        </mc:AlternateContent>
      </w:r>
    </w:p>
    <w:p w14:paraId="2E2A7B9F">
      <w:pPr>
        <w:spacing w:line="460" w:lineRule="exact"/>
        <w:jc w:val="center"/>
        <w:rPr>
          <w:rFonts w:hint="eastAsia" w:ascii="宋体" w:hAnsi="宋体" w:eastAsia="宋体" w:cs="宋体"/>
          <w:b/>
          <w:bCs/>
          <w:color w:val="auto"/>
          <w:sz w:val="28"/>
          <w:szCs w:val="28"/>
          <w:highlight w:val="none"/>
        </w:rPr>
      </w:pPr>
    </w:p>
    <w:p w14:paraId="2EC6F4E4">
      <w:pPr>
        <w:spacing w:line="460" w:lineRule="exact"/>
        <w:jc w:val="center"/>
        <w:rPr>
          <w:rFonts w:hint="eastAsia" w:ascii="宋体" w:hAnsi="宋体" w:eastAsia="宋体" w:cs="宋体"/>
          <w:b/>
          <w:bCs/>
          <w:color w:val="auto"/>
          <w:sz w:val="28"/>
          <w:szCs w:val="28"/>
          <w:highlight w:val="none"/>
        </w:rPr>
      </w:pPr>
    </w:p>
    <w:p w14:paraId="4FC4A4E4">
      <w:pPr>
        <w:spacing w:line="460" w:lineRule="exact"/>
        <w:jc w:val="center"/>
        <w:rPr>
          <w:rFonts w:hint="eastAsia" w:ascii="宋体" w:hAnsi="宋体" w:eastAsia="宋体" w:cs="宋体"/>
          <w:b/>
          <w:bCs/>
          <w:color w:val="auto"/>
          <w:sz w:val="28"/>
          <w:szCs w:val="28"/>
          <w:highlight w:val="none"/>
        </w:rPr>
      </w:pPr>
    </w:p>
    <w:p w14:paraId="7FA1E000">
      <w:pPr>
        <w:spacing w:line="460" w:lineRule="exact"/>
        <w:jc w:val="center"/>
        <w:rPr>
          <w:rFonts w:hint="eastAsia" w:ascii="宋体" w:hAnsi="宋体" w:eastAsia="宋体" w:cs="宋体"/>
          <w:b/>
          <w:bCs/>
          <w:color w:val="auto"/>
          <w:sz w:val="28"/>
          <w:szCs w:val="28"/>
          <w:highlight w:val="none"/>
        </w:rPr>
      </w:pPr>
    </w:p>
    <w:p w14:paraId="48326F13">
      <w:pPr>
        <w:spacing w:line="460" w:lineRule="exact"/>
        <w:jc w:val="center"/>
        <w:rPr>
          <w:rFonts w:hint="eastAsia" w:ascii="宋体" w:hAnsi="宋体" w:eastAsia="宋体" w:cs="宋体"/>
          <w:b/>
          <w:bCs/>
          <w:color w:val="auto"/>
          <w:sz w:val="28"/>
          <w:szCs w:val="28"/>
          <w:highlight w:val="none"/>
        </w:rPr>
      </w:pPr>
    </w:p>
    <w:p w14:paraId="580329CB">
      <w:pPr>
        <w:spacing w:line="460" w:lineRule="exact"/>
        <w:jc w:val="center"/>
        <w:rPr>
          <w:rFonts w:hint="eastAsia" w:ascii="宋体" w:hAnsi="宋体" w:eastAsia="宋体" w:cs="宋体"/>
          <w:b/>
          <w:bCs/>
          <w:color w:val="auto"/>
          <w:sz w:val="28"/>
          <w:szCs w:val="28"/>
          <w:highlight w:val="none"/>
        </w:rPr>
      </w:pPr>
    </w:p>
    <w:p w14:paraId="70495B31">
      <w:pPr>
        <w:spacing w:line="460" w:lineRule="exact"/>
        <w:jc w:val="center"/>
        <w:rPr>
          <w:rFonts w:hint="eastAsia" w:ascii="宋体" w:hAnsi="宋体" w:eastAsia="宋体" w:cs="宋体"/>
          <w:b/>
          <w:bCs/>
          <w:color w:val="auto"/>
          <w:sz w:val="28"/>
          <w:szCs w:val="28"/>
          <w:highlight w:val="none"/>
        </w:rPr>
      </w:pPr>
    </w:p>
    <w:p w14:paraId="363486E2">
      <w:pPr>
        <w:spacing w:line="460" w:lineRule="exact"/>
        <w:jc w:val="center"/>
        <w:rPr>
          <w:rFonts w:hint="eastAsia" w:ascii="宋体" w:hAnsi="宋体" w:eastAsia="宋体" w:cs="宋体"/>
          <w:b/>
          <w:bCs/>
          <w:color w:val="auto"/>
          <w:sz w:val="28"/>
          <w:szCs w:val="28"/>
          <w:highlight w:val="none"/>
        </w:rPr>
      </w:pPr>
    </w:p>
    <w:p w14:paraId="191CF4EE">
      <w:pPr>
        <w:spacing w:line="460" w:lineRule="exact"/>
        <w:jc w:val="center"/>
        <w:rPr>
          <w:rFonts w:hint="eastAsia" w:ascii="宋体" w:hAnsi="宋体" w:eastAsia="宋体" w:cs="宋体"/>
          <w:b/>
          <w:bCs/>
          <w:color w:val="auto"/>
          <w:sz w:val="28"/>
          <w:szCs w:val="28"/>
          <w:highlight w:val="none"/>
        </w:rPr>
      </w:pPr>
    </w:p>
    <w:p w14:paraId="46626C6C">
      <w:pPr>
        <w:spacing w:line="460" w:lineRule="exact"/>
        <w:jc w:val="center"/>
        <w:rPr>
          <w:rFonts w:hint="eastAsia" w:ascii="宋体" w:hAnsi="宋体" w:eastAsia="宋体" w:cs="宋体"/>
          <w:b/>
          <w:bCs/>
          <w:color w:val="auto"/>
          <w:sz w:val="28"/>
          <w:szCs w:val="28"/>
          <w:highlight w:val="none"/>
        </w:rPr>
      </w:pPr>
    </w:p>
    <w:p w14:paraId="2BAD879C">
      <w:pPr>
        <w:spacing w:line="460" w:lineRule="exact"/>
        <w:jc w:val="center"/>
        <w:rPr>
          <w:rFonts w:hint="eastAsia" w:ascii="宋体" w:hAnsi="宋体" w:eastAsia="宋体" w:cs="宋体"/>
          <w:b/>
          <w:bCs/>
          <w:color w:val="auto"/>
          <w:sz w:val="28"/>
          <w:szCs w:val="28"/>
          <w:highlight w:val="none"/>
        </w:rPr>
      </w:pPr>
    </w:p>
    <w:p w14:paraId="77572789">
      <w:pPr>
        <w:spacing w:line="460" w:lineRule="exact"/>
        <w:jc w:val="center"/>
        <w:rPr>
          <w:rFonts w:hint="eastAsia" w:ascii="宋体" w:hAnsi="宋体" w:eastAsia="宋体" w:cs="宋体"/>
          <w:b/>
          <w:bCs/>
          <w:color w:val="auto"/>
          <w:sz w:val="28"/>
          <w:szCs w:val="28"/>
          <w:highlight w:val="none"/>
        </w:rPr>
      </w:pPr>
    </w:p>
    <w:p w14:paraId="6825975C">
      <w:pPr>
        <w:spacing w:line="460" w:lineRule="exact"/>
        <w:jc w:val="center"/>
        <w:rPr>
          <w:rFonts w:hint="eastAsia" w:ascii="宋体" w:hAnsi="宋体" w:eastAsia="宋体" w:cs="宋体"/>
          <w:b/>
          <w:bCs/>
          <w:color w:val="auto"/>
          <w:sz w:val="28"/>
          <w:szCs w:val="28"/>
          <w:highlight w:val="none"/>
        </w:rPr>
      </w:pPr>
      <w:r>
        <w:rPr>
          <w:rFonts w:hint="eastAsia" w:ascii="宋体" w:hAnsi="宋体" w:eastAsia="宋体" w:cs="宋体"/>
          <w:color w:val="auto"/>
          <w:sz w:val="22"/>
          <w:szCs w:val="22"/>
          <w:highlight w:val="none"/>
          <w:lang w:val="zh-CN"/>
        </w:rPr>
        <mc:AlternateContent>
          <mc:Choice Requires="wps">
            <w:drawing>
              <wp:anchor distT="0" distB="0" distL="114300" distR="114300" simplePos="0" relativeHeight="251660288" behindDoc="0" locked="0" layoutInCell="1" allowOverlap="1">
                <wp:simplePos x="0" y="0"/>
                <wp:positionH relativeFrom="column">
                  <wp:posOffset>88265</wp:posOffset>
                </wp:positionH>
                <wp:positionV relativeFrom="paragraph">
                  <wp:posOffset>-53975</wp:posOffset>
                </wp:positionV>
                <wp:extent cx="6303645" cy="3875405"/>
                <wp:effectExtent l="4445" t="5080" r="16510" b="5715"/>
                <wp:wrapNone/>
                <wp:docPr id="7" name="文本框 26"/>
                <wp:cNvGraphicFramePr/>
                <a:graphic xmlns:a="http://schemas.openxmlformats.org/drawingml/2006/main">
                  <a:graphicData uri="http://schemas.microsoft.com/office/word/2010/wordprocessingShape">
                    <wps:wsp>
                      <wps:cNvSpPr txBox="1"/>
                      <wps:spPr>
                        <a:xfrm>
                          <a:off x="0" y="0"/>
                          <a:ext cx="6303645" cy="387540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25CD415">
                            <w:r>
                              <w:rPr>
                                <w:rFonts w:hint="eastAsia" w:ascii="新宋体" w:hAnsi="新宋体" w:eastAsia="新宋体"/>
                                <w:sz w:val="22"/>
                                <w:szCs w:val="22"/>
                              </w:rPr>
                              <w:t xml:space="preserve">  授权代表身份证（正反面）：</w:t>
                            </w:r>
                          </w:p>
                        </w:txbxContent>
                      </wps:txbx>
                      <wps:bodyPr upright="1"/>
                    </wps:wsp>
                  </a:graphicData>
                </a:graphic>
              </wp:anchor>
            </w:drawing>
          </mc:Choice>
          <mc:Fallback>
            <w:pict>
              <v:shape id="文本框 26" o:spid="_x0000_s1026" o:spt="202" type="#_x0000_t202" style="position:absolute;left:0pt;margin-left:6.95pt;margin-top:-4.25pt;height:305.15pt;width:496.35pt;z-index:251660288;mso-width-relative:page;mso-height-relative:page;" fillcolor="#FFFFFF" filled="t" stroked="t" coordsize="21600,21600" o:gfxdata="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mGqLXdgAAAAKAQAADwAAAAAA&#10;AAABACAAAAAiAAAAZHJzL2Rvd25yZXYueG1sUEsBAhQAFAAAAAgAh07iQELca5wTAgAARgQAAA4A&#10;AAAAAAAAAQAgAAAAJwEAAGRycy9lMm9Eb2MueG1sUEsFBgAAAAAGAAYAWQEAAKwFAAAAAA==&#10;">
                <v:fill on="t" focussize="0,0"/>
                <v:stroke color="#000000" joinstyle="miter"/>
                <v:imagedata o:title=""/>
                <o:lock v:ext="edit" aspectratio="f"/>
                <v:textbox>
                  <w:txbxContent>
                    <w:p w14:paraId="025CD415">
                      <w:r>
                        <w:rPr>
                          <w:rFonts w:hint="eastAsia" w:ascii="新宋体" w:hAnsi="新宋体" w:eastAsia="新宋体"/>
                          <w:sz w:val="22"/>
                          <w:szCs w:val="22"/>
                        </w:rPr>
                        <w:t xml:space="preserve">  授权代表身份证（正反面）：</w:t>
                      </w:r>
                    </w:p>
                  </w:txbxContent>
                </v:textbox>
              </v:shape>
            </w:pict>
          </mc:Fallback>
        </mc:AlternateContent>
      </w:r>
    </w:p>
    <w:p w14:paraId="459C7FED">
      <w:pPr>
        <w:spacing w:line="460" w:lineRule="exact"/>
        <w:jc w:val="center"/>
        <w:rPr>
          <w:rFonts w:hint="eastAsia" w:ascii="宋体" w:hAnsi="宋体" w:eastAsia="宋体" w:cs="宋体"/>
          <w:b/>
          <w:bCs/>
          <w:color w:val="auto"/>
          <w:sz w:val="28"/>
          <w:szCs w:val="28"/>
          <w:highlight w:val="none"/>
        </w:rPr>
      </w:pPr>
    </w:p>
    <w:p w14:paraId="6A6B3C43">
      <w:pPr>
        <w:spacing w:line="460" w:lineRule="exact"/>
        <w:jc w:val="center"/>
        <w:rPr>
          <w:rFonts w:hint="eastAsia" w:ascii="宋体" w:hAnsi="宋体" w:eastAsia="宋体" w:cs="宋体"/>
          <w:b/>
          <w:bCs/>
          <w:color w:val="auto"/>
          <w:sz w:val="28"/>
          <w:szCs w:val="28"/>
          <w:highlight w:val="none"/>
        </w:rPr>
      </w:pPr>
    </w:p>
    <w:p w14:paraId="1352E556">
      <w:pPr>
        <w:spacing w:line="460" w:lineRule="exact"/>
        <w:jc w:val="center"/>
        <w:rPr>
          <w:rFonts w:hint="eastAsia" w:ascii="宋体" w:hAnsi="宋体" w:eastAsia="宋体" w:cs="宋体"/>
          <w:b/>
          <w:bCs/>
          <w:color w:val="auto"/>
          <w:sz w:val="28"/>
          <w:szCs w:val="28"/>
          <w:highlight w:val="none"/>
        </w:rPr>
      </w:pPr>
    </w:p>
    <w:p w14:paraId="3FE494C8">
      <w:pPr>
        <w:spacing w:line="460" w:lineRule="exact"/>
        <w:jc w:val="center"/>
        <w:rPr>
          <w:rFonts w:hint="eastAsia" w:ascii="宋体" w:hAnsi="宋体" w:eastAsia="宋体" w:cs="宋体"/>
          <w:b/>
          <w:bCs/>
          <w:color w:val="auto"/>
          <w:sz w:val="28"/>
          <w:szCs w:val="28"/>
          <w:highlight w:val="none"/>
        </w:rPr>
      </w:pPr>
    </w:p>
    <w:p w14:paraId="472C4984">
      <w:pPr>
        <w:spacing w:line="460" w:lineRule="exact"/>
        <w:jc w:val="center"/>
        <w:rPr>
          <w:rFonts w:hint="eastAsia" w:ascii="宋体" w:hAnsi="宋体" w:eastAsia="宋体" w:cs="宋体"/>
          <w:b/>
          <w:bCs/>
          <w:color w:val="auto"/>
          <w:sz w:val="28"/>
          <w:szCs w:val="28"/>
          <w:highlight w:val="none"/>
        </w:rPr>
      </w:pPr>
    </w:p>
    <w:p w14:paraId="2372E438">
      <w:pPr>
        <w:spacing w:line="460" w:lineRule="exact"/>
        <w:jc w:val="center"/>
        <w:rPr>
          <w:rFonts w:hint="eastAsia" w:ascii="宋体" w:hAnsi="宋体" w:eastAsia="宋体" w:cs="宋体"/>
          <w:b/>
          <w:bCs/>
          <w:color w:val="auto"/>
          <w:sz w:val="28"/>
          <w:szCs w:val="28"/>
          <w:highlight w:val="none"/>
        </w:rPr>
      </w:pPr>
    </w:p>
    <w:p w14:paraId="4904D5AB">
      <w:pPr>
        <w:spacing w:line="460" w:lineRule="exact"/>
        <w:jc w:val="center"/>
        <w:rPr>
          <w:rFonts w:hint="eastAsia" w:ascii="宋体" w:hAnsi="宋体" w:eastAsia="宋体" w:cs="宋体"/>
          <w:b/>
          <w:bCs/>
          <w:color w:val="auto"/>
          <w:sz w:val="28"/>
          <w:szCs w:val="28"/>
          <w:highlight w:val="none"/>
        </w:rPr>
      </w:pPr>
    </w:p>
    <w:p w14:paraId="479E979B">
      <w:pPr>
        <w:spacing w:line="460" w:lineRule="exact"/>
        <w:jc w:val="center"/>
        <w:rPr>
          <w:rFonts w:hint="eastAsia" w:ascii="宋体" w:hAnsi="宋体" w:eastAsia="宋体" w:cs="宋体"/>
          <w:b/>
          <w:bCs/>
          <w:color w:val="auto"/>
          <w:sz w:val="28"/>
          <w:szCs w:val="28"/>
          <w:highlight w:val="none"/>
        </w:rPr>
      </w:pPr>
    </w:p>
    <w:p w14:paraId="710DDCEB">
      <w:pPr>
        <w:spacing w:line="460" w:lineRule="exact"/>
        <w:jc w:val="center"/>
        <w:rPr>
          <w:rFonts w:hint="eastAsia" w:ascii="宋体" w:hAnsi="宋体" w:eastAsia="宋体" w:cs="宋体"/>
          <w:b/>
          <w:bCs/>
          <w:color w:val="auto"/>
          <w:sz w:val="28"/>
          <w:szCs w:val="28"/>
          <w:highlight w:val="none"/>
        </w:rPr>
      </w:pPr>
    </w:p>
    <w:p w14:paraId="484BD405">
      <w:pPr>
        <w:spacing w:line="460" w:lineRule="exact"/>
        <w:jc w:val="center"/>
        <w:rPr>
          <w:rFonts w:hint="eastAsia" w:ascii="宋体" w:hAnsi="宋体" w:eastAsia="宋体" w:cs="宋体"/>
          <w:b/>
          <w:bCs/>
          <w:color w:val="auto"/>
          <w:sz w:val="28"/>
          <w:szCs w:val="28"/>
          <w:highlight w:val="none"/>
        </w:rPr>
      </w:pPr>
    </w:p>
    <w:p w14:paraId="22CE85C0">
      <w:pPr>
        <w:spacing w:line="460" w:lineRule="exact"/>
        <w:jc w:val="center"/>
        <w:rPr>
          <w:rFonts w:hint="eastAsia" w:ascii="宋体" w:hAnsi="宋体" w:eastAsia="宋体" w:cs="宋体"/>
          <w:b/>
          <w:bCs/>
          <w:color w:val="auto"/>
          <w:sz w:val="28"/>
          <w:szCs w:val="28"/>
          <w:highlight w:val="none"/>
        </w:rPr>
      </w:pPr>
    </w:p>
    <w:p w14:paraId="39CB855B">
      <w:pPr>
        <w:spacing w:line="460" w:lineRule="exact"/>
        <w:jc w:val="center"/>
        <w:rPr>
          <w:rFonts w:hint="eastAsia" w:ascii="宋体" w:hAnsi="宋体" w:eastAsia="宋体" w:cs="宋体"/>
          <w:b/>
          <w:bCs/>
          <w:color w:val="auto"/>
          <w:sz w:val="28"/>
          <w:szCs w:val="28"/>
          <w:highlight w:val="none"/>
        </w:rPr>
      </w:pPr>
    </w:p>
    <w:p w14:paraId="440E825B">
      <w:pPr>
        <w:spacing w:line="460" w:lineRule="exact"/>
        <w:jc w:val="center"/>
        <w:rPr>
          <w:rFonts w:hint="eastAsia" w:ascii="宋体" w:hAnsi="宋体" w:eastAsia="宋体" w:cs="宋体"/>
          <w:b/>
          <w:bCs/>
          <w:color w:val="auto"/>
          <w:sz w:val="28"/>
          <w:szCs w:val="28"/>
          <w:highlight w:val="none"/>
        </w:rPr>
      </w:pPr>
    </w:p>
    <w:p w14:paraId="7856B8BE">
      <w:pPr>
        <w:spacing w:line="460" w:lineRule="exact"/>
        <w:jc w:val="center"/>
        <w:rPr>
          <w:rFonts w:hint="eastAsia" w:ascii="宋体" w:hAnsi="宋体" w:eastAsia="宋体" w:cs="宋体"/>
          <w:b/>
          <w:bCs/>
          <w:color w:val="auto"/>
          <w:sz w:val="28"/>
          <w:szCs w:val="28"/>
          <w:highlight w:val="none"/>
        </w:rPr>
      </w:pPr>
    </w:p>
    <w:p w14:paraId="6C8457BB">
      <w:pPr>
        <w:spacing w:line="460" w:lineRule="exact"/>
        <w:jc w:val="center"/>
        <w:rPr>
          <w:rFonts w:hint="eastAsia" w:ascii="宋体" w:hAnsi="宋体" w:eastAsia="宋体" w:cs="宋体"/>
          <w:b/>
          <w:bCs/>
          <w:color w:val="auto"/>
          <w:sz w:val="28"/>
          <w:szCs w:val="28"/>
          <w:highlight w:val="none"/>
        </w:rPr>
      </w:pPr>
    </w:p>
    <w:p w14:paraId="3552B9CA">
      <w:pPr>
        <w:spacing w:line="460" w:lineRule="exact"/>
        <w:jc w:val="center"/>
        <w:outlineLvl w:val="3"/>
        <w:rPr>
          <w:rFonts w:hint="eastAsia" w:ascii="宋体" w:hAnsi="宋体" w:eastAsia="宋体" w:cs="宋体"/>
          <w:b/>
          <w:bCs/>
          <w:color w:val="auto"/>
          <w:sz w:val="22"/>
          <w:szCs w:val="22"/>
          <w:highlight w:val="none"/>
        </w:rPr>
        <w:sectPr>
          <w:headerReference r:id="rId3" w:type="default"/>
          <w:footerReference r:id="rId4" w:type="default"/>
          <w:pgSz w:w="11906" w:h="16838"/>
          <w:pgMar w:top="1134" w:right="1134" w:bottom="1134" w:left="1134" w:header="850" w:footer="992" w:gutter="0"/>
          <w:cols w:space="720" w:num="1"/>
          <w:titlePg/>
          <w:docGrid w:type="lines" w:linePitch="312" w:charSpace="0"/>
        </w:sectPr>
      </w:pPr>
    </w:p>
    <w:p w14:paraId="239664EF">
      <w:pPr>
        <w:spacing w:line="400" w:lineRule="exact"/>
        <w:jc w:val="center"/>
        <w:outlineLvl w:val="3"/>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2、投标人情况表</w:t>
      </w:r>
    </w:p>
    <w:p w14:paraId="3C2C0B38">
      <w:pPr>
        <w:spacing w:line="360" w:lineRule="auto"/>
        <w:rPr>
          <w:rFonts w:hint="eastAsia" w:ascii="宋体" w:hAnsi="宋体" w:eastAsia="宋体" w:cs="宋体"/>
          <w:b w:val="0"/>
          <w:bCs w:val="0"/>
          <w:color w:val="auto"/>
          <w:sz w:val="22"/>
          <w:szCs w:val="22"/>
          <w:highlight w:val="none"/>
          <w:lang w:eastAsia="zh-CN"/>
        </w:rPr>
      </w:pPr>
      <w:r>
        <w:rPr>
          <w:rFonts w:hint="eastAsia" w:ascii="宋体" w:hAnsi="宋体" w:eastAsia="宋体" w:cs="宋体"/>
          <w:b w:val="0"/>
          <w:bCs w:val="0"/>
          <w:color w:val="auto"/>
          <w:sz w:val="22"/>
          <w:szCs w:val="22"/>
          <w:highlight w:val="none"/>
        </w:rPr>
        <w:t>项目编号：</w:t>
      </w:r>
      <w:r>
        <w:rPr>
          <w:rFonts w:hint="eastAsia" w:ascii="宋体" w:hAnsi="宋体" w:cs="宋体"/>
          <w:b w:val="0"/>
          <w:bCs w:val="0"/>
          <w:color w:val="auto"/>
          <w:sz w:val="22"/>
          <w:szCs w:val="22"/>
          <w:highlight w:val="none"/>
          <w:lang w:eastAsia="zh-CN"/>
        </w:rPr>
        <w:t>WZLCZB（W）-2025-05055</w:t>
      </w:r>
    </w:p>
    <w:p w14:paraId="061B34EA">
      <w:pPr>
        <w:tabs>
          <w:tab w:val="left" w:pos="780"/>
        </w:tabs>
        <w:spacing w:line="400" w:lineRule="exact"/>
        <w:rPr>
          <w:rFonts w:hint="eastAsia" w:ascii="宋体" w:hAnsi="宋体" w:eastAsia="宋体" w:cs="宋体"/>
          <w:b/>
          <w:color w:val="auto"/>
          <w:sz w:val="22"/>
          <w:szCs w:val="22"/>
          <w:highlight w:val="none"/>
        </w:rPr>
      </w:pPr>
      <w:r>
        <w:rPr>
          <w:rFonts w:hint="eastAsia" w:ascii="宋体" w:hAnsi="宋体" w:eastAsia="宋体" w:cs="宋体"/>
          <w:b w:val="0"/>
          <w:bCs w:val="0"/>
          <w:color w:val="auto"/>
          <w:sz w:val="22"/>
          <w:szCs w:val="22"/>
          <w:highlight w:val="none"/>
        </w:rPr>
        <w:t>项目名称：</w:t>
      </w:r>
      <w:r>
        <w:rPr>
          <w:rFonts w:hint="eastAsia" w:ascii="宋体" w:hAnsi="宋体" w:cs="宋体"/>
          <w:b w:val="0"/>
          <w:bCs w:val="0"/>
          <w:color w:val="auto"/>
          <w:sz w:val="22"/>
          <w:szCs w:val="22"/>
          <w:highlight w:val="none"/>
          <w:lang w:eastAsia="zh-CN"/>
        </w:rPr>
        <w:t xml:space="preserve"> 食用油</w:t>
      </w:r>
    </w:p>
    <w:tbl>
      <w:tblPr>
        <w:tblStyle w:val="52"/>
        <w:tblW w:w="99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1839"/>
        <w:gridCol w:w="731"/>
        <w:gridCol w:w="1697"/>
        <w:gridCol w:w="976"/>
        <w:gridCol w:w="985"/>
        <w:gridCol w:w="1383"/>
        <w:gridCol w:w="1500"/>
      </w:tblGrid>
      <w:tr w14:paraId="72011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804" w:type="dxa"/>
            <w:noWrap w:val="0"/>
            <w:vAlign w:val="center"/>
          </w:tcPr>
          <w:p w14:paraId="3DD17834">
            <w:pPr>
              <w:spacing w:line="480" w:lineRule="exact"/>
              <w:jc w:val="center"/>
              <w:rPr>
                <w:rFonts w:ascii="宋体" w:hAnsi="宋体" w:cs="宋体"/>
                <w:color w:val="auto"/>
                <w:sz w:val="22"/>
                <w:szCs w:val="22"/>
                <w:highlight w:val="none"/>
              </w:rPr>
            </w:pPr>
            <w:r>
              <w:rPr>
                <w:rFonts w:hint="eastAsia" w:ascii="宋体" w:hAnsi="宋体" w:cs="宋体"/>
                <w:color w:val="auto"/>
                <w:sz w:val="22"/>
                <w:szCs w:val="22"/>
                <w:highlight w:val="none"/>
              </w:rPr>
              <w:t>单位名称</w:t>
            </w:r>
          </w:p>
        </w:tc>
        <w:tc>
          <w:tcPr>
            <w:tcW w:w="1839" w:type="dxa"/>
            <w:noWrap w:val="0"/>
            <w:vAlign w:val="center"/>
          </w:tcPr>
          <w:p w14:paraId="32372E51">
            <w:pPr>
              <w:spacing w:line="480" w:lineRule="exact"/>
              <w:jc w:val="center"/>
              <w:rPr>
                <w:rFonts w:ascii="宋体" w:hAnsi="宋体" w:cs="宋体"/>
                <w:color w:val="auto"/>
                <w:sz w:val="22"/>
                <w:szCs w:val="22"/>
                <w:highlight w:val="none"/>
              </w:rPr>
            </w:pPr>
          </w:p>
        </w:tc>
        <w:tc>
          <w:tcPr>
            <w:tcW w:w="731" w:type="dxa"/>
            <w:noWrap w:val="0"/>
            <w:vAlign w:val="center"/>
          </w:tcPr>
          <w:p w14:paraId="3A17E2CE">
            <w:pPr>
              <w:spacing w:line="480" w:lineRule="exact"/>
              <w:jc w:val="center"/>
              <w:rPr>
                <w:rFonts w:ascii="宋体" w:hAnsi="宋体" w:cs="宋体"/>
                <w:color w:val="auto"/>
                <w:sz w:val="22"/>
                <w:szCs w:val="22"/>
                <w:highlight w:val="none"/>
              </w:rPr>
            </w:pPr>
            <w:r>
              <w:rPr>
                <w:rFonts w:hint="eastAsia" w:ascii="宋体" w:hAnsi="宋体" w:cs="宋体"/>
                <w:color w:val="auto"/>
                <w:sz w:val="22"/>
                <w:szCs w:val="22"/>
                <w:highlight w:val="none"/>
              </w:rPr>
              <w:t>电话</w:t>
            </w:r>
          </w:p>
        </w:tc>
        <w:tc>
          <w:tcPr>
            <w:tcW w:w="1697" w:type="dxa"/>
            <w:noWrap w:val="0"/>
            <w:vAlign w:val="center"/>
          </w:tcPr>
          <w:p w14:paraId="3B0A2BEC">
            <w:pPr>
              <w:spacing w:line="480" w:lineRule="exact"/>
              <w:jc w:val="center"/>
              <w:rPr>
                <w:rFonts w:ascii="宋体" w:hAnsi="宋体" w:cs="宋体"/>
                <w:color w:val="auto"/>
                <w:sz w:val="22"/>
                <w:szCs w:val="22"/>
                <w:highlight w:val="none"/>
              </w:rPr>
            </w:pPr>
          </w:p>
        </w:tc>
        <w:tc>
          <w:tcPr>
            <w:tcW w:w="976" w:type="dxa"/>
            <w:noWrap w:val="0"/>
            <w:vAlign w:val="center"/>
          </w:tcPr>
          <w:p w14:paraId="03CEE840">
            <w:pPr>
              <w:spacing w:line="480" w:lineRule="exact"/>
              <w:jc w:val="center"/>
              <w:rPr>
                <w:rFonts w:ascii="宋体" w:hAnsi="宋体" w:cs="宋体"/>
                <w:color w:val="auto"/>
                <w:sz w:val="22"/>
                <w:szCs w:val="22"/>
                <w:highlight w:val="none"/>
              </w:rPr>
            </w:pPr>
            <w:r>
              <w:rPr>
                <w:rFonts w:hint="eastAsia" w:ascii="宋体" w:hAnsi="宋体" w:cs="宋体"/>
                <w:color w:val="auto"/>
                <w:sz w:val="22"/>
                <w:szCs w:val="22"/>
                <w:highlight w:val="none"/>
              </w:rPr>
              <w:t>主管部门</w:t>
            </w:r>
          </w:p>
        </w:tc>
        <w:tc>
          <w:tcPr>
            <w:tcW w:w="985" w:type="dxa"/>
            <w:noWrap w:val="0"/>
            <w:vAlign w:val="center"/>
          </w:tcPr>
          <w:p w14:paraId="4BB64F02">
            <w:pPr>
              <w:spacing w:line="480" w:lineRule="exact"/>
              <w:jc w:val="center"/>
              <w:rPr>
                <w:rFonts w:ascii="宋体" w:hAnsi="宋体" w:cs="宋体"/>
                <w:color w:val="auto"/>
                <w:sz w:val="22"/>
                <w:szCs w:val="22"/>
                <w:highlight w:val="none"/>
              </w:rPr>
            </w:pPr>
          </w:p>
        </w:tc>
        <w:tc>
          <w:tcPr>
            <w:tcW w:w="1383" w:type="dxa"/>
            <w:noWrap w:val="0"/>
            <w:vAlign w:val="center"/>
          </w:tcPr>
          <w:p w14:paraId="530CC175">
            <w:pPr>
              <w:spacing w:line="480" w:lineRule="exact"/>
              <w:jc w:val="center"/>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企业负责人</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职务</w:t>
            </w:r>
            <w:r>
              <w:rPr>
                <w:rFonts w:hint="eastAsia" w:ascii="宋体" w:hAnsi="宋体" w:cs="宋体"/>
                <w:color w:val="auto"/>
                <w:sz w:val="22"/>
                <w:szCs w:val="22"/>
                <w:highlight w:val="none"/>
                <w:lang w:eastAsia="zh-CN"/>
              </w:rPr>
              <w:t>）</w:t>
            </w:r>
          </w:p>
        </w:tc>
        <w:tc>
          <w:tcPr>
            <w:tcW w:w="1500" w:type="dxa"/>
            <w:noWrap w:val="0"/>
            <w:vAlign w:val="center"/>
          </w:tcPr>
          <w:p w14:paraId="5D6EE6FE">
            <w:pPr>
              <w:spacing w:line="480" w:lineRule="exact"/>
              <w:jc w:val="center"/>
              <w:rPr>
                <w:rFonts w:ascii="宋体" w:hAnsi="宋体" w:cs="宋体"/>
                <w:color w:val="auto"/>
                <w:sz w:val="22"/>
                <w:szCs w:val="22"/>
                <w:highlight w:val="none"/>
              </w:rPr>
            </w:pPr>
          </w:p>
        </w:tc>
      </w:tr>
      <w:tr w14:paraId="4C935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804" w:type="dxa"/>
            <w:noWrap w:val="0"/>
            <w:vAlign w:val="center"/>
          </w:tcPr>
          <w:p w14:paraId="5BF10537">
            <w:pPr>
              <w:spacing w:line="480" w:lineRule="exact"/>
              <w:jc w:val="center"/>
              <w:rPr>
                <w:rFonts w:ascii="宋体" w:hAnsi="宋体" w:cs="宋体"/>
                <w:color w:val="auto"/>
                <w:sz w:val="22"/>
                <w:szCs w:val="22"/>
                <w:highlight w:val="none"/>
              </w:rPr>
            </w:pPr>
            <w:r>
              <w:rPr>
                <w:rFonts w:hint="eastAsia" w:ascii="宋体" w:hAnsi="宋体" w:cs="宋体"/>
                <w:color w:val="auto"/>
                <w:sz w:val="22"/>
                <w:szCs w:val="22"/>
                <w:highlight w:val="none"/>
              </w:rPr>
              <w:t>地址</w:t>
            </w:r>
          </w:p>
        </w:tc>
        <w:tc>
          <w:tcPr>
            <w:tcW w:w="1839" w:type="dxa"/>
            <w:noWrap w:val="0"/>
            <w:vAlign w:val="center"/>
          </w:tcPr>
          <w:p w14:paraId="0E284737">
            <w:pPr>
              <w:spacing w:line="480" w:lineRule="exact"/>
              <w:jc w:val="center"/>
              <w:rPr>
                <w:rFonts w:ascii="宋体" w:hAnsi="宋体" w:cs="宋体"/>
                <w:color w:val="auto"/>
                <w:sz w:val="22"/>
                <w:szCs w:val="22"/>
                <w:highlight w:val="none"/>
              </w:rPr>
            </w:pPr>
          </w:p>
        </w:tc>
        <w:tc>
          <w:tcPr>
            <w:tcW w:w="731" w:type="dxa"/>
            <w:noWrap w:val="0"/>
            <w:vAlign w:val="center"/>
          </w:tcPr>
          <w:p w14:paraId="0BE97DDD">
            <w:pPr>
              <w:spacing w:line="480" w:lineRule="exact"/>
              <w:jc w:val="center"/>
              <w:rPr>
                <w:rFonts w:ascii="宋体" w:hAnsi="宋体" w:cs="宋体"/>
                <w:color w:val="auto"/>
                <w:sz w:val="22"/>
                <w:szCs w:val="22"/>
                <w:highlight w:val="none"/>
              </w:rPr>
            </w:pPr>
            <w:r>
              <w:rPr>
                <w:rFonts w:hint="eastAsia" w:ascii="宋体" w:hAnsi="宋体" w:cs="宋体"/>
                <w:color w:val="auto"/>
                <w:sz w:val="22"/>
                <w:szCs w:val="22"/>
                <w:highlight w:val="none"/>
              </w:rPr>
              <w:t>传真</w:t>
            </w:r>
          </w:p>
        </w:tc>
        <w:tc>
          <w:tcPr>
            <w:tcW w:w="1697" w:type="dxa"/>
            <w:noWrap w:val="0"/>
            <w:vAlign w:val="center"/>
          </w:tcPr>
          <w:p w14:paraId="3315862B">
            <w:pPr>
              <w:spacing w:line="480" w:lineRule="exact"/>
              <w:jc w:val="center"/>
              <w:rPr>
                <w:rFonts w:ascii="宋体" w:hAnsi="宋体" w:cs="宋体"/>
                <w:color w:val="auto"/>
                <w:sz w:val="22"/>
                <w:szCs w:val="22"/>
                <w:highlight w:val="none"/>
              </w:rPr>
            </w:pPr>
          </w:p>
        </w:tc>
        <w:tc>
          <w:tcPr>
            <w:tcW w:w="976" w:type="dxa"/>
            <w:noWrap w:val="0"/>
            <w:vAlign w:val="center"/>
          </w:tcPr>
          <w:p w14:paraId="4621FB76">
            <w:pPr>
              <w:spacing w:line="480" w:lineRule="exact"/>
              <w:jc w:val="center"/>
              <w:rPr>
                <w:rFonts w:ascii="宋体" w:hAnsi="宋体" w:cs="宋体"/>
                <w:color w:val="auto"/>
                <w:sz w:val="22"/>
                <w:szCs w:val="22"/>
                <w:highlight w:val="none"/>
              </w:rPr>
            </w:pPr>
            <w:r>
              <w:rPr>
                <w:rFonts w:hint="eastAsia" w:ascii="宋体" w:hAnsi="宋体" w:cs="宋体"/>
                <w:color w:val="auto"/>
                <w:sz w:val="22"/>
                <w:szCs w:val="22"/>
                <w:highlight w:val="none"/>
              </w:rPr>
              <w:t>企业性质</w:t>
            </w:r>
          </w:p>
        </w:tc>
        <w:tc>
          <w:tcPr>
            <w:tcW w:w="985" w:type="dxa"/>
            <w:noWrap w:val="0"/>
            <w:vAlign w:val="center"/>
          </w:tcPr>
          <w:p w14:paraId="328E12C4">
            <w:pPr>
              <w:spacing w:line="480" w:lineRule="exact"/>
              <w:jc w:val="center"/>
              <w:rPr>
                <w:rFonts w:ascii="宋体" w:hAnsi="宋体" w:cs="宋体"/>
                <w:color w:val="auto"/>
                <w:sz w:val="22"/>
                <w:szCs w:val="22"/>
                <w:highlight w:val="none"/>
              </w:rPr>
            </w:pPr>
          </w:p>
        </w:tc>
        <w:tc>
          <w:tcPr>
            <w:tcW w:w="1383" w:type="dxa"/>
            <w:noWrap w:val="0"/>
            <w:vAlign w:val="center"/>
          </w:tcPr>
          <w:p w14:paraId="58AD638D">
            <w:pPr>
              <w:spacing w:line="480" w:lineRule="exact"/>
              <w:jc w:val="center"/>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授权代表</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职务</w:t>
            </w:r>
            <w:r>
              <w:rPr>
                <w:rFonts w:hint="eastAsia" w:ascii="宋体" w:hAnsi="宋体" w:cs="宋体"/>
                <w:color w:val="auto"/>
                <w:sz w:val="22"/>
                <w:szCs w:val="22"/>
                <w:highlight w:val="none"/>
                <w:lang w:eastAsia="zh-CN"/>
              </w:rPr>
              <w:t>）</w:t>
            </w:r>
          </w:p>
        </w:tc>
        <w:tc>
          <w:tcPr>
            <w:tcW w:w="1500" w:type="dxa"/>
            <w:noWrap w:val="0"/>
            <w:vAlign w:val="center"/>
          </w:tcPr>
          <w:p w14:paraId="5BC94AA7">
            <w:pPr>
              <w:spacing w:line="480" w:lineRule="exact"/>
              <w:jc w:val="center"/>
              <w:rPr>
                <w:rFonts w:ascii="宋体" w:hAnsi="宋体" w:cs="宋体"/>
                <w:color w:val="auto"/>
                <w:sz w:val="22"/>
                <w:szCs w:val="22"/>
                <w:highlight w:val="none"/>
              </w:rPr>
            </w:pPr>
          </w:p>
        </w:tc>
      </w:tr>
      <w:tr w14:paraId="6CD91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0" w:hRule="atLeast"/>
        </w:trPr>
        <w:tc>
          <w:tcPr>
            <w:tcW w:w="804" w:type="dxa"/>
            <w:noWrap w:val="0"/>
            <w:vAlign w:val="center"/>
          </w:tcPr>
          <w:p w14:paraId="1269BB69">
            <w:pPr>
              <w:spacing w:line="480" w:lineRule="exact"/>
              <w:jc w:val="center"/>
              <w:rPr>
                <w:rFonts w:ascii="宋体" w:hAnsi="宋体" w:cs="宋体"/>
                <w:color w:val="auto"/>
                <w:sz w:val="22"/>
                <w:szCs w:val="22"/>
                <w:highlight w:val="none"/>
              </w:rPr>
            </w:pPr>
            <w:r>
              <w:rPr>
                <w:rFonts w:hint="eastAsia" w:ascii="宋体" w:hAnsi="宋体" w:cs="宋体"/>
                <w:color w:val="auto"/>
                <w:sz w:val="22"/>
                <w:szCs w:val="22"/>
                <w:highlight w:val="none"/>
              </w:rPr>
              <w:t>单位简介</w:t>
            </w:r>
          </w:p>
          <w:p w14:paraId="4A35C087">
            <w:pPr>
              <w:spacing w:line="480" w:lineRule="exact"/>
              <w:jc w:val="center"/>
              <w:rPr>
                <w:rFonts w:ascii="宋体" w:hAnsi="宋体" w:cs="宋体"/>
                <w:color w:val="auto"/>
                <w:sz w:val="22"/>
                <w:szCs w:val="22"/>
                <w:highlight w:val="none"/>
              </w:rPr>
            </w:pPr>
            <w:r>
              <w:rPr>
                <w:rFonts w:hint="eastAsia" w:ascii="宋体" w:hAnsi="宋体" w:cs="宋体"/>
                <w:color w:val="auto"/>
                <w:sz w:val="22"/>
                <w:szCs w:val="22"/>
                <w:highlight w:val="none"/>
              </w:rPr>
              <w:t>及机构</w:t>
            </w:r>
          </w:p>
        </w:tc>
        <w:tc>
          <w:tcPr>
            <w:tcW w:w="9111" w:type="dxa"/>
            <w:gridSpan w:val="7"/>
            <w:noWrap w:val="0"/>
            <w:vAlign w:val="center"/>
          </w:tcPr>
          <w:p w14:paraId="7A406758">
            <w:pPr>
              <w:spacing w:line="480" w:lineRule="exact"/>
              <w:rPr>
                <w:rFonts w:ascii="宋体" w:hAnsi="宋体" w:cs="宋体"/>
                <w:color w:val="auto"/>
                <w:sz w:val="22"/>
                <w:szCs w:val="22"/>
                <w:highlight w:val="none"/>
              </w:rPr>
            </w:pPr>
          </w:p>
        </w:tc>
      </w:tr>
    </w:tbl>
    <w:p w14:paraId="0FE12830">
      <w:pPr>
        <w:pStyle w:val="6"/>
        <w:rPr>
          <w:rFonts w:hint="eastAsia"/>
          <w:color w:val="auto"/>
          <w:highlight w:val="none"/>
        </w:rPr>
        <w:sectPr>
          <w:pgSz w:w="11906" w:h="16838"/>
          <w:pgMar w:top="1134" w:right="1134" w:bottom="1134" w:left="1134" w:header="850" w:footer="992" w:gutter="0"/>
          <w:cols w:space="720" w:num="1"/>
          <w:docGrid w:type="lines" w:linePitch="321" w:charSpace="0"/>
        </w:sectPr>
      </w:pPr>
    </w:p>
    <w:p w14:paraId="7935874C">
      <w:pPr>
        <w:spacing w:line="400" w:lineRule="exact"/>
        <w:jc w:val="center"/>
        <w:outlineLvl w:val="3"/>
        <w:rPr>
          <w:rFonts w:hint="eastAsia" w:ascii="宋体" w:hAnsi="宋体" w:eastAsia="宋体" w:cs="宋体"/>
          <w:b/>
          <w:bCs/>
          <w:color w:val="auto"/>
          <w:sz w:val="28"/>
          <w:szCs w:val="28"/>
          <w:highlight w:val="none"/>
        </w:rPr>
      </w:pPr>
      <w:r>
        <w:rPr>
          <w:rFonts w:hint="eastAsia" w:ascii="宋体" w:hAnsi="宋体" w:cs="宋体"/>
          <w:b/>
          <w:bCs/>
          <w:color w:val="auto"/>
          <w:sz w:val="28"/>
          <w:szCs w:val="28"/>
          <w:highlight w:val="none"/>
          <w:lang w:val="en-US" w:eastAsia="zh-CN"/>
        </w:rPr>
        <w:t>3</w:t>
      </w:r>
      <w:r>
        <w:rPr>
          <w:rFonts w:hint="eastAsia" w:ascii="宋体" w:hAnsi="宋体" w:eastAsia="宋体" w:cs="宋体"/>
          <w:b/>
          <w:bCs/>
          <w:color w:val="auto"/>
          <w:sz w:val="28"/>
          <w:szCs w:val="28"/>
          <w:highlight w:val="none"/>
          <w:lang w:val="en-US" w:eastAsia="zh-CN"/>
        </w:rPr>
        <w:t>、</w:t>
      </w:r>
      <w:r>
        <w:rPr>
          <w:rFonts w:hint="eastAsia" w:ascii="宋体" w:hAnsi="宋体" w:eastAsia="宋体" w:cs="宋体"/>
          <w:b/>
          <w:bCs/>
          <w:color w:val="auto"/>
          <w:sz w:val="28"/>
          <w:szCs w:val="28"/>
          <w:highlight w:val="none"/>
          <w:lang w:val="zh-CN" w:eastAsia="zh-CN"/>
        </w:rPr>
        <w:t>偏离表（</w:t>
      </w:r>
      <w:r>
        <w:rPr>
          <w:rFonts w:hint="eastAsia" w:ascii="宋体" w:hAnsi="宋体" w:eastAsia="宋体" w:cs="宋体"/>
          <w:b/>
          <w:bCs/>
          <w:color w:val="auto"/>
          <w:sz w:val="28"/>
          <w:szCs w:val="28"/>
          <w:highlight w:val="none"/>
          <w:lang w:val="en-US" w:eastAsia="zh-CN"/>
        </w:rPr>
        <w:t>商务、技术偏离</w:t>
      </w:r>
      <w:r>
        <w:rPr>
          <w:rFonts w:hint="eastAsia" w:ascii="宋体" w:hAnsi="宋体" w:eastAsia="宋体" w:cs="宋体"/>
          <w:b/>
          <w:bCs/>
          <w:color w:val="auto"/>
          <w:sz w:val="28"/>
          <w:szCs w:val="28"/>
          <w:highlight w:val="none"/>
          <w:lang w:val="zh-CN" w:eastAsia="zh-CN"/>
        </w:rPr>
        <w:t>）</w:t>
      </w:r>
    </w:p>
    <w:p w14:paraId="0B0E6C76">
      <w:pPr>
        <w:spacing w:line="360" w:lineRule="auto"/>
        <w:rPr>
          <w:rFonts w:hint="eastAsia" w:ascii="宋体" w:hAnsi="宋体" w:eastAsia="宋体" w:cs="宋体"/>
          <w:b w:val="0"/>
          <w:bCs w:val="0"/>
          <w:color w:val="auto"/>
          <w:sz w:val="22"/>
          <w:szCs w:val="22"/>
          <w:highlight w:val="none"/>
        </w:rPr>
      </w:pPr>
    </w:p>
    <w:p w14:paraId="4990B127">
      <w:pPr>
        <w:spacing w:line="360" w:lineRule="auto"/>
        <w:rPr>
          <w:rFonts w:hint="eastAsia" w:ascii="宋体" w:hAnsi="宋体" w:eastAsia="宋体" w:cs="宋体"/>
          <w:b w:val="0"/>
          <w:bCs w:val="0"/>
          <w:color w:val="auto"/>
          <w:sz w:val="22"/>
          <w:szCs w:val="22"/>
          <w:highlight w:val="none"/>
          <w:lang w:eastAsia="zh-CN"/>
        </w:rPr>
      </w:pPr>
      <w:r>
        <w:rPr>
          <w:rFonts w:hint="eastAsia" w:ascii="宋体" w:hAnsi="宋体" w:eastAsia="宋体" w:cs="宋体"/>
          <w:b w:val="0"/>
          <w:bCs w:val="0"/>
          <w:color w:val="auto"/>
          <w:sz w:val="22"/>
          <w:szCs w:val="22"/>
          <w:highlight w:val="none"/>
        </w:rPr>
        <w:t>项目编号：</w:t>
      </w:r>
      <w:r>
        <w:rPr>
          <w:rFonts w:hint="eastAsia" w:ascii="宋体" w:hAnsi="宋体" w:cs="宋体"/>
          <w:b w:val="0"/>
          <w:bCs w:val="0"/>
          <w:color w:val="auto"/>
          <w:sz w:val="22"/>
          <w:szCs w:val="22"/>
          <w:highlight w:val="none"/>
          <w:lang w:eastAsia="zh-CN"/>
        </w:rPr>
        <w:t>WZLCZB（W）-2025-05055</w:t>
      </w:r>
    </w:p>
    <w:p w14:paraId="6FF81D3E">
      <w:pPr>
        <w:keepNext/>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bCs/>
          <w:color w:val="auto"/>
          <w:sz w:val="22"/>
          <w:szCs w:val="22"/>
          <w:highlight w:val="none"/>
          <w:lang w:eastAsia="zh-CN"/>
        </w:rPr>
      </w:pPr>
      <w:r>
        <w:rPr>
          <w:rFonts w:hint="eastAsia" w:ascii="宋体" w:hAnsi="宋体" w:eastAsia="宋体" w:cs="宋体"/>
          <w:b w:val="0"/>
          <w:bCs w:val="0"/>
          <w:color w:val="auto"/>
          <w:sz w:val="22"/>
          <w:szCs w:val="22"/>
          <w:highlight w:val="none"/>
        </w:rPr>
        <w:t>项目名称：</w:t>
      </w:r>
      <w:r>
        <w:rPr>
          <w:rFonts w:hint="eastAsia" w:ascii="宋体" w:hAnsi="宋体" w:cs="宋体"/>
          <w:b w:val="0"/>
          <w:bCs w:val="0"/>
          <w:color w:val="auto"/>
          <w:sz w:val="22"/>
          <w:szCs w:val="22"/>
          <w:highlight w:val="none"/>
          <w:lang w:eastAsia="zh-CN"/>
        </w:rPr>
        <w:t xml:space="preserve"> 食用油</w:t>
      </w:r>
    </w:p>
    <w:tbl>
      <w:tblPr>
        <w:tblStyle w:val="52"/>
        <w:tblW w:w="96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1"/>
        <w:gridCol w:w="3687"/>
        <w:gridCol w:w="3402"/>
        <w:gridCol w:w="1580"/>
      </w:tblGrid>
      <w:tr w14:paraId="586A9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991" w:type="dxa"/>
            <w:shd w:val="clear" w:color="auto" w:fill="FFFFFF"/>
            <w:vAlign w:val="center"/>
          </w:tcPr>
          <w:p w14:paraId="2535E09D">
            <w:pPr>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序  号</w:t>
            </w:r>
          </w:p>
        </w:tc>
        <w:tc>
          <w:tcPr>
            <w:tcW w:w="3687" w:type="dxa"/>
            <w:shd w:val="clear" w:color="auto" w:fill="FFFFFF"/>
            <w:vAlign w:val="center"/>
          </w:tcPr>
          <w:p w14:paraId="6AE9BC66">
            <w:pPr>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招标文件</w:t>
            </w:r>
          </w:p>
          <w:p w14:paraId="4B6EE7C0">
            <w:pPr>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规格要求</w:t>
            </w:r>
          </w:p>
        </w:tc>
        <w:tc>
          <w:tcPr>
            <w:tcW w:w="3402" w:type="dxa"/>
            <w:shd w:val="clear" w:color="auto" w:fill="FFFFFF"/>
            <w:vAlign w:val="center"/>
          </w:tcPr>
          <w:p w14:paraId="5F5B1EDB">
            <w:pPr>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投标文件</w:t>
            </w:r>
          </w:p>
          <w:p w14:paraId="5867FC95">
            <w:pPr>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对应规格</w:t>
            </w:r>
          </w:p>
        </w:tc>
        <w:tc>
          <w:tcPr>
            <w:tcW w:w="1580" w:type="dxa"/>
            <w:shd w:val="clear" w:color="auto" w:fill="FFFFFF"/>
            <w:vAlign w:val="center"/>
          </w:tcPr>
          <w:p w14:paraId="21F3FAF2">
            <w:pPr>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说   明</w:t>
            </w:r>
          </w:p>
        </w:tc>
      </w:tr>
      <w:tr w14:paraId="76DE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991" w:type="dxa"/>
            <w:vAlign w:val="center"/>
          </w:tcPr>
          <w:p w14:paraId="280D5700">
            <w:pPr>
              <w:ind w:firstLine="220" w:firstLineChars="1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w:t>
            </w:r>
          </w:p>
        </w:tc>
        <w:tc>
          <w:tcPr>
            <w:tcW w:w="3687" w:type="dxa"/>
            <w:vAlign w:val="center"/>
          </w:tcPr>
          <w:p w14:paraId="3102D925">
            <w:pPr>
              <w:jc w:val="center"/>
              <w:rPr>
                <w:rFonts w:hint="eastAsia" w:ascii="宋体" w:hAnsi="宋体" w:eastAsia="宋体" w:cs="宋体"/>
                <w:color w:val="auto"/>
                <w:sz w:val="22"/>
                <w:szCs w:val="22"/>
                <w:highlight w:val="none"/>
              </w:rPr>
            </w:pPr>
          </w:p>
        </w:tc>
        <w:tc>
          <w:tcPr>
            <w:tcW w:w="3402" w:type="dxa"/>
            <w:vAlign w:val="center"/>
          </w:tcPr>
          <w:p w14:paraId="13A7974E">
            <w:pPr>
              <w:jc w:val="center"/>
              <w:rPr>
                <w:rFonts w:hint="eastAsia" w:ascii="宋体" w:hAnsi="宋体" w:eastAsia="宋体" w:cs="宋体"/>
                <w:color w:val="auto"/>
                <w:sz w:val="22"/>
                <w:szCs w:val="22"/>
                <w:highlight w:val="none"/>
              </w:rPr>
            </w:pPr>
          </w:p>
        </w:tc>
        <w:tc>
          <w:tcPr>
            <w:tcW w:w="1580" w:type="dxa"/>
            <w:vAlign w:val="center"/>
          </w:tcPr>
          <w:p w14:paraId="675D57AC">
            <w:pPr>
              <w:jc w:val="center"/>
              <w:rPr>
                <w:rFonts w:hint="eastAsia" w:ascii="宋体" w:hAnsi="宋体" w:eastAsia="宋体" w:cs="宋体"/>
                <w:color w:val="auto"/>
                <w:sz w:val="22"/>
                <w:szCs w:val="22"/>
                <w:highlight w:val="none"/>
              </w:rPr>
            </w:pPr>
          </w:p>
        </w:tc>
      </w:tr>
      <w:tr w14:paraId="6FBD2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trPr>
        <w:tc>
          <w:tcPr>
            <w:tcW w:w="991" w:type="dxa"/>
            <w:vAlign w:val="center"/>
          </w:tcPr>
          <w:p w14:paraId="7A79D2AF">
            <w:pPr>
              <w:jc w:val="center"/>
              <w:rPr>
                <w:rFonts w:hint="eastAsia" w:ascii="宋体" w:hAnsi="宋体" w:eastAsia="宋体" w:cs="宋体"/>
                <w:color w:val="auto"/>
                <w:sz w:val="22"/>
                <w:szCs w:val="22"/>
                <w:highlight w:val="none"/>
              </w:rPr>
            </w:pPr>
          </w:p>
        </w:tc>
        <w:tc>
          <w:tcPr>
            <w:tcW w:w="3687" w:type="dxa"/>
            <w:vAlign w:val="center"/>
          </w:tcPr>
          <w:p w14:paraId="64B1E830">
            <w:pPr>
              <w:jc w:val="center"/>
              <w:rPr>
                <w:rFonts w:hint="eastAsia" w:ascii="宋体" w:hAnsi="宋体" w:eastAsia="宋体" w:cs="宋体"/>
                <w:color w:val="auto"/>
                <w:sz w:val="22"/>
                <w:szCs w:val="22"/>
                <w:highlight w:val="none"/>
              </w:rPr>
            </w:pPr>
          </w:p>
        </w:tc>
        <w:tc>
          <w:tcPr>
            <w:tcW w:w="3402" w:type="dxa"/>
            <w:vAlign w:val="center"/>
          </w:tcPr>
          <w:p w14:paraId="151C1580">
            <w:pPr>
              <w:jc w:val="center"/>
              <w:rPr>
                <w:rFonts w:hint="eastAsia" w:ascii="宋体" w:hAnsi="宋体" w:eastAsia="宋体" w:cs="宋体"/>
                <w:color w:val="auto"/>
                <w:sz w:val="22"/>
                <w:szCs w:val="22"/>
                <w:highlight w:val="none"/>
              </w:rPr>
            </w:pPr>
          </w:p>
        </w:tc>
        <w:tc>
          <w:tcPr>
            <w:tcW w:w="1580" w:type="dxa"/>
            <w:vAlign w:val="center"/>
          </w:tcPr>
          <w:p w14:paraId="79DDF8E1">
            <w:pPr>
              <w:jc w:val="center"/>
              <w:rPr>
                <w:rFonts w:hint="eastAsia" w:ascii="宋体" w:hAnsi="宋体" w:eastAsia="宋体" w:cs="宋体"/>
                <w:color w:val="auto"/>
                <w:sz w:val="22"/>
                <w:szCs w:val="22"/>
                <w:highlight w:val="none"/>
              </w:rPr>
            </w:pPr>
          </w:p>
        </w:tc>
      </w:tr>
      <w:tr w14:paraId="3479D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trPr>
        <w:tc>
          <w:tcPr>
            <w:tcW w:w="991" w:type="dxa"/>
            <w:vAlign w:val="center"/>
          </w:tcPr>
          <w:p w14:paraId="111C35A7">
            <w:pPr>
              <w:jc w:val="center"/>
              <w:rPr>
                <w:rFonts w:hint="eastAsia" w:ascii="宋体" w:hAnsi="宋体" w:eastAsia="宋体" w:cs="宋体"/>
                <w:color w:val="auto"/>
                <w:sz w:val="22"/>
                <w:szCs w:val="22"/>
                <w:highlight w:val="none"/>
              </w:rPr>
            </w:pPr>
          </w:p>
        </w:tc>
        <w:tc>
          <w:tcPr>
            <w:tcW w:w="3687" w:type="dxa"/>
            <w:vAlign w:val="center"/>
          </w:tcPr>
          <w:p w14:paraId="0C219343">
            <w:pPr>
              <w:jc w:val="center"/>
              <w:rPr>
                <w:rFonts w:hint="eastAsia" w:ascii="宋体" w:hAnsi="宋体" w:eastAsia="宋体" w:cs="宋体"/>
                <w:color w:val="auto"/>
                <w:sz w:val="22"/>
                <w:szCs w:val="22"/>
                <w:highlight w:val="none"/>
              </w:rPr>
            </w:pPr>
          </w:p>
        </w:tc>
        <w:tc>
          <w:tcPr>
            <w:tcW w:w="3402" w:type="dxa"/>
            <w:vAlign w:val="center"/>
          </w:tcPr>
          <w:p w14:paraId="5E30D7B4">
            <w:pPr>
              <w:jc w:val="center"/>
              <w:rPr>
                <w:rFonts w:hint="eastAsia" w:ascii="宋体" w:hAnsi="宋体" w:eastAsia="宋体" w:cs="宋体"/>
                <w:color w:val="auto"/>
                <w:sz w:val="22"/>
                <w:szCs w:val="22"/>
                <w:highlight w:val="none"/>
              </w:rPr>
            </w:pPr>
          </w:p>
        </w:tc>
        <w:tc>
          <w:tcPr>
            <w:tcW w:w="1580" w:type="dxa"/>
            <w:vAlign w:val="center"/>
          </w:tcPr>
          <w:p w14:paraId="53AA8591">
            <w:pPr>
              <w:jc w:val="center"/>
              <w:rPr>
                <w:rFonts w:hint="eastAsia" w:ascii="宋体" w:hAnsi="宋体" w:eastAsia="宋体" w:cs="宋体"/>
                <w:color w:val="auto"/>
                <w:sz w:val="22"/>
                <w:szCs w:val="22"/>
                <w:highlight w:val="none"/>
              </w:rPr>
            </w:pPr>
          </w:p>
        </w:tc>
      </w:tr>
      <w:tr w14:paraId="12061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trPr>
        <w:tc>
          <w:tcPr>
            <w:tcW w:w="991" w:type="dxa"/>
            <w:vAlign w:val="center"/>
          </w:tcPr>
          <w:p w14:paraId="45164C66">
            <w:pPr>
              <w:jc w:val="center"/>
              <w:rPr>
                <w:rFonts w:hint="eastAsia" w:ascii="宋体" w:hAnsi="宋体" w:eastAsia="宋体" w:cs="宋体"/>
                <w:color w:val="auto"/>
                <w:sz w:val="22"/>
                <w:szCs w:val="22"/>
                <w:highlight w:val="none"/>
              </w:rPr>
            </w:pPr>
          </w:p>
        </w:tc>
        <w:tc>
          <w:tcPr>
            <w:tcW w:w="3687" w:type="dxa"/>
            <w:vAlign w:val="center"/>
          </w:tcPr>
          <w:p w14:paraId="0758B8AA">
            <w:pPr>
              <w:jc w:val="center"/>
              <w:rPr>
                <w:rFonts w:hint="eastAsia" w:ascii="宋体" w:hAnsi="宋体" w:eastAsia="宋体" w:cs="宋体"/>
                <w:color w:val="auto"/>
                <w:sz w:val="22"/>
                <w:szCs w:val="22"/>
                <w:highlight w:val="none"/>
              </w:rPr>
            </w:pPr>
          </w:p>
        </w:tc>
        <w:tc>
          <w:tcPr>
            <w:tcW w:w="3402" w:type="dxa"/>
            <w:vAlign w:val="center"/>
          </w:tcPr>
          <w:p w14:paraId="56FC2DBA">
            <w:pPr>
              <w:jc w:val="center"/>
              <w:rPr>
                <w:rFonts w:hint="eastAsia" w:ascii="宋体" w:hAnsi="宋体" w:eastAsia="宋体" w:cs="宋体"/>
                <w:color w:val="auto"/>
                <w:sz w:val="22"/>
                <w:szCs w:val="22"/>
                <w:highlight w:val="none"/>
              </w:rPr>
            </w:pPr>
          </w:p>
        </w:tc>
        <w:tc>
          <w:tcPr>
            <w:tcW w:w="1580" w:type="dxa"/>
            <w:vAlign w:val="center"/>
          </w:tcPr>
          <w:p w14:paraId="23589439">
            <w:pPr>
              <w:jc w:val="center"/>
              <w:rPr>
                <w:rFonts w:hint="eastAsia" w:ascii="宋体" w:hAnsi="宋体" w:eastAsia="宋体" w:cs="宋体"/>
                <w:color w:val="auto"/>
                <w:sz w:val="22"/>
                <w:szCs w:val="22"/>
                <w:highlight w:val="none"/>
              </w:rPr>
            </w:pPr>
          </w:p>
        </w:tc>
      </w:tr>
      <w:tr w14:paraId="258A7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trPr>
        <w:tc>
          <w:tcPr>
            <w:tcW w:w="991" w:type="dxa"/>
            <w:vAlign w:val="center"/>
          </w:tcPr>
          <w:p w14:paraId="4AB1DC07">
            <w:pPr>
              <w:jc w:val="center"/>
              <w:rPr>
                <w:rFonts w:hint="eastAsia" w:ascii="宋体" w:hAnsi="宋体" w:eastAsia="宋体" w:cs="宋体"/>
                <w:color w:val="auto"/>
                <w:sz w:val="22"/>
                <w:szCs w:val="22"/>
                <w:highlight w:val="none"/>
              </w:rPr>
            </w:pPr>
          </w:p>
        </w:tc>
        <w:tc>
          <w:tcPr>
            <w:tcW w:w="3687" w:type="dxa"/>
            <w:vAlign w:val="center"/>
          </w:tcPr>
          <w:p w14:paraId="18340B07">
            <w:pPr>
              <w:jc w:val="center"/>
              <w:rPr>
                <w:rFonts w:hint="eastAsia" w:ascii="宋体" w:hAnsi="宋体" w:eastAsia="宋体" w:cs="宋体"/>
                <w:color w:val="auto"/>
                <w:sz w:val="22"/>
                <w:szCs w:val="22"/>
                <w:highlight w:val="none"/>
              </w:rPr>
            </w:pPr>
          </w:p>
        </w:tc>
        <w:tc>
          <w:tcPr>
            <w:tcW w:w="3402" w:type="dxa"/>
            <w:vAlign w:val="center"/>
          </w:tcPr>
          <w:p w14:paraId="6EAE5B47">
            <w:pPr>
              <w:jc w:val="center"/>
              <w:rPr>
                <w:rFonts w:hint="eastAsia" w:ascii="宋体" w:hAnsi="宋体" w:eastAsia="宋体" w:cs="宋体"/>
                <w:color w:val="auto"/>
                <w:sz w:val="22"/>
                <w:szCs w:val="22"/>
                <w:highlight w:val="none"/>
              </w:rPr>
            </w:pPr>
          </w:p>
        </w:tc>
        <w:tc>
          <w:tcPr>
            <w:tcW w:w="1580" w:type="dxa"/>
            <w:vAlign w:val="center"/>
          </w:tcPr>
          <w:p w14:paraId="3DEB1CD6">
            <w:pPr>
              <w:jc w:val="center"/>
              <w:rPr>
                <w:rFonts w:hint="eastAsia" w:ascii="宋体" w:hAnsi="宋体" w:eastAsia="宋体" w:cs="宋体"/>
                <w:color w:val="auto"/>
                <w:sz w:val="22"/>
                <w:szCs w:val="22"/>
                <w:highlight w:val="none"/>
              </w:rPr>
            </w:pPr>
          </w:p>
        </w:tc>
      </w:tr>
      <w:tr w14:paraId="069A0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trPr>
        <w:tc>
          <w:tcPr>
            <w:tcW w:w="991" w:type="dxa"/>
            <w:vAlign w:val="center"/>
          </w:tcPr>
          <w:p w14:paraId="28B6F0E1">
            <w:pPr>
              <w:ind w:firstLine="220" w:firstLineChars="1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w:t>
            </w:r>
          </w:p>
        </w:tc>
        <w:tc>
          <w:tcPr>
            <w:tcW w:w="3687" w:type="dxa"/>
            <w:vAlign w:val="center"/>
          </w:tcPr>
          <w:p w14:paraId="7C8028DD">
            <w:pPr>
              <w:jc w:val="center"/>
              <w:rPr>
                <w:rFonts w:hint="eastAsia" w:ascii="宋体" w:hAnsi="宋体" w:eastAsia="宋体" w:cs="宋体"/>
                <w:color w:val="auto"/>
                <w:sz w:val="22"/>
                <w:szCs w:val="22"/>
                <w:highlight w:val="none"/>
              </w:rPr>
            </w:pPr>
          </w:p>
        </w:tc>
        <w:tc>
          <w:tcPr>
            <w:tcW w:w="3402" w:type="dxa"/>
            <w:vAlign w:val="center"/>
          </w:tcPr>
          <w:p w14:paraId="360CDF5A">
            <w:pPr>
              <w:jc w:val="center"/>
              <w:rPr>
                <w:rFonts w:hint="eastAsia" w:ascii="宋体" w:hAnsi="宋体" w:eastAsia="宋体" w:cs="宋体"/>
                <w:color w:val="auto"/>
                <w:sz w:val="22"/>
                <w:szCs w:val="22"/>
                <w:highlight w:val="none"/>
              </w:rPr>
            </w:pPr>
          </w:p>
        </w:tc>
        <w:tc>
          <w:tcPr>
            <w:tcW w:w="1580" w:type="dxa"/>
            <w:vAlign w:val="center"/>
          </w:tcPr>
          <w:p w14:paraId="1C6AF58F">
            <w:pPr>
              <w:jc w:val="center"/>
              <w:rPr>
                <w:rFonts w:hint="eastAsia" w:ascii="宋体" w:hAnsi="宋体" w:eastAsia="宋体" w:cs="宋体"/>
                <w:color w:val="auto"/>
                <w:sz w:val="22"/>
                <w:szCs w:val="22"/>
                <w:highlight w:val="none"/>
              </w:rPr>
            </w:pPr>
          </w:p>
        </w:tc>
      </w:tr>
      <w:tr w14:paraId="3E2FD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trPr>
        <w:tc>
          <w:tcPr>
            <w:tcW w:w="991" w:type="dxa"/>
            <w:vAlign w:val="center"/>
          </w:tcPr>
          <w:p w14:paraId="51FEFFD8">
            <w:pPr>
              <w:jc w:val="center"/>
              <w:rPr>
                <w:rFonts w:hint="eastAsia" w:ascii="宋体" w:hAnsi="宋体" w:eastAsia="宋体" w:cs="宋体"/>
                <w:color w:val="auto"/>
                <w:sz w:val="22"/>
                <w:szCs w:val="22"/>
                <w:highlight w:val="none"/>
              </w:rPr>
            </w:pPr>
          </w:p>
        </w:tc>
        <w:tc>
          <w:tcPr>
            <w:tcW w:w="3687" w:type="dxa"/>
            <w:vAlign w:val="center"/>
          </w:tcPr>
          <w:p w14:paraId="2044B991">
            <w:pPr>
              <w:jc w:val="center"/>
              <w:rPr>
                <w:rFonts w:hint="eastAsia" w:ascii="宋体" w:hAnsi="宋体" w:eastAsia="宋体" w:cs="宋体"/>
                <w:color w:val="auto"/>
                <w:sz w:val="22"/>
                <w:szCs w:val="22"/>
                <w:highlight w:val="none"/>
              </w:rPr>
            </w:pPr>
          </w:p>
        </w:tc>
        <w:tc>
          <w:tcPr>
            <w:tcW w:w="3402" w:type="dxa"/>
            <w:vAlign w:val="center"/>
          </w:tcPr>
          <w:p w14:paraId="5D3FDF8E">
            <w:pPr>
              <w:jc w:val="center"/>
              <w:rPr>
                <w:rFonts w:hint="eastAsia" w:ascii="宋体" w:hAnsi="宋体" w:eastAsia="宋体" w:cs="宋体"/>
                <w:color w:val="auto"/>
                <w:sz w:val="22"/>
                <w:szCs w:val="22"/>
                <w:highlight w:val="none"/>
              </w:rPr>
            </w:pPr>
          </w:p>
        </w:tc>
        <w:tc>
          <w:tcPr>
            <w:tcW w:w="1580" w:type="dxa"/>
            <w:vAlign w:val="center"/>
          </w:tcPr>
          <w:p w14:paraId="162A2488">
            <w:pPr>
              <w:jc w:val="center"/>
              <w:rPr>
                <w:rFonts w:hint="eastAsia" w:ascii="宋体" w:hAnsi="宋体" w:eastAsia="宋体" w:cs="宋体"/>
                <w:color w:val="auto"/>
                <w:sz w:val="22"/>
                <w:szCs w:val="22"/>
                <w:highlight w:val="none"/>
              </w:rPr>
            </w:pPr>
          </w:p>
        </w:tc>
      </w:tr>
      <w:tr w14:paraId="13522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trPr>
        <w:tc>
          <w:tcPr>
            <w:tcW w:w="991" w:type="dxa"/>
            <w:vAlign w:val="center"/>
          </w:tcPr>
          <w:p w14:paraId="12137348">
            <w:pPr>
              <w:jc w:val="center"/>
              <w:rPr>
                <w:rFonts w:hint="eastAsia" w:ascii="宋体" w:hAnsi="宋体" w:eastAsia="宋体" w:cs="宋体"/>
                <w:color w:val="auto"/>
                <w:sz w:val="22"/>
                <w:szCs w:val="22"/>
                <w:highlight w:val="none"/>
              </w:rPr>
            </w:pPr>
          </w:p>
        </w:tc>
        <w:tc>
          <w:tcPr>
            <w:tcW w:w="3687" w:type="dxa"/>
            <w:vAlign w:val="center"/>
          </w:tcPr>
          <w:p w14:paraId="28FE7891">
            <w:pPr>
              <w:jc w:val="center"/>
              <w:rPr>
                <w:rFonts w:hint="eastAsia" w:ascii="宋体" w:hAnsi="宋体" w:eastAsia="宋体" w:cs="宋体"/>
                <w:color w:val="auto"/>
                <w:sz w:val="22"/>
                <w:szCs w:val="22"/>
                <w:highlight w:val="none"/>
              </w:rPr>
            </w:pPr>
          </w:p>
        </w:tc>
        <w:tc>
          <w:tcPr>
            <w:tcW w:w="3402" w:type="dxa"/>
            <w:vAlign w:val="center"/>
          </w:tcPr>
          <w:p w14:paraId="71D9AB6A">
            <w:pPr>
              <w:jc w:val="center"/>
              <w:rPr>
                <w:rFonts w:hint="eastAsia" w:ascii="宋体" w:hAnsi="宋体" w:eastAsia="宋体" w:cs="宋体"/>
                <w:color w:val="auto"/>
                <w:sz w:val="22"/>
                <w:szCs w:val="22"/>
                <w:highlight w:val="none"/>
              </w:rPr>
            </w:pPr>
          </w:p>
        </w:tc>
        <w:tc>
          <w:tcPr>
            <w:tcW w:w="1580" w:type="dxa"/>
            <w:vAlign w:val="center"/>
          </w:tcPr>
          <w:p w14:paraId="0C013840">
            <w:pPr>
              <w:jc w:val="center"/>
              <w:rPr>
                <w:rFonts w:hint="eastAsia" w:ascii="宋体" w:hAnsi="宋体" w:eastAsia="宋体" w:cs="宋体"/>
                <w:color w:val="auto"/>
                <w:sz w:val="22"/>
                <w:szCs w:val="22"/>
                <w:highlight w:val="none"/>
              </w:rPr>
            </w:pPr>
          </w:p>
        </w:tc>
      </w:tr>
      <w:tr w14:paraId="285B0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trPr>
        <w:tc>
          <w:tcPr>
            <w:tcW w:w="991" w:type="dxa"/>
            <w:vAlign w:val="center"/>
          </w:tcPr>
          <w:p w14:paraId="5D257BDE">
            <w:pPr>
              <w:jc w:val="center"/>
              <w:rPr>
                <w:rFonts w:hint="eastAsia" w:ascii="宋体" w:hAnsi="宋体" w:eastAsia="宋体" w:cs="宋体"/>
                <w:color w:val="auto"/>
                <w:sz w:val="22"/>
                <w:szCs w:val="22"/>
                <w:highlight w:val="none"/>
              </w:rPr>
            </w:pPr>
          </w:p>
        </w:tc>
        <w:tc>
          <w:tcPr>
            <w:tcW w:w="3687" w:type="dxa"/>
            <w:vAlign w:val="center"/>
          </w:tcPr>
          <w:p w14:paraId="636C35A7">
            <w:pPr>
              <w:jc w:val="center"/>
              <w:rPr>
                <w:rFonts w:hint="eastAsia" w:ascii="宋体" w:hAnsi="宋体" w:eastAsia="宋体" w:cs="宋体"/>
                <w:color w:val="auto"/>
                <w:sz w:val="22"/>
                <w:szCs w:val="22"/>
                <w:highlight w:val="none"/>
              </w:rPr>
            </w:pPr>
          </w:p>
        </w:tc>
        <w:tc>
          <w:tcPr>
            <w:tcW w:w="3402" w:type="dxa"/>
            <w:vAlign w:val="center"/>
          </w:tcPr>
          <w:p w14:paraId="181DACFF">
            <w:pPr>
              <w:jc w:val="center"/>
              <w:rPr>
                <w:rFonts w:hint="eastAsia" w:ascii="宋体" w:hAnsi="宋体" w:eastAsia="宋体" w:cs="宋体"/>
                <w:color w:val="auto"/>
                <w:sz w:val="22"/>
                <w:szCs w:val="22"/>
                <w:highlight w:val="none"/>
              </w:rPr>
            </w:pPr>
          </w:p>
        </w:tc>
        <w:tc>
          <w:tcPr>
            <w:tcW w:w="1580" w:type="dxa"/>
            <w:vAlign w:val="center"/>
          </w:tcPr>
          <w:p w14:paraId="62F2326F">
            <w:pPr>
              <w:jc w:val="center"/>
              <w:rPr>
                <w:rFonts w:hint="eastAsia" w:ascii="宋体" w:hAnsi="宋体" w:eastAsia="宋体" w:cs="宋体"/>
                <w:color w:val="auto"/>
                <w:sz w:val="22"/>
                <w:szCs w:val="22"/>
                <w:highlight w:val="none"/>
              </w:rPr>
            </w:pPr>
          </w:p>
        </w:tc>
      </w:tr>
    </w:tbl>
    <w:p w14:paraId="49561E58">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b/>
          <w:bCs/>
          <w:color w:val="auto"/>
          <w:sz w:val="22"/>
          <w:szCs w:val="22"/>
          <w:highlight w:val="none"/>
          <w:lang w:eastAsia="zh-CN"/>
        </w:rPr>
      </w:pPr>
      <w:r>
        <w:rPr>
          <w:rFonts w:hint="eastAsia" w:ascii="宋体" w:hAnsi="宋体" w:eastAsia="宋体" w:cs="宋体"/>
          <w:b/>
          <w:bCs/>
          <w:color w:val="auto"/>
          <w:sz w:val="22"/>
          <w:szCs w:val="22"/>
          <w:highlight w:val="none"/>
        </w:rPr>
        <w:t>注： 如有偏离，必须在偏离表中进行详细对比说明并注明正偏离和负偏离，如不说明偏离情况，视为完全响应采购文件要求无偏离</w:t>
      </w:r>
      <w:r>
        <w:rPr>
          <w:rFonts w:hint="eastAsia" w:ascii="宋体" w:hAnsi="宋体" w:cs="宋体"/>
          <w:b/>
          <w:bCs/>
          <w:color w:val="auto"/>
          <w:sz w:val="22"/>
          <w:szCs w:val="22"/>
          <w:highlight w:val="none"/>
          <w:lang w:eastAsia="zh-CN"/>
        </w:rPr>
        <w:t>。</w:t>
      </w:r>
    </w:p>
    <w:p w14:paraId="31535F4A">
      <w:pPr>
        <w:spacing w:line="460" w:lineRule="exact"/>
        <w:ind w:firstLine="4400" w:firstLineChars="2000"/>
        <w:rPr>
          <w:rFonts w:hint="eastAsia" w:ascii="宋体" w:hAnsi="宋体" w:eastAsia="宋体" w:cs="宋体"/>
          <w:color w:val="auto"/>
          <w:sz w:val="22"/>
          <w:szCs w:val="22"/>
          <w:highlight w:val="none"/>
        </w:rPr>
      </w:pPr>
    </w:p>
    <w:p w14:paraId="6ACB0540">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投标人全称（盖章）：</w:t>
      </w:r>
    </w:p>
    <w:p w14:paraId="0C754C75">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法定代表人或其授权代表（签字或盖章）</w:t>
      </w:r>
      <w:r>
        <w:rPr>
          <w:rFonts w:hint="eastAsia" w:ascii="宋体" w:hAnsi="宋体" w:eastAsia="宋体" w:cs="宋体"/>
          <w:color w:val="auto"/>
          <w:sz w:val="22"/>
          <w:szCs w:val="22"/>
          <w:highlight w:val="none"/>
        </w:rPr>
        <w:t>：</w:t>
      </w:r>
    </w:p>
    <w:p w14:paraId="471BE219">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日   期：</w:t>
      </w:r>
    </w:p>
    <w:p w14:paraId="43D885B4">
      <w:pPr>
        <w:rPr>
          <w:rFonts w:hint="eastAsia" w:ascii="宋体" w:hAnsi="宋体" w:eastAsia="宋体" w:cs="宋体"/>
          <w:b/>
          <w:bCs/>
          <w:color w:val="auto"/>
          <w:sz w:val="28"/>
          <w:szCs w:val="28"/>
          <w:highlight w:val="none"/>
          <w:lang w:val="en-US" w:eastAsia="zh-CN"/>
        </w:rPr>
      </w:pPr>
      <w:bookmarkStart w:id="40" w:name="_Toc415152386"/>
      <w:r>
        <w:rPr>
          <w:rFonts w:hint="eastAsia" w:ascii="宋体" w:hAnsi="宋体" w:eastAsia="宋体" w:cs="宋体"/>
          <w:b/>
          <w:color w:val="auto"/>
          <w:sz w:val="24"/>
          <w:highlight w:val="none"/>
        </w:rPr>
        <w:br w:type="page"/>
      </w:r>
    </w:p>
    <w:bookmarkEnd w:id="40"/>
    <w:p w14:paraId="7873D90B">
      <w:pPr>
        <w:spacing w:line="400" w:lineRule="exact"/>
        <w:jc w:val="center"/>
        <w:outlineLvl w:val="3"/>
        <w:rPr>
          <w:rFonts w:hint="eastAsia" w:ascii="宋体" w:hAnsi="宋体" w:eastAsia="宋体" w:cs="宋体"/>
          <w:b/>
          <w:bCs/>
          <w:color w:val="auto"/>
          <w:sz w:val="28"/>
          <w:szCs w:val="28"/>
          <w:highlight w:val="none"/>
          <w:lang w:val="zh-CN" w:eastAsia="zh-CN"/>
        </w:rPr>
      </w:pPr>
      <w:r>
        <w:rPr>
          <w:rFonts w:hint="eastAsia" w:ascii="宋体" w:hAnsi="宋体" w:eastAsia="宋体" w:cs="宋体"/>
          <w:b/>
          <w:bCs/>
          <w:color w:val="auto"/>
          <w:sz w:val="28"/>
          <w:szCs w:val="28"/>
          <w:highlight w:val="none"/>
          <w:lang w:val="en-US" w:eastAsia="zh-CN"/>
        </w:rPr>
        <w:t>4、</w:t>
      </w:r>
      <w:r>
        <w:rPr>
          <w:rFonts w:hint="eastAsia" w:ascii="宋体" w:hAnsi="宋体" w:eastAsia="宋体" w:cs="宋体"/>
          <w:b/>
          <w:bCs/>
          <w:color w:val="auto"/>
          <w:sz w:val="28"/>
          <w:szCs w:val="28"/>
          <w:highlight w:val="none"/>
          <w:lang w:val="zh-CN" w:eastAsia="zh-CN"/>
        </w:rPr>
        <w:t>详细供货清单说明一览表</w:t>
      </w:r>
    </w:p>
    <w:p w14:paraId="2D295B6F">
      <w:pPr>
        <w:spacing w:line="360" w:lineRule="auto"/>
        <w:rPr>
          <w:rFonts w:hint="eastAsia" w:ascii="宋体" w:hAnsi="宋体" w:eastAsia="宋体" w:cs="宋体"/>
          <w:b w:val="0"/>
          <w:bCs w:val="0"/>
          <w:color w:val="auto"/>
          <w:sz w:val="22"/>
          <w:szCs w:val="22"/>
          <w:highlight w:val="none"/>
          <w:lang w:eastAsia="zh-CN"/>
        </w:rPr>
      </w:pPr>
      <w:r>
        <w:rPr>
          <w:rFonts w:hint="eastAsia" w:ascii="宋体" w:hAnsi="宋体" w:eastAsia="宋体" w:cs="宋体"/>
          <w:b w:val="0"/>
          <w:bCs w:val="0"/>
          <w:color w:val="auto"/>
          <w:sz w:val="22"/>
          <w:szCs w:val="22"/>
          <w:highlight w:val="none"/>
        </w:rPr>
        <w:t>项目编号：</w:t>
      </w:r>
      <w:r>
        <w:rPr>
          <w:rFonts w:hint="eastAsia" w:ascii="宋体" w:hAnsi="宋体" w:cs="宋体"/>
          <w:b w:val="0"/>
          <w:bCs w:val="0"/>
          <w:color w:val="auto"/>
          <w:sz w:val="22"/>
          <w:szCs w:val="22"/>
          <w:highlight w:val="none"/>
          <w:lang w:eastAsia="zh-CN"/>
        </w:rPr>
        <w:t>WZLCZB（W）-2025-05055</w:t>
      </w:r>
    </w:p>
    <w:p w14:paraId="0EA88045">
      <w:pPr>
        <w:keepNext/>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bCs/>
          <w:color w:val="auto"/>
          <w:sz w:val="22"/>
          <w:szCs w:val="22"/>
          <w:highlight w:val="none"/>
          <w:lang w:eastAsia="zh-CN"/>
        </w:rPr>
      </w:pPr>
      <w:r>
        <w:rPr>
          <w:rFonts w:hint="eastAsia" w:ascii="宋体" w:hAnsi="宋体" w:eastAsia="宋体" w:cs="宋体"/>
          <w:b w:val="0"/>
          <w:bCs w:val="0"/>
          <w:color w:val="auto"/>
          <w:sz w:val="22"/>
          <w:szCs w:val="22"/>
          <w:highlight w:val="none"/>
        </w:rPr>
        <w:t>项目名称：</w:t>
      </w:r>
      <w:r>
        <w:rPr>
          <w:rFonts w:hint="eastAsia" w:ascii="宋体" w:hAnsi="宋体" w:cs="宋体"/>
          <w:b w:val="0"/>
          <w:bCs w:val="0"/>
          <w:color w:val="auto"/>
          <w:sz w:val="22"/>
          <w:szCs w:val="22"/>
          <w:highlight w:val="none"/>
          <w:lang w:eastAsia="zh-CN"/>
        </w:rPr>
        <w:t xml:space="preserve"> 食用油</w:t>
      </w:r>
    </w:p>
    <w:tbl>
      <w:tblPr>
        <w:tblStyle w:val="52"/>
        <w:tblW w:w="96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1"/>
        <w:gridCol w:w="1680"/>
        <w:gridCol w:w="2213"/>
        <w:gridCol w:w="2006"/>
        <w:gridCol w:w="2006"/>
        <w:gridCol w:w="1140"/>
      </w:tblGrid>
      <w:tr w14:paraId="045AE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651" w:type="dxa"/>
            <w:shd w:val="clear" w:color="auto" w:fill="FFFFFF"/>
            <w:noWrap w:val="0"/>
            <w:vAlign w:val="center"/>
          </w:tcPr>
          <w:p w14:paraId="7C0F1F7B">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r>
              <w:rPr>
                <w:rFonts w:hint="eastAsia" w:ascii="宋体" w:hAnsi="宋体" w:eastAsia="宋体" w:cs="宋体"/>
                <w:color w:val="auto"/>
                <w:sz w:val="22"/>
                <w:szCs w:val="22"/>
                <w:highlight w:val="none"/>
              </w:rPr>
              <w:t>序号</w:t>
            </w:r>
          </w:p>
        </w:tc>
        <w:tc>
          <w:tcPr>
            <w:tcW w:w="1680" w:type="dxa"/>
            <w:shd w:val="clear" w:color="auto" w:fill="FFFFFF"/>
            <w:noWrap w:val="0"/>
            <w:vAlign w:val="center"/>
          </w:tcPr>
          <w:p w14:paraId="55249AA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Cs/>
                <w:color w:val="auto"/>
                <w:kern w:val="0"/>
                <w:sz w:val="22"/>
                <w:szCs w:val="22"/>
                <w:highlight w:val="none"/>
                <w:lang w:eastAsia="zh-CN"/>
              </w:rPr>
            </w:pPr>
            <w:r>
              <w:rPr>
                <w:rFonts w:hint="eastAsia" w:ascii="宋体" w:hAnsi="宋体" w:eastAsia="宋体" w:cs="宋体"/>
                <w:bCs/>
                <w:color w:val="auto"/>
                <w:kern w:val="0"/>
                <w:sz w:val="22"/>
                <w:szCs w:val="22"/>
                <w:highlight w:val="none"/>
              </w:rPr>
              <w:t>产品名称</w:t>
            </w:r>
          </w:p>
        </w:tc>
        <w:tc>
          <w:tcPr>
            <w:tcW w:w="2213" w:type="dxa"/>
            <w:shd w:val="clear" w:color="auto" w:fill="FFFFFF"/>
            <w:noWrap w:val="0"/>
            <w:vAlign w:val="center"/>
          </w:tcPr>
          <w:p w14:paraId="0825CE86">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宋体" w:hAnsi="宋体" w:eastAsia="宋体" w:cs="宋体"/>
                <w:bCs/>
                <w:color w:val="auto"/>
                <w:kern w:val="0"/>
                <w:sz w:val="22"/>
                <w:szCs w:val="22"/>
                <w:highlight w:val="none"/>
                <w:lang w:val="en-US" w:eastAsia="zh-CN"/>
              </w:rPr>
            </w:pPr>
            <w:r>
              <w:rPr>
                <w:rFonts w:hint="eastAsia" w:ascii="宋体" w:hAnsi="宋体" w:eastAsia="宋体" w:cs="宋体"/>
                <w:bCs/>
                <w:color w:val="auto"/>
                <w:kern w:val="0"/>
                <w:sz w:val="22"/>
                <w:szCs w:val="22"/>
                <w:highlight w:val="none"/>
              </w:rPr>
              <w:t>生产厂家</w:t>
            </w:r>
          </w:p>
        </w:tc>
        <w:tc>
          <w:tcPr>
            <w:tcW w:w="2006" w:type="dxa"/>
            <w:shd w:val="clear" w:color="auto" w:fill="FFFFFF"/>
            <w:noWrap w:val="0"/>
            <w:vAlign w:val="center"/>
          </w:tcPr>
          <w:p w14:paraId="0D133DCF">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Cs/>
                <w:color w:val="auto"/>
                <w:kern w:val="0"/>
                <w:sz w:val="22"/>
                <w:szCs w:val="22"/>
                <w:highlight w:val="none"/>
              </w:rPr>
            </w:pPr>
            <w:r>
              <w:rPr>
                <w:rFonts w:hint="eastAsia" w:ascii="宋体" w:hAnsi="宋体" w:cs="宋体"/>
                <w:bCs/>
                <w:color w:val="auto"/>
                <w:kern w:val="0"/>
                <w:sz w:val="22"/>
                <w:szCs w:val="22"/>
                <w:highlight w:val="none"/>
                <w:lang w:val="en-US" w:eastAsia="zh-CN"/>
              </w:rPr>
              <w:t>品牌</w:t>
            </w:r>
          </w:p>
        </w:tc>
        <w:tc>
          <w:tcPr>
            <w:tcW w:w="2006" w:type="dxa"/>
            <w:shd w:val="clear" w:color="auto" w:fill="FFFFFF"/>
            <w:noWrap w:val="0"/>
            <w:vAlign w:val="center"/>
          </w:tcPr>
          <w:p w14:paraId="1AC71DEF">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宋体" w:hAnsi="宋体" w:eastAsia="宋体" w:cs="宋体"/>
                <w:bCs/>
                <w:color w:val="auto"/>
                <w:kern w:val="0"/>
                <w:sz w:val="22"/>
                <w:szCs w:val="22"/>
                <w:highlight w:val="none"/>
                <w:lang w:val="en-US"/>
              </w:rPr>
            </w:pPr>
            <w:r>
              <w:rPr>
                <w:rFonts w:eastAsia="新宋体"/>
                <w:bCs/>
                <w:kern w:val="0"/>
                <w:sz w:val="22"/>
                <w:szCs w:val="22"/>
              </w:rPr>
              <w:t>规格标准</w:t>
            </w:r>
          </w:p>
        </w:tc>
        <w:tc>
          <w:tcPr>
            <w:tcW w:w="1140" w:type="dxa"/>
            <w:shd w:val="clear" w:color="auto" w:fill="FFFFFF"/>
            <w:noWrap w:val="0"/>
            <w:vAlign w:val="center"/>
          </w:tcPr>
          <w:p w14:paraId="280F4274">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Cs/>
                <w:color w:val="auto"/>
                <w:kern w:val="0"/>
                <w:sz w:val="22"/>
                <w:szCs w:val="22"/>
                <w:highlight w:val="none"/>
              </w:rPr>
            </w:pPr>
            <w:r>
              <w:rPr>
                <w:rFonts w:hint="eastAsia" w:ascii="宋体" w:hAnsi="宋体" w:eastAsia="宋体" w:cs="宋体"/>
                <w:bCs/>
                <w:color w:val="auto"/>
                <w:kern w:val="0"/>
                <w:sz w:val="22"/>
                <w:szCs w:val="22"/>
                <w:highlight w:val="none"/>
              </w:rPr>
              <w:t>质保期</w:t>
            </w:r>
          </w:p>
        </w:tc>
      </w:tr>
      <w:tr w14:paraId="7575D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exact"/>
        </w:trPr>
        <w:tc>
          <w:tcPr>
            <w:tcW w:w="651" w:type="dxa"/>
            <w:noWrap w:val="0"/>
            <w:vAlign w:val="center"/>
          </w:tcPr>
          <w:p w14:paraId="5D37AC59">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2"/>
                <w:szCs w:val="22"/>
                <w:highlight w:val="none"/>
              </w:rPr>
            </w:pPr>
          </w:p>
        </w:tc>
        <w:tc>
          <w:tcPr>
            <w:tcW w:w="1680" w:type="dxa"/>
            <w:noWrap w:val="0"/>
            <w:vAlign w:val="center"/>
          </w:tcPr>
          <w:p w14:paraId="097DB95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213" w:type="dxa"/>
            <w:noWrap w:val="0"/>
            <w:vAlign w:val="center"/>
          </w:tcPr>
          <w:p w14:paraId="67137205">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006" w:type="dxa"/>
            <w:noWrap w:val="0"/>
            <w:vAlign w:val="center"/>
          </w:tcPr>
          <w:p w14:paraId="72F0B417">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006" w:type="dxa"/>
            <w:noWrap w:val="0"/>
            <w:vAlign w:val="center"/>
          </w:tcPr>
          <w:p w14:paraId="01F2D6E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1140" w:type="dxa"/>
            <w:noWrap w:val="0"/>
            <w:vAlign w:val="top"/>
          </w:tcPr>
          <w:p w14:paraId="0EC05227">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p>
        </w:tc>
      </w:tr>
      <w:tr w14:paraId="29D09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exact"/>
        </w:trPr>
        <w:tc>
          <w:tcPr>
            <w:tcW w:w="651" w:type="dxa"/>
            <w:noWrap w:val="0"/>
            <w:vAlign w:val="center"/>
          </w:tcPr>
          <w:p w14:paraId="25C171D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2"/>
                <w:szCs w:val="22"/>
                <w:highlight w:val="none"/>
              </w:rPr>
            </w:pPr>
          </w:p>
        </w:tc>
        <w:tc>
          <w:tcPr>
            <w:tcW w:w="1680" w:type="dxa"/>
            <w:noWrap w:val="0"/>
            <w:vAlign w:val="center"/>
          </w:tcPr>
          <w:p w14:paraId="1819CF0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213" w:type="dxa"/>
            <w:noWrap w:val="0"/>
            <w:vAlign w:val="center"/>
          </w:tcPr>
          <w:p w14:paraId="1369AAD2">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006" w:type="dxa"/>
            <w:noWrap w:val="0"/>
            <w:vAlign w:val="center"/>
          </w:tcPr>
          <w:p w14:paraId="52B8A64B">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006" w:type="dxa"/>
            <w:noWrap w:val="0"/>
            <w:vAlign w:val="center"/>
          </w:tcPr>
          <w:p w14:paraId="2C55AF58">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1140" w:type="dxa"/>
            <w:noWrap w:val="0"/>
            <w:vAlign w:val="top"/>
          </w:tcPr>
          <w:p w14:paraId="1066C39A">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p>
        </w:tc>
      </w:tr>
      <w:tr w14:paraId="28A0E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exact"/>
        </w:trPr>
        <w:tc>
          <w:tcPr>
            <w:tcW w:w="651" w:type="dxa"/>
            <w:noWrap w:val="0"/>
            <w:vAlign w:val="center"/>
          </w:tcPr>
          <w:p w14:paraId="320F871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2"/>
                <w:szCs w:val="22"/>
                <w:highlight w:val="none"/>
              </w:rPr>
            </w:pPr>
          </w:p>
        </w:tc>
        <w:tc>
          <w:tcPr>
            <w:tcW w:w="1680" w:type="dxa"/>
            <w:noWrap w:val="0"/>
            <w:vAlign w:val="center"/>
          </w:tcPr>
          <w:p w14:paraId="476A91F2">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213" w:type="dxa"/>
            <w:noWrap w:val="0"/>
            <w:vAlign w:val="center"/>
          </w:tcPr>
          <w:p w14:paraId="4702BB5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006" w:type="dxa"/>
            <w:noWrap w:val="0"/>
            <w:vAlign w:val="center"/>
          </w:tcPr>
          <w:p w14:paraId="30CE87B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006" w:type="dxa"/>
            <w:noWrap w:val="0"/>
            <w:vAlign w:val="center"/>
          </w:tcPr>
          <w:p w14:paraId="7BDC80BE">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1140" w:type="dxa"/>
            <w:noWrap w:val="0"/>
            <w:vAlign w:val="top"/>
          </w:tcPr>
          <w:p w14:paraId="493CB0CF">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p>
        </w:tc>
      </w:tr>
      <w:tr w14:paraId="25DDA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exact"/>
        </w:trPr>
        <w:tc>
          <w:tcPr>
            <w:tcW w:w="651" w:type="dxa"/>
            <w:noWrap w:val="0"/>
            <w:vAlign w:val="center"/>
          </w:tcPr>
          <w:p w14:paraId="01864524">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2"/>
                <w:szCs w:val="22"/>
                <w:highlight w:val="none"/>
              </w:rPr>
            </w:pPr>
          </w:p>
        </w:tc>
        <w:tc>
          <w:tcPr>
            <w:tcW w:w="1680" w:type="dxa"/>
            <w:noWrap w:val="0"/>
            <w:vAlign w:val="center"/>
          </w:tcPr>
          <w:p w14:paraId="25CC6034">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213" w:type="dxa"/>
            <w:noWrap w:val="0"/>
            <w:vAlign w:val="center"/>
          </w:tcPr>
          <w:p w14:paraId="6FC4FD6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006" w:type="dxa"/>
            <w:noWrap w:val="0"/>
            <w:vAlign w:val="center"/>
          </w:tcPr>
          <w:p w14:paraId="6510A7CB">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006" w:type="dxa"/>
            <w:noWrap w:val="0"/>
            <w:vAlign w:val="center"/>
          </w:tcPr>
          <w:p w14:paraId="6EF7605C">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1140" w:type="dxa"/>
            <w:noWrap w:val="0"/>
            <w:vAlign w:val="top"/>
          </w:tcPr>
          <w:p w14:paraId="6C29DC90">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p>
        </w:tc>
      </w:tr>
      <w:tr w14:paraId="57B1B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exact"/>
        </w:trPr>
        <w:tc>
          <w:tcPr>
            <w:tcW w:w="651" w:type="dxa"/>
            <w:noWrap w:val="0"/>
            <w:vAlign w:val="center"/>
          </w:tcPr>
          <w:p w14:paraId="24A2C089">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2"/>
                <w:szCs w:val="22"/>
                <w:highlight w:val="none"/>
              </w:rPr>
            </w:pPr>
          </w:p>
        </w:tc>
        <w:tc>
          <w:tcPr>
            <w:tcW w:w="1680" w:type="dxa"/>
            <w:noWrap w:val="0"/>
            <w:vAlign w:val="center"/>
          </w:tcPr>
          <w:p w14:paraId="057F315C">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213" w:type="dxa"/>
            <w:noWrap w:val="0"/>
            <w:vAlign w:val="center"/>
          </w:tcPr>
          <w:p w14:paraId="640821B3">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006" w:type="dxa"/>
            <w:noWrap w:val="0"/>
            <w:vAlign w:val="center"/>
          </w:tcPr>
          <w:p w14:paraId="27A2AFDE">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006" w:type="dxa"/>
            <w:noWrap w:val="0"/>
            <w:vAlign w:val="center"/>
          </w:tcPr>
          <w:p w14:paraId="381BE262">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1140" w:type="dxa"/>
            <w:noWrap w:val="0"/>
            <w:vAlign w:val="top"/>
          </w:tcPr>
          <w:p w14:paraId="4C69027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p>
        </w:tc>
      </w:tr>
      <w:tr w14:paraId="336C3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exact"/>
        </w:trPr>
        <w:tc>
          <w:tcPr>
            <w:tcW w:w="651" w:type="dxa"/>
            <w:noWrap w:val="0"/>
            <w:vAlign w:val="center"/>
          </w:tcPr>
          <w:p w14:paraId="3C024E76">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2"/>
                <w:szCs w:val="22"/>
                <w:highlight w:val="none"/>
              </w:rPr>
            </w:pPr>
          </w:p>
        </w:tc>
        <w:tc>
          <w:tcPr>
            <w:tcW w:w="1680" w:type="dxa"/>
            <w:noWrap w:val="0"/>
            <w:vAlign w:val="center"/>
          </w:tcPr>
          <w:p w14:paraId="5834DA48">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213" w:type="dxa"/>
            <w:noWrap w:val="0"/>
            <w:vAlign w:val="center"/>
          </w:tcPr>
          <w:p w14:paraId="0BCC092A">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006" w:type="dxa"/>
            <w:noWrap w:val="0"/>
            <w:vAlign w:val="center"/>
          </w:tcPr>
          <w:p w14:paraId="57A3613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006" w:type="dxa"/>
            <w:noWrap w:val="0"/>
            <w:vAlign w:val="center"/>
          </w:tcPr>
          <w:p w14:paraId="6DDC284C">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1140" w:type="dxa"/>
            <w:noWrap w:val="0"/>
            <w:vAlign w:val="top"/>
          </w:tcPr>
          <w:p w14:paraId="596FB5E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p>
        </w:tc>
      </w:tr>
      <w:tr w14:paraId="71ABC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exact"/>
        </w:trPr>
        <w:tc>
          <w:tcPr>
            <w:tcW w:w="651" w:type="dxa"/>
            <w:noWrap w:val="0"/>
            <w:vAlign w:val="center"/>
          </w:tcPr>
          <w:p w14:paraId="000F02BE">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2"/>
                <w:szCs w:val="22"/>
                <w:highlight w:val="none"/>
              </w:rPr>
            </w:pPr>
          </w:p>
        </w:tc>
        <w:tc>
          <w:tcPr>
            <w:tcW w:w="1680" w:type="dxa"/>
            <w:noWrap w:val="0"/>
            <w:vAlign w:val="center"/>
          </w:tcPr>
          <w:p w14:paraId="5C5C119A">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2"/>
                <w:szCs w:val="22"/>
                <w:highlight w:val="none"/>
              </w:rPr>
            </w:pPr>
          </w:p>
        </w:tc>
        <w:tc>
          <w:tcPr>
            <w:tcW w:w="2213" w:type="dxa"/>
            <w:noWrap w:val="0"/>
            <w:vAlign w:val="center"/>
          </w:tcPr>
          <w:p w14:paraId="5EC2D7F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006" w:type="dxa"/>
            <w:noWrap w:val="0"/>
            <w:vAlign w:val="center"/>
          </w:tcPr>
          <w:p w14:paraId="311DF0CA">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006" w:type="dxa"/>
            <w:noWrap w:val="0"/>
            <w:vAlign w:val="center"/>
          </w:tcPr>
          <w:p w14:paraId="5541CB43">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1140" w:type="dxa"/>
            <w:noWrap w:val="0"/>
            <w:vAlign w:val="top"/>
          </w:tcPr>
          <w:p w14:paraId="6EFBFA6F">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p>
        </w:tc>
      </w:tr>
      <w:tr w14:paraId="4F2EF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exact"/>
        </w:trPr>
        <w:tc>
          <w:tcPr>
            <w:tcW w:w="651" w:type="dxa"/>
            <w:noWrap w:val="0"/>
            <w:vAlign w:val="center"/>
          </w:tcPr>
          <w:p w14:paraId="5B20755C">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2"/>
                <w:szCs w:val="22"/>
                <w:highlight w:val="none"/>
              </w:rPr>
            </w:pPr>
          </w:p>
        </w:tc>
        <w:tc>
          <w:tcPr>
            <w:tcW w:w="1680" w:type="dxa"/>
            <w:noWrap w:val="0"/>
            <w:vAlign w:val="center"/>
          </w:tcPr>
          <w:p w14:paraId="67C51087">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213" w:type="dxa"/>
            <w:noWrap w:val="0"/>
            <w:vAlign w:val="center"/>
          </w:tcPr>
          <w:p w14:paraId="0FEC751A">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2"/>
                <w:szCs w:val="22"/>
                <w:highlight w:val="none"/>
              </w:rPr>
            </w:pPr>
          </w:p>
        </w:tc>
        <w:tc>
          <w:tcPr>
            <w:tcW w:w="2006" w:type="dxa"/>
            <w:noWrap w:val="0"/>
            <w:vAlign w:val="center"/>
          </w:tcPr>
          <w:p w14:paraId="51DC682B">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2"/>
                <w:szCs w:val="22"/>
                <w:highlight w:val="none"/>
              </w:rPr>
            </w:pPr>
          </w:p>
        </w:tc>
        <w:tc>
          <w:tcPr>
            <w:tcW w:w="2006" w:type="dxa"/>
            <w:noWrap w:val="0"/>
            <w:vAlign w:val="center"/>
          </w:tcPr>
          <w:p w14:paraId="6DD98DD7">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1140" w:type="dxa"/>
            <w:noWrap w:val="0"/>
            <w:vAlign w:val="top"/>
          </w:tcPr>
          <w:p w14:paraId="3660A79D">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p>
        </w:tc>
      </w:tr>
      <w:tr w14:paraId="5BD27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exact"/>
        </w:trPr>
        <w:tc>
          <w:tcPr>
            <w:tcW w:w="651" w:type="dxa"/>
            <w:noWrap w:val="0"/>
            <w:vAlign w:val="center"/>
          </w:tcPr>
          <w:p w14:paraId="7FEC19E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2"/>
                <w:szCs w:val="22"/>
                <w:highlight w:val="none"/>
              </w:rPr>
            </w:pPr>
          </w:p>
        </w:tc>
        <w:tc>
          <w:tcPr>
            <w:tcW w:w="1680" w:type="dxa"/>
            <w:noWrap w:val="0"/>
            <w:vAlign w:val="center"/>
          </w:tcPr>
          <w:p w14:paraId="701CF303">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2"/>
                <w:szCs w:val="22"/>
                <w:highlight w:val="none"/>
              </w:rPr>
            </w:pPr>
          </w:p>
        </w:tc>
        <w:tc>
          <w:tcPr>
            <w:tcW w:w="2213" w:type="dxa"/>
            <w:noWrap w:val="0"/>
            <w:vAlign w:val="top"/>
          </w:tcPr>
          <w:p w14:paraId="45D8217E">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b/>
                <w:bCs/>
                <w:color w:val="auto"/>
                <w:sz w:val="22"/>
                <w:szCs w:val="22"/>
                <w:highlight w:val="none"/>
              </w:rPr>
            </w:pPr>
          </w:p>
        </w:tc>
        <w:tc>
          <w:tcPr>
            <w:tcW w:w="2006" w:type="dxa"/>
            <w:noWrap w:val="0"/>
            <w:vAlign w:val="center"/>
          </w:tcPr>
          <w:p w14:paraId="4F6C52A6">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b/>
                <w:bCs/>
                <w:color w:val="auto"/>
                <w:sz w:val="22"/>
                <w:szCs w:val="22"/>
                <w:highlight w:val="none"/>
              </w:rPr>
            </w:pPr>
          </w:p>
        </w:tc>
        <w:tc>
          <w:tcPr>
            <w:tcW w:w="2006" w:type="dxa"/>
            <w:noWrap w:val="0"/>
            <w:vAlign w:val="center"/>
          </w:tcPr>
          <w:p w14:paraId="7402271E">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1140" w:type="dxa"/>
            <w:noWrap w:val="0"/>
            <w:vAlign w:val="top"/>
          </w:tcPr>
          <w:p w14:paraId="1396713A">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p>
        </w:tc>
      </w:tr>
      <w:tr w14:paraId="2B273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exact"/>
        </w:trPr>
        <w:tc>
          <w:tcPr>
            <w:tcW w:w="651" w:type="dxa"/>
            <w:noWrap w:val="0"/>
            <w:vAlign w:val="center"/>
          </w:tcPr>
          <w:p w14:paraId="5E4F3ACC">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2"/>
                <w:szCs w:val="22"/>
                <w:highlight w:val="none"/>
              </w:rPr>
            </w:pPr>
          </w:p>
        </w:tc>
        <w:tc>
          <w:tcPr>
            <w:tcW w:w="1680" w:type="dxa"/>
            <w:noWrap w:val="0"/>
            <w:vAlign w:val="center"/>
          </w:tcPr>
          <w:p w14:paraId="2AD07914">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213" w:type="dxa"/>
            <w:noWrap w:val="0"/>
            <w:vAlign w:val="top"/>
          </w:tcPr>
          <w:p w14:paraId="2CBFEDAB">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p>
        </w:tc>
        <w:tc>
          <w:tcPr>
            <w:tcW w:w="2006" w:type="dxa"/>
            <w:noWrap w:val="0"/>
            <w:vAlign w:val="center"/>
          </w:tcPr>
          <w:p w14:paraId="7890728A">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p>
        </w:tc>
        <w:tc>
          <w:tcPr>
            <w:tcW w:w="2006" w:type="dxa"/>
            <w:noWrap w:val="0"/>
            <w:vAlign w:val="center"/>
          </w:tcPr>
          <w:p w14:paraId="3D63E9AE">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1140" w:type="dxa"/>
            <w:noWrap w:val="0"/>
            <w:vAlign w:val="top"/>
          </w:tcPr>
          <w:p w14:paraId="75418A92">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p>
        </w:tc>
      </w:tr>
      <w:tr w14:paraId="2D442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exact"/>
        </w:trPr>
        <w:tc>
          <w:tcPr>
            <w:tcW w:w="651" w:type="dxa"/>
            <w:noWrap w:val="0"/>
            <w:vAlign w:val="center"/>
          </w:tcPr>
          <w:p w14:paraId="1B504E7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2"/>
                <w:szCs w:val="22"/>
                <w:highlight w:val="none"/>
              </w:rPr>
            </w:pPr>
          </w:p>
        </w:tc>
        <w:tc>
          <w:tcPr>
            <w:tcW w:w="1680" w:type="dxa"/>
            <w:noWrap w:val="0"/>
            <w:vAlign w:val="center"/>
          </w:tcPr>
          <w:p w14:paraId="3F44BCFB">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2"/>
                <w:szCs w:val="22"/>
                <w:highlight w:val="none"/>
              </w:rPr>
            </w:pPr>
          </w:p>
        </w:tc>
        <w:tc>
          <w:tcPr>
            <w:tcW w:w="2213" w:type="dxa"/>
            <w:noWrap w:val="0"/>
            <w:vAlign w:val="top"/>
          </w:tcPr>
          <w:p w14:paraId="7D99B70E">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p>
        </w:tc>
        <w:tc>
          <w:tcPr>
            <w:tcW w:w="2006" w:type="dxa"/>
            <w:noWrap w:val="0"/>
            <w:vAlign w:val="center"/>
          </w:tcPr>
          <w:p w14:paraId="7231963B">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p>
        </w:tc>
        <w:tc>
          <w:tcPr>
            <w:tcW w:w="2006" w:type="dxa"/>
            <w:noWrap w:val="0"/>
            <w:vAlign w:val="center"/>
          </w:tcPr>
          <w:p w14:paraId="0D1552A7">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1140" w:type="dxa"/>
            <w:noWrap w:val="0"/>
            <w:vAlign w:val="top"/>
          </w:tcPr>
          <w:p w14:paraId="7F101E94">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p>
        </w:tc>
      </w:tr>
      <w:tr w14:paraId="5439C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exact"/>
        </w:trPr>
        <w:tc>
          <w:tcPr>
            <w:tcW w:w="651" w:type="dxa"/>
            <w:noWrap w:val="0"/>
            <w:vAlign w:val="center"/>
          </w:tcPr>
          <w:p w14:paraId="1D3E02CF">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2"/>
                <w:szCs w:val="22"/>
                <w:highlight w:val="none"/>
              </w:rPr>
            </w:pPr>
          </w:p>
        </w:tc>
        <w:tc>
          <w:tcPr>
            <w:tcW w:w="1680" w:type="dxa"/>
            <w:noWrap w:val="0"/>
            <w:vAlign w:val="center"/>
          </w:tcPr>
          <w:p w14:paraId="78C1986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2"/>
                <w:szCs w:val="22"/>
                <w:highlight w:val="none"/>
              </w:rPr>
            </w:pPr>
          </w:p>
        </w:tc>
        <w:tc>
          <w:tcPr>
            <w:tcW w:w="2213" w:type="dxa"/>
            <w:noWrap w:val="0"/>
            <w:vAlign w:val="top"/>
          </w:tcPr>
          <w:p w14:paraId="431EDFFA">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p>
        </w:tc>
        <w:tc>
          <w:tcPr>
            <w:tcW w:w="2006" w:type="dxa"/>
            <w:noWrap w:val="0"/>
            <w:vAlign w:val="center"/>
          </w:tcPr>
          <w:p w14:paraId="3508C930">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p>
        </w:tc>
        <w:tc>
          <w:tcPr>
            <w:tcW w:w="2006" w:type="dxa"/>
            <w:noWrap w:val="0"/>
            <w:vAlign w:val="center"/>
          </w:tcPr>
          <w:p w14:paraId="76946A3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1140" w:type="dxa"/>
            <w:noWrap w:val="0"/>
            <w:vAlign w:val="top"/>
          </w:tcPr>
          <w:p w14:paraId="7DC33C44">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p>
        </w:tc>
      </w:tr>
      <w:tr w14:paraId="155E4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exact"/>
        </w:trPr>
        <w:tc>
          <w:tcPr>
            <w:tcW w:w="651" w:type="dxa"/>
            <w:noWrap w:val="0"/>
            <w:vAlign w:val="center"/>
          </w:tcPr>
          <w:p w14:paraId="12F9F92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2"/>
                <w:szCs w:val="22"/>
                <w:highlight w:val="none"/>
              </w:rPr>
            </w:pPr>
          </w:p>
        </w:tc>
        <w:tc>
          <w:tcPr>
            <w:tcW w:w="1680" w:type="dxa"/>
            <w:noWrap w:val="0"/>
            <w:vAlign w:val="center"/>
          </w:tcPr>
          <w:p w14:paraId="0A0501C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213" w:type="dxa"/>
            <w:noWrap w:val="0"/>
            <w:vAlign w:val="center"/>
          </w:tcPr>
          <w:p w14:paraId="449D98D7">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006" w:type="dxa"/>
            <w:noWrap w:val="0"/>
            <w:vAlign w:val="center"/>
          </w:tcPr>
          <w:p w14:paraId="3640122E">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006" w:type="dxa"/>
            <w:noWrap w:val="0"/>
            <w:vAlign w:val="center"/>
          </w:tcPr>
          <w:p w14:paraId="605842A2">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1140" w:type="dxa"/>
            <w:noWrap w:val="0"/>
            <w:vAlign w:val="top"/>
          </w:tcPr>
          <w:p w14:paraId="2D921275">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p>
        </w:tc>
      </w:tr>
      <w:tr w14:paraId="4BB69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exact"/>
        </w:trPr>
        <w:tc>
          <w:tcPr>
            <w:tcW w:w="651" w:type="dxa"/>
            <w:noWrap w:val="0"/>
            <w:vAlign w:val="center"/>
          </w:tcPr>
          <w:p w14:paraId="6DABA45B">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2"/>
                <w:szCs w:val="22"/>
                <w:highlight w:val="none"/>
              </w:rPr>
            </w:pPr>
          </w:p>
        </w:tc>
        <w:tc>
          <w:tcPr>
            <w:tcW w:w="1680" w:type="dxa"/>
            <w:noWrap w:val="0"/>
            <w:vAlign w:val="center"/>
          </w:tcPr>
          <w:p w14:paraId="29A7E26A">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b/>
                <w:bCs/>
                <w:color w:val="auto"/>
                <w:sz w:val="22"/>
                <w:szCs w:val="22"/>
                <w:highlight w:val="none"/>
              </w:rPr>
            </w:pPr>
          </w:p>
        </w:tc>
        <w:tc>
          <w:tcPr>
            <w:tcW w:w="2213" w:type="dxa"/>
            <w:noWrap w:val="0"/>
            <w:vAlign w:val="center"/>
          </w:tcPr>
          <w:p w14:paraId="46F2B2EC">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006" w:type="dxa"/>
            <w:noWrap w:val="0"/>
            <w:vAlign w:val="center"/>
          </w:tcPr>
          <w:p w14:paraId="3596B6E9">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006" w:type="dxa"/>
            <w:noWrap w:val="0"/>
            <w:vAlign w:val="center"/>
          </w:tcPr>
          <w:p w14:paraId="0F162B45">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1140" w:type="dxa"/>
            <w:noWrap w:val="0"/>
            <w:vAlign w:val="top"/>
          </w:tcPr>
          <w:p w14:paraId="1066B992">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p>
        </w:tc>
      </w:tr>
      <w:tr w14:paraId="578CF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exact"/>
        </w:trPr>
        <w:tc>
          <w:tcPr>
            <w:tcW w:w="651" w:type="dxa"/>
            <w:noWrap w:val="0"/>
            <w:vAlign w:val="center"/>
          </w:tcPr>
          <w:p w14:paraId="1E16AC94">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1680" w:type="dxa"/>
            <w:noWrap w:val="0"/>
            <w:vAlign w:val="center"/>
          </w:tcPr>
          <w:p w14:paraId="6C9B83D3">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b/>
                <w:bCs/>
                <w:color w:val="auto"/>
                <w:sz w:val="22"/>
                <w:szCs w:val="22"/>
                <w:highlight w:val="none"/>
              </w:rPr>
            </w:pPr>
          </w:p>
        </w:tc>
        <w:tc>
          <w:tcPr>
            <w:tcW w:w="2213" w:type="dxa"/>
            <w:noWrap w:val="0"/>
            <w:vAlign w:val="center"/>
          </w:tcPr>
          <w:p w14:paraId="37A04323">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006" w:type="dxa"/>
            <w:noWrap w:val="0"/>
            <w:vAlign w:val="center"/>
          </w:tcPr>
          <w:p w14:paraId="695ECB79">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006" w:type="dxa"/>
            <w:noWrap w:val="0"/>
            <w:vAlign w:val="center"/>
          </w:tcPr>
          <w:p w14:paraId="5F7731E3">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1140" w:type="dxa"/>
            <w:noWrap w:val="0"/>
            <w:vAlign w:val="top"/>
          </w:tcPr>
          <w:p w14:paraId="025F31D1">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p>
        </w:tc>
      </w:tr>
      <w:tr w14:paraId="2BD29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exact"/>
        </w:trPr>
        <w:tc>
          <w:tcPr>
            <w:tcW w:w="651" w:type="dxa"/>
            <w:noWrap w:val="0"/>
            <w:vAlign w:val="center"/>
          </w:tcPr>
          <w:p w14:paraId="443D63E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Cs/>
                <w:color w:val="auto"/>
                <w:sz w:val="22"/>
                <w:szCs w:val="22"/>
                <w:highlight w:val="none"/>
              </w:rPr>
            </w:pPr>
          </w:p>
        </w:tc>
        <w:tc>
          <w:tcPr>
            <w:tcW w:w="1680" w:type="dxa"/>
            <w:noWrap w:val="0"/>
            <w:vAlign w:val="center"/>
          </w:tcPr>
          <w:p w14:paraId="109E6ACE">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p>
        </w:tc>
        <w:tc>
          <w:tcPr>
            <w:tcW w:w="2213" w:type="dxa"/>
            <w:noWrap w:val="0"/>
            <w:vAlign w:val="center"/>
          </w:tcPr>
          <w:p w14:paraId="0E2F2C0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006" w:type="dxa"/>
            <w:noWrap w:val="0"/>
            <w:vAlign w:val="center"/>
          </w:tcPr>
          <w:p w14:paraId="59BD378C">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006" w:type="dxa"/>
            <w:noWrap w:val="0"/>
            <w:vAlign w:val="center"/>
          </w:tcPr>
          <w:p w14:paraId="1049F79C">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1140" w:type="dxa"/>
            <w:noWrap w:val="0"/>
            <w:vAlign w:val="top"/>
          </w:tcPr>
          <w:p w14:paraId="1FC49114">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p>
        </w:tc>
      </w:tr>
      <w:tr w14:paraId="72B2B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exact"/>
        </w:trPr>
        <w:tc>
          <w:tcPr>
            <w:tcW w:w="651" w:type="dxa"/>
            <w:noWrap w:val="0"/>
            <w:vAlign w:val="center"/>
          </w:tcPr>
          <w:p w14:paraId="75931A8F">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1680" w:type="dxa"/>
            <w:noWrap w:val="0"/>
            <w:vAlign w:val="center"/>
          </w:tcPr>
          <w:p w14:paraId="3327151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b/>
                <w:bCs/>
                <w:color w:val="auto"/>
                <w:sz w:val="22"/>
                <w:szCs w:val="22"/>
                <w:highlight w:val="none"/>
              </w:rPr>
            </w:pPr>
          </w:p>
        </w:tc>
        <w:tc>
          <w:tcPr>
            <w:tcW w:w="2213" w:type="dxa"/>
            <w:noWrap w:val="0"/>
            <w:vAlign w:val="center"/>
          </w:tcPr>
          <w:p w14:paraId="0BCD750E">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006" w:type="dxa"/>
            <w:noWrap w:val="0"/>
            <w:vAlign w:val="center"/>
          </w:tcPr>
          <w:p w14:paraId="4B5D9F66">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006" w:type="dxa"/>
            <w:noWrap w:val="0"/>
            <w:vAlign w:val="center"/>
          </w:tcPr>
          <w:p w14:paraId="202D4B37">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1140" w:type="dxa"/>
            <w:noWrap w:val="0"/>
            <w:vAlign w:val="top"/>
          </w:tcPr>
          <w:p w14:paraId="23A8A0A7">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p>
        </w:tc>
      </w:tr>
      <w:tr w14:paraId="208EF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exact"/>
        </w:trPr>
        <w:tc>
          <w:tcPr>
            <w:tcW w:w="651" w:type="dxa"/>
            <w:noWrap w:val="0"/>
            <w:vAlign w:val="center"/>
          </w:tcPr>
          <w:p w14:paraId="1CE2736F">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1680" w:type="dxa"/>
            <w:noWrap w:val="0"/>
            <w:vAlign w:val="center"/>
          </w:tcPr>
          <w:p w14:paraId="5D401E03">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p>
        </w:tc>
        <w:tc>
          <w:tcPr>
            <w:tcW w:w="2213" w:type="dxa"/>
            <w:noWrap w:val="0"/>
            <w:vAlign w:val="center"/>
          </w:tcPr>
          <w:p w14:paraId="29E4946A">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006" w:type="dxa"/>
            <w:noWrap w:val="0"/>
            <w:vAlign w:val="center"/>
          </w:tcPr>
          <w:p w14:paraId="0CE648DB">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006" w:type="dxa"/>
            <w:noWrap w:val="0"/>
            <w:vAlign w:val="center"/>
          </w:tcPr>
          <w:p w14:paraId="03F373B9">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1140" w:type="dxa"/>
            <w:noWrap w:val="0"/>
            <w:vAlign w:val="top"/>
          </w:tcPr>
          <w:p w14:paraId="0278502A">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p>
        </w:tc>
      </w:tr>
      <w:tr w14:paraId="2EC5A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exact"/>
        </w:trPr>
        <w:tc>
          <w:tcPr>
            <w:tcW w:w="651" w:type="dxa"/>
            <w:noWrap w:val="0"/>
            <w:vAlign w:val="center"/>
          </w:tcPr>
          <w:p w14:paraId="1CEA2C4E">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1680" w:type="dxa"/>
            <w:noWrap w:val="0"/>
            <w:vAlign w:val="center"/>
          </w:tcPr>
          <w:p w14:paraId="1E88FA7F">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b/>
                <w:bCs/>
                <w:color w:val="auto"/>
                <w:sz w:val="22"/>
                <w:szCs w:val="22"/>
                <w:highlight w:val="none"/>
              </w:rPr>
            </w:pPr>
          </w:p>
        </w:tc>
        <w:tc>
          <w:tcPr>
            <w:tcW w:w="2213" w:type="dxa"/>
            <w:noWrap w:val="0"/>
            <w:vAlign w:val="center"/>
          </w:tcPr>
          <w:p w14:paraId="6BE25DC7">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006" w:type="dxa"/>
            <w:noWrap w:val="0"/>
            <w:vAlign w:val="center"/>
          </w:tcPr>
          <w:p w14:paraId="4EB80A0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006" w:type="dxa"/>
            <w:noWrap w:val="0"/>
            <w:vAlign w:val="center"/>
          </w:tcPr>
          <w:p w14:paraId="70DC3C5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1140" w:type="dxa"/>
            <w:noWrap w:val="0"/>
            <w:vAlign w:val="top"/>
          </w:tcPr>
          <w:p w14:paraId="60ADAF41">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p>
        </w:tc>
      </w:tr>
      <w:tr w14:paraId="1D9E6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exact"/>
        </w:trPr>
        <w:tc>
          <w:tcPr>
            <w:tcW w:w="651" w:type="dxa"/>
            <w:noWrap w:val="0"/>
            <w:vAlign w:val="center"/>
          </w:tcPr>
          <w:p w14:paraId="543D38F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1680" w:type="dxa"/>
            <w:noWrap w:val="0"/>
            <w:vAlign w:val="center"/>
          </w:tcPr>
          <w:p w14:paraId="254C3256">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b/>
                <w:bCs/>
                <w:color w:val="auto"/>
                <w:sz w:val="22"/>
                <w:szCs w:val="22"/>
                <w:highlight w:val="none"/>
              </w:rPr>
            </w:pPr>
          </w:p>
        </w:tc>
        <w:tc>
          <w:tcPr>
            <w:tcW w:w="2213" w:type="dxa"/>
            <w:noWrap w:val="0"/>
            <w:vAlign w:val="center"/>
          </w:tcPr>
          <w:p w14:paraId="584AE9B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006" w:type="dxa"/>
            <w:noWrap w:val="0"/>
            <w:vAlign w:val="center"/>
          </w:tcPr>
          <w:p w14:paraId="0F96F3FC">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006" w:type="dxa"/>
            <w:noWrap w:val="0"/>
            <w:vAlign w:val="center"/>
          </w:tcPr>
          <w:p w14:paraId="6D806498">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1140" w:type="dxa"/>
            <w:noWrap w:val="0"/>
            <w:vAlign w:val="top"/>
          </w:tcPr>
          <w:p w14:paraId="77FB7739">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p>
        </w:tc>
      </w:tr>
      <w:tr w14:paraId="7B736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exact"/>
        </w:trPr>
        <w:tc>
          <w:tcPr>
            <w:tcW w:w="651" w:type="dxa"/>
            <w:noWrap w:val="0"/>
            <w:vAlign w:val="center"/>
          </w:tcPr>
          <w:p w14:paraId="04609CEE">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2"/>
                <w:szCs w:val="22"/>
                <w:highlight w:val="none"/>
              </w:rPr>
            </w:pPr>
          </w:p>
        </w:tc>
        <w:tc>
          <w:tcPr>
            <w:tcW w:w="1680" w:type="dxa"/>
            <w:noWrap w:val="0"/>
            <w:vAlign w:val="center"/>
          </w:tcPr>
          <w:p w14:paraId="33A2EE3D">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p>
        </w:tc>
        <w:tc>
          <w:tcPr>
            <w:tcW w:w="2213" w:type="dxa"/>
            <w:noWrap w:val="0"/>
            <w:vAlign w:val="center"/>
          </w:tcPr>
          <w:p w14:paraId="52FF214E">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006" w:type="dxa"/>
            <w:noWrap w:val="0"/>
            <w:vAlign w:val="center"/>
          </w:tcPr>
          <w:p w14:paraId="2BB5910E">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006" w:type="dxa"/>
            <w:noWrap w:val="0"/>
            <w:vAlign w:val="center"/>
          </w:tcPr>
          <w:p w14:paraId="732DED85">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1140" w:type="dxa"/>
            <w:noWrap w:val="0"/>
            <w:vAlign w:val="top"/>
          </w:tcPr>
          <w:p w14:paraId="6372463B">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p>
        </w:tc>
      </w:tr>
      <w:tr w14:paraId="45658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exact"/>
        </w:trPr>
        <w:tc>
          <w:tcPr>
            <w:tcW w:w="651" w:type="dxa"/>
            <w:noWrap w:val="0"/>
            <w:vAlign w:val="center"/>
          </w:tcPr>
          <w:p w14:paraId="5D367639">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p>
        </w:tc>
        <w:tc>
          <w:tcPr>
            <w:tcW w:w="1680" w:type="dxa"/>
            <w:noWrap w:val="0"/>
            <w:vAlign w:val="center"/>
          </w:tcPr>
          <w:p w14:paraId="439CEEE3">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p>
        </w:tc>
        <w:tc>
          <w:tcPr>
            <w:tcW w:w="2213" w:type="dxa"/>
            <w:noWrap w:val="0"/>
            <w:vAlign w:val="center"/>
          </w:tcPr>
          <w:p w14:paraId="1CA6FE7E">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006" w:type="dxa"/>
            <w:noWrap w:val="0"/>
            <w:vAlign w:val="center"/>
          </w:tcPr>
          <w:p w14:paraId="10D20B1B">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006" w:type="dxa"/>
            <w:noWrap w:val="0"/>
            <w:vAlign w:val="center"/>
          </w:tcPr>
          <w:p w14:paraId="3F53FC03">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1140" w:type="dxa"/>
            <w:noWrap w:val="0"/>
            <w:vAlign w:val="top"/>
          </w:tcPr>
          <w:p w14:paraId="7D5B748F">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p>
        </w:tc>
      </w:tr>
      <w:tr w14:paraId="0B957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exact"/>
        </w:trPr>
        <w:tc>
          <w:tcPr>
            <w:tcW w:w="651" w:type="dxa"/>
            <w:noWrap w:val="0"/>
            <w:vAlign w:val="center"/>
          </w:tcPr>
          <w:p w14:paraId="3E8236B7">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1680" w:type="dxa"/>
            <w:noWrap w:val="0"/>
            <w:vAlign w:val="top"/>
          </w:tcPr>
          <w:p w14:paraId="17A9E6D4">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p>
        </w:tc>
        <w:tc>
          <w:tcPr>
            <w:tcW w:w="2213" w:type="dxa"/>
            <w:noWrap w:val="0"/>
            <w:vAlign w:val="center"/>
          </w:tcPr>
          <w:p w14:paraId="0A850307">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006" w:type="dxa"/>
            <w:noWrap w:val="0"/>
            <w:vAlign w:val="center"/>
          </w:tcPr>
          <w:p w14:paraId="3251F6C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006" w:type="dxa"/>
            <w:noWrap w:val="0"/>
            <w:vAlign w:val="center"/>
          </w:tcPr>
          <w:p w14:paraId="0D95CA3A">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1140" w:type="dxa"/>
            <w:noWrap w:val="0"/>
            <w:vAlign w:val="top"/>
          </w:tcPr>
          <w:p w14:paraId="6953DD59">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p>
        </w:tc>
      </w:tr>
      <w:tr w14:paraId="55149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exact"/>
        </w:trPr>
        <w:tc>
          <w:tcPr>
            <w:tcW w:w="651" w:type="dxa"/>
            <w:noWrap w:val="0"/>
            <w:vAlign w:val="center"/>
          </w:tcPr>
          <w:p w14:paraId="26E1068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1680" w:type="dxa"/>
            <w:noWrap w:val="0"/>
            <w:vAlign w:val="top"/>
          </w:tcPr>
          <w:p w14:paraId="684CA5B9">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p>
        </w:tc>
        <w:tc>
          <w:tcPr>
            <w:tcW w:w="2213" w:type="dxa"/>
            <w:noWrap w:val="0"/>
            <w:vAlign w:val="center"/>
          </w:tcPr>
          <w:p w14:paraId="215F17B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006" w:type="dxa"/>
            <w:noWrap w:val="0"/>
            <w:vAlign w:val="center"/>
          </w:tcPr>
          <w:p w14:paraId="378BEF48">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2006" w:type="dxa"/>
            <w:noWrap w:val="0"/>
            <w:vAlign w:val="center"/>
          </w:tcPr>
          <w:p w14:paraId="76F3E955">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rPr>
            </w:pPr>
          </w:p>
        </w:tc>
        <w:tc>
          <w:tcPr>
            <w:tcW w:w="1140" w:type="dxa"/>
            <w:noWrap w:val="0"/>
            <w:vAlign w:val="top"/>
          </w:tcPr>
          <w:p w14:paraId="50181455">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rPr>
            </w:pPr>
          </w:p>
        </w:tc>
      </w:tr>
    </w:tbl>
    <w:p w14:paraId="36A95A4F">
      <w:pPr>
        <w:pStyle w:val="28"/>
        <w:spacing w:line="400" w:lineRule="atLeast"/>
        <w:rPr>
          <w:rFonts w:ascii="新宋体" w:hAnsi="新宋体" w:eastAsia="新宋体"/>
          <w:color w:val="auto"/>
          <w:sz w:val="22"/>
          <w:szCs w:val="22"/>
          <w:highlight w:val="none"/>
        </w:rPr>
      </w:pPr>
    </w:p>
    <w:p w14:paraId="21B8E058">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投标人全称（盖章）：</w:t>
      </w:r>
    </w:p>
    <w:p w14:paraId="3661EA84">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法定代表人或其授权代表（签字或盖章）</w:t>
      </w:r>
      <w:r>
        <w:rPr>
          <w:rFonts w:hint="eastAsia" w:ascii="宋体" w:hAnsi="宋体" w:eastAsia="宋体" w:cs="宋体"/>
          <w:color w:val="auto"/>
          <w:sz w:val="22"/>
          <w:szCs w:val="22"/>
          <w:highlight w:val="none"/>
        </w:rPr>
        <w:t>：</w:t>
      </w:r>
    </w:p>
    <w:p w14:paraId="2B5A8220">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日   期：</w:t>
      </w:r>
    </w:p>
    <w:p w14:paraId="541DD4B4">
      <w:pPr>
        <w:rPr>
          <w:rFonts w:hint="eastAsia" w:ascii="宋体" w:hAnsi="宋体" w:eastAsia="宋体" w:cs="宋体"/>
          <w:b/>
          <w:bCs/>
          <w:color w:val="auto"/>
          <w:sz w:val="28"/>
          <w:szCs w:val="28"/>
          <w:highlight w:val="none"/>
          <w:lang w:val="en-US" w:eastAsia="zh-CN"/>
        </w:rPr>
      </w:pPr>
    </w:p>
    <w:p w14:paraId="75C0F78A">
      <w:pP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br w:type="page"/>
      </w:r>
    </w:p>
    <w:p w14:paraId="2433FA3B">
      <w:pPr>
        <w:spacing w:line="400" w:lineRule="exact"/>
        <w:jc w:val="center"/>
        <w:outlineLvl w:val="3"/>
        <w:rPr>
          <w:rFonts w:hint="eastAsia" w:ascii="宋体" w:hAnsi="宋体" w:eastAsia="宋体" w:cs="宋体"/>
          <w:b/>
          <w:bCs/>
          <w:color w:val="auto"/>
          <w:sz w:val="28"/>
          <w:szCs w:val="28"/>
          <w:highlight w:val="none"/>
          <w:lang w:val="zh-CN" w:eastAsia="zh-CN"/>
        </w:rPr>
      </w:pPr>
      <w:r>
        <w:rPr>
          <w:rFonts w:hint="eastAsia" w:ascii="宋体" w:hAnsi="宋体" w:cs="宋体"/>
          <w:b/>
          <w:bCs/>
          <w:color w:val="auto"/>
          <w:sz w:val="28"/>
          <w:szCs w:val="28"/>
          <w:highlight w:val="none"/>
          <w:lang w:val="en-US" w:eastAsia="zh-CN"/>
        </w:rPr>
        <w:t>5</w:t>
      </w:r>
      <w:r>
        <w:rPr>
          <w:rFonts w:hint="eastAsia" w:ascii="宋体" w:hAnsi="宋体" w:eastAsia="宋体" w:cs="宋体"/>
          <w:b/>
          <w:bCs/>
          <w:color w:val="auto"/>
          <w:sz w:val="28"/>
          <w:szCs w:val="28"/>
          <w:highlight w:val="none"/>
          <w:lang w:val="en-US" w:eastAsia="zh-CN"/>
        </w:rPr>
        <w:t>、投标人综合情况</w:t>
      </w:r>
    </w:p>
    <w:p w14:paraId="43396C92">
      <w:pPr>
        <w:spacing w:line="360" w:lineRule="auto"/>
        <w:rPr>
          <w:rFonts w:hint="eastAsia" w:ascii="宋体" w:hAnsi="宋体" w:eastAsia="宋体" w:cs="宋体"/>
          <w:b w:val="0"/>
          <w:bCs w:val="0"/>
          <w:color w:val="auto"/>
          <w:sz w:val="22"/>
          <w:szCs w:val="22"/>
          <w:highlight w:val="none"/>
          <w:lang w:eastAsia="zh-CN"/>
        </w:rPr>
      </w:pPr>
      <w:r>
        <w:rPr>
          <w:rFonts w:hint="eastAsia" w:ascii="宋体" w:hAnsi="宋体" w:eastAsia="宋体" w:cs="宋体"/>
          <w:b w:val="0"/>
          <w:bCs w:val="0"/>
          <w:color w:val="auto"/>
          <w:sz w:val="22"/>
          <w:szCs w:val="22"/>
          <w:highlight w:val="none"/>
        </w:rPr>
        <w:t>项目编号：</w:t>
      </w:r>
      <w:r>
        <w:rPr>
          <w:rFonts w:hint="eastAsia" w:ascii="宋体" w:hAnsi="宋体" w:cs="宋体"/>
          <w:b w:val="0"/>
          <w:bCs w:val="0"/>
          <w:color w:val="auto"/>
          <w:sz w:val="22"/>
          <w:szCs w:val="22"/>
          <w:highlight w:val="none"/>
          <w:lang w:eastAsia="zh-CN"/>
        </w:rPr>
        <w:t>WZLCZB（W）-2025-05055</w:t>
      </w:r>
    </w:p>
    <w:p w14:paraId="38A7058A">
      <w:pPr>
        <w:keepNext/>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eastAsia="宋体"/>
          <w:color w:val="auto"/>
          <w:highlight w:val="none"/>
          <w:lang w:eastAsia="zh-CN"/>
        </w:rPr>
      </w:pPr>
      <w:r>
        <w:rPr>
          <w:rFonts w:hint="eastAsia" w:ascii="宋体" w:hAnsi="宋体" w:eastAsia="宋体" w:cs="宋体"/>
          <w:b w:val="0"/>
          <w:bCs w:val="0"/>
          <w:color w:val="auto"/>
          <w:sz w:val="22"/>
          <w:szCs w:val="22"/>
          <w:highlight w:val="none"/>
        </w:rPr>
        <w:t>项目名称：</w:t>
      </w:r>
      <w:r>
        <w:rPr>
          <w:rFonts w:hint="eastAsia" w:ascii="宋体" w:hAnsi="宋体" w:cs="宋体"/>
          <w:b w:val="0"/>
          <w:bCs w:val="0"/>
          <w:color w:val="auto"/>
          <w:sz w:val="22"/>
          <w:szCs w:val="22"/>
          <w:highlight w:val="none"/>
          <w:lang w:eastAsia="zh-CN"/>
        </w:rPr>
        <w:t xml:space="preserve"> 食用油</w:t>
      </w:r>
    </w:p>
    <w:tbl>
      <w:tblPr>
        <w:tblStyle w:val="52"/>
        <w:tblW w:w="97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85"/>
      </w:tblGrid>
      <w:tr w14:paraId="59A43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8" w:hRule="atLeast"/>
          <w:jc w:val="center"/>
        </w:trPr>
        <w:tc>
          <w:tcPr>
            <w:tcW w:w="9785" w:type="dxa"/>
            <w:vAlign w:val="center"/>
          </w:tcPr>
          <w:p w14:paraId="3C44FEF5">
            <w:pPr>
              <w:spacing w:line="360" w:lineRule="auto"/>
              <w:rPr>
                <w:rFonts w:hint="eastAsia" w:ascii="宋体" w:hAnsi="宋体" w:eastAsia="宋体" w:cs="宋体"/>
                <w:color w:val="auto"/>
                <w:sz w:val="22"/>
                <w:szCs w:val="22"/>
                <w:highlight w:val="none"/>
              </w:rPr>
            </w:pPr>
          </w:p>
        </w:tc>
      </w:tr>
    </w:tbl>
    <w:p w14:paraId="284C97A3">
      <w:pPr>
        <w:pStyle w:val="28"/>
        <w:spacing w:line="400" w:lineRule="atLeast"/>
        <w:rPr>
          <w:rFonts w:hint="eastAsia" w:ascii="宋体" w:hAnsi="宋体" w:eastAsia="宋体" w:cs="宋体"/>
          <w:color w:val="auto"/>
          <w:sz w:val="22"/>
          <w:szCs w:val="22"/>
          <w:highlight w:val="none"/>
        </w:rPr>
      </w:pPr>
    </w:p>
    <w:p w14:paraId="06E4E641">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投标人全称（盖章）：</w:t>
      </w:r>
    </w:p>
    <w:p w14:paraId="382112D8">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法定代表人或其授权代表（签字或盖章）</w:t>
      </w:r>
      <w:r>
        <w:rPr>
          <w:rFonts w:hint="eastAsia" w:ascii="宋体" w:hAnsi="宋体" w:eastAsia="宋体" w:cs="宋体"/>
          <w:color w:val="auto"/>
          <w:sz w:val="22"/>
          <w:szCs w:val="22"/>
          <w:highlight w:val="none"/>
        </w:rPr>
        <w:t>：</w:t>
      </w:r>
    </w:p>
    <w:p w14:paraId="2048161A">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日   期：</w:t>
      </w:r>
    </w:p>
    <w:p w14:paraId="1C282C42">
      <w:pPr>
        <w:spacing w:line="460" w:lineRule="exact"/>
        <w:ind w:firstLine="5060" w:firstLineChars="2300"/>
        <w:rPr>
          <w:rFonts w:hint="eastAsia" w:ascii="宋体" w:hAnsi="宋体" w:eastAsia="宋体" w:cs="宋体"/>
          <w:color w:val="auto"/>
          <w:sz w:val="22"/>
          <w:szCs w:val="22"/>
          <w:highlight w:val="none"/>
        </w:rPr>
      </w:pPr>
    </w:p>
    <w:p w14:paraId="35709BA8">
      <w:pPr>
        <w:spacing w:line="460" w:lineRule="exact"/>
        <w:rPr>
          <w:rFonts w:hint="eastAsia" w:ascii="宋体" w:hAnsi="宋体" w:eastAsia="宋体" w:cs="宋体"/>
          <w:color w:val="auto"/>
          <w:sz w:val="22"/>
          <w:szCs w:val="22"/>
          <w:highlight w:val="none"/>
        </w:rPr>
      </w:pPr>
    </w:p>
    <w:p w14:paraId="27EAD545">
      <w:pPr>
        <w:rPr>
          <w:rFonts w:hint="eastAsia" w:ascii="宋体" w:hAnsi="宋体" w:cs="宋体"/>
          <w:b/>
          <w:bCs/>
          <w:color w:val="auto"/>
          <w:sz w:val="28"/>
          <w:szCs w:val="28"/>
          <w:highlight w:val="none"/>
          <w:lang w:val="en-US" w:eastAsia="zh-CN"/>
        </w:rPr>
      </w:pPr>
      <w:r>
        <w:rPr>
          <w:rFonts w:hint="eastAsia" w:ascii="宋体" w:hAnsi="宋体" w:eastAsia="宋体" w:cs="宋体"/>
          <w:b/>
          <w:color w:val="auto"/>
          <w:sz w:val="24"/>
          <w:highlight w:val="none"/>
        </w:rPr>
        <w:br w:type="page"/>
      </w:r>
    </w:p>
    <w:p w14:paraId="7B194B74">
      <w:pPr>
        <w:keepNext w:val="0"/>
        <w:keepLines w:val="0"/>
        <w:pageBreakBefore w:val="0"/>
        <w:widowControl w:val="0"/>
        <w:kinsoku/>
        <w:wordWrap/>
        <w:overflowPunct/>
        <w:topLinePunct w:val="0"/>
        <w:autoSpaceDE/>
        <w:autoSpaceDN/>
        <w:bidi w:val="0"/>
        <w:adjustRightInd/>
        <w:snapToGrid/>
        <w:jc w:val="center"/>
        <w:textAlignment w:val="auto"/>
        <w:outlineLvl w:val="3"/>
        <w:rPr>
          <w:rFonts w:hint="eastAsia"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t>6</w:t>
      </w:r>
      <w:r>
        <w:rPr>
          <w:rFonts w:hint="eastAsia" w:ascii="宋体" w:hAnsi="宋体" w:eastAsia="宋体" w:cs="宋体"/>
          <w:b/>
          <w:bCs/>
          <w:color w:val="auto"/>
          <w:sz w:val="28"/>
          <w:szCs w:val="28"/>
          <w:highlight w:val="none"/>
          <w:lang w:val="en-US" w:eastAsia="zh-CN"/>
        </w:rPr>
        <w:t>、食品情况</w:t>
      </w:r>
    </w:p>
    <w:p w14:paraId="7EDBCAB8">
      <w:pPr>
        <w:spacing w:line="360" w:lineRule="auto"/>
        <w:rPr>
          <w:rFonts w:hint="eastAsia" w:ascii="宋体" w:hAnsi="宋体" w:eastAsia="宋体" w:cs="宋体"/>
          <w:b w:val="0"/>
          <w:bCs w:val="0"/>
          <w:color w:val="auto"/>
          <w:sz w:val="22"/>
          <w:szCs w:val="22"/>
          <w:highlight w:val="none"/>
          <w:lang w:eastAsia="zh-CN"/>
        </w:rPr>
      </w:pPr>
      <w:r>
        <w:rPr>
          <w:rFonts w:hint="eastAsia" w:ascii="宋体" w:hAnsi="宋体" w:eastAsia="宋体" w:cs="宋体"/>
          <w:b w:val="0"/>
          <w:bCs w:val="0"/>
          <w:color w:val="auto"/>
          <w:sz w:val="22"/>
          <w:szCs w:val="22"/>
          <w:highlight w:val="none"/>
        </w:rPr>
        <w:t>项目编号：</w:t>
      </w:r>
      <w:r>
        <w:rPr>
          <w:rFonts w:hint="eastAsia" w:ascii="宋体" w:hAnsi="宋体" w:cs="宋体"/>
          <w:b w:val="0"/>
          <w:bCs w:val="0"/>
          <w:color w:val="auto"/>
          <w:sz w:val="22"/>
          <w:szCs w:val="22"/>
          <w:highlight w:val="none"/>
          <w:lang w:eastAsia="zh-CN"/>
        </w:rPr>
        <w:t>WZLCZB（W）-2025-05055</w:t>
      </w:r>
    </w:p>
    <w:p w14:paraId="55C0B4AA">
      <w:pPr>
        <w:keepNext/>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bCs/>
          <w:color w:val="auto"/>
          <w:sz w:val="22"/>
          <w:szCs w:val="22"/>
          <w:highlight w:val="none"/>
          <w:lang w:eastAsia="zh-CN"/>
        </w:rPr>
      </w:pPr>
      <w:r>
        <w:rPr>
          <w:rFonts w:hint="eastAsia" w:ascii="宋体" w:hAnsi="宋体" w:eastAsia="宋体" w:cs="宋体"/>
          <w:b w:val="0"/>
          <w:bCs w:val="0"/>
          <w:color w:val="auto"/>
          <w:sz w:val="22"/>
          <w:szCs w:val="22"/>
          <w:highlight w:val="none"/>
        </w:rPr>
        <w:t>项目名称：</w:t>
      </w:r>
      <w:r>
        <w:rPr>
          <w:rFonts w:hint="eastAsia" w:ascii="宋体" w:hAnsi="宋体" w:cs="宋体"/>
          <w:b w:val="0"/>
          <w:bCs w:val="0"/>
          <w:color w:val="auto"/>
          <w:sz w:val="22"/>
          <w:szCs w:val="22"/>
          <w:highlight w:val="none"/>
          <w:lang w:eastAsia="zh-CN"/>
        </w:rPr>
        <w:t xml:space="preserve"> 食用油</w:t>
      </w:r>
    </w:p>
    <w:tbl>
      <w:tblPr>
        <w:tblStyle w:val="52"/>
        <w:tblW w:w="98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1"/>
      </w:tblGrid>
      <w:tr w14:paraId="3ED06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8" w:hRule="atLeast"/>
          <w:jc w:val="center"/>
        </w:trPr>
        <w:tc>
          <w:tcPr>
            <w:tcW w:w="9801" w:type="dxa"/>
            <w:vAlign w:val="center"/>
          </w:tcPr>
          <w:p w14:paraId="3DD46D7D">
            <w:pPr>
              <w:spacing w:line="360" w:lineRule="auto"/>
              <w:rPr>
                <w:rFonts w:hint="eastAsia" w:ascii="宋体" w:hAnsi="宋体" w:eastAsia="宋体" w:cs="宋体"/>
                <w:color w:val="auto"/>
                <w:sz w:val="22"/>
                <w:szCs w:val="22"/>
                <w:highlight w:val="none"/>
              </w:rPr>
            </w:pPr>
          </w:p>
        </w:tc>
      </w:tr>
    </w:tbl>
    <w:p w14:paraId="66B1299C">
      <w:pPr>
        <w:pStyle w:val="28"/>
        <w:spacing w:line="400" w:lineRule="atLeast"/>
        <w:rPr>
          <w:rFonts w:hint="eastAsia" w:ascii="宋体" w:hAnsi="宋体" w:eastAsia="宋体" w:cs="宋体"/>
          <w:color w:val="auto"/>
          <w:sz w:val="22"/>
          <w:highlight w:val="none"/>
        </w:rPr>
      </w:pPr>
    </w:p>
    <w:p w14:paraId="57FA1E35">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投标人全称（盖章）：</w:t>
      </w:r>
    </w:p>
    <w:p w14:paraId="0404D9D8">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法定代表人或其授权代表（签字或盖章）</w:t>
      </w:r>
      <w:r>
        <w:rPr>
          <w:rFonts w:hint="eastAsia" w:ascii="宋体" w:hAnsi="宋体" w:eastAsia="宋体" w:cs="宋体"/>
          <w:color w:val="auto"/>
          <w:sz w:val="22"/>
          <w:szCs w:val="22"/>
          <w:highlight w:val="none"/>
        </w:rPr>
        <w:t>：</w:t>
      </w:r>
    </w:p>
    <w:p w14:paraId="25B6362D">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日   期：</w:t>
      </w:r>
    </w:p>
    <w:p w14:paraId="55B2B3AA">
      <w:pPr>
        <w:pStyle w:val="28"/>
        <w:spacing w:line="460" w:lineRule="atLeast"/>
        <w:ind w:left="660" w:hanging="660" w:hangingChars="300"/>
        <w:rPr>
          <w:rFonts w:hint="eastAsia" w:ascii="宋体" w:hAnsi="宋体" w:eastAsia="宋体" w:cs="宋体"/>
          <w:b w:val="0"/>
          <w:bCs/>
          <w:color w:val="auto"/>
          <w:sz w:val="22"/>
          <w:highlight w:val="none"/>
        </w:rPr>
      </w:pPr>
      <w:r>
        <w:rPr>
          <w:rFonts w:hint="eastAsia" w:ascii="宋体" w:hAnsi="宋体" w:eastAsia="宋体" w:cs="宋体"/>
          <w:b w:val="0"/>
          <w:bCs/>
          <w:color w:val="auto"/>
          <w:sz w:val="22"/>
          <w:highlight w:val="none"/>
        </w:rPr>
        <w:t xml:space="preserve"> </w:t>
      </w:r>
    </w:p>
    <w:p w14:paraId="76901844">
      <w:pPr>
        <w:jc w:val="both"/>
        <w:rPr>
          <w:rFonts w:hint="eastAsia" w:ascii="宋体" w:hAnsi="宋体" w:eastAsia="宋体" w:cs="宋体"/>
          <w:b/>
          <w:bCs/>
          <w:color w:val="auto"/>
          <w:sz w:val="22"/>
          <w:szCs w:val="22"/>
          <w:highlight w:val="none"/>
        </w:rPr>
      </w:pPr>
    </w:p>
    <w:p w14:paraId="3D34301B">
      <w:pPr>
        <w:pStyle w:val="9"/>
        <w:rPr>
          <w:rFonts w:hint="eastAsia" w:ascii="宋体" w:hAnsi="宋体" w:eastAsia="宋体" w:cs="宋体"/>
          <w:bCs/>
          <w:color w:val="auto"/>
          <w:sz w:val="22"/>
          <w:szCs w:val="22"/>
          <w:highlight w:val="none"/>
        </w:rPr>
      </w:pPr>
    </w:p>
    <w:p w14:paraId="493845E0">
      <w:pP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br w:type="page"/>
      </w:r>
    </w:p>
    <w:p w14:paraId="02905F18">
      <w:pPr>
        <w:keepNext w:val="0"/>
        <w:keepLines w:val="0"/>
        <w:pageBreakBefore w:val="0"/>
        <w:widowControl w:val="0"/>
        <w:kinsoku/>
        <w:wordWrap/>
        <w:overflowPunct/>
        <w:topLinePunct w:val="0"/>
        <w:autoSpaceDE/>
        <w:autoSpaceDN/>
        <w:bidi w:val="0"/>
        <w:adjustRightInd/>
        <w:snapToGrid/>
        <w:jc w:val="center"/>
        <w:textAlignment w:val="auto"/>
        <w:outlineLvl w:val="3"/>
        <w:rPr>
          <w:rFonts w:hint="eastAsia"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t>7</w:t>
      </w:r>
      <w:r>
        <w:rPr>
          <w:rFonts w:hint="eastAsia" w:ascii="宋体" w:hAnsi="宋体" w:eastAsia="宋体" w:cs="宋体"/>
          <w:b/>
          <w:bCs/>
          <w:color w:val="auto"/>
          <w:sz w:val="28"/>
          <w:szCs w:val="28"/>
          <w:highlight w:val="none"/>
          <w:lang w:val="en-US" w:eastAsia="zh-CN"/>
        </w:rPr>
        <w:t>、产品的符合程度</w:t>
      </w:r>
    </w:p>
    <w:p w14:paraId="58CBAAA1">
      <w:pPr>
        <w:spacing w:line="360" w:lineRule="auto"/>
        <w:rPr>
          <w:rFonts w:hint="eastAsia" w:ascii="宋体" w:hAnsi="宋体" w:eastAsia="宋体" w:cs="宋体"/>
          <w:b w:val="0"/>
          <w:bCs w:val="0"/>
          <w:color w:val="auto"/>
          <w:sz w:val="22"/>
          <w:szCs w:val="22"/>
          <w:highlight w:val="none"/>
          <w:lang w:eastAsia="zh-CN"/>
        </w:rPr>
      </w:pPr>
      <w:r>
        <w:rPr>
          <w:rFonts w:hint="eastAsia" w:ascii="宋体" w:hAnsi="宋体" w:eastAsia="宋体" w:cs="宋体"/>
          <w:b w:val="0"/>
          <w:bCs w:val="0"/>
          <w:color w:val="auto"/>
          <w:sz w:val="22"/>
          <w:szCs w:val="22"/>
          <w:highlight w:val="none"/>
        </w:rPr>
        <w:t>项目编号：</w:t>
      </w:r>
      <w:r>
        <w:rPr>
          <w:rFonts w:hint="eastAsia" w:ascii="宋体" w:hAnsi="宋体" w:cs="宋体"/>
          <w:b w:val="0"/>
          <w:bCs w:val="0"/>
          <w:color w:val="auto"/>
          <w:sz w:val="22"/>
          <w:szCs w:val="22"/>
          <w:highlight w:val="none"/>
          <w:lang w:eastAsia="zh-CN"/>
        </w:rPr>
        <w:t>WZLCZB（W）-2025-05055</w:t>
      </w:r>
    </w:p>
    <w:p w14:paraId="2E22DF3D">
      <w:pPr>
        <w:keepNext/>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bCs/>
          <w:color w:val="auto"/>
          <w:sz w:val="22"/>
          <w:szCs w:val="22"/>
          <w:highlight w:val="none"/>
          <w:lang w:eastAsia="zh-CN"/>
        </w:rPr>
      </w:pPr>
      <w:r>
        <w:rPr>
          <w:rFonts w:hint="eastAsia" w:ascii="宋体" w:hAnsi="宋体" w:eastAsia="宋体" w:cs="宋体"/>
          <w:b w:val="0"/>
          <w:bCs w:val="0"/>
          <w:color w:val="auto"/>
          <w:sz w:val="22"/>
          <w:szCs w:val="22"/>
          <w:highlight w:val="none"/>
        </w:rPr>
        <w:t>项目名称：</w:t>
      </w:r>
      <w:r>
        <w:rPr>
          <w:rFonts w:hint="eastAsia" w:ascii="宋体" w:hAnsi="宋体" w:cs="宋体"/>
          <w:b w:val="0"/>
          <w:bCs w:val="0"/>
          <w:color w:val="auto"/>
          <w:sz w:val="22"/>
          <w:szCs w:val="22"/>
          <w:highlight w:val="none"/>
          <w:lang w:eastAsia="zh-CN"/>
        </w:rPr>
        <w:t xml:space="preserve"> 食用油</w:t>
      </w:r>
    </w:p>
    <w:tbl>
      <w:tblPr>
        <w:tblStyle w:val="52"/>
        <w:tblW w:w="98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1"/>
      </w:tblGrid>
      <w:tr w14:paraId="02FA9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978" w:hRule="atLeast"/>
          <w:jc w:val="center"/>
        </w:trPr>
        <w:tc>
          <w:tcPr>
            <w:tcW w:w="9801" w:type="dxa"/>
            <w:vAlign w:val="center"/>
          </w:tcPr>
          <w:p w14:paraId="391D1E8C">
            <w:pPr>
              <w:spacing w:line="360" w:lineRule="auto"/>
              <w:rPr>
                <w:rFonts w:hint="eastAsia" w:ascii="宋体" w:hAnsi="宋体" w:eastAsia="宋体" w:cs="宋体"/>
                <w:color w:val="auto"/>
                <w:sz w:val="22"/>
                <w:szCs w:val="22"/>
                <w:highlight w:val="none"/>
              </w:rPr>
            </w:pPr>
          </w:p>
        </w:tc>
      </w:tr>
    </w:tbl>
    <w:p w14:paraId="6A92A37A">
      <w:pPr>
        <w:spacing w:line="380" w:lineRule="exact"/>
        <w:rPr>
          <w:rFonts w:hint="eastAsia" w:ascii="宋体" w:hAnsi="宋体" w:eastAsia="宋体" w:cs="宋体"/>
          <w:color w:val="auto"/>
          <w:sz w:val="36"/>
          <w:szCs w:val="36"/>
          <w:highlight w:val="none"/>
        </w:rPr>
      </w:pPr>
    </w:p>
    <w:p w14:paraId="503C2D4B">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投标人全称（盖章）：</w:t>
      </w:r>
    </w:p>
    <w:p w14:paraId="15A6CB6E">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法定代表人或其授权代表（签字或盖章）</w:t>
      </w:r>
      <w:r>
        <w:rPr>
          <w:rFonts w:hint="eastAsia" w:ascii="宋体" w:hAnsi="宋体" w:eastAsia="宋体" w:cs="宋体"/>
          <w:color w:val="auto"/>
          <w:sz w:val="22"/>
          <w:szCs w:val="22"/>
          <w:highlight w:val="none"/>
        </w:rPr>
        <w:t>：</w:t>
      </w:r>
    </w:p>
    <w:p w14:paraId="31554A5E">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日   期：</w:t>
      </w:r>
    </w:p>
    <w:p w14:paraId="3055B54F">
      <w:pPr>
        <w:spacing w:line="460" w:lineRule="exact"/>
        <w:ind w:firstLine="4400" w:firstLineChars="2000"/>
        <w:rPr>
          <w:rFonts w:hint="eastAsia" w:ascii="宋体" w:hAnsi="宋体" w:eastAsia="宋体" w:cs="宋体"/>
          <w:b/>
          <w:color w:val="auto"/>
          <w:sz w:val="36"/>
          <w:szCs w:val="36"/>
          <w:highlight w:val="none"/>
        </w:rPr>
      </w:pPr>
      <w:r>
        <w:rPr>
          <w:rFonts w:hint="eastAsia" w:ascii="宋体" w:hAnsi="宋体" w:eastAsia="宋体" w:cs="宋体"/>
          <w:color w:val="auto"/>
          <w:sz w:val="22"/>
          <w:szCs w:val="22"/>
          <w:highlight w:val="none"/>
        </w:rPr>
        <w:t xml:space="preserve">  </w:t>
      </w:r>
    </w:p>
    <w:p w14:paraId="3530D5F6">
      <w:pPr>
        <w:spacing w:line="380" w:lineRule="exact"/>
        <w:rPr>
          <w:rFonts w:hint="eastAsia" w:ascii="宋体" w:hAnsi="宋体" w:eastAsia="宋体" w:cs="宋体"/>
          <w:b/>
          <w:color w:val="auto"/>
          <w:sz w:val="36"/>
          <w:szCs w:val="36"/>
          <w:highlight w:val="none"/>
        </w:rPr>
      </w:pPr>
    </w:p>
    <w:p w14:paraId="60B94CF6">
      <w:pPr>
        <w:spacing w:line="380" w:lineRule="exact"/>
        <w:rPr>
          <w:rFonts w:hint="eastAsia" w:ascii="宋体" w:hAnsi="宋体" w:eastAsia="宋体" w:cs="宋体"/>
          <w:b/>
          <w:color w:val="auto"/>
          <w:sz w:val="36"/>
          <w:szCs w:val="36"/>
          <w:highlight w:val="none"/>
        </w:rPr>
      </w:pPr>
    </w:p>
    <w:p w14:paraId="1750F0EA">
      <w:pPr>
        <w:keepNext w:val="0"/>
        <w:keepLines w:val="0"/>
        <w:pageBreakBefore w:val="0"/>
        <w:widowControl w:val="0"/>
        <w:kinsoku/>
        <w:wordWrap/>
        <w:overflowPunct/>
        <w:topLinePunct w:val="0"/>
        <w:autoSpaceDE/>
        <w:autoSpaceDN/>
        <w:bidi w:val="0"/>
        <w:adjustRightInd/>
        <w:snapToGrid/>
        <w:jc w:val="center"/>
        <w:textAlignment w:val="auto"/>
        <w:outlineLvl w:val="3"/>
        <w:rPr>
          <w:rFonts w:hint="eastAsia"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t>8</w:t>
      </w:r>
      <w:r>
        <w:rPr>
          <w:rFonts w:hint="eastAsia" w:ascii="宋体" w:hAnsi="宋体" w:eastAsia="宋体" w:cs="宋体"/>
          <w:b/>
          <w:bCs/>
          <w:color w:val="auto"/>
          <w:sz w:val="28"/>
          <w:szCs w:val="28"/>
          <w:highlight w:val="none"/>
          <w:lang w:val="en-US" w:eastAsia="zh-CN"/>
        </w:rPr>
        <w:t>、仓储情况</w:t>
      </w:r>
    </w:p>
    <w:p w14:paraId="1742ED2F">
      <w:pPr>
        <w:spacing w:line="360" w:lineRule="auto"/>
        <w:rPr>
          <w:rFonts w:hint="eastAsia" w:ascii="宋体" w:hAnsi="宋体" w:eastAsia="宋体" w:cs="宋体"/>
          <w:b w:val="0"/>
          <w:bCs w:val="0"/>
          <w:color w:val="auto"/>
          <w:sz w:val="22"/>
          <w:szCs w:val="22"/>
          <w:highlight w:val="none"/>
          <w:lang w:eastAsia="zh-CN"/>
        </w:rPr>
      </w:pPr>
      <w:r>
        <w:rPr>
          <w:rFonts w:hint="eastAsia" w:ascii="宋体" w:hAnsi="宋体" w:eastAsia="宋体" w:cs="宋体"/>
          <w:b w:val="0"/>
          <w:bCs w:val="0"/>
          <w:color w:val="auto"/>
          <w:sz w:val="22"/>
          <w:szCs w:val="22"/>
          <w:highlight w:val="none"/>
        </w:rPr>
        <w:t>项目编号：</w:t>
      </w:r>
      <w:r>
        <w:rPr>
          <w:rFonts w:hint="eastAsia" w:ascii="宋体" w:hAnsi="宋体" w:cs="宋体"/>
          <w:b w:val="0"/>
          <w:bCs w:val="0"/>
          <w:color w:val="auto"/>
          <w:sz w:val="22"/>
          <w:szCs w:val="22"/>
          <w:highlight w:val="none"/>
          <w:lang w:eastAsia="zh-CN"/>
        </w:rPr>
        <w:t>WZLCZB（W）-2025-05055</w:t>
      </w:r>
    </w:p>
    <w:p w14:paraId="715729BB">
      <w:pPr>
        <w:keepNext/>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bCs/>
          <w:color w:val="auto"/>
          <w:sz w:val="22"/>
          <w:szCs w:val="22"/>
          <w:highlight w:val="none"/>
          <w:lang w:eastAsia="zh-CN"/>
        </w:rPr>
      </w:pPr>
      <w:r>
        <w:rPr>
          <w:rFonts w:hint="eastAsia" w:ascii="宋体" w:hAnsi="宋体" w:eastAsia="宋体" w:cs="宋体"/>
          <w:b w:val="0"/>
          <w:bCs w:val="0"/>
          <w:color w:val="auto"/>
          <w:sz w:val="22"/>
          <w:szCs w:val="22"/>
          <w:highlight w:val="none"/>
        </w:rPr>
        <w:t>项目名称：</w:t>
      </w:r>
      <w:r>
        <w:rPr>
          <w:rFonts w:hint="eastAsia" w:ascii="宋体" w:hAnsi="宋体" w:cs="宋体"/>
          <w:b w:val="0"/>
          <w:bCs w:val="0"/>
          <w:color w:val="auto"/>
          <w:sz w:val="22"/>
          <w:szCs w:val="22"/>
          <w:highlight w:val="none"/>
          <w:lang w:eastAsia="zh-CN"/>
        </w:rPr>
        <w:t xml:space="preserve"> 食用油</w:t>
      </w:r>
    </w:p>
    <w:tbl>
      <w:tblPr>
        <w:tblStyle w:val="52"/>
        <w:tblW w:w="98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1"/>
      </w:tblGrid>
      <w:tr w14:paraId="59C87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8" w:hRule="atLeast"/>
          <w:jc w:val="center"/>
        </w:trPr>
        <w:tc>
          <w:tcPr>
            <w:tcW w:w="9801" w:type="dxa"/>
            <w:vAlign w:val="center"/>
          </w:tcPr>
          <w:p w14:paraId="5D9D8F13">
            <w:pPr>
              <w:spacing w:line="360" w:lineRule="auto"/>
              <w:rPr>
                <w:rFonts w:hint="eastAsia" w:ascii="宋体" w:hAnsi="宋体" w:eastAsia="宋体" w:cs="宋体"/>
                <w:color w:val="auto"/>
                <w:sz w:val="22"/>
                <w:szCs w:val="22"/>
                <w:highlight w:val="none"/>
              </w:rPr>
            </w:pPr>
          </w:p>
        </w:tc>
      </w:tr>
    </w:tbl>
    <w:p w14:paraId="36416871">
      <w:pPr>
        <w:spacing w:line="380" w:lineRule="exact"/>
        <w:rPr>
          <w:rFonts w:hint="eastAsia" w:ascii="宋体" w:hAnsi="宋体" w:eastAsia="宋体" w:cs="宋体"/>
          <w:color w:val="auto"/>
          <w:sz w:val="36"/>
          <w:szCs w:val="36"/>
          <w:highlight w:val="none"/>
        </w:rPr>
      </w:pPr>
    </w:p>
    <w:p w14:paraId="21A23E56">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投标人全称（盖章）：</w:t>
      </w:r>
    </w:p>
    <w:p w14:paraId="448E51FE">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法定代表人或其授权代表（签字或盖章）</w:t>
      </w:r>
      <w:r>
        <w:rPr>
          <w:rFonts w:hint="eastAsia" w:ascii="宋体" w:hAnsi="宋体" w:eastAsia="宋体" w:cs="宋体"/>
          <w:color w:val="auto"/>
          <w:sz w:val="22"/>
          <w:szCs w:val="22"/>
          <w:highlight w:val="none"/>
        </w:rPr>
        <w:t>：</w:t>
      </w:r>
    </w:p>
    <w:p w14:paraId="7220E10E">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日   期：</w:t>
      </w:r>
    </w:p>
    <w:p w14:paraId="0E5187AF">
      <w:pPr>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14:paraId="02AAB465">
      <w:pPr>
        <w:spacing w:line="400" w:lineRule="exact"/>
        <w:jc w:val="center"/>
        <w:outlineLvl w:val="3"/>
        <w:rPr>
          <w:rFonts w:hint="eastAsia" w:ascii="宋体" w:hAnsi="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t>9、货物品质保证措施</w:t>
      </w:r>
    </w:p>
    <w:p w14:paraId="1BC8801A">
      <w:pPr>
        <w:spacing w:line="360" w:lineRule="auto"/>
        <w:rPr>
          <w:rFonts w:hint="eastAsia" w:ascii="宋体" w:hAnsi="宋体" w:eastAsia="宋体" w:cs="宋体"/>
          <w:b w:val="0"/>
          <w:bCs w:val="0"/>
          <w:color w:val="auto"/>
          <w:sz w:val="22"/>
          <w:szCs w:val="22"/>
          <w:highlight w:val="none"/>
          <w:lang w:eastAsia="zh-CN"/>
        </w:rPr>
      </w:pPr>
      <w:r>
        <w:rPr>
          <w:rFonts w:hint="eastAsia" w:ascii="宋体" w:hAnsi="宋体" w:eastAsia="宋体" w:cs="宋体"/>
          <w:b w:val="0"/>
          <w:bCs w:val="0"/>
          <w:color w:val="auto"/>
          <w:sz w:val="22"/>
          <w:szCs w:val="22"/>
          <w:highlight w:val="none"/>
        </w:rPr>
        <w:t>项目编号：</w:t>
      </w:r>
      <w:r>
        <w:rPr>
          <w:rFonts w:hint="eastAsia" w:ascii="宋体" w:hAnsi="宋体" w:cs="宋体"/>
          <w:b w:val="0"/>
          <w:bCs w:val="0"/>
          <w:color w:val="auto"/>
          <w:sz w:val="22"/>
          <w:szCs w:val="22"/>
          <w:highlight w:val="none"/>
          <w:lang w:eastAsia="zh-CN"/>
        </w:rPr>
        <w:t>WZLCZB（W）-2025-05055</w:t>
      </w:r>
    </w:p>
    <w:p w14:paraId="4C888C72">
      <w:pPr>
        <w:keepNext/>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bCs/>
          <w:color w:val="auto"/>
          <w:sz w:val="22"/>
          <w:szCs w:val="22"/>
          <w:highlight w:val="none"/>
          <w:lang w:eastAsia="zh-CN"/>
        </w:rPr>
      </w:pPr>
      <w:r>
        <w:rPr>
          <w:rFonts w:hint="eastAsia" w:ascii="宋体" w:hAnsi="宋体" w:eastAsia="宋体" w:cs="宋体"/>
          <w:b w:val="0"/>
          <w:bCs w:val="0"/>
          <w:color w:val="auto"/>
          <w:sz w:val="22"/>
          <w:szCs w:val="22"/>
          <w:highlight w:val="none"/>
        </w:rPr>
        <w:t>项目名称：</w:t>
      </w:r>
      <w:r>
        <w:rPr>
          <w:rFonts w:hint="eastAsia" w:ascii="宋体" w:hAnsi="宋体" w:cs="宋体"/>
          <w:b w:val="0"/>
          <w:bCs w:val="0"/>
          <w:color w:val="auto"/>
          <w:sz w:val="22"/>
          <w:szCs w:val="22"/>
          <w:highlight w:val="none"/>
          <w:lang w:eastAsia="zh-CN"/>
        </w:rPr>
        <w:t xml:space="preserve"> 食用油</w:t>
      </w:r>
    </w:p>
    <w:tbl>
      <w:tblPr>
        <w:tblStyle w:val="52"/>
        <w:tblW w:w="98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1"/>
      </w:tblGrid>
      <w:tr w14:paraId="5A7C5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8" w:hRule="atLeast"/>
          <w:jc w:val="center"/>
        </w:trPr>
        <w:tc>
          <w:tcPr>
            <w:tcW w:w="9801" w:type="dxa"/>
            <w:vAlign w:val="center"/>
          </w:tcPr>
          <w:p w14:paraId="1281D6ED">
            <w:pPr>
              <w:spacing w:line="360" w:lineRule="auto"/>
              <w:rPr>
                <w:rFonts w:hint="eastAsia" w:ascii="宋体" w:hAnsi="宋体" w:eastAsia="宋体" w:cs="宋体"/>
                <w:color w:val="auto"/>
                <w:sz w:val="22"/>
                <w:szCs w:val="22"/>
                <w:highlight w:val="none"/>
              </w:rPr>
            </w:pPr>
          </w:p>
        </w:tc>
      </w:tr>
    </w:tbl>
    <w:p w14:paraId="3EFF1DF2">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w:t>
      </w:r>
    </w:p>
    <w:p w14:paraId="3B9B0577">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投标人全称（盖章）：</w:t>
      </w:r>
    </w:p>
    <w:p w14:paraId="187A829B">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法定代表人或其授权代表（签字或盖章）</w:t>
      </w:r>
      <w:r>
        <w:rPr>
          <w:rFonts w:hint="eastAsia" w:ascii="宋体" w:hAnsi="宋体" w:eastAsia="宋体" w:cs="宋体"/>
          <w:color w:val="auto"/>
          <w:sz w:val="22"/>
          <w:szCs w:val="22"/>
          <w:highlight w:val="none"/>
        </w:rPr>
        <w:t>：</w:t>
      </w:r>
    </w:p>
    <w:p w14:paraId="234DD743">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日   期：</w:t>
      </w:r>
    </w:p>
    <w:p w14:paraId="10927D45">
      <w:pPr>
        <w:pStyle w:val="28"/>
        <w:spacing w:line="460" w:lineRule="atLeast"/>
        <w:ind w:left="659" w:leftChars="314" w:firstLine="3740" w:firstLineChars="1700"/>
        <w:rPr>
          <w:rFonts w:hint="eastAsia" w:ascii="宋体" w:hAnsi="宋体" w:eastAsia="宋体" w:cs="宋体"/>
          <w:b w:val="0"/>
          <w:bCs/>
          <w:color w:val="auto"/>
          <w:sz w:val="22"/>
          <w:highlight w:val="none"/>
        </w:rPr>
      </w:pPr>
    </w:p>
    <w:p w14:paraId="47BCFA04">
      <w:pPr>
        <w:pStyle w:val="28"/>
        <w:spacing w:line="400" w:lineRule="atLeast"/>
        <w:ind w:left="663" w:hanging="663" w:hangingChars="300"/>
        <w:rPr>
          <w:rFonts w:hint="eastAsia" w:ascii="宋体" w:hAnsi="宋体" w:eastAsia="宋体" w:cs="宋体"/>
          <w:color w:val="auto"/>
          <w:sz w:val="22"/>
          <w:highlight w:val="none"/>
        </w:rPr>
      </w:pPr>
    </w:p>
    <w:p w14:paraId="43EF1D65">
      <w:pPr>
        <w:pStyle w:val="28"/>
        <w:spacing w:line="400" w:lineRule="atLeast"/>
        <w:ind w:left="663" w:hanging="663" w:hangingChars="300"/>
        <w:rPr>
          <w:rFonts w:hint="eastAsia" w:ascii="宋体" w:hAnsi="宋体" w:eastAsia="宋体" w:cs="宋体"/>
          <w:color w:val="auto"/>
          <w:sz w:val="22"/>
          <w:highlight w:val="none"/>
        </w:rPr>
      </w:pPr>
    </w:p>
    <w:p w14:paraId="7E63CED8">
      <w:pPr>
        <w:pStyle w:val="28"/>
        <w:spacing w:line="400" w:lineRule="atLeast"/>
        <w:rPr>
          <w:rFonts w:hint="eastAsia" w:ascii="宋体" w:hAnsi="宋体" w:eastAsia="宋体" w:cs="宋体"/>
          <w:color w:val="auto"/>
          <w:sz w:val="22"/>
          <w:highlight w:val="none"/>
        </w:rPr>
      </w:pPr>
    </w:p>
    <w:p w14:paraId="146B8CD7">
      <w:pPr>
        <w:spacing w:line="400" w:lineRule="exact"/>
        <w:jc w:val="center"/>
        <w:outlineLvl w:val="3"/>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1</w:t>
      </w:r>
      <w:r>
        <w:rPr>
          <w:rFonts w:hint="eastAsia" w:ascii="宋体" w:hAnsi="宋体" w:cs="宋体"/>
          <w:b/>
          <w:bCs/>
          <w:color w:val="auto"/>
          <w:sz w:val="28"/>
          <w:szCs w:val="28"/>
          <w:highlight w:val="none"/>
          <w:lang w:val="en-US" w:eastAsia="zh-CN"/>
        </w:rPr>
        <w:t>0</w:t>
      </w:r>
      <w:r>
        <w:rPr>
          <w:rFonts w:hint="eastAsia" w:ascii="宋体" w:hAnsi="宋体" w:eastAsia="宋体" w:cs="宋体"/>
          <w:b/>
          <w:bCs/>
          <w:color w:val="auto"/>
          <w:sz w:val="28"/>
          <w:szCs w:val="28"/>
          <w:highlight w:val="none"/>
          <w:lang w:val="en-US" w:eastAsia="zh-CN"/>
        </w:rPr>
        <w:t>、配送方案</w:t>
      </w:r>
    </w:p>
    <w:p w14:paraId="5794BA07">
      <w:pPr>
        <w:spacing w:line="360" w:lineRule="auto"/>
        <w:rPr>
          <w:rFonts w:hint="eastAsia" w:ascii="宋体" w:hAnsi="宋体" w:eastAsia="宋体" w:cs="宋体"/>
          <w:b w:val="0"/>
          <w:bCs w:val="0"/>
          <w:color w:val="auto"/>
          <w:sz w:val="22"/>
          <w:szCs w:val="22"/>
          <w:highlight w:val="none"/>
          <w:lang w:eastAsia="zh-CN"/>
        </w:rPr>
      </w:pPr>
      <w:r>
        <w:rPr>
          <w:rFonts w:hint="eastAsia" w:ascii="宋体" w:hAnsi="宋体" w:eastAsia="宋体" w:cs="宋体"/>
          <w:b w:val="0"/>
          <w:bCs w:val="0"/>
          <w:color w:val="auto"/>
          <w:sz w:val="22"/>
          <w:szCs w:val="22"/>
          <w:highlight w:val="none"/>
        </w:rPr>
        <w:t>项目编号：</w:t>
      </w:r>
      <w:r>
        <w:rPr>
          <w:rFonts w:hint="eastAsia" w:ascii="宋体" w:hAnsi="宋体" w:cs="宋体"/>
          <w:b w:val="0"/>
          <w:bCs w:val="0"/>
          <w:color w:val="auto"/>
          <w:sz w:val="22"/>
          <w:szCs w:val="22"/>
          <w:highlight w:val="none"/>
          <w:lang w:eastAsia="zh-CN"/>
        </w:rPr>
        <w:t>WZLCZB（W）-2025-05055</w:t>
      </w:r>
    </w:p>
    <w:p w14:paraId="05B70FC7">
      <w:pPr>
        <w:keepNext/>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bCs/>
          <w:color w:val="auto"/>
          <w:sz w:val="22"/>
          <w:szCs w:val="22"/>
          <w:highlight w:val="none"/>
          <w:lang w:eastAsia="zh-CN"/>
        </w:rPr>
      </w:pPr>
      <w:r>
        <w:rPr>
          <w:rFonts w:hint="eastAsia" w:ascii="宋体" w:hAnsi="宋体" w:eastAsia="宋体" w:cs="宋体"/>
          <w:b w:val="0"/>
          <w:bCs w:val="0"/>
          <w:color w:val="auto"/>
          <w:sz w:val="22"/>
          <w:szCs w:val="22"/>
          <w:highlight w:val="none"/>
        </w:rPr>
        <w:t>项目名称：</w:t>
      </w:r>
      <w:r>
        <w:rPr>
          <w:rFonts w:hint="eastAsia" w:ascii="宋体" w:hAnsi="宋体" w:cs="宋体"/>
          <w:b w:val="0"/>
          <w:bCs w:val="0"/>
          <w:color w:val="auto"/>
          <w:sz w:val="22"/>
          <w:szCs w:val="22"/>
          <w:highlight w:val="none"/>
          <w:lang w:eastAsia="zh-CN"/>
        </w:rPr>
        <w:t xml:space="preserve"> 食用油</w:t>
      </w:r>
    </w:p>
    <w:tbl>
      <w:tblPr>
        <w:tblStyle w:val="52"/>
        <w:tblW w:w="98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1"/>
      </w:tblGrid>
      <w:tr w14:paraId="3C77D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8" w:hRule="atLeast"/>
          <w:jc w:val="center"/>
        </w:trPr>
        <w:tc>
          <w:tcPr>
            <w:tcW w:w="9801" w:type="dxa"/>
            <w:vAlign w:val="center"/>
          </w:tcPr>
          <w:p w14:paraId="260607B0">
            <w:pPr>
              <w:spacing w:line="360" w:lineRule="auto"/>
              <w:rPr>
                <w:rFonts w:hint="eastAsia" w:ascii="宋体" w:hAnsi="宋体" w:eastAsia="宋体" w:cs="宋体"/>
                <w:color w:val="auto"/>
                <w:sz w:val="22"/>
                <w:szCs w:val="22"/>
                <w:highlight w:val="none"/>
              </w:rPr>
            </w:pPr>
          </w:p>
        </w:tc>
      </w:tr>
    </w:tbl>
    <w:p w14:paraId="1B9C12E0">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w:t>
      </w:r>
    </w:p>
    <w:p w14:paraId="46EBC8DA">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投标人全称（盖章）：</w:t>
      </w:r>
    </w:p>
    <w:p w14:paraId="52740F35">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法定代表人或其授权代表（签字或盖章）</w:t>
      </w:r>
      <w:r>
        <w:rPr>
          <w:rFonts w:hint="eastAsia" w:ascii="宋体" w:hAnsi="宋体" w:eastAsia="宋体" w:cs="宋体"/>
          <w:color w:val="auto"/>
          <w:sz w:val="22"/>
          <w:szCs w:val="22"/>
          <w:highlight w:val="none"/>
        </w:rPr>
        <w:t>：</w:t>
      </w:r>
    </w:p>
    <w:p w14:paraId="3119CAAF">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日   期：</w:t>
      </w:r>
    </w:p>
    <w:p w14:paraId="7DB50D87">
      <w:pPr>
        <w:pStyle w:val="28"/>
        <w:spacing w:line="460" w:lineRule="atLeast"/>
        <w:ind w:left="659" w:leftChars="314" w:firstLine="3740" w:firstLineChars="1700"/>
        <w:rPr>
          <w:rFonts w:hint="eastAsia" w:ascii="宋体" w:hAnsi="宋体" w:eastAsia="宋体" w:cs="宋体"/>
          <w:b w:val="0"/>
          <w:bCs/>
          <w:color w:val="auto"/>
          <w:sz w:val="22"/>
          <w:highlight w:val="none"/>
        </w:rPr>
      </w:pPr>
      <w:r>
        <w:rPr>
          <w:rFonts w:hint="eastAsia" w:ascii="宋体" w:hAnsi="宋体" w:eastAsia="宋体" w:cs="宋体"/>
          <w:b w:val="0"/>
          <w:bCs/>
          <w:color w:val="auto"/>
          <w:sz w:val="22"/>
          <w:highlight w:val="none"/>
        </w:rPr>
        <w:t xml:space="preserve"> </w:t>
      </w:r>
    </w:p>
    <w:p w14:paraId="60F9EA2E">
      <w:pPr>
        <w:spacing w:line="460" w:lineRule="exact"/>
        <w:ind w:firstLine="4400" w:firstLineChars="2000"/>
        <w:rPr>
          <w:rFonts w:hint="eastAsia" w:ascii="宋体" w:hAnsi="宋体" w:eastAsia="宋体" w:cs="宋体"/>
          <w:color w:val="auto"/>
          <w:sz w:val="22"/>
          <w:szCs w:val="22"/>
          <w:highlight w:val="none"/>
        </w:rPr>
      </w:pPr>
    </w:p>
    <w:p w14:paraId="75D49645">
      <w:pPr>
        <w:spacing w:line="400" w:lineRule="exact"/>
        <w:jc w:val="center"/>
        <w:outlineLvl w:val="3"/>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1</w:t>
      </w:r>
      <w:r>
        <w:rPr>
          <w:rFonts w:hint="eastAsia" w:ascii="宋体" w:hAnsi="宋体" w:cs="宋体"/>
          <w:b/>
          <w:bCs/>
          <w:color w:val="auto"/>
          <w:sz w:val="28"/>
          <w:szCs w:val="28"/>
          <w:highlight w:val="none"/>
          <w:lang w:val="en-US" w:eastAsia="zh-CN"/>
        </w:rPr>
        <w:t>1</w:t>
      </w:r>
      <w:r>
        <w:rPr>
          <w:rFonts w:hint="eastAsia" w:ascii="宋体" w:hAnsi="宋体" w:eastAsia="宋体" w:cs="宋体"/>
          <w:b/>
          <w:bCs/>
          <w:color w:val="auto"/>
          <w:sz w:val="28"/>
          <w:szCs w:val="28"/>
          <w:highlight w:val="none"/>
          <w:lang w:val="en-US" w:eastAsia="zh-CN"/>
        </w:rPr>
        <w:t>、应急方案和承诺</w:t>
      </w:r>
    </w:p>
    <w:p w14:paraId="2CC52C79">
      <w:pPr>
        <w:spacing w:line="360" w:lineRule="auto"/>
        <w:rPr>
          <w:rFonts w:hint="eastAsia" w:ascii="宋体" w:hAnsi="宋体" w:eastAsia="宋体" w:cs="宋体"/>
          <w:b w:val="0"/>
          <w:bCs w:val="0"/>
          <w:color w:val="auto"/>
          <w:sz w:val="22"/>
          <w:szCs w:val="22"/>
          <w:highlight w:val="none"/>
          <w:lang w:eastAsia="zh-CN"/>
        </w:rPr>
      </w:pPr>
      <w:r>
        <w:rPr>
          <w:rFonts w:hint="eastAsia" w:ascii="宋体" w:hAnsi="宋体" w:eastAsia="宋体" w:cs="宋体"/>
          <w:b w:val="0"/>
          <w:bCs w:val="0"/>
          <w:color w:val="auto"/>
          <w:sz w:val="22"/>
          <w:szCs w:val="22"/>
          <w:highlight w:val="none"/>
        </w:rPr>
        <w:t>项目编号：</w:t>
      </w:r>
      <w:r>
        <w:rPr>
          <w:rFonts w:hint="eastAsia" w:ascii="宋体" w:hAnsi="宋体" w:cs="宋体"/>
          <w:b w:val="0"/>
          <w:bCs w:val="0"/>
          <w:color w:val="auto"/>
          <w:sz w:val="22"/>
          <w:szCs w:val="22"/>
          <w:highlight w:val="none"/>
          <w:lang w:eastAsia="zh-CN"/>
        </w:rPr>
        <w:t>WZLCZB（W）-2025-05055</w:t>
      </w:r>
    </w:p>
    <w:p w14:paraId="58A77EFA">
      <w:pPr>
        <w:keepNext/>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bCs/>
          <w:color w:val="auto"/>
          <w:sz w:val="22"/>
          <w:szCs w:val="22"/>
          <w:highlight w:val="none"/>
          <w:lang w:eastAsia="zh-CN"/>
        </w:rPr>
      </w:pPr>
      <w:r>
        <w:rPr>
          <w:rFonts w:hint="eastAsia" w:ascii="宋体" w:hAnsi="宋体" w:eastAsia="宋体" w:cs="宋体"/>
          <w:b w:val="0"/>
          <w:bCs w:val="0"/>
          <w:color w:val="auto"/>
          <w:sz w:val="22"/>
          <w:szCs w:val="22"/>
          <w:highlight w:val="none"/>
        </w:rPr>
        <w:t>项目名称：</w:t>
      </w:r>
      <w:r>
        <w:rPr>
          <w:rFonts w:hint="eastAsia" w:ascii="宋体" w:hAnsi="宋体" w:cs="宋体"/>
          <w:b w:val="0"/>
          <w:bCs w:val="0"/>
          <w:color w:val="auto"/>
          <w:sz w:val="22"/>
          <w:szCs w:val="22"/>
          <w:highlight w:val="none"/>
          <w:lang w:eastAsia="zh-CN"/>
        </w:rPr>
        <w:t xml:space="preserve"> 食用油</w:t>
      </w:r>
    </w:p>
    <w:tbl>
      <w:tblPr>
        <w:tblStyle w:val="52"/>
        <w:tblW w:w="98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1"/>
      </w:tblGrid>
      <w:tr w14:paraId="68367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8" w:hRule="atLeast"/>
          <w:jc w:val="center"/>
        </w:trPr>
        <w:tc>
          <w:tcPr>
            <w:tcW w:w="9801" w:type="dxa"/>
            <w:vAlign w:val="center"/>
          </w:tcPr>
          <w:p w14:paraId="693F9D39">
            <w:pPr>
              <w:spacing w:line="360" w:lineRule="auto"/>
              <w:rPr>
                <w:rFonts w:hint="eastAsia" w:ascii="宋体" w:hAnsi="宋体" w:eastAsia="宋体" w:cs="宋体"/>
                <w:color w:val="auto"/>
                <w:sz w:val="22"/>
                <w:szCs w:val="22"/>
                <w:highlight w:val="none"/>
              </w:rPr>
            </w:pPr>
          </w:p>
        </w:tc>
      </w:tr>
    </w:tbl>
    <w:p w14:paraId="607D37FC">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w:t>
      </w:r>
    </w:p>
    <w:p w14:paraId="6E0FBF88">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投标人全称（盖章）：</w:t>
      </w:r>
    </w:p>
    <w:p w14:paraId="221CB731">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法定代表人或其授权代表（签字或盖章）</w:t>
      </w:r>
      <w:r>
        <w:rPr>
          <w:rFonts w:hint="eastAsia" w:ascii="宋体" w:hAnsi="宋体" w:eastAsia="宋体" w:cs="宋体"/>
          <w:color w:val="auto"/>
          <w:sz w:val="22"/>
          <w:szCs w:val="22"/>
          <w:highlight w:val="none"/>
        </w:rPr>
        <w:t>：</w:t>
      </w:r>
    </w:p>
    <w:p w14:paraId="148623FA">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日   期：</w:t>
      </w:r>
    </w:p>
    <w:p w14:paraId="05C3F0B2">
      <w:pPr>
        <w:spacing w:line="460" w:lineRule="exact"/>
        <w:ind w:firstLine="4200" w:firstLineChars="2000"/>
        <w:rPr>
          <w:rFonts w:hint="eastAsia" w:ascii="宋体" w:hAnsi="宋体" w:eastAsia="宋体" w:cs="宋体"/>
          <w:color w:val="auto"/>
          <w:highlight w:val="none"/>
        </w:rPr>
      </w:pPr>
    </w:p>
    <w:p w14:paraId="59D21254">
      <w:pPr>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14:paraId="229C3DCD">
      <w:pPr>
        <w:keepNext w:val="0"/>
        <w:keepLines w:val="0"/>
        <w:pageBreakBefore w:val="0"/>
        <w:widowControl w:val="0"/>
        <w:kinsoku/>
        <w:wordWrap/>
        <w:overflowPunct/>
        <w:topLinePunct w:val="0"/>
        <w:autoSpaceDE/>
        <w:autoSpaceDN/>
        <w:bidi w:val="0"/>
        <w:adjustRightInd/>
        <w:snapToGrid/>
        <w:jc w:val="center"/>
        <w:textAlignment w:val="auto"/>
        <w:outlineLvl w:val="3"/>
        <w:rPr>
          <w:rFonts w:hint="eastAsia" w:ascii="宋体" w:hAnsi="宋体" w:eastAsia="宋体" w:cs="宋体"/>
          <w:b/>
          <w:bCs/>
          <w:color w:val="auto"/>
          <w:sz w:val="28"/>
          <w:szCs w:val="28"/>
          <w:highlight w:val="none"/>
        </w:rPr>
      </w:pPr>
      <w:r>
        <w:rPr>
          <w:rFonts w:hint="eastAsia" w:ascii="宋体" w:hAnsi="宋体" w:cs="宋体"/>
          <w:b/>
          <w:bCs/>
          <w:color w:val="auto"/>
          <w:sz w:val="28"/>
          <w:szCs w:val="28"/>
          <w:highlight w:val="none"/>
          <w:lang w:val="en-US" w:eastAsia="zh-CN"/>
        </w:rPr>
        <w:t>12</w:t>
      </w:r>
      <w:r>
        <w:rPr>
          <w:rFonts w:hint="eastAsia" w:ascii="宋体" w:hAnsi="宋体" w:eastAsia="宋体" w:cs="宋体"/>
          <w:b/>
          <w:bCs/>
          <w:color w:val="auto"/>
          <w:sz w:val="28"/>
          <w:szCs w:val="28"/>
          <w:highlight w:val="none"/>
        </w:rPr>
        <w:t>、业绩</w:t>
      </w:r>
    </w:p>
    <w:p w14:paraId="46339CBE">
      <w:pPr>
        <w:spacing w:line="360" w:lineRule="auto"/>
        <w:rPr>
          <w:rFonts w:hint="eastAsia" w:ascii="宋体" w:hAnsi="宋体" w:eastAsia="宋体" w:cs="宋体"/>
          <w:b w:val="0"/>
          <w:bCs w:val="0"/>
          <w:color w:val="auto"/>
          <w:sz w:val="22"/>
          <w:szCs w:val="22"/>
          <w:highlight w:val="none"/>
          <w:lang w:eastAsia="zh-CN"/>
        </w:rPr>
      </w:pPr>
      <w:r>
        <w:rPr>
          <w:rFonts w:hint="eastAsia" w:ascii="宋体" w:hAnsi="宋体" w:eastAsia="宋体" w:cs="宋体"/>
          <w:b w:val="0"/>
          <w:bCs w:val="0"/>
          <w:color w:val="auto"/>
          <w:sz w:val="22"/>
          <w:szCs w:val="22"/>
          <w:highlight w:val="none"/>
        </w:rPr>
        <w:t>项目编号：</w:t>
      </w:r>
      <w:r>
        <w:rPr>
          <w:rFonts w:hint="eastAsia" w:ascii="宋体" w:hAnsi="宋体" w:cs="宋体"/>
          <w:b w:val="0"/>
          <w:bCs w:val="0"/>
          <w:color w:val="auto"/>
          <w:sz w:val="22"/>
          <w:szCs w:val="22"/>
          <w:highlight w:val="none"/>
          <w:lang w:eastAsia="zh-CN"/>
        </w:rPr>
        <w:t>WZLCZB（W）-2025-05055</w:t>
      </w:r>
    </w:p>
    <w:p w14:paraId="6231F959">
      <w:pPr>
        <w:keepNext/>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bCs/>
          <w:color w:val="auto"/>
          <w:sz w:val="22"/>
          <w:szCs w:val="22"/>
          <w:highlight w:val="none"/>
          <w:lang w:eastAsia="zh-CN"/>
        </w:rPr>
      </w:pPr>
      <w:r>
        <w:rPr>
          <w:rFonts w:hint="eastAsia" w:ascii="宋体" w:hAnsi="宋体" w:eastAsia="宋体" w:cs="宋体"/>
          <w:b w:val="0"/>
          <w:bCs w:val="0"/>
          <w:color w:val="auto"/>
          <w:sz w:val="22"/>
          <w:szCs w:val="22"/>
          <w:highlight w:val="none"/>
        </w:rPr>
        <w:t>项目名称：</w:t>
      </w:r>
      <w:r>
        <w:rPr>
          <w:rFonts w:hint="eastAsia" w:ascii="宋体" w:hAnsi="宋体" w:cs="宋体"/>
          <w:b w:val="0"/>
          <w:bCs w:val="0"/>
          <w:color w:val="auto"/>
          <w:sz w:val="22"/>
          <w:szCs w:val="22"/>
          <w:highlight w:val="none"/>
          <w:lang w:eastAsia="zh-CN"/>
        </w:rPr>
        <w:t xml:space="preserve"> 食用油</w:t>
      </w:r>
    </w:p>
    <w:tbl>
      <w:tblPr>
        <w:tblStyle w:val="52"/>
        <w:tblW w:w="97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
        <w:gridCol w:w="2069"/>
        <w:gridCol w:w="2437"/>
        <w:gridCol w:w="1737"/>
        <w:gridCol w:w="1737"/>
        <w:gridCol w:w="926"/>
      </w:tblGrid>
      <w:tr w14:paraId="7E2F7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2" w:type="dxa"/>
            <w:noWrap w:val="0"/>
            <w:vAlign w:val="center"/>
          </w:tcPr>
          <w:p w14:paraId="6A693D74">
            <w:pPr>
              <w:pageBreakBefore w:val="0"/>
              <w:kinsoku/>
              <w:topLinePunct w:val="0"/>
              <w:bidi w:val="0"/>
              <w:spacing w:line="460" w:lineRule="exact"/>
              <w:rPr>
                <w:rFonts w:hint="default" w:ascii="Times New Roman" w:hAnsi="Times New Roman" w:eastAsia="新宋体" w:cs="Times New Roman"/>
                <w:b/>
                <w:bCs/>
                <w:color w:val="auto"/>
                <w:sz w:val="22"/>
                <w:szCs w:val="22"/>
                <w:highlight w:val="none"/>
              </w:rPr>
            </w:pPr>
            <w:r>
              <w:rPr>
                <w:rFonts w:hint="default" w:ascii="Times New Roman" w:hAnsi="Times New Roman" w:eastAsia="新宋体" w:cs="Times New Roman"/>
                <w:b/>
                <w:color w:val="auto"/>
                <w:sz w:val="22"/>
                <w:highlight w:val="none"/>
              </w:rPr>
              <w:t xml:space="preserve"> </w:t>
            </w:r>
            <w:r>
              <w:rPr>
                <w:rFonts w:hint="default" w:ascii="Times New Roman" w:hAnsi="Times New Roman" w:eastAsia="新宋体" w:cs="Times New Roman"/>
                <w:b/>
                <w:bCs/>
                <w:color w:val="auto"/>
                <w:sz w:val="22"/>
                <w:szCs w:val="22"/>
                <w:highlight w:val="none"/>
              </w:rPr>
              <w:t>序号</w:t>
            </w:r>
          </w:p>
        </w:tc>
        <w:tc>
          <w:tcPr>
            <w:tcW w:w="2069" w:type="dxa"/>
            <w:noWrap w:val="0"/>
            <w:vAlign w:val="center"/>
          </w:tcPr>
          <w:p w14:paraId="16EF5CC0">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r>
              <w:rPr>
                <w:rFonts w:hint="default" w:ascii="Times New Roman" w:hAnsi="Times New Roman" w:eastAsia="新宋体" w:cs="Times New Roman"/>
                <w:b/>
                <w:bCs/>
                <w:color w:val="auto"/>
                <w:sz w:val="22"/>
                <w:szCs w:val="22"/>
                <w:highlight w:val="none"/>
              </w:rPr>
              <w:t>用户名称</w:t>
            </w:r>
          </w:p>
        </w:tc>
        <w:tc>
          <w:tcPr>
            <w:tcW w:w="2437" w:type="dxa"/>
            <w:noWrap w:val="0"/>
            <w:vAlign w:val="center"/>
          </w:tcPr>
          <w:p w14:paraId="7E6F74D2">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r>
              <w:rPr>
                <w:rFonts w:hint="default" w:ascii="Times New Roman" w:hAnsi="Times New Roman" w:eastAsia="新宋体" w:cs="Times New Roman"/>
                <w:b/>
                <w:bCs/>
                <w:color w:val="auto"/>
                <w:sz w:val="22"/>
                <w:szCs w:val="22"/>
                <w:highlight w:val="none"/>
              </w:rPr>
              <w:t>项目名称</w:t>
            </w:r>
          </w:p>
        </w:tc>
        <w:tc>
          <w:tcPr>
            <w:tcW w:w="1737" w:type="dxa"/>
            <w:noWrap w:val="0"/>
            <w:vAlign w:val="center"/>
          </w:tcPr>
          <w:p w14:paraId="7454E816">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r>
              <w:rPr>
                <w:rFonts w:hint="default" w:ascii="Times New Roman" w:hAnsi="Times New Roman" w:eastAsia="新宋体" w:cs="Times New Roman"/>
                <w:b/>
                <w:bCs/>
                <w:color w:val="auto"/>
                <w:sz w:val="22"/>
                <w:szCs w:val="22"/>
                <w:highlight w:val="none"/>
              </w:rPr>
              <w:t>合同金额</w:t>
            </w:r>
          </w:p>
        </w:tc>
        <w:tc>
          <w:tcPr>
            <w:tcW w:w="1737" w:type="dxa"/>
            <w:noWrap w:val="0"/>
            <w:vAlign w:val="center"/>
          </w:tcPr>
          <w:p w14:paraId="68A3646F">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r>
              <w:rPr>
                <w:rFonts w:hint="default" w:ascii="Times New Roman" w:hAnsi="Times New Roman" w:eastAsia="新宋体" w:cs="Times New Roman"/>
                <w:b/>
                <w:bCs/>
                <w:color w:val="auto"/>
                <w:sz w:val="22"/>
                <w:szCs w:val="22"/>
                <w:highlight w:val="none"/>
              </w:rPr>
              <w:t>联系方式</w:t>
            </w:r>
          </w:p>
        </w:tc>
        <w:tc>
          <w:tcPr>
            <w:tcW w:w="926" w:type="dxa"/>
            <w:noWrap w:val="0"/>
            <w:vAlign w:val="center"/>
          </w:tcPr>
          <w:p w14:paraId="478CD4F5">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r>
              <w:rPr>
                <w:rFonts w:hint="default" w:ascii="Times New Roman" w:hAnsi="Times New Roman" w:eastAsia="新宋体" w:cs="Times New Roman"/>
                <w:b/>
                <w:bCs/>
                <w:color w:val="auto"/>
                <w:sz w:val="22"/>
                <w:szCs w:val="22"/>
                <w:highlight w:val="none"/>
              </w:rPr>
              <w:t>备注</w:t>
            </w:r>
          </w:p>
        </w:tc>
      </w:tr>
      <w:tr w14:paraId="2BA4A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2" w:type="dxa"/>
            <w:noWrap w:val="0"/>
            <w:vAlign w:val="center"/>
          </w:tcPr>
          <w:p w14:paraId="395AC016">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2069" w:type="dxa"/>
            <w:noWrap w:val="0"/>
            <w:vAlign w:val="center"/>
          </w:tcPr>
          <w:p w14:paraId="05B66533">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2437" w:type="dxa"/>
            <w:noWrap w:val="0"/>
            <w:vAlign w:val="center"/>
          </w:tcPr>
          <w:p w14:paraId="2475AFBE">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1737" w:type="dxa"/>
            <w:noWrap w:val="0"/>
            <w:vAlign w:val="center"/>
          </w:tcPr>
          <w:p w14:paraId="54012710">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1737" w:type="dxa"/>
            <w:noWrap w:val="0"/>
            <w:vAlign w:val="center"/>
          </w:tcPr>
          <w:p w14:paraId="679A5292">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926" w:type="dxa"/>
            <w:noWrap w:val="0"/>
            <w:vAlign w:val="center"/>
          </w:tcPr>
          <w:p w14:paraId="6250C40D">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r>
      <w:tr w14:paraId="3BD74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2" w:type="dxa"/>
            <w:noWrap w:val="0"/>
            <w:vAlign w:val="center"/>
          </w:tcPr>
          <w:p w14:paraId="2F4871DF">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2069" w:type="dxa"/>
            <w:noWrap w:val="0"/>
            <w:vAlign w:val="center"/>
          </w:tcPr>
          <w:p w14:paraId="23ECD255">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2437" w:type="dxa"/>
            <w:noWrap w:val="0"/>
            <w:vAlign w:val="center"/>
          </w:tcPr>
          <w:p w14:paraId="1607B89E">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1737" w:type="dxa"/>
            <w:noWrap w:val="0"/>
            <w:vAlign w:val="center"/>
          </w:tcPr>
          <w:p w14:paraId="3A62C9DD">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1737" w:type="dxa"/>
            <w:noWrap w:val="0"/>
            <w:vAlign w:val="center"/>
          </w:tcPr>
          <w:p w14:paraId="68DCFC60">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926" w:type="dxa"/>
            <w:noWrap w:val="0"/>
            <w:vAlign w:val="center"/>
          </w:tcPr>
          <w:p w14:paraId="55F45BBA">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r>
      <w:tr w14:paraId="1BC3D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2" w:type="dxa"/>
            <w:noWrap w:val="0"/>
            <w:vAlign w:val="center"/>
          </w:tcPr>
          <w:p w14:paraId="4F229FD1">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2069" w:type="dxa"/>
            <w:noWrap w:val="0"/>
            <w:vAlign w:val="center"/>
          </w:tcPr>
          <w:p w14:paraId="57086036">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2437" w:type="dxa"/>
            <w:noWrap w:val="0"/>
            <w:vAlign w:val="center"/>
          </w:tcPr>
          <w:p w14:paraId="7A0658D3">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1737" w:type="dxa"/>
            <w:noWrap w:val="0"/>
            <w:vAlign w:val="center"/>
          </w:tcPr>
          <w:p w14:paraId="29301E2D">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1737" w:type="dxa"/>
            <w:noWrap w:val="0"/>
            <w:vAlign w:val="center"/>
          </w:tcPr>
          <w:p w14:paraId="3CB98A59">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926" w:type="dxa"/>
            <w:noWrap w:val="0"/>
            <w:vAlign w:val="center"/>
          </w:tcPr>
          <w:p w14:paraId="5336DA00">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r>
      <w:tr w14:paraId="1BFBB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2" w:type="dxa"/>
            <w:noWrap w:val="0"/>
            <w:vAlign w:val="center"/>
          </w:tcPr>
          <w:p w14:paraId="5253F9BE">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2069" w:type="dxa"/>
            <w:noWrap w:val="0"/>
            <w:vAlign w:val="center"/>
          </w:tcPr>
          <w:p w14:paraId="0CD172E6">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2437" w:type="dxa"/>
            <w:noWrap w:val="0"/>
            <w:vAlign w:val="center"/>
          </w:tcPr>
          <w:p w14:paraId="195BBC21">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1737" w:type="dxa"/>
            <w:noWrap w:val="0"/>
            <w:vAlign w:val="center"/>
          </w:tcPr>
          <w:p w14:paraId="386EECB9">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1737" w:type="dxa"/>
            <w:noWrap w:val="0"/>
            <w:vAlign w:val="center"/>
          </w:tcPr>
          <w:p w14:paraId="5E3B65C5">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926" w:type="dxa"/>
            <w:noWrap w:val="0"/>
            <w:vAlign w:val="center"/>
          </w:tcPr>
          <w:p w14:paraId="08EFC372">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r>
      <w:tr w14:paraId="4F908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2" w:type="dxa"/>
            <w:noWrap w:val="0"/>
            <w:vAlign w:val="center"/>
          </w:tcPr>
          <w:p w14:paraId="6F4824F0">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2069" w:type="dxa"/>
            <w:noWrap w:val="0"/>
            <w:vAlign w:val="center"/>
          </w:tcPr>
          <w:p w14:paraId="7B8D480E">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2437" w:type="dxa"/>
            <w:noWrap w:val="0"/>
            <w:vAlign w:val="center"/>
          </w:tcPr>
          <w:p w14:paraId="64622EEF">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1737" w:type="dxa"/>
            <w:noWrap w:val="0"/>
            <w:vAlign w:val="center"/>
          </w:tcPr>
          <w:p w14:paraId="7BC261B5">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1737" w:type="dxa"/>
            <w:noWrap w:val="0"/>
            <w:vAlign w:val="center"/>
          </w:tcPr>
          <w:p w14:paraId="68667B45">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926" w:type="dxa"/>
            <w:noWrap w:val="0"/>
            <w:vAlign w:val="center"/>
          </w:tcPr>
          <w:p w14:paraId="442387B7">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r>
      <w:tr w14:paraId="47E19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2" w:type="dxa"/>
            <w:noWrap w:val="0"/>
            <w:vAlign w:val="center"/>
          </w:tcPr>
          <w:p w14:paraId="405A8A5E">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2069" w:type="dxa"/>
            <w:noWrap w:val="0"/>
            <w:vAlign w:val="center"/>
          </w:tcPr>
          <w:p w14:paraId="5FD443DD">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2437" w:type="dxa"/>
            <w:noWrap w:val="0"/>
            <w:vAlign w:val="center"/>
          </w:tcPr>
          <w:p w14:paraId="5B1223EC">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1737" w:type="dxa"/>
            <w:noWrap w:val="0"/>
            <w:vAlign w:val="center"/>
          </w:tcPr>
          <w:p w14:paraId="2F3082CC">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1737" w:type="dxa"/>
            <w:noWrap w:val="0"/>
            <w:vAlign w:val="center"/>
          </w:tcPr>
          <w:p w14:paraId="51C4B928">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926" w:type="dxa"/>
            <w:noWrap w:val="0"/>
            <w:vAlign w:val="center"/>
          </w:tcPr>
          <w:p w14:paraId="4DC25CA5">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r>
      <w:tr w14:paraId="3BA46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2" w:type="dxa"/>
            <w:noWrap w:val="0"/>
            <w:vAlign w:val="center"/>
          </w:tcPr>
          <w:p w14:paraId="1CC533CC">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2069" w:type="dxa"/>
            <w:noWrap w:val="0"/>
            <w:vAlign w:val="center"/>
          </w:tcPr>
          <w:p w14:paraId="0AC3DE56">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2437" w:type="dxa"/>
            <w:noWrap w:val="0"/>
            <w:vAlign w:val="center"/>
          </w:tcPr>
          <w:p w14:paraId="4BC04F8A">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1737" w:type="dxa"/>
            <w:noWrap w:val="0"/>
            <w:vAlign w:val="center"/>
          </w:tcPr>
          <w:p w14:paraId="7A045C32">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1737" w:type="dxa"/>
            <w:noWrap w:val="0"/>
            <w:vAlign w:val="center"/>
          </w:tcPr>
          <w:p w14:paraId="73475E8D">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926" w:type="dxa"/>
            <w:noWrap w:val="0"/>
            <w:vAlign w:val="center"/>
          </w:tcPr>
          <w:p w14:paraId="22C7DD1A">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r>
      <w:tr w14:paraId="76EA8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2" w:type="dxa"/>
            <w:noWrap w:val="0"/>
            <w:vAlign w:val="center"/>
          </w:tcPr>
          <w:p w14:paraId="7574E389">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2069" w:type="dxa"/>
            <w:noWrap w:val="0"/>
            <w:vAlign w:val="center"/>
          </w:tcPr>
          <w:p w14:paraId="23DC50C4">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2437" w:type="dxa"/>
            <w:noWrap w:val="0"/>
            <w:vAlign w:val="center"/>
          </w:tcPr>
          <w:p w14:paraId="04E1CC4A">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1737" w:type="dxa"/>
            <w:noWrap w:val="0"/>
            <w:vAlign w:val="center"/>
          </w:tcPr>
          <w:p w14:paraId="69A0D3D5">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1737" w:type="dxa"/>
            <w:noWrap w:val="0"/>
            <w:vAlign w:val="center"/>
          </w:tcPr>
          <w:p w14:paraId="0F031041">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926" w:type="dxa"/>
            <w:noWrap w:val="0"/>
            <w:vAlign w:val="center"/>
          </w:tcPr>
          <w:p w14:paraId="1C7828E7">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r>
      <w:tr w14:paraId="0A3FC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2" w:type="dxa"/>
            <w:noWrap w:val="0"/>
            <w:vAlign w:val="center"/>
          </w:tcPr>
          <w:p w14:paraId="0893FF4F">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2069" w:type="dxa"/>
            <w:noWrap w:val="0"/>
            <w:vAlign w:val="center"/>
          </w:tcPr>
          <w:p w14:paraId="0343DE14">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2437" w:type="dxa"/>
            <w:noWrap w:val="0"/>
            <w:vAlign w:val="center"/>
          </w:tcPr>
          <w:p w14:paraId="69DF859B">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1737" w:type="dxa"/>
            <w:noWrap w:val="0"/>
            <w:vAlign w:val="center"/>
          </w:tcPr>
          <w:p w14:paraId="1A09F4A4">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1737" w:type="dxa"/>
            <w:noWrap w:val="0"/>
            <w:vAlign w:val="center"/>
          </w:tcPr>
          <w:p w14:paraId="36F0CBF7">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926" w:type="dxa"/>
            <w:noWrap w:val="0"/>
            <w:vAlign w:val="center"/>
          </w:tcPr>
          <w:p w14:paraId="71F91370">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r>
      <w:tr w14:paraId="2AFD9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2" w:type="dxa"/>
            <w:noWrap w:val="0"/>
            <w:vAlign w:val="center"/>
          </w:tcPr>
          <w:p w14:paraId="0A0159F5">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2069" w:type="dxa"/>
            <w:noWrap w:val="0"/>
            <w:vAlign w:val="center"/>
          </w:tcPr>
          <w:p w14:paraId="77921D12">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2437" w:type="dxa"/>
            <w:noWrap w:val="0"/>
            <w:vAlign w:val="center"/>
          </w:tcPr>
          <w:p w14:paraId="799B0D5D">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1737" w:type="dxa"/>
            <w:noWrap w:val="0"/>
            <w:vAlign w:val="center"/>
          </w:tcPr>
          <w:p w14:paraId="1BAA8D20">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1737" w:type="dxa"/>
            <w:noWrap w:val="0"/>
            <w:vAlign w:val="center"/>
          </w:tcPr>
          <w:p w14:paraId="03789913">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926" w:type="dxa"/>
            <w:noWrap w:val="0"/>
            <w:vAlign w:val="center"/>
          </w:tcPr>
          <w:p w14:paraId="21D1CF6E">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r>
      <w:tr w14:paraId="4B82D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2" w:type="dxa"/>
            <w:noWrap w:val="0"/>
            <w:vAlign w:val="center"/>
          </w:tcPr>
          <w:p w14:paraId="73D73F7F">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2069" w:type="dxa"/>
            <w:noWrap w:val="0"/>
            <w:vAlign w:val="center"/>
          </w:tcPr>
          <w:p w14:paraId="277B8D88">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2437" w:type="dxa"/>
            <w:noWrap w:val="0"/>
            <w:vAlign w:val="center"/>
          </w:tcPr>
          <w:p w14:paraId="3AED335F">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1737" w:type="dxa"/>
            <w:noWrap w:val="0"/>
            <w:vAlign w:val="center"/>
          </w:tcPr>
          <w:p w14:paraId="2B910500">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1737" w:type="dxa"/>
            <w:noWrap w:val="0"/>
            <w:vAlign w:val="center"/>
          </w:tcPr>
          <w:p w14:paraId="5C948AFA">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926" w:type="dxa"/>
            <w:noWrap w:val="0"/>
            <w:vAlign w:val="center"/>
          </w:tcPr>
          <w:p w14:paraId="253CC1DA">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r>
      <w:tr w14:paraId="5C91E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2" w:type="dxa"/>
            <w:noWrap w:val="0"/>
            <w:vAlign w:val="center"/>
          </w:tcPr>
          <w:p w14:paraId="426F9B2D">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2069" w:type="dxa"/>
            <w:noWrap w:val="0"/>
            <w:vAlign w:val="center"/>
          </w:tcPr>
          <w:p w14:paraId="2B1C3C0F">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2437" w:type="dxa"/>
            <w:noWrap w:val="0"/>
            <w:vAlign w:val="center"/>
          </w:tcPr>
          <w:p w14:paraId="7090914B">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1737" w:type="dxa"/>
            <w:noWrap w:val="0"/>
            <w:vAlign w:val="center"/>
          </w:tcPr>
          <w:p w14:paraId="10BF2942">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1737" w:type="dxa"/>
            <w:noWrap w:val="0"/>
            <w:vAlign w:val="center"/>
          </w:tcPr>
          <w:p w14:paraId="7169CAAE">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926" w:type="dxa"/>
            <w:noWrap w:val="0"/>
            <w:vAlign w:val="center"/>
          </w:tcPr>
          <w:p w14:paraId="343374E6">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r>
      <w:tr w14:paraId="7CA42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2" w:type="dxa"/>
            <w:noWrap w:val="0"/>
            <w:vAlign w:val="center"/>
          </w:tcPr>
          <w:p w14:paraId="6B3DCD7C">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2069" w:type="dxa"/>
            <w:noWrap w:val="0"/>
            <w:vAlign w:val="center"/>
          </w:tcPr>
          <w:p w14:paraId="398C1031">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2437" w:type="dxa"/>
            <w:noWrap w:val="0"/>
            <w:vAlign w:val="center"/>
          </w:tcPr>
          <w:p w14:paraId="5F2DB93F">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1737" w:type="dxa"/>
            <w:noWrap w:val="0"/>
            <w:vAlign w:val="center"/>
          </w:tcPr>
          <w:p w14:paraId="3E0960C3">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1737" w:type="dxa"/>
            <w:noWrap w:val="0"/>
            <w:vAlign w:val="center"/>
          </w:tcPr>
          <w:p w14:paraId="156D54D2">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926" w:type="dxa"/>
            <w:noWrap w:val="0"/>
            <w:vAlign w:val="center"/>
          </w:tcPr>
          <w:p w14:paraId="1C353A95">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r>
      <w:tr w14:paraId="66D63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2" w:type="dxa"/>
            <w:noWrap w:val="0"/>
            <w:vAlign w:val="center"/>
          </w:tcPr>
          <w:p w14:paraId="380858DD">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2069" w:type="dxa"/>
            <w:noWrap w:val="0"/>
            <w:vAlign w:val="center"/>
          </w:tcPr>
          <w:p w14:paraId="5A4AD32E">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2437" w:type="dxa"/>
            <w:noWrap w:val="0"/>
            <w:vAlign w:val="center"/>
          </w:tcPr>
          <w:p w14:paraId="30C7B98A">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1737" w:type="dxa"/>
            <w:noWrap w:val="0"/>
            <w:vAlign w:val="center"/>
          </w:tcPr>
          <w:p w14:paraId="32C328BE">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1737" w:type="dxa"/>
            <w:noWrap w:val="0"/>
            <w:vAlign w:val="center"/>
          </w:tcPr>
          <w:p w14:paraId="38B8DC76">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c>
          <w:tcPr>
            <w:tcW w:w="926" w:type="dxa"/>
            <w:noWrap w:val="0"/>
            <w:vAlign w:val="center"/>
          </w:tcPr>
          <w:p w14:paraId="2AFCAB75">
            <w:pPr>
              <w:pageBreakBefore w:val="0"/>
              <w:kinsoku/>
              <w:topLinePunct w:val="0"/>
              <w:bidi w:val="0"/>
              <w:spacing w:line="460" w:lineRule="exact"/>
              <w:ind w:left="442" w:hanging="442" w:hangingChars="200"/>
              <w:jc w:val="center"/>
              <w:rPr>
                <w:rFonts w:hint="default" w:ascii="Times New Roman" w:hAnsi="Times New Roman" w:eastAsia="新宋体" w:cs="Times New Roman"/>
                <w:b/>
                <w:bCs/>
                <w:color w:val="auto"/>
                <w:sz w:val="22"/>
                <w:szCs w:val="22"/>
                <w:highlight w:val="none"/>
              </w:rPr>
            </w:pPr>
          </w:p>
        </w:tc>
      </w:tr>
    </w:tbl>
    <w:p w14:paraId="4D7C2528">
      <w:pPr>
        <w:spacing w:line="460" w:lineRule="exact"/>
        <w:ind w:firstLine="5060" w:firstLineChars="2300"/>
        <w:rPr>
          <w:rFonts w:hint="eastAsia" w:ascii="宋体" w:hAnsi="宋体" w:eastAsia="宋体" w:cs="宋体"/>
          <w:color w:val="auto"/>
          <w:sz w:val="22"/>
          <w:szCs w:val="22"/>
          <w:highlight w:val="none"/>
        </w:rPr>
      </w:pPr>
    </w:p>
    <w:p w14:paraId="5FA8DD6E">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投标人全称（盖章）：</w:t>
      </w:r>
    </w:p>
    <w:p w14:paraId="553EB26A">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法定代表人或其授权代表（签字或盖章）</w:t>
      </w:r>
      <w:r>
        <w:rPr>
          <w:rFonts w:hint="eastAsia" w:ascii="宋体" w:hAnsi="宋体" w:eastAsia="宋体" w:cs="宋体"/>
          <w:color w:val="auto"/>
          <w:sz w:val="22"/>
          <w:szCs w:val="22"/>
          <w:highlight w:val="none"/>
        </w:rPr>
        <w:t>：</w:t>
      </w:r>
    </w:p>
    <w:p w14:paraId="1B81F8C7">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日   期：</w:t>
      </w:r>
    </w:p>
    <w:p w14:paraId="13B75D1D">
      <w:pP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br w:type="page"/>
      </w:r>
    </w:p>
    <w:p w14:paraId="2A0CFA80">
      <w:pPr>
        <w:spacing w:line="400" w:lineRule="exact"/>
        <w:jc w:val="center"/>
        <w:outlineLvl w:val="3"/>
        <w:rPr>
          <w:rFonts w:hint="default"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1</w:t>
      </w:r>
      <w:r>
        <w:rPr>
          <w:rFonts w:hint="eastAsia" w:ascii="宋体" w:hAnsi="宋体" w:cs="宋体"/>
          <w:b/>
          <w:bCs/>
          <w:color w:val="auto"/>
          <w:sz w:val="28"/>
          <w:szCs w:val="28"/>
          <w:highlight w:val="none"/>
          <w:lang w:val="en-US" w:eastAsia="zh-CN"/>
        </w:rPr>
        <w:t>3</w:t>
      </w:r>
      <w:r>
        <w:rPr>
          <w:rFonts w:hint="eastAsia" w:ascii="宋体" w:hAnsi="宋体" w:eastAsia="宋体" w:cs="宋体"/>
          <w:b/>
          <w:bCs/>
          <w:color w:val="auto"/>
          <w:sz w:val="28"/>
          <w:szCs w:val="28"/>
          <w:highlight w:val="none"/>
          <w:lang w:val="en-US" w:eastAsia="zh-CN"/>
        </w:rPr>
        <w:t>、</w:t>
      </w:r>
      <w:r>
        <w:rPr>
          <w:rFonts w:hint="eastAsia" w:ascii="宋体" w:hAnsi="宋体" w:cs="宋体"/>
          <w:b/>
          <w:bCs/>
          <w:color w:val="auto"/>
          <w:sz w:val="28"/>
          <w:szCs w:val="28"/>
          <w:highlight w:val="none"/>
          <w:lang w:val="en-US" w:eastAsia="zh-CN"/>
        </w:rPr>
        <w:t>承诺函</w:t>
      </w:r>
    </w:p>
    <w:p w14:paraId="26F6AC21">
      <w:pPr>
        <w:spacing w:line="360" w:lineRule="auto"/>
        <w:rPr>
          <w:rFonts w:hint="eastAsia" w:ascii="宋体" w:hAnsi="宋体" w:eastAsia="宋体" w:cs="宋体"/>
          <w:b w:val="0"/>
          <w:bCs w:val="0"/>
          <w:color w:val="auto"/>
          <w:sz w:val="22"/>
          <w:szCs w:val="22"/>
          <w:highlight w:val="none"/>
          <w:lang w:eastAsia="zh-CN"/>
        </w:rPr>
      </w:pPr>
      <w:r>
        <w:rPr>
          <w:rFonts w:hint="eastAsia" w:ascii="宋体" w:hAnsi="宋体" w:eastAsia="宋体" w:cs="宋体"/>
          <w:b w:val="0"/>
          <w:bCs w:val="0"/>
          <w:color w:val="auto"/>
          <w:sz w:val="22"/>
          <w:szCs w:val="22"/>
          <w:highlight w:val="none"/>
        </w:rPr>
        <w:t>项目编号：</w:t>
      </w:r>
      <w:r>
        <w:rPr>
          <w:rFonts w:hint="eastAsia" w:ascii="宋体" w:hAnsi="宋体" w:cs="宋体"/>
          <w:b w:val="0"/>
          <w:bCs w:val="0"/>
          <w:color w:val="auto"/>
          <w:sz w:val="22"/>
          <w:szCs w:val="22"/>
          <w:highlight w:val="none"/>
          <w:lang w:eastAsia="zh-CN"/>
        </w:rPr>
        <w:t>WZLCZB（W）-2025-05055</w:t>
      </w:r>
    </w:p>
    <w:p w14:paraId="566C6D33">
      <w:pPr>
        <w:keepNext/>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bCs/>
          <w:color w:val="auto"/>
          <w:sz w:val="22"/>
          <w:szCs w:val="22"/>
          <w:highlight w:val="none"/>
          <w:lang w:eastAsia="zh-CN"/>
        </w:rPr>
      </w:pPr>
      <w:r>
        <w:rPr>
          <w:rFonts w:hint="eastAsia" w:ascii="宋体" w:hAnsi="宋体" w:eastAsia="宋体" w:cs="宋体"/>
          <w:b w:val="0"/>
          <w:bCs w:val="0"/>
          <w:color w:val="auto"/>
          <w:sz w:val="22"/>
          <w:szCs w:val="22"/>
          <w:highlight w:val="none"/>
        </w:rPr>
        <w:t>项目名称：</w:t>
      </w:r>
      <w:r>
        <w:rPr>
          <w:rFonts w:hint="eastAsia" w:ascii="宋体" w:hAnsi="宋体" w:cs="宋体"/>
          <w:b w:val="0"/>
          <w:bCs w:val="0"/>
          <w:color w:val="auto"/>
          <w:sz w:val="22"/>
          <w:szCs w:val="22"/>
          <w:highlight w:val="none"/>
          <w:lang w:eastAsia="zh-CN"/>
        </w:rPr>
        <w:t xml:space="preserve"> 食用油</w:t>
      </w:r>
    </w:p>
    <w:tbl>
      <w:tblPr>
        <w:tblStyle w:val="52"/>
        <w:tblW w:w="98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1"/>
      </w:tblGrid>
      <w:tr w14:paraId="0CCB0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8" w:hRule="atLeast"/>
          <w:jc w:val="center"/>
        </w:trPr>
        <w:tc>
          <w:tcPr>
            <w:tcW w:w="9801" w:type="dxa"/>
            <w:vAlign w:val="top"/>
          </w:tcPr>
          <w:p w14:paraId="25B96F16">
            <w:pPr>
              <w:shd w:val="clear" w:color="auto" w:fill="FFFFFF"/>
              <w:snapToGrid w:val="0"/>
              <w:spacing w:line="440" w:lineRule="exact"/>
              <w:jc w:val="both"/>
              <w:rPr>
                <w:rFonts w:hint="eastAsia" w:ascii="宋体" w:hAnsi="宋体" w:cs="宋体"/>
                <w:color w:val="auto"/>
                <w:sz w:val="22"/>
                <w:szCs w:val="22"/>
                <w:highlight w:val="none"/>
                <w:lang w:eastAsia="zh-CN"/>
              </w:rPr>
            </w:pPr>
          </w:p>
          <w:p w14:paraId="05A464B1">
            <w:pPr>
              <w:keepNext w:val="0"/>
              <w:keepLines w:val="0"/>
              <w:pageBreakBefore w:val="0"/>
              <w:widowControl w:val="0"/>
              <w:shd w:val="clear" w:color="auto" w:fill="FFFFFF"/>
              <w:kinsoku/>
              <w:wordWrap/>
              <w:overflowPunct/>
              <w:topLinePunct w:val="0"/>
              <w:autoSpaceDE/>
              <w:autoSpaceDN/>
              <w:bidi w:val="0"/>
              <w:adjustRightInd/>
              <w:snapToGrid w:val="0"/>
              <w:spacing w:line="460" w:lineRule="exact"/>
              <w:jc w:val="both"/>
              <w:textAlignment w:val="auto"/>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eastAsia="zh-CN"/>
              </w:rPr>
              <w:t>温州市中心医院</w:t>
            </w:r>
            <w:r>
              <w:rPr>
                <w:rFonts w:hint="eastAsia" w:ascii="宋体" w:hAnsi="宋体" w:eastAsia="宋体" w:cs="宋体"/>
                <w:color w:val="auto"/>
                <w:sz w:val="22"/>
                <w:szCs w:val="22"/>
                <w:highlight w:val="none"/>
              </w:rPr>
              <w:t>、温州历程招标有限公司：</w:t>
            </w:r>
          </w:p>
          <w:p w14:paraId="4E90398C">
            <w:pPr>
              <w:keepNext w:val="0"/>
              <w:keepLines w:val="0"/>
              <w:pageBreakBefore w:val="0"/>
              <w:widowControl w:val="0"/>
              <w:kinsoku/>
              <w:wordWrap/>
              <w:overflowPunct/>
              <w:topLinePunct w:val="0"/>
              <w:autoSpaceDE/>
              <w:autoSpaceDN/>
              <w:bidi w:val="0"/>
              <w:adjustRightInd/>
              <w:spacing w:line="460" w:lineRule="exact"/>
              <w:ind w:firstLine="44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2"/>
                <w:szCs w:val="22"/>
                <w:highlight w:val="none"/>
              </w:rPr>
              <w:t>我方参与</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（采购项目名称、编号）投标，</w:t>
            </w:r>
            <w:r>
              <w:rPr>
                <w:rFonts w:hint="eastAsia" w:ascii="宋体" w:hAnsi="宋体" w:eastAsia="宋体" w:cs="宋体"/>
                <w:color w:val="auto"/>
                <w:sz w:val="21"/>
                <w:szCs w:val="21"/>
                <w:highlight w:val="none"/>
              </w:rPr>
              <w:t>若我方中标，我方在此承诺：</w:t>
            </w:r>
          </w:p>
          <w:p w14:paraId="6A0D2F1E">
            <w:pPr>
              <w:keepNext w:val="0"/>
              <w:keepLines w:val="0"/>
              <w:pageBreakBefore w:val="0"/>
              <w:widowControl w:val="0"/>
              <w:kinsoku/>
              <w:wordWrap/>
              <w:overflowPunct/>
              <w:topLinePunct w:val="0"/>
              <w:autoSpaceDE/>
              <w:autoSpaceDN/>
              <w:bidi w:val="0"/>
              <w:adjustRightInd/>
              <w:spacing w:line="460" w:lineRule="exact"/>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我方若有幸成为中标单位，我方愿意结算方式以本次入围供应商中最低中标价格进行结算。</w:t>
            </w:r>
          </w:p>
          <w:p w14:paraId="599F1AB4">
            <w:pPr>
              <w:keepNext w:val="0"/>
              <w:keepLines w:val="0"/>
              <w:pageBreakBefore w:val="0"/>
              <w:widowControl w:val="0"/>
              <w:kinsoku/>
              <w:wordWrap/>
              <w:overflowPunct/>
              <w:topLinePunct w:val="0"/>
              <w:autoSpaceDE/>
              <w:autoSpaceDN/>
              <w:bidi w:val="0"/>
              <w:adjustRightInd/>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如我方违背了上述承诺，本项目</w:t>
            </w: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rPr>
              <w:t>人有权取消我方的中标资格，并由</w:t>
            </w: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rPr>
              <w:t>人将我方的违约行为上报行政主管部门。</w:t>
            </w:r>
          </w:p>
          <w:p w14:paraId="71640BAA">
            <w:pPr>
              <w:spacing w:line="360" w:lineRule="auto"/>
              <w:ind w:firstLine="440" w:firstLineChars="200"/>
              <w:jc w:val="both"/>
              <w:rPr>
                <w:rFonts w:hint="eastAsia" w:ascii="宋体" w:hAnsi="宋体" w:eastAsia="宋体" w:cs="宋体"/>
                <w:color w:val="auto"/>
                <w:sz w:val="22"/>
                <w:szCs w:val="22"/>
                <w:highlight w:val="none"/>
              </w:rPr>
            </w:pPr>
          </w:p>
        </w:tc>
      </w:tr>
    </w:tbl>
    <w:p w14:paraId="6EB7F461">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w:t>
      </w:r>
    </w:p>
    <w:p w14:paraId="7CBA384C">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投标人全称（盖章）：</w:t>
      </w:r>
    </w:p>
    <w:p w14:paraId="2A62B877">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法定代表人或其授权代表（签字或盖章）</w:t>
      </w:r>
      <w:r>
        <w:rPr>
          <w:rFonts w:hint="eastAsia" w:ascii="宋体" w:hAnsi="宋体" w:eastAsia="宋体" w:cs="宋体"/>
          <w:color w:val="auto"/>
          <w:sz w:val="22"/>
          <w:szCs w:val="22"/>
          <w:highlight w:val="none"/>
        </w:rPr>
        <w:t>：</w:t>
      </w:r>
    </w:p>
    <w:p w14:paraId="4CDCAF7F">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日   期：</w:t>
      </w:r>
    </w:p>
    <w:p w14:paraId="0F69DCF2">
      <w:pPr>
        <w:spacing w:line="460" w:lineRule="exact"/>
        <w:rPr>
          <w:rFonts w:hint="eastAsia" w:ascii="宋体" w:hAnsi="宋体" w:eastAsia="宋体" w:cs="宋体"/>
          <w:color w:val="auto"/>
          <w:sz w:val="22"/>
          <w:szCs w:val="22"/>
          <w:highlight w:val="none"/>
        </w:rPr>
      </w:pPr>
    </w:p>
    <w:p w14:paraId="213C590F">
      <w:pPr>
        <w:spacing w:line="460" w:lineRule="exact"/>
        <w:rPr>
          <w:rFonts w:hint="eastAsia" w:ascii="宋体" w:hAnsi="宋体" w:eastAsia="宋体" w:cs="宋体"/>
          <w:color w:val="auto"/>
          <w:highlight w:val="none"/>
        </w:rPr>
      </w:pPr>
      <w:r>
        <w:rPr>
          <w:rFonts w:hint="eastAsia" w:ascii="宋体" w:hAnsi="宋体" w:eastAsia="宋体" w:cs="宋体"/>
          <w:color w:val="auto"/>
          <w:sz w:val="22"/>
          <w:szCs w:val="22"/>
          <w:highlight w:val="none"/>
        </w:rPr>
        <w:t>▲</w:t>
      </w:r>
      <w:r>
        <w:rPr>
          <w:rFonts w:hint="eastAsia" w:ascii="宋体" w:hAnsi="宋体" w:eastAsia="宋体" w:cs="宋体"/>
          <w:b/>
          <w:color w:val="auto"/>
          <w:sz w:val="22"/>
          <w:szCs w:val="22"/>
          <w:highlight w:val="none"/>
        </w:rPr>
        <w:t>如投标人</w:t>
      </w:r>
      <w:r>
        <w:rPr>
          <w:rFonts w:hint="eastAsia" w:ascii="宋体" w:hAnsi="宋体" w:eastAsia="宋体" w:cs="宋体"/>
          <w:b/>
          <w:color w:val="auto"/>
          <w:sz w:val="22"/>
          <w:szCs w:val="22"/>
          <w:highlight w:val="none"/>
          <w:lang w:val="en-US" w:eastAsia="zh-CN"/>
        </w:rPr>
        <w:t>未提供此承诺函</w:t>
      </w:r>
      <w:r>
        <w:rPr>
          <w:rFonts w:hint="eastAsia" w:ascii="宋体" w:hAnsi="宋体" w:eastAsia="宋体" w:cs="宋体"/>
          <w:b/>
          <w:color w:val="auto"/>
          <w:sz w:val="22"/>
          <w:szCs w:val="22"/>
          <w:highlight w:val="none"/>
        </w:rPr>
        <w:t>按无效标处理。</w:t>
      </w:r>
    </w:p>
    <w:p w14:paraId="789AEAEF">
      <w:pPr>
        <w:spacing w:line="380" w:lineRule="exact"/>
        <w:ind w:firstLine="4400" w:firstLineChars="2000"/>
        <w:rPr>
          <w:rFonts w:hint="eastAsia" w:ascii="宋体" w:hAnsi="宋体" w:eastAsia="宋体" w:cs="宋体"/>
          <w:color w:val="auto"/>
          <w:sz w:val="22"/>
          <w:szCs w:val="22"/>
          <w:highlight w:val="none"/>
        </w:rPr>
      </w:pPr>
    </w:p>
    <w:p w14:paraId="2DECAC0F">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br w:type="page"/>
      </w:r>
    </w:p>
    <w:p w14:paraId="48FC85F1">
      <w:pPr>
        <w:rPr>
          <w:rFonts w:ascii="新宋体" w:hAnsi="新宋体" w:eastAsia="新宋体"/>
          <w:color w:val="auto"/>
          <w:sz w:val="22"/>
          <w:szCs w:val="22"/>
          <w:highlight w:val="none"/>
        </w:rPr>
        <w:sectPr>
          <w:pgSz w:w="11906" w:h="16838"/>
          <w:pgMar w:top="1134" w:right="1134" w:bottom="1134" w:left="1134" w:header="850" w:footer="992" w:gutter="0"/>
          <w:cols w:space="720" w:num="1"/>
          <w:docGrid w:type="lines" w:linePitch="321" w:charSpace="0"/>
        </w:sectPr>
      </w:pPr>
    </w:p>
    <w:p w14:paraId="5C8C0724">
      <w:pPr>
        <w:pStyle w:val="3"/>
        <w:numPr>
          <w:ilvl w:val="0"/>
          <w:numId w:val="4"/>
        </w:numPr>
        <w:bidi w:val="0"/>
        <w:rPr>
          <w:rFonts w:hint="eastAsia" w:ascii="宋体" w:hAnsi="宋体" w:eastAsia="宋体" w:cs="宋体"/>
          <w:b/>
          <w:color w:val="auto"/>
          <w:highlight w:val="none"/>
        </w:rPr>
      </w:pP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 xml:space="preserve"> </w:t>
      </w:r>
      <w:bookmarkStart w:id="41" w:name="_Toc10142"/>
      <w:bookmarkStart w:id="42" w:name="_Toc3381"/>
      <w:bookmarkStart w:id="43" w:name="_Toc221356895"/>
      <w:bookmarkStart w:id="44" w:name="_Toc221356958"/>
      <w:r>
        <w:rPr>
          <w:rFonts w:hint="eastAsia" w:ascii="宋体" w:hAnsi="宋体" w:eastAsia="宋体" w:cs="宋体"/>
          <w:color w:val="auto"/>
          <w:highlight w:val="none"/>
        </w:rPr>
        <w:t>项目技术规范和服务要求</w:t>
      </w:r>
      <w:bookmarkEnd w:id="41"/>
      <w:bookmarkEnd w:id="42"/>
    </w:p>
    <w:bookmarkEnd w:id="43"/>
    <w:bookmarkEnd w:id="44"/>
    <w:p w14:paraId="24DE92BC">
      <w:pPr>
        <w:keepNext w:val="0"/>
        <w:keepLines w:val="0"/>
        <w:pageBreakBefore w:val="0"/>
        <w:widowControl w:val="0"/>
        <w:numPr>
          <w:ilvl w:val="0"/>
          <w:numId w:val="5"/>
        </w:numPr>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color w:val="auto"/>
          <w:sz w:val="22"/>
          <w:szCs w:val="22"/>
          <w:highlight w:val="none"/>
          <w:lang w:val="en-US" w:eastAsia="zh-CN"/>
        </w:rPr>
      </w:pPr>
      <w:bookmarkStart w:id="45" w:name="_Toc23050562"/>
      <w:bookmarkStart w:id="46" w:name="_Toc23050833"/>
      <w:bookmarkStart w:id="47" w:name="_Toc495660084"/>
      <w:bookmarkStart w:id="48" w:name="_Toc201920298"/>
      <w:bookmarkStart w:id="49" w:name="_Toc441051461"/>
      <w:bookmarkStart w:id="50" w:name="_Toc496101312"/>
      <w:bookmarkStart w:id="51" w:name="_Toc23050423"/>
      <w:bookmarkStart w:id="52" w:name="_Toc497300664"/>
      <w:bookmarkStart w:id="53" w:name="_Toc497300733"/>
      <w:bookmarkStart w:id="54" w:name="_Toc495651839"/>
      <w:bookmarkStart w:id="55" w:name="_Toc40594931"/>
      <w:bookmarkStart w:id="56" w:name="_Toc40266002"/>
      <w:bookmarkStart w:id="57" w:name="_Toc497307615"/>
      <w:bookmarkStart w:id="58" w:name="_Toc498186719"/>
      <w:bookmarkStart w:id="59" w:name="_Toc23050625"/>
      <w:bookmarkStart w:id="60" w:name="_Toc498186820"/>
      <w:bookmarkStart w:id="61" w:name="_Toc496256263"/>
      <w:bookmarkStart w:id="62" w:name="_Toc498199476"/>
      <w:bookmarkStart w:id="63" w:name="_Toc282690445"/>
      <w:bookmarkStart w:id="64" w:name="_Toc496257825"/>
      <w:bookmarkStart w:id="65" w:name="_Toc496101575"/>
      <w:bookmarkStart w:id="66" w:name="_Toc51996430"/>
      <w:r>
        <w:rPr>
          <w:rFonts w:hint="eastAsia" w:ascii="宋体" w:hAnsi="宋体" w:eastAsia="宋体" w:cs="宋体"/>
          <w:b/>
          <w:bCs/>
          <w:color w:val="auto"/>
          <w:sz w:val="22"/>
          <w:szCs w:val="22"/>
          <w:highlight w:val="none"/>
          <w:lang w:val="en-US" w:eastAsia="zh-CN"/>
        </w:rPr>
        <w:t>项目概况</w:t>
      </w:r>
    </w:p>
    <w:p w14:paraId="45DC1113">
      <w:pPr>
        <w:keepNext/>
        <w:keepLines w:val="0"/>
        <w:pageBreakBefore w:val="0"/>
        <w:widowControl w:val="0"/>
        <w:kinsoku/>
        <w:wordWrap/>
        <w:overflowPunct/>
        <w:topLinePunct w:val="0"/>
        <w:autoSpaceDE/>
        <w:autoSpaceDN/>
        <w:bidi w:val="0"/>
        <w:adjustRightInd/>
        <w:snapToGrid/>
        <w:spacing w:line="360" w:lineRule="auto"/>
        <w:ind w:firstLine="442" w:firstLineChars="200"/>
        <w:jc w:val="both"/>
        <w:textAlignment w:val="auto"/>
        <w:outlineLvl w:val="9"/>
        <w:rPr>
          <w:rFonts w:hint="default"/>
          <w:color w:val="auto"/>
          <w:highlight w:val="none"/>
          <w:lang w:val="en-US" w:eastAsia="zh-CN"/>
        </w:rPr>
      </w:pPr>
      <w:r>
        <w:rPr>
          <w:rFonts w:hint="eastAsia" w:ascii="宋体" w:hAnsi="宋体" w:eastAsia="宋体" w:cs="宋体"/>
          <w:b/>
          <w:bCs/>
          <w:color w:val="auto"/>
          <w:sz w:val="22"/>
          <w:szCs w:val="22"/>
          <w:highlight w:val="none"/>
          <w:lang w:val="en-US" w:eastAsia="zh-CN"/>
        </w:rPr>
        <w:t>1、采购清单</w:t>
      </w:r>
    </w:p>
    <w:tbl>
      <w:tblPr>
        <w:tblStyle w:val="52"/>
        <w:tblW w:w="96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3135"/>
        <w:gridCol w:w="1755"/>
        <w:gridCol w:w="1768"/>
        <w:gridCol w:w="1000"/>
        <w:gridCol w:w="1267"/>
      </w:tblGrid>
      <w:tr w14:paraId="5905F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14:paraId="11A468F3">
            <w:pPr>
              <w:keepNext w:val="0"/>
              <w:keepLines w:val="0"/>
              <w:pageBreakBefore w:val="0"/>
              <w:widowControl w:val="0"/>
              <w:kinsoku/>
              <w:wordWrap/>
              <w:overflowPunct/>
              <w:topLinePunct w:val="0"/>
              <w:bidi w:val="0"/>
              <w:spacing w:line="460" w:lineRule="exact"/>
              <w:jc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序号</w:t>
            </w:r>
          </w:p>
        </w:tc>
        <w:tc>
          <w:tcPr>
            <w:tcW w:w="3135" w:type="dxa"/>
            <w:tcBorders>
              <w:top w:val="single" w:color="auto" w:sz="4" w:space="0"/>
              <w:left w:val="single" w:color="auto" w:sz="4" w:space="0"/>
              <w:bottom w:val="single" w:color="auto" w:sz="4" w:space="0"/>
              <w:right w:val="single" w:color="auto" w:sz="4" w:space="0"/>
            </w:tcBorders>
            <w:noWrap w:val="0"/>
            <w:vAlign w:val="center"/>
          </w:tcPr>
          <w:p w14:paraId="1476B1F8">
            <w:pPr>
              <w:keepNext w:val="0"/>
              <w:keepLines w:val="0"/>
              <w:pageBreakBefore w:val="0"/>
              <w:widowControl w:val="0"/>
              <w:kinsoku/>
              <w:wordWrap/>
              <w:overflowPunct/>
              <w:topLinePunct w:val="0"/>
              <w:bidi w:val="0"/>
              <w:spacing w:line="46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货物名称</w:t>
            </w:r>
          </w:p>
        </w:tc>
        <w:tc>
          <w:tcPr>
            <w:tcW w:w="1755" w:type="dxa"/>
            <w:tcBorders>
              <w:top w:val="single" w:color="auto" w:sz="4" w:space="0"/>
              <w:left w:val="single" w:color="auto" w:sz="4" w:space="0"/>
              <w:bottom w:val="single" w:color="auto" w:sz="4" w:space="0"/>
              <w:right w:val="single" w:color="auto" w:sz="4" w:space="0"/>
            </w:tcBorders>
            <w:noWrap w:val="0"/>
            <w:vAlign w:val="center"/>
          </w:tcPr>
          <w:p w14:paraId="242B924D">
            <w:pPr>
              <w:keepNext w:val="0"/>
              <w:keepLines w:val="0"/>
              <w:pageBreakBefore w:val="0"/>
              <w:widowControl w:val="0"/>
              <w:kinsoku/>
              <w:wordWrap/>
              <w:overflowPunct/>
              <w:topLinePunct w:val="0"/>
              <w:bidi w:val="0"/>
              <w:spacing w:line="460" w:lineRule="exact"/>
              <w:jc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加工工艺</w:t>
            </w:r>
          </w:p>
        </w:tc>
        <w:tc>
          <w:tcPr>
            <w:tcW w:w="1768" w:type="dxa"/>
            <w:tcBorders>
              <w:top w:val="single" w:color="auto" w:sz="4" w:space="0"/>
              <w:left w:val="single" w:color="auto" w:sz="4" w:space="0"/>
              <w:bottom w:val="single" w:color="auto" w:sz="4" w:space="0"/>
              <w:right w:val="single" w:color="auto" w:sz="4" w:space="0"/>
            </w:tcBorders>
            <w:noWrap w:val="0"/>
            <w:vAlign w:val="center"/>
          </w:tcPr>
          <w:p w14:paraId="7F306FE0">
            <w:pPr>
              <w:keepNext w:val="0"/>
              <w:keepLines w:val="0"/>
              <w:pageBreakBefore w:val="0"/>
              <w:widowControl/>
              <w:kinsoku/>
              <w:wordWrap/>
              <w:overflowPunct/>
              <w:topLinePunct w:val="0"/>
              <w:bidi w:val="0"/>
              <w:snapToGrid w:val="0"/>
              <w:spacing w:line="46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kern w:val="0"/>
                <w:sz w:val="22"/>
                <w:szCs w:val="22"/>
                <w:highlight w:val="none"/>
              </w:rPr>
              <w:t>预算单价</w:t>
            </w:r>
          </w:p>
        </w:tc>
        <w:tc>
          <w:tcPr>
            <w:tcW w:w="1000" w:type="dxa"/>
            <w:tcBorders>
              <w:top w:val="single" w:color="auto" w:sz="4" w:space="0"/>
              <w:left w:val="single" w:color="auto" w:sz="4" w:space="0"/>
              <w:bottom w:val="single" w:color="auto" w:sz="4" w:space="0"/>
              <w:right w:val="single" w:color="auto" w:sz="4" w:space="0"/>
            </w:tcBorders>
            <w:noWrap w:val="0"/>
            <w:vAlign w:val="center"/>
          </w:tcPr>
          <w:p w14:paraId="30FBE4E5">
            <w:pPr>
              <w:keepNext w:val="0"/>
              <w:keepLines w:val="0"/>
              <w:pageBreakBefore w:val="0"/>
              <w:widowControl w:val="0"/>
              <w:kinsoku/>
              <w:wordWrap/>
              <w:overflowPunct/>
              <w:topLinePunct w:val="0"/>
              <w:bidi w:val="0"/>
              <w:spacing w:line="46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规格</w:t>
            </w:r>
          </w:p>
        </w:tc>
        <w:tc>
          <w:tcPr>
            <w:tcW w:w="1267" w:type="dxa"/>
            <w:tcBorders>
              <w:top w:val="single" w:color="auto" w:sz="4" w:space="0"/>
              <w:left w:val="single" w:color="auto" w:sz="4" w:space="0"/>
              <w:bottom w:val="single" w:color="auto" w:sz="4" w:space="0"/>
              <w:right w:val="single" w:color="auto" w:sz="4" w:space="0"/>
            </w:tcBorders>
            <w:noWrap w:val="0"/>
            <w:vAlign w:val="center"/>
          </w:tcPr>
          <w:p w14:paraId="55ADB333">
            <w:pPr>
              <w:keepNext w:val="0"/>
              <w:keepLines w:val="0"/>
              <w:pageBreakBefore w:val="0"/>
              <w:widowControl w:val="0"/>
              <w:kinsoku/>
              <w:wordWrap/>
              <w:overflowPunct/>
              <w:topLinePunct w:val="0"/>
              <w:bidi w:val="0"/>
              <w:spacing w:line="460" w:lineRule="exact"/>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sz w:val="22"/>
                <w:szCs w:val="22"/>
                <w:highlight w:val="none"/>
              </w:rPr>
              <w:t>交货期</w:t>
            </w:r>
          </w:p>
        </w:tc>
      </w:tr>
      <w:tr w14:paraId="7AE77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766" w:type="dxa"/>
            <w:tcBorders>
              <w:top w:val="single" w:color="auto" w:sz="4" w:space="0"/>
              <w:left w:val="single" w:color="auto" w:sz="4" w:space="0"/>
            </w:tcBorders>
            <w:noWrap w:val="0"/>
            <w:vAlign w:val="center"/>
          </w:tcPr>
          <w:p w14:paraId="2B58B229">
            <w:pPr>
              <w:keepNext w:val="0"/>
              <w:keepLines w:val="0"/>
              <w:pageBreakBefore w:val="0"/>
              <w:widowControl w:val="0"/>
              <w:kinsoku/>
              <w:wordWrap/>
              <w:overflowPunct/>
              <w:topLinePunct w:val="0"/>
              <w:bidi w:val="0"/>
              <w:spacing w:line="460" w:lineRule="exact"/>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w:t>
            </w:r>
          </w:p>
        </w:tc>
        <w:tc>
          <w:tcPr>
            <w:tcW w:w="3135" w:type="dxa"/>
            <w:tcBorders>
              <w:top w:val="single" w:color="auto" w:sz="4" w:space="0"/>
              <w:left w:val="single" w:color="auto" w:sz="4" w:space="0"/>
            </w:tcBorders>
            <w:noWrap w:val="0"/>
            <w:vAlign w:val="center"/>
          </w:tcPr>
          <w:p w14:paraId="44B5F43E">
            <w:pPr>
              <w:keepNext w:val="0"/>
              <w:keepLines w:val="0"/>
              <w:pageBreakBefore w:val="0"/>
              <w:widowControl w:val="0"/>
              <w:kinsoku/>
              <w:wordWrap/>
              <w:overflowPunct/>
              <w:topLinePunct w:val="0"/>
              <w:bidi w:val="0"/>
              <w:spacing w:line="460" w:lineRule="exact"/>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大豆油（非转基因）一级10L</w:t>
            </w:r>
          </w:p>
        </w:tc>
        <w:tc>
          <w:tcPr>
            <w:tcW w:w="1755" w:type="dxa"/>
            <w:tcBorders>
              <w:top w:val="single" w:color="auto" w:sz="4" w:space="0"/>
              <w:left w:val="single" w:color="auto" w:sz="4" w:space="0"/>
            </w:tcBorders>
            <w:noWrap w:val="0"/>
            <w:vAlign w:val="center"/>
          </w:tcPr>
          <w:p w14:paraId="5188140C">
            <w:pPr>
              <w:keepNext w:val="0"/>
              <w:keepLines w:val="0"/>
              <w:pageBreakBefore w:val="0"/>
              <w:widowControl w:val="0"/>
              <w:kinsoku/>
              <w:wordWrap/>
              <w:overflowPunct/>
              <w:topLinePunct w:val="0"/>
              <w:bidi w:val="0"/>
              <w:spacing w:line="460" w:lineRule="exact"/>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浸出或混合型</w:t>
            </w:r>
          </w:p>
        </w:tc>
        <w:tc>
          <w:tcPr>
            <w:tcW w:w="1768" w:type="dxa"/>
            <w:tcBorders>
              <w:top w:val="single" w:color="auto" w:sz="4" w:space="0"/>
              <w:left w:val="single" w:color="auto" w:sz="4" w:space="0"/>
            </w:tcBorders>
            <w:noWrap w:val="0"/>
            <w:vAlign w:val="center"/>
          </w:tcPr>
          <w:p w14:paraId="1C54C92B">
            <w:pPr>
              <w:pStyle w:val="294"/>
              <w:keepNext w:val="0"/>
              <w:keepLines w:val="0"/>
              <w:pageBreakBefore w:val="0"/>
              <w:kinsoku/>
              <w:wordWrap/>
              <w:overflowPunct/>
              <w:topLinePunct w:val="0"/>
              <w:bidi w:val="0"/>
              <w:snapToGrid w:val="0"/>
              <w:spacing w:before="0" w:line="460" w:lineRule="exact"/>
              <w:ind w:firstLine="0" w:firstLineChars="0"/>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135.00</w:t>
            </w:r>
            <w:r>
              <w:rPr>
                <w:rFonts w:hint="eastAsia" w:ascii="宋体" w:hAnsi="宋体" w:eastAsia="宋体" w:cs="宋体"/>
                <w:color w:val="auto"/>
                <w:sz w:val="22"/>
                <w:szCs w:val="22"/>
                <w:highlight w:val="none"/>
              </w:rPr>
              <w:t>元/</w:t>
            </w:r>
            <w:r>
              <w:rPr>
                <w:rFonts w:hint="eastAsia" w:ascii="宋体" w:hAnsi="宋体" w:eastAsia="宋体" w:cs="宋体"/>
                <w:color w:val="auto"/>
                <w:sz w:val="22"/>
                <w:szCs w:val="22"/>
                <w:highlight w:val="none"/>
                <w:lang w:val="en-US" w:eastAsia="zh-CN"/>
              </w:rPr>
              <w:t>瓶</w:t>
            </w:r>
          </w:p>
        </w:tc>
        <w:tc>
          <w:tcPr>
            <w:tcW w:w="1000" w:type="dxa"/>
            <w:vMerge w:val="restart"/>
            <w:tcBorders>
              <w:top w:val="single" w:color="auto" w:sz="4" w:space="0"/>
              <w:left w:val="single" w:color="auto" w:sz="4" w:space="0"/>
            </w:tcBorders>
            <w:noWrap w:val="0"/>
            <w:vAlign w:val="center"/>
          </w:tcPr>
          <w:p w14:paraId="5B8F2DE8">
            <w:pPr>
              <w:keepNext w:val="0"/>
              <w:keepLines w:val="0"/>
              <w:pageBreakBefore w:val="0"/>
              <w:widowControl w:val="0"/>
              <w:kinsoku/>
              <w:wordWrap/>
              <w:overflowPunct/>
              <w:topLinePunct w:val="0"/>
              <w:bidi w:val="0"/>
              <w:spacing w:line="4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10L</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瓶</w:t>
            </w:r>
          </w:p>
        </w:tc>
        <w:tc>
          <w:tcPr>
            <w:tcW w:w="1267" w:type="dxa"/>
            <w:vMerge w:val="restart"/>
            <w:tcBorders>
              <w:top w:val="single" w:color="auto" w:sz="4" w:space="0"/>
              <w:left w:val="single" w:color="auto" w:sz="4" w:space="0"/>
            </w:tcBorders>
            <w:noWrap w:val="0"/>
            <w:vAlign w:val="center"/>
          </w:tcPr>
          <w:p w14:paraId="5E79B931">
            <w:pPr>
              <w:keepNext w:val="0"/>
              <w:keepLines w:val="0"/>
              <w:pageBreakBefore w:val="0"/>
              <w:widowControl w:val="0"/>
              <w:kinsoku/>
              <w:wordWrap/>
              <w:overflowPunct/>
              <w:topLinePunct w:val="0"/>
              <w:bidi w:val="0"/>
              <w:spacing w:line="4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按要求分批交货</w:t>
            </w:r>
          </w:p>
        </w:tc>
      </w:tr>
      <w:tr w14:paraId="72439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66" w:type="dxa"/>
            <w:tcBorders>
              <w:left w:val="single" w:color="auto" w:sz="4" w:space="0"/>
            </w:tcBorders>
            <w:noWrap w:val="0"/>
            <w:vAlign w:val="center"/>
          </w:tcPr>
          <w:p w14:paraId="1838DED4">
            <w:pPr>
              <w:pStyle w:val="294"/>
              <w:keepNext w:val="0"/>
              <w:keepLines w:val="0"/>
              <w:pageBreakBefore w:val="0"/>
              <w:kinsoku/>
              <w:wordWrap/>
              <w:overflowPunct/>
              <w:topLinePunct w:val="0"/>
              <w:bidi w:val="0"/>
              <w:snapToGrid w:val="0"/>
              <w:spacing w:before="0" w:line="460" w:lineRule="exact"/>
              <w:ind w:firstLine="0" w:firstLineChars="0"/>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w:t>
            </w:r>
          </w:p>
        </w:tc>
        <w:tc>
          <w:tcPr>
            <w:tcW w:w="3135" w:type="dxa"/>
            <w:tcBorders>
              <w:left w:val="single" w:color="auto" w:sz="4" w:space="0"/>
            </w:tcBorders>
            <w:noWrap w:val="0"/>
            <w:vAlign w:val="center"/>
          </w:tcPr>
          <w:p w14:paraId="6C7D508F">
            <w:pPr>
              <w:pStyle w:val="294"/>
              <w:keepNext w:val="0"/>
              <w:keepLines w:val="0"/>
              <w:pageBreakBefore w:val="0"/>
              <w:kinsoku/>
              <w:wordWrap/>
              <w:overflowPunct/>
              <w:topLinePunct w:val="0"/>
              <w:bidi w:val="0"/>
              <w:snapToGrid w:val="0"/>
              <w:spacing w:before="0" w:line="460" w:lineRule="exact"/>
              <w:ind w:firstLine="0" w:firstLineChars="0"/>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菜籽油（非转基因）一级10L</w:t>
            </w:r>
          </w:p>
        </w:tc>
        <w:tc>
          <w:tcPr>
            <w:tcW w:w="1755" w:type="dxa"/>
            <w:tcBorders>
              <w:left w:val="single" w:color="auto" w:sz="4" w:space="0"/>
            </w:tcBorders>
            <w:noWrap w:val="0"/>
            <w:vAlign w:val="center"/>
          </w:tcPr>
          <w:p w14:paraId="56792C52">
            <w:pPr>
              <w:pStyle w:val="294"/>
              <w:keepNext w:val="0"/>
              <w:keepLines w:val="0"/>
              <w:pageBreakBefore w:val="0"/>
              <w:kinsoku/>
              <w:wordWrap/>
              <w:overflowPunct/>
              <w:topLinePunct w:val="0"/>
              <w:bidi w:val="0"/>
              <w:snapToGrid w:val="0"/>
              <w:spacing w:before="0" w:line="460" w:lineRule="exact"/>
              <w:ind w:firstLine="0" w:firstLineChars="0"/>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压榨型</w:t>
            </w:r>
          </w:p>
        </w:tc>
        <w:tc>
          <w:tcPr>
            <w:tcW w:w="1768" w:type="dxa"/>
            <w:tcBorders>
              <w:left w:val="single" w:color="auto" w:sz="4" w:space="0"/>
            </w:tcBorders>
            <w:noWrap w:val="0"/>
            <w:vAlign w:val="center"/>
          </w:tcPr>
          <w:p w14:paraId="30370156">
            <w:pPr>
              <w:pStyle w:val="294"/>
              <w:keepNext w:val="0"/>
              <w:keepLines w:val="0"/>
              <w:pageBreakBefore w:val="0"/>
              <w:kinsoku/>
              <w:wordWrap/>
              <w:overflowPunct/>
              <w:topLinePunct w:val="0"/>
              <w:bidi w:val="0"/>
              <w:snapToGrid w:val="0"/>
              <w:spacing w:before="0" w:line="460" w:lineRule="exact"/>
              <w:ind w:firstLine="0" w:firstLineChars="0"/>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150.00元/瓶</w:t>
            </w:r>
          </w:p>
        </w:tc>
        <w:tc>
          <w:tcPr>
            <w:tcW w:w="1000" w:type="dxa"/>
            <w:vMerge w:val="continue"/>
            <w:tcBorders>
              <w:left w:val="single" w:color="auto" w:sz="4" w:space="0"/>
            </w:tcBorders>
            <w:noWrap w:val="0"/>
            <w:vAlign w:val="center"/>
          </w:tcPr>
          <w:p w14:paraId="5BC4302F">
            <w:pPr>
              <w:pStyle w:val="294"/>
              <w:keepNext w:val="0"/>
              <w:keepLines w:val="0"/>
              <w:pageBreakBefore w:val="0"/>
              <w:kinsoku/>
              <w:wordWrap/>
              <w:overflowPunct/>
              <w:topLinePunct w:val="0"/>
              <w:bidi w:val="0"/>
              <w:snapToGrid w:val="0"/>
              <w:spacing w:before="0" w:line="460" w:lineRule="exact"/>
              <w:ind w:firstLine="0" w:firstLineChars="0"/>
              <w:jc w:val="center"/>
              <w:rPr>
                <w:rFonts w:hint="eastAsia" w:ascii="宋体" w:hAnsi="宋体" w:eastAsia="宋体" w:cs="宋体"/>
                <w:color w:val="auto"/>
                <w:sz w:val="22"/>
                <w:szCs w:val="22"/>
                <w:highlight w:val="none"/>
                <w:lang w:val="en-US" w:eastAsia="zh-CN"/>
              </w:rPr>
            </w:pPr>
          </w:p>
        </w:tc>
        <w:tc>
          <w:tcPr>
            <w:tcW w:w="1267" w:type="dxa"/>
            <w:vMerge w:val="continue"/>
            <w:tcBorders>
              <w:left w:val="single" w:color="auto" w:sz="4" w:space="0"/>
            </w:tcBorders>
            <w:noWrap w:val="0"/>
            <w:vAlign w:val="center"/>
          </w:tcPr>
          <w:p w14:paraId="4064549A">
            <w:pPr>
              <w:pStyle w:val="294"/>
              <w:keepNext w:val="0"/>
              <w:keepLines w:val="0"/>
              <w:pageBreakBefore w:val="0"/>
              <w:kinsoku/>
              <w:wordWrap/>
              <w:overflowPunct/>
              <w:topLinePunct w:val="0"/>
              <w:bidi w:val="0"/>
              <w:snapToGrid w:val="0"/>
              <w:spacing w:before="0" w:line="460" w:lineRule="exact"/>
              <w:ind w:firstLine="0" w:firstLineChars="0"/>
              <w:jc w:val="center"/>
              <w:rPr>
                <w:rFonts w:hint="eastAsia" w:ascii="宋体" w:hAnsi="宋体" w:eastAsia="宋体" w:cs="宋体"/>
                <w:color w:val="auto"/>
                <w:sz w:val="22"/>
                <w:szCs w:val="22"/>
                <w:highlight w:val="none"/>
                <w:lang w:val="en-US" w:eastAsia="zh-CN"/>
              </w:rPr>
            </w:pPr>
          </w:p>
        </w:tc>
      </w:tr>
      <w:tr w14:paraId="7C29F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9691" w:type="dxa"/>
            <w:gridSpan w:val="6"/>
            <w:tcBorders>
              <w:left w:val="single" w:color="auto" w:sz="4" w:space="0"/>
            </w:tcBorders>
            <w:noWrap w:val="0"/>
            <w:vAlign w:val="center"/>
          </w:tcPr>
          <w:p w14:paraId="761098CC">
            <w:pPr>
              <w:pStyle w:val="294"/>
              <w:keepNext w:val="0"/>
              <w:keepLines w:val="0"/>
              <w:pageBreakBefore w:val="0"/>
              <w:kinsoku/>
              <w:wordWrap/>
              <w:overflowPunct/>
              <w:topLinePunct w:val="0"/>
              <w:bidi w:val="0"/>
              <w:snapToGrid w:val="0"/>
              <w:spacing w:before="0" w:line="460" w:lineRule="exact"/>
              <w:ind w:firstLine="0" w:firstLineChars="0"/>
              <w:jc w:val="both"/>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lang w:val="en-US" w:eastAsia="zh-CN"/>
              </w:rPr>
              <w:t>项目总预算金额：930000</w:t>
            </w:r>
            <w:r>
              <w:rPr>
                <w:rFonts w:hint="eastAsia" w:ascii="宋体" w:hAnsi="宋体" w:eastAsia="宋体" w:cs="宋体"/>
                <w:color w:val="auto"/>
                <w:sz w:val="22"/>
                <w:szCs w:val="22"/>
                <w:highlight w:val="none"/>
                <w:u w:val="none"/>
                <w:lang w:val="en-US" w:eastAsia="zh-CN"/>
              </w:rPr>
              <w:t>元；</w:t>
            </w:r>
          </w:p>
          <w:p w14:paraId="20950B60">
            <w:pPr>
              <w:pStyle w:val="294"/>
              <w:keepNext w:val="0"/>
              <w:keepLines w:val="0"/>
              <w:pageBreakBefore w:val="0"/>
              <w:kinsoku/>
              <w:wordWrap/>
              <w:overflowPunct/>
              <w:topLinePunct w:val="0"/>
              <w:bidi w:val="0"/>
              <w:snapToGrid w:val="0"/>
              <w:spacing w:before="0" w:line="460" w:lineRule="exact"/>
              <w:ind w:firstLine="0" w:firstLineChars="0"/>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eastAsia="zh-CN"/>
              </w:rPr>
              <w:t>温州市中心医院（百里坊院区）</w:t>
            </w:r>
            <w:r>
              <w:rPr>
                <w:rFonts w:hint="eastAsia" w:ascii="宋体" w:hAnsi="宋体" w:eastAsia="宋体" w:cs="宋体"/>
                <w:color w:val="auto"/>
                <w:sz w:val="22"/>
                <w:szCs w:val="22"/>
                <w:highlight w:val="none"/>
                <w:lang w:val="en-US" w:eastAsia="zh-CN"/>
              </w:rPr>
              <w:t>预算金额</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600000元；</w:t>
            </w:r>
          </w:p>
          <w:p w14:paraId="10D2C2A0">
            <w:pPr>
              <w:pStyle w:val="294"/>
              <w:keepNext w:val="0"/>
              <w:keepLines w:val="0"/>
              <w:pageBreakBefore w:val="0"/>
              <w:kinsoku/>
              <w:wordWrap/>
              <w:overflowPunct/>
              <w:topLinePunct w:val="0"/>
              <w:bidi w:val="0"/>
              <w:snapToGrid w:val="0"/>
              <w:spacing w:before="0" w:line="460" w:lineRule="exact"/>
              <w:ind w:firstLine="0" w:firstLineChars="0"/>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eastAsia="zh-CN"/>
              </w:rPr>
              <w:t>温州市中心医院（双屿院区）</w:t>
            </w:r>
            <w:r>
              <w:rPr>
                <w:rFonts w:hint="eastAsia" w:ascii="宋体" w:hAnsi="宋体" w:eastAsia="宋体" w:cs="宋体"/>
                <w:color w:val="auto"/>
                <w:sz w:val="22"/>
                <w:szCs w:val="22"/>
                <w:highlight w:val="none"/>
                <w:lang w:val="en-US" w:eastAsia="zh-CN"/>
              </w:rPr>
              <w:t>预算金额</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210000元；</w:t>
            </w:r>
          </w:p>
          <w:p w14:paraId="37F6ED2B">
            <w:pPr>
              <w:pStyle w:val="294"/>
              <w:keepNext w:val="0"/>
              <w:keepLines w:val="0"/>
              <w:pageBreakBefore w:val="0"/>
              <w:kinsoku/>
              <w:wordWrap/>
              <w:overflowPunct/>
              <w:topLinePunct w:val="0"/>
              <w:bidi w:val="0"/>
              <w:snapToGrid w:val="0"/>
              <w:spacing w:before="0" w:line="460" w:lineRule="exact"/>
              <w:ind w:firstLine="0" w:firstLineChars="0"/>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温州市第六人民医院预算金额</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120000元。</w:t>
            </w:r>
          </w:p>
        </w:tc>
      </w:tr>
    </w:tbl>
    <w:p w14:paraId="398A2F9D">
      <w:pPr>
        <w:keepNext/>
        <w:keepLines w:val="0"/>
        <w:pageBreakBefore w:val="0"/>
        <w:widowControl w:val="0"/>
        <w:kinsoku/>
        <w:wordWrap/>
        <w:overflowPunct/>
        <w:topLinePunct w:val="0"/>
        <w:autoSpaceDE/>
        <w:autoSpaceDN/>
        <w:bidi w:val="0"/>
        <w:adjustRightInd/>
        <w:snapToGrid/>
        <w:spacing w:line="460" w:lineRule="exact"/>
        <w:ind w:firstLine="442" w:firstLineChars="200"/>
        <w:jc w:val="both"/>
        <w:textAlignment w:val="auto"/>
        <w:outlineLvl w:val="9"/>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2、本次招标确定</w:t>
      </w:r>
      <w:r>
        <w:rPr>
          <w:rFonts w:hint="eastAsia" w:ascii="宋体" w:hAnsi="宋体" w:eastAsia="宋体" w:cs="宋体"/>
          <w:b/>
          <w:bCs/>
          <w:color w:val="auto"/>
          <w:sz w:val="22"/>
          <w:szCs w:val="22"/>
          <w:highlight w:val="none"/>
          <w:u w:val="single"/>
          <w:lang w:val="en-US" w:eastAsia="zh-CN"/>
        </w:rPr>
        <w:t xml:space="preserve"> 3家 </w:t>
      </w:r>
      <w:r>
        <w:rPr>
          <w:rFonts w:hint="eastAsia" w:ascii="宋体" w:hAnsi="宋体" w:cs="宋体"/>
          <w:b/>
          <w:bCs/>
          <w:color w:val="auto"/>
          <w:sz w:val="22"/>
          <w:szCs w:val="22"/>
          <w:highlight w:val="none"/>
          <w:u w:val="none"/>
          <w:lang w:val="en-US" w:eastAsia="zh-CN"/>
        </w:rPr>
        <w:t>入围</w:t>
      </w:r>
      <w:r>
        <w:rPr>
          <w:rFonts w:hint="eastAsia" w:ascii="宋体" w:hAnsi="宋体" w:eastAsia="宋体" w:cs="宋体"/>
          <w:b/>
          <w:bCs/>
          <w:color w:val="auto"/>
          <w:sz w:val="22"/>
          <w:szCs w:val="22"/>
          <w:highlight w:val="none"/>
          <w:u w:val="none"/>
          <w:lang w:val="en-US" w:eastAsia="zh-CN"/>
        </w:rPr>
        <w:t>供</w:t>
      </w:r>
      <w:r>
        <w:rPr>
          <w:rFonts w:hint="eastAsia" w:ascii="宋体" w:hAnsi="宋体" w:eastAsia="宋体" w:cs="宋体"/>
          <w:b/>
          <w:bCs/>
          <w:color w:val="auto"/>
          <w:sz w:val="22"/>
          <w:szCs w:val="22"/>
          <w:highlight w:val="none"/>
          <w:lang w:val="en-US" w:eastAsia="zh-CN"/>
        </w:rPr>
        <w:t>应商，</w:t>
      </w:r>
      <w:r>
        <w:rPr>
          <w:rFonts w:hint="eastAsia" w:ascii="宋体" w:hAnsi="宋体" w:cs="宋体"/>
          <w:b/>
          <w:bCs/>
          <w:color w:val="auto"/>
          <w:sz w:val="22"/>
          <w:szCs w:val="22"/>
          <w:highlight w:val="none"/>
          <w:lang w:val="en-US" w:eastAsia="zh-CN"/>
        </w:rPr>
        <w:t>供应商</w:t>
      </w:r>
      <w:r>
        <w:rPr>
          <w:rFonts w:hint="eastAsia" w:ascii="宋体" w:hAnsi="宋体" w:eastAsia="宋体" w:cs="宋体"/>
          <w:b/>
          <w:bCs/>
          <w:color w:val="auto"/>
          <w:sz w:val="22"/>
          <w:szCs w:val="22"/>
          <w:highlight w:val="none"/>
          <w:lang w:val="en-US" w:eastAsia="zh-CN"/>
        </w:rPr>
        <w:t>根据采购人的实际需求清单进行配送。</w:t>
      </w:r>
    </w:p>
    <w:p w14:paraId="669EAAAC">
      <w:pPr>
        <w:keepNext/>
        <w:keepLines w:val="0"/>
        <w:pageBreakBefore w:val="0"/>
        <w:widowControl w:val="0"/>
        <w:kinsoku/>
        <w:wordWrap/>
        <w:overflowPunct/>
        <w:topLinePunct w:val="0"/>
        <w:autoSpaceDE/>
        <w:autoSpaceDN/>
        <w:bidi w:val="0"/>
        <w:adjustRightInd/>
        <w:snapToGrid/>
        <w:spacing w:line="460" w:lineRule="exact"/>
        <w:ind w:firstLine="442" w:firstLineChars="200"/>
        <w:jc w:val="both"/>
        <w:textAlignment w:val="auto"/>
        <w:outlineLvl w:val="9"/>
        <w:rPr>
          <w:rFonts w:hint="eastAsia" w:ascii="宋体" w:hAnsi="宋体" w:cs="宋体"/>
          <w:b/>
          <w:bCs/>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3、</w:t>
      </w:r>
      <w:r>
        <w:rPr>
          <w:rFonts w:hint="eastAsia" w:ascii="宋体" w:hAnsi="宋体" w:cs="宋体"/>
          <w:b/>
          <w:bCs/>
          <w:color w:val="auto"/>
          <w:sz w:val="22"/>
          <w:szCs w:val="22"/>
          <w:highlight w:val="none"/>
          <w:lang w:val="en-US" w:eastAsia="zh-CN"/>
        </w:rPr>
        <w:t>入围供应商进行轮流配送，具体供货周期由采购人根据配送质量、服务情况评估决定。</w:t>
      </w:r>
    </w:p>
    <w:p w14:paraId="59017302">
      <w:pPr>
        <w:keepNext/>
        <w:keepLines w:val="0"/>
        <w:pageBreakBefore w:val="0"/>
        <w:widowControl w:val="0"/>
        <w:kinsoku/>
        <w:wordWrap/>
        <w:overflowPunct/>
        <w:topLinePunct w:val="0"/>
        <w:autoSpaceDE/>
        <w:autoSpaceDN/>
        <w:bidi w:val="0"/>
        <w:adjustRightInd/>
        <w:snapToGrid/>
        <w:spacing w:line="460" w:lineRule="exact"/>
        <w:ind w:firstLine="442" w:firstLineChars="200"/>
        <w:jc w:val="both"/>
        <w:textAlignment w:val="auto"/>
        <w:outlineLvl w:val="9"/>
        <w:rPr>
          <w:rFonts w:hint="default" w:ascii="宋体" w:hAnsi="宋体" w:eastAsia="宋体" w:cs="宋体"/>
          <w:b/>
          <w:bCs/>
          <w:color w:val="auto"/>
          <w:sz w:val="22"/>
          <w:szCs w:val="22"/>
          <w:highlight w:val="none"/>
          <w:u w:val="single"/>
          <w:lang w:val="en-US" w:eastAsia="zh-CN"/>
        </w:rPr>
      </w:pPr>
      <w:r>
        <w:rPr>
          <w:rFonts w:hint="eastAsia" w:ascii="宋体" w:hAnsi="宋体" w:eastAsia="宋体" w:cs="宋体"/>
          <w:b/>
          <w:bCs/>
          <w:color w:val="auto"/>
          <w:sz w:val="22"/>
          <w:szCs w:val="22"/>
          <w:highlight w:val="none"/>
          <w:u w:val="single"/>
          <w:lang w:val="en-US" w:eastAsia="zh-CN"/>
        </w:rPr>
        <w:t>4、▲</w:t>
      </w:r>
      <w:r>
        <w:rPr>
          <w:rFonts w:hint="eastAsia" w:ascii="宋体" w:hAnsi="宋体" w:cs="宋体"/>
          <w:b/>
          <w:bCs/>
          <w:color w:val="auto"/>
          <w:sz w:val="22"/>
          <w:szCs w:val="22"/>
          <w:highlight w:val="none"/>
          <w:u w:val="single"/>
          <w:lang w:val="en-US" w:eastAsia="zh-CN"/>
        </w:rPr>
        <w:t>结算方式：以本次</w:t>
      </w:r>
      <w:r>
        <w:rPr>
          <w:rFonts w:hint="eastAsia" w:ascii="宋体" w:hAnsi="宋体" w:eastAsia="宋体" w:cs="宋体"/>
          <w:b/>
          <w:bCs/>
          <w:color w:val="auto"/>
          <w:sz w:val="22"/>
          <w:szCs w:val="22"/>
          <w:highlight w:val="none"/>
          <w:u w:val="single"/>
          <w:lang w:val="en-US" w:eastAsia="zh-CN"/>
        </w:rPr>
        <w:t>入围供应商中最低</w:t>
      </w:r>
      <w:r>
        <w:rPr>
          <w:rFonts w:hint="eastAsia" w:ascii="宋体" w:hAnsi="宋体" w:cs="宋体"/>
          <w:b/>
          <w:bCs/>
          <w:color w:val="auto"/>
          <w:sz w:val="22"/>
          <w:szCs w:val="22"/>
          <w:highlight w:val="none"/>
          <w:u w:val="single"/>
          <w:lang w:val="en-US" w:eastAsia="zh-CN"/>
        </w:rPr>
        <w:t>中标价格</w:t>
      </w:r>
      <w:r>
        <w:rPr>
          <w:rFonts w:hint="eastAsia" w:ascii="宋体" w:hAnsi="宋体" w:eastAsia="宋体" w:cs="宋体"/>
          <w:b/>
          <w:bCs/>
          <w:color w:val="auto"/>
          <w:sz w:val="22"/>
          <w:szCs w:val="22"/>
          <w:highlight w:val="none"/>
          <w:u w:val="single"/>
          <w:lang w:val="en-US" w:eastAsia="zh-CN"/>
        </w:rPr>
        <w:t>进行</w:t>
      </w:r>
      <w:r>
        <w:rPr>
          <w:rFonts w:hint="eastAsia" w:ascii="宋体" w:hAnsi="宋体" w:cs="宋体"/>
          <w:b/>
          <w:bCs/>
          <w:color w:val="auto"/>
          <w:sz w:val="22"/>
          <w:szCs w:val="22"/>
          <w:highlight w:val="none"/>
          <w:u w:val="single"/>
          <w:lang w:val="en-US" w:eastAsia="zh-CN"/>
        </w:rPr>
        <w:t>结算</w:t>
      </w:r>
      <w:r>
        <w:rPr>
          <w:rFonts w:hint="eastAsia" w:ascii="宋体" w:hAnsi="宋体" w:eastAsia="宋体" w:cs="宋体"/>
          <w:b/>
          <w:bCs/>
          <w:color w:val="auto"/>
          <w:sz w:val="22"/>
          <w:szCs w:val="22"/>
          <w:highlight w:val="none"/>
          <w:u w:val="single"/>
          <w:lang w:val="en-US" w:eastAsia="zh-CN"/>
        </w:rPr>
        <w:t>，提供承诺函（详见附件承诺函），如未提供视为无效响应。</w:t>
      </w:r>
    </w:p>
    <w:p w14:paraId="3961ED07">
      <w:pPr>
        <w:keepLines w:val="0"/>
        <w:pageBreakBefore w:val="0"/>
        <w:numPr>
          <w:ilvl w:val="0"/>
          <w:numId w:val="0"/>
        </w:numPr>
        <w:kinsoku/>
        <w:wordWrap/>
        <w:overflowPunct/>
        <w:topLinePunct w:val="0"/>
        <w:bidi w:val="0"/>
        <w:spacing w:line="460" w:lineRule="exact"/>
        <w:ind w:leftChars="0"/>
        <w:jc w:val="both"/>
        <w:outlineLvl w:val="1"/>
        <w:rPr>
          <w:rFonts w:hint="eastAsia" w:ascii="宋体" w:hAnsi="宋体" w:eastAsia="宋体" w:cs="宋体"/>
          <w:b/>
          <w:bCs/>
          <w:color w:val="auto"/>
          <w:kern w:val="2"/>
          <w:sz w:val="22"/>
          <w:szCs w:val="22"/>
          <w:highlight w:val="none"/>
          <w:lang w:val="en-US" w:eastAsia="zh-CN" w:bidi="ar-SA"/>
        </w:rPr>
      </w:pPr>
      <w:r>
        <w:rPr>
          <w:rFonts w:hint="eastAsia" w:ascii="宋体" w:hAnsi="宋体" w:eastAsia="宋体" w:cs="宋体"/>
          <w:b/>
          <w:bCs/>
          <w:color w:val="auto"/>
          <w:sz w:val="22"/>
          <w:szCs w:val="22"/>
          <w:highlight w:val="none"/>
          <w:lang w:val="en-US" w:eastAsia="zh-CN"/>
        </w:rPr>
        <w:t>二、</w:t>
      </w:r>
      <w:r>
        <w:rPr>
          <w:rFonts w:hint="eastAsia" w:ascii="宋体" w:hAnsi="宋体" w:eastAsia="宋体" w:cs="宋体"/>
          <w:b/>
          <w:bCs/>
          <w:color w:val="auto"/>
          <w:kern w:val="2"/>
          <w:sz w:val="22"/>
          <w:szCs w:val="22"/>
          <w:highlight w:val="none"/>
          <w:lang w:val="en-US" w:eastAsia="zh-CN" w:bidi="ar-SA"/>
        </w:rPr>
        <w:t>技术要求</w:t>
      </w:r>
    </w:p>
    <w:tbl>
      <w:tblPr>
        <w:tblStyle w:val="53"/>
        <w:tblW w:w="0" w:type="auto"/>
        <w:tblInd w:w="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8919"/>
      </w:tblGrid>
      <w:tr w14:paraId="2D909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5" w:type="dxa"/>
            <w:vAlign w:val="center"/>
          </w:tcPr>
          <w:p w14:paraId="43A1752A">
            <w:pPr>
              <w:keepLines w:val="0"/>
              <w:pageBreakBefore w:val="0"/>
              <w:kinsoku/>
              <w:wordWrap/>
              <w:overflowPunct/>
              <w:topLinePunct w:val="0"/>
              <w:bidi w:val="0"/>
              <w:spacing w:line="460" w:lineRule="exact"/>
              <w:jc w:val="center"/>
              <w:rPr>
                <w:rFonts w:hint="eastAsia" w:ascii="宋体" w:hAnsi="宋体" w:eastAsia="宋体" w:cs="宋体"/>
                <w:b/>
                <w:bCs/>
                <w:color w:val="auto"/>
                <w:sz w:val="22"/>
                <w:szCs w:val="22"/>
                <w:highlight w:val="none"/>
                <w:vertAlign w:val="baseline"/>
                <w:lang w:val="en-US" w:eastAsia="zh-CN"/>
              </w:rPr>
            </w:pPr>
            <w:r>
              <w:rPr>
                <w:rFonts w:hint="eastAsia" w:ascii="宋体" w:hAnsi="宋体" w:eastAsia="宋体" w:cs="宋体"/>
                <w:b/>
                <w:bCs/>
                <w:color w:val="auto"/>
                <w:sz w:val="22"/>
                <w:szCs w:val="22"/>
                <w:highlight w:val="none"/>
                <w:vertAlign w:val="baseline"/>
                <w:lang w:val="en-US" w:eastAsia="zh-CN"/>
              </w:rPr>
              <w:t>序号</w:t>
            </w:r>
          </w:p>
        </w:tc>
        <w:tc>
          <w:tcPr>
            <w:tcW w:w="8919" w:type="dxa"/>
            <w:vAlign w:val="center"/>
          </w:tcPr>
          <w:p w14:paraId="67BDFDC0">
            <w:pPr>
              <w:keepLines w:val="0"/>
              <w:pageBreakBefore w:val="0"/>
              <w:kinsoku/>
              <w:wordWrap/>
              <w:overflowPunct/>
              <w:topLinePunct w:val="0"/>
              <w:bidi w:val="0"/>
              <w:spacing w:line="460" w:lineRule="exact"/>
              <w:jc w:val="center"/>
              <w:rPr>
                <w:rFonts w:hint="eastAsia" w:ascii="宋体" w:hAnsi="宋体" w:eastAsia="宋体" w:cs="宋体"/>
                <w:b/>
                <w:bCs/>
                <w:color w:val="auto"/>
                <w:sz w:val="22"/>
                <w:szCs w:val="22"/>
                <w:highlight w:val="none"/>
                <w:vertAlign w:val="baseline"/>
                <w:lang w:val="en-US" w:eastAsia="zh-CN"/>
              </w:rPr>
            </w:pPr>
            <w:r>
              <w:rPr>
                <w:rFonts w:hint="eastAsia" w:ascii="宋体" w:hAnsi="宋体" w:eastAsia="宋体" w:cs="宋体"/>
                <w:b/>
                <w:bCs/>
                <w:color w:val="auto"/>
                <w:sz w:val="22"/>
                <w:szCs w:val="22"/>
                <w:highlight w:val="none"/>
                <w:vertAlign w:val="baseline"/>
                <w:lang w:val="en-US" w:eastAsia="zh-CN"/>
              </w:rPr>
              <w:t>要求</w:t>
            </w:r>
          </w:p>
        </w:tc>
      </w:tr>
      <w:tr w14:paraId="35D52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5" w:type="dxa"/>
            <w:vAlign w:val="center"/>
          </w:tcPr>
          <w:p w14:paraId="42F7B799">
            <w:pPr>
              <w:keepLines w:val="0"/>
              <w:pageBreakBefore w:val="0"/>
              <w:kinsoku/>
              <w:wordWrap/>
              <w:overflowPunct/>
              <w:topLinePunct w:val="0"/>
              <w:bidi w:val="0"/>
              <w:spacing w:line="460" w:lineRule="exact"/>
              <w:jc w:val="center"/>
              <w:rPr>
                <w:rFonts w:hint="eastAsia" w:ascii="宋体" w:hAnsi="宋体" w:eastAsia="宋体" w:cs="宋体"/>
                <w:color w:val="auto"/>
                <w:sz w:val="22"/>
                <w:szCs w:val="22"/>
                <w:highlight w:val="none"/>
                <w:vertAlign w:val="baseline"/>
                <w:lang w:val="en-US" w:eastAsia="zh-CN"/>
              </w:rPr>
            </w:pPr>
            <w:r>
              <w:rPr>
                <w:rFonts w:hint="eastAsia" w:ascii="宋体" w:hAnsi="宋体" w:eastAsia="宋体" w:cs="宋体"/>
                <w:color w:val="auto"/>
                <w:sz w:val="22"/>
                <w:szCs w:val="22"/>
                <w:highlight w:val="none"/>
                <w:vertAlign w:val="baseline"/>
                <w:lang w:val="en-US" w:eastAsia="zh-CN"/>
              </w:rPr>
              <w:t>1</w:t>
            </w:r>
          </w:p>
        </w:tc>
        <w:tc>
          <w:tcPr>
            <w:tcW w:w="8919" w:type="dxa"/>
            <w:vAlign w:val="center"/>
          </w:tcPr>
          <w:p w14:paraId="526AD9B7">
            <w:pPr>
              <w:keepLines w:val="0"/>
              <w:pageBreakBefore w:val="0"/>
              <w:kinsoku/>
              <w:wordWrap/>
              <w:overflowPunct/>
              <w:topLinePunct w:val="0"/>
              <w:bidi w:val="0"/>
              <w:spacing w:line="460" w:lineRule="exact"/>
              <w:jc w:val="both"/>
              <w:rPr>
                <w:rFonts w:hint="eastAsia" w:ascii="宋体" w:hAnsi="宋体" w:eastAsia="宋体" w:cs="宋体"/>
                <w:color w:val="auto"/>
                <w:sz w:val="22"/>
                <w:szCs w:val="22"/>
                <w:highlight w:val="none"/>
                <w:vertAlign w:val="baseline"/>
              </w:rPr>
            </w:pPr>
            <w:r>
              <w:rPr>
                <w:rFonts w:hint="eastAsia" w:ascii="宋体" w:hAnsi="宋体" w:eastAsia="宋体" w:cs="宋体"/>
                <w:color w:val="auto"/>
                <w:sz w:val="22"/>
                <w:szCs w:val="22"/>
                <w:highlight w:val="none"/>
              </w:rPr>
              <w:t>食用油必须符合国家相关标准，并拥有“QS”食品质量安全认证。</w:t>
            </w:r>
          </w:p>
        </w:tc>
      </w:tr>
      <w:tr w14:paraId="21F01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5" w:type="dxa"/>
            <w:vAlign w:val="center"/>
          </w:tcPr>
          <w:p w14:paraId="17213F85">
            <w:pPr>
              <w:keepLines w:val="0"/>
              <w:pageBreakBefore w:val="0"/>
              <w:kinsoku/>
              <w:wordWrap/>
              <w:overflowPunct/>
              <w:topLinePunct w:val="0"/>
              <w:bidi w:val="0"/>
              <w:spacing w:line="460" w:lineRule="exact"/>
              <w:jc w:val="center"/>
              <w:rPr>
                <w:rFonts w:hint="eastAsia" w:ascii="宋体" w:hAnsi="宋体" w:eastAsia="宋体" w:cs="宋体"/>
                <w:color w:val="auto"/>
                <w:sz w:val="22"/>
                <w:szCs w:val="22"/>
                <w:highlight w:val="none"/>
                <w:vertAlign w:val="baseline"/>
                <w:lang w:val="en-US" w:eastAsia="zh-CN"/>
              </w:rPr>
            </w:pPr>
            <w:r>
              <w:rPr>
                <w:rFonts w:hint="eastAsia" w:ascii="宋体" w:hAnsi="宋体" w:eastAsia="宋体" w:cs="宋体"/>
                <w:color w:val="auto"/>
                <w:sz w:val="22"/>
                <w:szCs w:val="22"/>
                <w:highlight w:val="none"/>
                <w:vertAlign w:val="baseline"/>
                <w:lang w:val="en-US" w:eastAsia="zh-CN"/>
              </w:rPr>
              <w:t>2</w:t>
            </w:r>
          </w:p>
        </w:tc>
        <w:tc>
          <w:tcPr>
            <w:tcW w:w="8919" w:type="dxa"/>
            <w:vAlign w:val="center"/>
          </w:tcPr>
          <w:p w14:paraId="5E909F19">
            <w:pPr>
              <w:keepLines w:val="0"/>
              <w:pageBreakBefore w:val="0"/>
              <w:kinsoku/>
              <w:wordWrap/>
              <w:overflowPunct/>
              <w:topLinePunct w:val="0"/>
              <w:bidi w:val="0"/>
              <w:spacing w:line="460" w:lineRule="exact"/>
              <w:jc w:val="both"/>
              <w:rPr>
                <w:rFonts w:hint="eastAsia" w:ascii="宋体" w:hAnsi="宋体" w:eastAsia="宋体" w:cs="宋体"/>
                <w:color w:val="auto"/>
                <w:sz w:val="22"/>
                <w:szCs w:val="22"/>
                <w:highlight w:val="none"/>
                <w:vertAlign w:val="baseline"/>
              </w:rPr>
            </w:pPr>
            <w:r>
              <w:rPr>
                <w:rFonts w:hint="eastAsia" w:ascii="宋体" w:hAnsi="宋体" w:eastAsia="宋体" w:cs="宋体"/>
                <w:color w:val="auto"/>
                <w:sz w:val="22"/>
                <w:szCs w:val="22"/>
                <w:highlight w:val="none"/>
              </w:rPr>
              <w:t>质量等级：国家标准一级。</w:t>
            </w:r>
          </w:p>
        </w:tc>
      </w:tr>
      <w:tr w14:paraId="6E96F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5" w:type="dxa"/>
            <w:vAlign w:val="center"/>
          </w:tcPr>
          <w:p w14:paraId="16DF0A9F">
            <w:pPr>
              <w:keepLines w:val="0"/>
              <w:pageBreakBefore w:val="0"/>
              <w:kinsoku/>
              <w:wordWrap/>
              <w:overflowPunct/>
              <w:topLinePunct w:val="0"/>
              <w:bidi w:val="0"/>
              <w:spacing w:line="460" w:lineRule="exact"/>
              <w:jc w:val="center"/>
              <w:rPr>
                <w:rFonts w:hint="eastAsia" w:ascii="宋体" w:hAnsi="宋体" w:eastAsia="宋体" w:cs="宋体"/>
                <w:color w:val="auto"/>
                <w:sz w:val="22"/>
                <w:szCs w:val="22"/>
                <w:highlight w:val="none"/>
                <w:vertAlign w:val="baseline"/>
                <w:lang w:val="en-US" w:eastAsia="zh-CN"/>
              </w:rPr>
            </w:pPr>
            <w:r>
              <w:rPr>
                <w:rFonts w:hint="eastAsia" w:ascii="宋体" w:hAnsi="宋体" w:eastAsia="宋体" w:cs="宋体"/>
                <w:color w:val="auto"/>
                <w:sz w:val="22"/>
                <w:szCs w:val="22"/>
                <w:highlight w:val="none"/>
                <w:vertAlign w:val="baseline"/>
                <w:lang w:val="en-US" w:eastAsia="zh-CN"/>
              </w:rPr>
              <w:t>3</w:t>
            </w:r>
          </w:p>
        </w:tc>
        <w:tc>
          <w:tcPr>
            <w:tcW w:w="8919" w:type="dxa"/>
            <w:vAlign w:val="center"/>
          </w:tcPr>
          <w:p w14:paraId="016898EE">
            <w:pPr>
              <w:keepLines w:val="0"/>
              <w:pageBreakBefore w:val="0"/>
              <w:kinsoku/>
              <w:wordWrap/>
              <w:overflowPunct/>
              <w:topLinePunct w:val="0"/>
              <w:bidi w:val="0"/>
              <w:spacing w:line="460" w:lineRule="exact"/>
              <w:jc w:val="both"/>
              <w:rPr>
                <w:rFonts w:hint="eastAsia" w:ascii="宋体" w:hAnsi="宋体" w:eastAsia="宋体" w:cs="宋体"/>
                <w:color w:val="auto"/>
                <w:sz w:val="22"/>
                <w:szCs w:val="22"/>
                <w:highlight w:val="none"/>
                <w:vertAlign w:val="baseline"/>
              </w:rPr>
            </w:pPr>
            <w:r>
              <w:rPr>
                <w:rFonts w:hint="eastAsia" w:ascii="宋体" w:hAnsi="宋体" w:eastAsia="宋体" w:cs="宋体"/>
                <w:color w:val="auto"/>
                <w:sz w:val="22"/>
                <w:szCs w:val="22"/>
                <w:highlight w:val="none"/>
              </w:rPr>
              <w:t>食用油应是当年近期生产的。</w:t>
            </w:r>
          </w:p>
        </w:tc>
      </w:tr>
      <w:tr w14:paraId="0D4B2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5" w:type="dxa"/>
            <w:vAlign w:val="center"/>
          </w:tcPr>
          <w:p w14:paraId="62248C37">
            <w:pPr>
              <w:keepLines w:val="0"/>
              <w:pageBreakBefore w:val="0"/>
              <w:kinsoku/>
              <w:wordWrap/>
              <w:overflowPunct/>
              <w:topLinePunct w:val="0"/>
              <w:bidi w:val="0"/>
              <w:spacing w:line="460" w:lineRule="exact"/>
              <w:jc w:val="center"/>
              <w:rPr>
                <w:rFonts w:hint="eastAsia" w:ascii="宋体" w:hAnsi="宋体" w:eastAsia="宋体" w:cs="宋体"/>
                <w:color w:val="auto"/>
                <w:sz w:val="22"/>
                <w:szCs w:val="22"/>
                <w:highlight w:val="none"/>
                <w:vertAlign w:val="baseline"/>
                <w:lang w:val="en-US" w:eastAsia="zh-CN"/>
              </w:rPr>
            </w:pP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4</w:t>
            </w:r>
          </w:p>
        </w:tc>
        <w:tc>
          <w:tcPr>
            <w:tcW w:w="8919" w:type="dxa"/>
            <w:vAlign w:val="center"/>
          </w:tcPr>
          <w:p w14:paraId="0AE5AEC5">
            <w:pPr>
              <w:keepLines w:val="0"/>
              <w:pageBreakBefore w:val="0"/>
              <w:kinsoku/>
              <w:wordWrap/>
              <w:overflowPunct/>
              <w:topLinePunct w:val="0"/>
              <w:bidi w:val="0"/>
              <w:spacing w:line="460" w:lineRule="exact"/>
              <w:jc w:val="both"/>
              <w:rPr>
                <w:rFonts w:hint="eastAsia" w:ascii="宋体" w:hAnsi="宋体" w:eastAsia="宋体" w:cs="宋体"/>
                <w:color w:val="auto"/>
                <w:sz w:val="22"/>
                <w:szCs w:val="22"/>
                <w:highlight w:val="none"/>
                <w:vertAlign w:val="baseline"/>
              </w:rPr>
            </w:pPr>
            <w:r>
              <w:rPr>
                <w:rFonts w:hint="eastAsia" w:ascii="宋体" w:hAnsi="宋体" w:eastAsia="宋体" w:cs="宋体"/>
                <w:b/>
                <w:bCs/>
                <w:color w:val="auto"/>
                <w:sz w:val="22"/>
                <w:szCs w:val="22"/>
                <w:highlight w:val="none"/>
              </w:rPr>
              <w:t>食用油应是非转基因的</w:t>
            </w:r>
            <w:r>
              <w:rPr>
                <w:rFonts w:hint="eastAsia" w:ascii="宋体" w:hAnsi="宋体" w:eastAsia="宋体" w:cs="宋体"/>
                <w:b/>
                <w:bCs/>
                <w:color w:val="auto"/>
                <w:sz w:val="22"/>
                <w:szCs w:val="22"/>
                <w:highlight w:val="none"/>
                <w:lang w:eastAsia="zh-CN"/>
              </w:rPr>
              <w:t>，</w:t>
            </w:r>
            <w:r>
              <w:rPr>
                <w:rFonts w:hint="eastAsia" w:ascii="宋体" w:hAnsi="宋体" w:eastAsia="宋体" w:cs="宋体"/>
                <w:b/>
                <w:bCs/>
                <w:color w:val="auto"/>
                <w:sz w:val="22"/>
                <w:szCs w:val="22"/>
                <w:highlight w:val="none"/>
                <w:lang w:val="en-US" w:eastAsia="zh-CN"/>
              </w:rPr>
              <w:t>并提供非转基因证明材料。</w:t>
            </w:r>
          </w:p>
        </w:tc>
      </w:tr>
      <w:tr w14:paraId="04C8C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5" w:type="dxa"/>
            <w:vAlign w:val="center"/>
          </w:tcPr>
          <w:p w14:paraId="163E4413">
            <w:pPr>
              <w:keepLines w:val="0"/>
              <w:pageBreakBefore w:val="0"/>
              <w:kinsoku/>
              <w:wordWrap/>
              <w:overflowPunct/>
              <w:topLinePunct w:val="0"/>
              <w:bidi w:val="0"/>
              <w:spacing w:line="460" w:lineRule="exact"/>
              <w:jc w:val="center"/>
              <w:rPr>
                <w:rFonts w:hint="eastAsia" w:ascii="宋体" w:hAnsi="宋体" w:eastAsia="宋体" w:cs="宋体"/>
                <w:color w:val="auto"/>
                <w:sz w:val="22"/>
                <w:szCs w:val="22"/>
                <w:highlight w:val="none"/>
                <w:vertAlign w:val="baseline"/>
                <w:lang w:val="en-US" w:eastAsia="zh-CN"/>
              </w:rPr>
            </w:pPr>
            <w:r>
              <w:rPr>
                <w:rFonts w:hint="eastAsia" w:ascii="宋体" w:hAnsi="宋体" w:eastAsia="宋体" w:cs="宋体"/>
                <w:color w:val="auto"/>
                <w:sz w:val="22"/>
                <w:szCs w:val="22"/>
                <w:highlight w:val="none"/>
                <w:vertAlign w:val="baseline"/>
                <w:lang w:val="en-US" w:eastAsia="zh-CN"/>
              </w:rPr>
              <w:t>5</w:t>
            </w:r>
          </w:p>
        </w:tc>
        <w:tc>
          <w:tcPr>
            <w:tcW w:w="8919" w:type="dxa"/>
            <w:vAlign w:val="center"/>
          </w:tcPr>
          <w:p w14:paraId="1C2652A2">
            <w:pPr>
              <w:keepLines w:val="0"/>
              <w:pageBreakBefore w:val="0"/>
              <w:kinsoku/>
              <w:wordWrap/>
              <w:overflowPunct/>
              <w:topLinePunct w:val="0"/>
              <w:bidi w:val="0"/>
              <w:spacing w:line="460" w:lineRule="exact"/>
              <w:jc w:val="both"/>
              <w:rPr>
                <w:rFonts w:hint="eastAsia" w:ascii="宋体" w:hAnsi="宋体" w:eastAsia="宋体" w:cs="宋体"/>
                <w:color w:val="auto"/>
                <w:sz w:val="22"/>
                <w:szCs w:val="22"/>
                <w:highlight w:val="none"/>
                <w:vertAlign w:val="baseline"/>
              </w:rPr>
            </w:pPr>
            <w:r>
              <w:rPr>
                <w:rFonts w:hint="eastAsia" w:ascii="宋体" w:hAnsi="宋体" w:eastAsia="宋体" w:cs="宋体"/>
                <w:color w:val="auto"/>
                <w:sz w:val="22"/>
                <w:szCs w:val="22"/>
                <w:highlight w:val="none"/>
              </w:rPr>
              <w:t>食用油不含有毒、有害、致癌物质，油质透明，无异味。</w:t>
            </w:r>
          </w:p>
        </w:tc>
      </w:tr>
      <w:tr w14:paraId="4E6A9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5" w:type="dxa"/>
            <w:vAlign w:val="center"/>
          </w:tcPr>
          <w:p w14:paraId="4D11A0C1">
            <w:pPr>
              <w:keepLines w:val="0"/>
              <w:pageBreakBefore w:val="0"/>
              <w:kinsoku/>
              <w:wordWrap/>
              <w:overflowPunct/>
              <w:topLinePunct w:val="0"/>
              <w:bidi w:val="0"/>
              <w:spacing w:line="460" w:lineRule="exact"/>
              <w:jc w:val="center"/>
              <w:rPr>
                <w:rFonts w:hint="eastAsia" w:ascii="宋体" w:hAnsi="宋体" w:eastAsia="宋体" w:cs="宋体"/>
                <w:color w:val="auto"/>
                <w:sz w:val="22"/>
                <w:szCs w:val="22"/>
                <w:highlight w:val="none"/>
                <w:vertAlign w:val="baseline"/>
                <w:lang w:val="en-US" w:eastAsia="zh-CN"/>
              </w:rPr>
            </w:pP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6</w:t>
            </w:r>
          </w:p>
        </w:tc>
        <w:tc>
          <w:tcPr>
            <w:tcW w:w="8919" w:type="dxa"/>
            <w:vAlign w:val="center"/>
          </w:tcPr>
          <w:p w14:paraId="2B545BE3">
            <w:pPr>
              <w:keepLines w:val="0"/>
              <w:pageBreakBefore w:val="0"/>
              <w:kinsoku/>
              <w:wordWrap/>
              <w:overflowPunct/>
              <w:topLinePunct w:val="0"/>
              <w:bidi w:val="0"/>
              <w:spacing w:line="460" w:lineRule="exact"/>
              <w:jc w:val="both"/>
              <w:rPr>
                <w:rFonts w:hint="eastAsia" w:ascii="宋体" w:hAnsi="宋体" w:eastAsia="宋体" w:cs="宋体"/>
                <w:color w:val="auto"/>
                <w:sz w:val="22"/>
                <w:szCs w:val="22"/>
                <w:highlight w:val="none"/>
                <w:vertAlign w:val="baseline"/>
              </w:rPr>
            </w:pPr>
            <w:r>
              <w:rPr>
                <w:rFonts w:hint="eastAsia" w:ascii="宋体" w:hAnsi="宋体" w:eastAsia="宋体" w:cs="宋体"/>
                <w:color w:val="auto"/>
                <w:sz w:val="22"/>
                <w:szCs w:val="22"/>
                <w:highlight w:val="none"/>
              </w:rPr>
              <w:t>严禁使用地沟油。</w:t>
            </w:r>
          </w:p>
        </w:tc>
      </w:tr>
      <w:tr w14:paraId="3696E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5" w:type="dxa"/>
            <w:vAlign w:val="center"/>
          </w:tcPr>
          <w:p w14:paraId="1B7CAD99">
            <w:pPr>
              <w:keepLines w:val="0"/>
              <w:pageBreakBefore w:val="0"/>
              <w:kinsoku/>
              <w:wordWrap/>
              <w:overflowPunct/>
              <w:topLinePunct w:val="0"/>
              <w:bidi w:val="0"/>
              <w:spacing w:line="460" w:lineRule="exact"/>
              <w:jc w:val="center"/>
              <w:rPr>
                <w:rFonts w:hint="eastAsia" w:ascii="宋体" w:hAnsi="宋体" w:eastAsia="宋体" w:cs="宋体"/>
                <w:color w:val="auto"/>
                <w:sz w:val="22"/>
                <w:szCs w:val="22"/>
                <w:highlight w:val="none"/>
                <w:vertAlign w:val="baseline"/>
                <w:lang w:val="en-US" w:eastAsia="zh-CN"/>
              </w:rPr>
            </w:pPr>
            <w:r>
              <w:rPr>
                <w:rFonts w:hint="eastAsia" w:ascii="宋体" w:hAnsi="宋体" w:eastAsia="宋体" w:cs="宋体"/>
                <w:color w:val="auto"/>
                <w:sz w:val="22"/>
                <w:szCs w:val="22"/>
                <w:highlight w:val="none"/>
                <w:vertAlign w:val="baseline"/>
                <w:lang w:val="en-US" w:eastAsia="zh-CN"/>
              </w:rPr>
              <w:t>7</w:t>
            </w:r>
          </w:p>
        </w:tc>
        <w:tc>
          <w:tcPr>
            <w:tcW w:w="8919" w:type="dxa"/>
            <w:vAlign w:val="center"/>
          </w:tcPr>
          <w:p w14:paraId="32C3B676">
            <w:pPr>
              <w:keepLines w:val="0"/>
              <w:pageBreakBefore w:val="0"/>
              <w:kinsoku/>
              <w:wordWrap/>
              <w:overflowPunct/>
              <w:topLinePunct w:val="0"/>
              <w:bidi w:val="0"/>
              <w:spacing w:line="460" w:lineRule="exact"/>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油品包装</w:t>
            </w:r>
          </w:p>
          <w:p w14:paraId="7E4E8D5E">
            <w:pPr>
              <w:keepLines w:val="0"/>
              <w:pageBreakBefore w:val="0"/>
              <w:kinsoku/>
              <w:wordWrap/>
              <w:overflowPunct/>
              <w:topLinePunct w:val="0"/>
              <w:bidi w:val="0"/>
              <w:spacing w:line="460" w:lineRule="exact"/>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1）要求小塑料桶、硬质包装，标签符合GB7718-2004标准；</w:t>
            </w:r>
          </w:p>
          <w:p w14:paraId="5C4B930E">
            <w:pPr>
              <w:keepLines w:val="0"/>
              <w:pageBreakBefore w:val="0"/>
              <w:kinsoku/>
              <w:wordWrap/>
              <w:overflowPunct/>
              <w:topLinePunct w:val="0"/>
              <w:bidi w:val="0"/>
              <w:spacing w:line="460" w:lineRule="exact"/>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2）包装标识清楚，如印有品牌、产地、生产日期、保质期、生产厂家、联系电话等；</w:t>
            </w:r>
          </w:p>
          <w:p w14:paraId="59B32C47">
            <w:pPr>
              <w:keepLines w:val="0"/>
              <w:pageBreakBefore w:val="0"/>
              <w:kinsoku/>
              <w:wordWrap/>
              <w:overflowPunct/>
              <w:topLinePunct w:val="0"/>
              <w:bidi w:val="0"/>
              <w:spacing w:line="460" w:lineRule="exact"/>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3）运输中要注意安全，防止雨淋日晒；</w:t>
            </w:r>
          </w:p>
          <w:p w14:paraId="5FC1BE0D">
            <w:pPr>
              <w:keepLines w:val="0"/>
              <w:pageBreakBefore w:val="0"/>
              <w:kinsoku/>
              <w:wordWrap/>
              <w:overflowPunct/>
              <w:topLinePunct w:val="0"/>
              <w:bidi w:val="0"/>
              <w:spacing w:line="460" w:lineRule="exact"/>
              <w:jc w:val="both"/>
              <w:rPr>
                <w:rFonts w:hint="eastAsia" w:ascii="宋体" w:hAnsi="宋体" w:eastAsia="宋体" w:cs="宋体"/>
                <w:color w:val="auto"/>
                <w:sz w:val="22"/>
                <w:szCs w:val="22"/>
                <w:highlight w:val="none"/>
                <w:vertAlign w:val="baseline"/>
              </w:rPr>
            </w:pPr>
            <w:r>
              <w:rPr>
                <w:rFonts w:hint="eastAsia" w:ascii="宋体" w:hAnsi="宋体" w:eastAsia="宋体" w:cs="宋体"/>
                <w:color w:val="auto"/>
                <w:sz w:val="22"/>
                <w:szCs w:val="22"/>
                <w:highlight w:val="none"/>
              </w:rPr>
              <w:t>4）保质期不少于12个月。</w:t>
            </w:r>
          </w:p>
        </w:tc>
      </w:tr>
    </w:tbl>
    <w:p w14:paraId="3C35E8AA">
      <w:pPr>
        <w:keepLines w:val="0"/>
        <w:pageBreakBefore w:val="0"/>
        <w:numPr>
          <w:ilvl w:val="0"/>
          <w:numId w:val="0"/>
        </w:numPr>
        <w:kinsoku/>
        <w:wordWrap/>
        <w:overflowPunct/>
        <w:topLinePunct w:val="0"/>
        <w:bidi w:val="0"/>
        <w:spacing w:line="460" w:lineRule="exact"/>
        <w:ind w:leftChars="0"/>
        <w:jc w:val="both"/>
        <w:outlineLvl w:val="1"/>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三、产品配送要求</w:t>
      </w:r>
    </w:p>
    <w:p w14:paraId="19EC3033">
      <w:pPr>
        <w:keepLines w:val="0"/>
        <w:pageBreakBefore w:val="0"/>
        <w:kinsoku/>
        <w:wordWrap/>
        <w:overflowPunct/>
        <w:topLinePunct w:val="0"/>
        <w:bidi w:val="0"/>
        <w:spacing w:line="460" w:lineRule="exact"/>
        <w:ind w:firstLine="440" w:firstLineChars="200"/>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szCs w:val="22"/>
          <w:highlight w:val="none"/>
          <w:lang w:val="en-US" w:eastAsia="zh-CN" w:bidi="ar-SA"/>
        </w:rPr>
        <w:t>1、包装与标志要求：容器（框、箱、袋）要求清洁、干燥、牢固、透气，无污染、无异味、无霉变现象。</w:t>
      </w:r>
    </w:p>
    <w:p w14:paraId="1DAEE396">
      <w:pPr>
        <w:keepLines w:val="0"/>
        <w:pageBreakBefore w:val="0"/>
        <w:kinsoku/>
        <w:wordWrap/>
        <w:overflowPunct/>
        <w:topLinePunct w:val="0"/>
        <w:bidi w:val="0"/>
        <w:spacing w:line="460" w:lineRule="exact"/>
        <w:ind w:firstLine="440" w:firstLineChars="200"/>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szCs w:val="22"/>
          <w:highlight w:val="none"/>
          <w:lang w:val="en-US" w:eastAsia="zh-CN" w:bidi="ar-SA"/>
        </w:rPr>
        <w:t>2、运输要求：运输工具应清洁卫生无污染：食品运输必须采用符合卫生标准的外包装和运载工具，并且要保持清洁和定期消毒。运输车厢的内仓，包括地面、墙面和顶，应使用抗腐蚀、防潮，易清洁消毒的材料。车厢内无不良气味、异味；运输途中严防日晒、雨淋，注意通风散热；应小心轻卸，严防机械损伤。食品堆放科学合理，避免造成食品的交叉污染；如对温度有要求的食品应确定食品的温度，记录送货车辆温度，并记录存档。</w:t>
      </w:r>
    </w:p>
    <w:p w14:paraId="4470E0D8">
      <w:pPr>
        <w:keepLines w:val="0"/>
        <w:pageBreakBefore w:val="0"/>
        <w:kinsoku/>
        <w:wordWrap/>
        <w:overflowPunct/>
        <w:topLinePunct w:val="0"/>
        <w:bidi w:val="0"/>
        <w:spacing w:line="460" w:lineRule="exact"/>
        <w:ind w:firstLine="440" w:firstLineChars="200"/>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szCs w:val="22"/>
          <w:highlight w:val="none"/>
          <w:lang w:val="en-US" w:eastAsia="zh-CN" w:bidi="ar-SA"/>
        </w:rPr>
        <w:t>3、数量方面要求：保证配送品种斤两的准确性，以采购人的验货数量为准，中标人每次随货送上一式两份的送货清单，供双方验货后签字确认，双方各持一份，作为送、收货的凭证。</w:t>
      </w:r>
    </w:p>
    <w:p w14:paraId="08E2D106">
      <w:pPr>
        <w:keepLines w:val="0"/>
        <w:pageBreakBefore w:val="0"/>
        <w:numPr>
          <w:ilvl w:val="0"/>
          <w:numId w:val="0"/>
        </w:numPr>
        <w:kinsoku/>
        <w:wordWrap/>
        <w:overflowPunct/>
        <w:topLinePunct w:val="0"/>
        <w:bidi w:val="0"/>
        <w:spacing w:line="460" w:lineRule="exact"/>
        <w:ind w:leftChars="0"/>
        <w:jc w:val="both"/>
        <w:outlineLvl w:val="1"/>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四、质量要求</w:t>
      </w:r>
    </w:p>
    <w:p w14:paraId="75B1F8A0">
      <w:pPr>
        <w:spacing w:line="460" w:lineRule="exact"/>
        <w:ind w:firstLine="440" w:firstLineChars="200"/>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lang w:val="en-US" w:eastAsia="zh-CN"/>
        </w:rPr>
        <w:t>1、</w:t>
      </w:r>
      <w:r>
        <w:rPr>
          <w:rFonts w:hint="eastAsia" w:ascii="宋体" w:hAnsi="宋体" w:eastAsia="宋体" w:cs="宋体"/>
          <w:bCs/>
          <w:color w:val="auto"/>
          <w:sz w:val="22"/>
          <w:szCs w:val="22"/>
          <w:highlight w:val="none"/>
        </w:rPr>
        <w:t>标志、标签、包装、运输和储存</w:t>
      </w:r>
    </w:p>
    <w:p w14:paraId="0B71163D">
      <w:pPr>
        <w:spacing w:line="460" w:lineRule="exact"/>
        <w:ind w:left="315" w:leftChars="1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（1）标签应符合国家的规定及要求；</w:t>
      </w:r>
    </w:p>
    <w:p w14:paraId="2A32C7F3">
      <w:pPr>
        <w:spacing w:line="460" w:lineRule="exact"/>
        <w:ind w:left="315" w:leftChars="1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（2）销售包装应符合国家的规定和要求；</w:t>
      </w:r>
    </w:p>
    <w:p w14:paraId="49A9EC6F">
      <w:pPr>
        <w:spacing w:line="460" w:lineRule="exact"/>
        <w:ind w:left="315" w:leftChars="1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（3）包装容器及包装材料应符合国家有关卫生标准的规定和要求；</w:t>
      </w:r>
    </w:p>
    <w:p w14:paraId="53A8C27F">
      <w:pPr>
        <w:spacing w:line="460" w:lineRule="exact"/>
        <w:ind w:left="315" w:leftChars="1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 包装容器必须专用、清洁、干燥和密封，应符合食品卫生安全标准；</w:t>
      </w:r>
    </w:p>
    <w:p w14:paraId="1D0893E9">
      <w:pPr>
        <w:spacing w:line="460" w:lineRule="exact"/>
        <w:ind w:left="315" w:leftChars="1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 产品应储存于阴凉、干燥和避光处。不得与有害有毒物品同库存放；</w:t>
      </w:r>
    </w:p>
    <w:p w14:paraId="3A880304">
      <w:pPr>
        <w:spacing w:line="460" w:lineRule="exact"/>
        <w:ind w:left="315" w:leftChars="1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（6）运输要注意安全，防止日晒、雨淋、渗漏、污染和标签脱落。散装运输要用专车，保持车辆清洁、卫生。</w:t>
      </w:r>
    </w:p>
    <w:p w14:paraId="343292D5">
      <w:pPr>
        <w:spacing w:line="460" w:lineRule="exact"/>
        <w:ind w:left="315" w:leftChars="150"/>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sz w:val="22"/>
          <w:szCs w:val="22"/>
          <w:highlight w:val="none"/>
        </w:rPr>
        <w:t xml:space="preserve"> </w:t>
      </w:r>
      <w:r>
        <w:rPr>
          <w:rFonts w:hint="eastAsia" w:ascii="宋体" w:hAnsi="宋体" w:eastAsia="宋体" w:cs="宋体"/>
          <w:bCs/>
          <w:color w:val="auto"/>
          <w:sz w:val="22"/>
          <w:szCs w:val="22"/>
          <w:highlight w:val="none"/>
          <w:lang w:val="en-US" w:eastAsia="zh-CN"/>
        </w:rPr>
        <w:t>2</w:t>
      </w:r>
      <w:r>
        <w:rPr>
          <w:rFonts w:hint="eastAsia" w:ascii="宋体" w:hAnsi="宋体" w:eastAsia="宋体" w:cs="宋体"/>
          <w:bCs/>
          <w:color w:val="auto"/>
          <w:sz w:val="22"/>
          <w:szCs w:val="22"/>
          <w:highlight w:val="none"/>
        </w:rPr>
        <w:t xml:space="preserve">、保质期：达到国家规定要求 </w:t>
      </w:r>
    </w:p>
    <w:p w14:paraId="29429E64">
      <w:pPr>
        <w:keepLines w:val="0"/>
        <w:pageBreakBefore w:val="0"/>
        <w:kinsoku/>
        <w:wordWrap/>
        <w:overflowPunct/>
        <w:topLinePunct w:val="0"/>
        <w:bidi w:val="0"/>
        <w:spacing w:line="460" w:lineRule="exact"/>
        <w:ind w:firstLine="440" w:firstLineChars="200"/>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szCs w:val="22"/>
          <w:highlight w:val="none"/>
          <w:lang w:val="en-US" w:eastAsia="zh-CN" w:bidi="ar-SA"/>
        </w:rPr>
        <w:t xml:space="preserve">3、中标人所提供的货物应保证是企业原厂生产的产品而不是其他地方生产的、全新的、未使用过的，是原包装未拆封的，是用合格的工艺和材料制造而成的，并完全符合协议规定的质量、规格和性能要求，并随货提供质检报告单。 </w:t>
      </w:r>
    </w:p>
    <w:p w14:paraId="75D043EC">
      <w:pPr>
        <w:keepLines w:val="0"/>
        <w:pageBreakBefore w:val="0"/>
        <w:kinsoku/>
        <w:wordWrap/>
        <w:overflowPunct/>
        <w:topLinePunct w:val="0"/>
        <w:bidi w:val="0"/>
        <w:spacing w:line="460" w:lineRule="exact"/>
        <w:ind w:firstLine="440" w:firstLineChars="200"/>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szCs w:val="22"/>
          <w:highlight w:val="none"/>
          <w:lang w:val="en-US" w:eastAsia="zh-CN" w:bidi="ar-SA"/>
        </w:rPr>
        <w:t>4、根据采购人按检验标准检验的结果或当地质检部门检验的结果，或者在质量保证期内，如果货物的数量、质量或规格与协议不符，或证实货物是有缺陷的，包括潜在的缺陷或使用不符合要求的材料等，采购人应尽快以书面形式通知中标人，提出索赔。</w:t>
      </w:r>
    </w:p>
    <w:p w14:paraId="33ECD2BB">
      <w:pPr>
        <w:keepLines w:val="0"/>
        <w:pageBreakBefore w:val="0"/>
        <w:numPr>
          <w:ilvl w:val="0"/>
          <w:numId w:val="0"/>
        </w:numPr>
        <w:kinsoku/>
        <w:wordWrap/>
        <w:overflowPunct/>
        <w:topLinePunct w:val="0"/>
        <w:bidi w:val="0"/>
        <w:spacing w:line="460" w:lineRule="exact"/>
        <w:ind w:leftChars="0"/>
        <w:jc w:val="both"/>
        <w:outlineLvl w:val="1"/>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五、供货方式及要求</w:t>
      </w:r>
    </w:p>
    <w:p w14:paraId="0FAE8CA8">
      <w:pPr>
        <w:keepLines w:val="0"/>
        <w:pageBreakBefore w:val="0"/>
        <w:kinsoku/>
        <w:wordWrap/>
        <w:overflowPunct/>
        <w:topLinePunct w:val="0"/>
        <w:bidi w:val="0"/>
        <w:spacing w:line="460" w:lineRule="exact"/>
        <w:ind w:firstLine="440" w:firstLineChars="200"/>
        <w:rPr>
          <w:rFonts w:hint="eastAsia" w:ascii="宋体" w:hAnsi="宋体" w:eastAsia="宋体" w:cs="宋体"/>
          <w:color w:val="auto"/>
          <w:sz w:val="22"/>
          <w:szCs w:val="22"/>
          <w:highlight w:val="none"/>
          <w:lang w:val="en-GB"/>
        </w:rPr>
      </w:pP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lang w:val="en-GB"/>
        </w:rPr>
        <w:t>采购人根据实际需求，由膳食中心采购组办公室通过电话、传真、电子报表、微信等方式通知供应商采购需求；供应商必须按品种、数量及分装要求按时保质保量配送到指定地点</w:t>
      </w:r>
      <w:r>
        <w:rPr>
          <w:rFonts w:hint="eastAsia" w:ascii="宋体" w:hAnsi="宋体" w:eastAsia="宋体" w:cs="宋体"/>
          <w:color w:val="auto"/>
          <w:sz w:val="22"/>
          <w:szCs w:val="22"/>
          <w:highlight w:val="none"/>
          <w:lang w:val="en-GB" w:eastAsia="zh-CN"/>
        </w:rPr>
        <w:t>（对采购人临时的供货要求，需随订随送，至少在2个小时内响应）</w:t>
      </w:r>
      <w:r>
        <w:rPr>
          <w:rFonts w:hint="eastAsia" w:ascii="宋体" w:hAnsi="宋体" w:eastAsia="宋体" w:cs="宋体"/>
          <w:color w:val="auto"/>
          <w:sz w:val="22"/>
          <w:szCs w:val="22"/>
          <w:highlight w:val="none"/>
          <w:lang w:val="en-GB"/>
        </w:rPr>
        <w:t>，过秤验收，包装、装卸、运输等一切费用由供应商承担。运输过程中发生的成本及风险由中标人承担。中标人未准备所需数量的或超过规定时间仍未送货的，采购人有权选择解除合同。</w:t>
      </w:r>
    </w:p>
    <w:p w14:paraId="6A218FF5">
      <w:pPr>
        <w:keepLines w:val="0"/>
        <w:pageBreakBefore w:val="0"/>
        <w:kinsoku/>
        <w:wordWrap/>
        <w:overflowPunct/>
        <w:topLinePunct w:val="0"/>
        <w:bidi w:val="0"/>
        <w:spacing w:line="460" w:lineRule="exact"/>
        <w:ind w:firstLine="440" w:firstLineChars="200"/>
        <w:rPr>
          <w:rFonts w:hint="eastAsia" w:ascii="宋体" w:hAnsi="宋体" w:eastAsia="宋体" w:cs="宋体"/>
          <w:color w:val="auto"/>
          <w:sz w:val="22"/>
          <w:szCs w:val="22"/>
          <w:highlight w:val="none"/>
          <w:lang w:val="en-GB"/>
        </w:rPr>
      </w:pP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lang w:val="en-GB"/>
        </w:rPr>
        <w:t>供应商在供货期间，各类产品因不符合要求，出现质量问题负责退货，问题严重的将终止供货，由供方承担责任，并承担由此造成的全部经济损失及责任。</w:t>
      </w:r>
    </w:p>
    <w:p w14:paraId="6590A537">
      <w:pPr>
        <w:keepLines w:val="0"/>
        <w:pageBreakBefore w:val="0"/>
        <w:kinsoku/>
        <w:wordWrap/>
        <w:overflowPunct/>
        <w:topLinePunct w:val="0"/>
        <w:bidi w:val="0"/>
        <w:spacing w:line="460" w:lineRule="exact"/>
        <w:ind w:firstLine="440" w:firstLineChars="200"/>
        <w:rPr>
          <w:rFonts w:hint="eastAsia" w:ascii="宋体" w:hAnsi="宋体" w:eastAsia="宋体" w:cs="宋体"/>
          <w:color w:val="auto"/>
          <w:sz w:val="22"/>
          <w:szCs w:val="22"/>
          <w:highlight w:val="none"/>
          <w:lang w:val="en-GB"/>
        </w:rPr>
      </w:pP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lang w:val="en-GB"/>
        </w:rPr>
        <w:t>当天应供应的货物中如供应商临时缺货，未能满足采购单位时，供应商应保证足够的资金及时让采购单位自行采购且及时付款，对于超出合同价的部分由供应商负责。</w:t>
      </w:r>
    </w:p>
    <w:p w14:paraId="2C2F47B3">
      <w:pPr>
        <w:keepLines w:val="0"/>
        <w:pageBreakBefore w:val="0"/>
        <w:kinsoku/>
        <w:wordWrap/>
        <w:overflowPunct/>
        <w:topLinePunct w:val="0"/>
        <w:bidi w:val="0"/>
        <w:spacing w:line="460" w:lineRule="exact"/>
        <w:ind w:firstLine="440" w:firstLineChars="2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4、供应商应承诺疫情期间保证正常供货，若未能履行承诺的，由供方承担由此造成的全部经济损失及责任。</w:t>
      </w:r>
    </w:p>
    <w:p w14:paraId="180FC3AA">
      <w:pPr>
        <w:pStyle w:val="50"/>
        <w:keepNext w:val="0"/>
        <w:keepLines w:val="0"/>
        <w:pageBreakBefore w:val="0"/>
        <w:widowControl w:val="0"/>
        <w:kinsoku/>
        <w:wordWrap/>
        <w:overflowPunct/>
        <w:topLinePunct w:val="0"/>
        <w:autoSpaceDE w:val="0"/>
        <w:autoSpaceDN w:val="0"/>
        <w:bidi w:val="0"/>
        <w:adjustRightInd w:val="0"/>
        <w:snapToGrid/>
        <w:spacing w:line="460" w:lineRule="exact"/>
        <w:ind w:left="0" w:leftChars="0" w:firstLine="0" w:firstLineChars="0"/>
        <w:textAlignment w:val="auto"/>
        <w:outlineLvl w:val="1"/>
        <w:rPr>
          <w:rFonts w:hint="eastAsia" w:ascii="宋体" w:hAnsi="宋体" w:eastAsia="宋体" w:cs="宋体"/>
          <w:b/>
          <w:bCs/>
          <w:color w:val="auto"/>
          <w:kern w:val="2"/>
          <w:sz w:val="22"/>
          <w:szCs w:val="22"/>
          <w:highlight w:val="none"/>
          <w:lang w:val="en-US" w:eastAsia="zh-CN" w:bidi="ar-SA"/>
        </w:rPr>
      </w:pPr>
      <w:r>
        <w:rPr>
          <w:rFonts w:hint="eastAsia" w:ascii="宋体" w:hAnsi="宋体" w:eastAsia="宋体" w:cs="宋体"/>
          <w:b/>
          <w:bCs/>
          <w:color w:val="auto"/>
          <w:kern w:val="2"/>
          <w:sz w:val="22"/>
          <w:szCs w:val="22"/>
          <w:highlight w:val="none"/>
          <w:lang w:val="en-US" w:eastAsia="zh-CN" w:bidi="ar-SA"/>
        </w:rPr>
        <w:t>六、服务期</w:t>
      </w:r>
    </w:p>
    <w:p w14:paraId="7CDA4B1D">
      <w:pPr>
        <w:pStyle w:val="42"/>
        <w:keepNext w:val="0"/>
        <w:keepLines w:val="0"/>
        <w:pageBreakBefore w:val="0"/>
        <w:widowControl w:val="0"/>
        <w:kinsoku/>
        <w:wordWrap/>
        <w:overflowPunct/>
        <w:topLinePunct w:val="0"/>
        <w:autoSpaceDE w:val="0"/>
        <w:autoSpaceDN w:val="0"/>
        <w:bidi w:val="0"/>
        <w:adjustRightInd w:val="0"/>
        <w:snapToGrid/>
        <w:spacing w:line="460" w:lineRule="exact"/>
        <w:ind w:left="0" w:leftChars="0" w:firstLine="440" w:firstLineChars="200"/>
        <w:textAlignment w:val="auto"/>
        <w:rPr>
          <w:rFonts w:hint="eastAsia" w:ascii="宋体" w:hAnsi="宋体" w:eastAsia="宋体" w:cs="宋体"/>
          <w:b w:val="0"/>
          <w:color w:val="auto"/>
          <w:kern w:val="2"/>
          <w:sz w:val="22"/>
          <w:szCs w:val="22"/>
          <w:highlight w:val="none"/>
          <w:lang w:val="en-GB" w:eastAsia="zh-CN" w:bidi="ar-SA"/>
        </w:rPr>
      </w:pPr>
      <w:r>
        <w:rPr>
          <w:rFonts w:hint="eastAsia" w:ascii="宋体" w:hAnsi="宋体" w:eastAsia="宋体" w:cs="宋体"/>
          <w:b w:val="0"/>
          <w:color w:val="auto"/>
          <w:kern w:val="2"/>
          <w:sz w:val="22"/>
          <w:szCs w:val="22"/>
          <w:highlight w:val="none"/>
          <w:lang w:val="en-GB" w:eastAsia="zh-CN" w:bidi="ar-SA"/>
        </w:rPr>
        <w:t>一年或采购量达到总预算，任一条件达到即视为合作期结束。合作期内如遇政策性原因，导致合同无法履行，则合同自行终止。</w:t>
      </w:r>
    </w:p>
    <w:p w14:paraId="6182ED19">
      <w:pPr>
        <w:pStyle w:val="50"/>
        <w:keepNext w:val="0"/>
        <w:keepLines w:val="0"/>
        <w:pageBreakBefore w:val="0"/>
        <w:widowControl w:val="0"/>
        <w:kinsoku/>
        <w:wordWrap/>
        <w:overflowPunct/>
        <w:topLinePunct w:val="0"/>
        <w:autoSpaceDE w:val="0"/>
        <w:autoSpaceDN w:val="0"/>
        <w:bidi w:val="0"/>
        <w:adjustRightInd w:val="0"/>
        <w:snapToGrid/>
        <w:spacing w:line="460" w:lineRule="exact"/>
        <w:ind w:left="0" w:leftChars="0" w:firstLine="0" w:firstLineChars="0"/>
        <w:textAlignment w:val="auto"/>
        <w:outlineLvl w:val="1"/>
        <w:rPr>
          <w:rFonts w:hint="eastAsia" w:ascii="宋体" w:hAnsi="宋体" w:eastAsia="宋体" w:cs="宋体"/>
          <w:b/>
          <w:bCs/>
          <w:color w:val="auto"/>
          <w:kern w:val="2"/>
          <w:sz w:val="22"/>
          <w:szCs w:val="22"/>
          <w:highlight w:val="none"/>
          <w:lang w:val="en-US" w:eastAsia="zh-CN" w:bidi="ar-SA"/>
        </w:rPr>
      </w:pPr>
      <w:r>
        <w:rPr>
          <w:rFonts w:hint="eastAsia" w:ascii="宋体" w:hAnsi="宋体" w:eastAsia="宋体" w:cs="宋体"/>
          <w:b/>
          <w:bCs/>
          <w:color w:val="auto"/>
          <w:kern w:val="2"/>
          <w:sz w:val="22"/>
          <w:szCs w:val="22"/>
          <w:highlight w:val="none"/>
          <w:lang w:val="en-US" w:eastAsia="zh-CN" w:bidi="ar-SA"/>
        </w:rPr>
        <w:t>七、付款方式</w:t>
      </w:r>
    </w:p>
    <w:p w14:paraId="478E5A8F">
      <w:pPr>
        <w:keepNext w:val="0"/>
        <w:keepLines w:val="0"/>
        <w:pageBreakBefore w:val="0"/>
        <w:widowControl w:val="0"/>
        <w:numPr>
          <w:ilvl w:val="0"/>
          <w:numId w:val="0"/>
        </w:numPr>
        <w:tabs>
          <w:tab w:val="left" w:pos="540"/>
          <w:tab w:val="left" w:pos="992"/>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合同签订后，甲方在</w:t>
      </w:r>
      <w:r>
        <w:rPr>
          <w:rFonts w:hint="eastAsia" w:ascii="宋体" w:hAnsi="宋体" w:eastAsia="宋体" w:cs="宋体"/>
          <w:color w:val="auto"/>
          <w:sz w:val="22"/>
          <w:szCs w:val="22"/>
          <w:highlight w:val="none"/>
          <w:lang w:val="en-US" w:eastAsia="zh-CN"/>
        </w:rPr>
        <w:t>收到乙方提供</w:t>
      </w:r>
      <w:r>
        <w:rPr>
          <w:rFonts w:hint="eastAsia" w:ascii="宋体" w:hAnsi="宋体" w:eastAsia="宋体" w:cs="宋体"/>
          <w:color w:val="auto"/>
          <w:sz w:val="22"/>
          <w:szCs w:val="22"/>
          <w:highlight w:val="none"/>
        </w:rPr>
        <w:t>的货物实物、随货联、发票三者到齐并确认完成入库手续，以实际供货量乘以对应的各项综合单价作为结算金额，每月30日前审核后进行支付金额汇总，原则上三个月内启动付款申请（节假日顺延）。</w:t>
      </w:r>
    </w:p>
    <w:p w14:paraId="57796D3C">
      <w:pPr>
        <w:keepNext w:val="0"/>
        <w:keepLines w:val="0"/>
        <w:pageBreakBefore w:val="0"/>
        <w:widowControl w:val="0"/>
        <w:numPr>
          <w:ilvl w:val="0"/>
          <w:numId w:val="0"/>
        </w:numPr>
        <w:tabs>
          <w:tab w:val="left" w:pos="540"/>
          <w:tab w:val="left" w:pos="992"/>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lang w:val="en-GB"/>
        </w:rPr>
      </w:pP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lang w:val="en-GB"/>
        </w:rPr>
        <w:t>调价机制：食用油在供货周期内，价格不作任何调整。</w:t>
      </w:r>
    </w:p>
    <w:p w14:paraId="370029DF">
      <w:pPr>
        <w:keepNext w:val="0"/>
        <w:keepLines w:val="0"/>
        <w:pageBreakBefore w:val="0"/>
        <w:widowControl w:val="0"/>
        <w:numPr>
          <w:ilvl w:val="0"/>
          <w:numId w:val="0"/>
        </w:numPr>
        <w:tabs>
          <w:tab w:val="left" w:pos="540"/>
          <w:tab w:val="left" w:pos="992"/>
        </w:tabs>
        <w:kinsoku/>
        <w:wordWrap/>
        <w:overflowPunct/>
        <w:topLinePunct w:val="0"/>
        <w:autoSpaceDE/>
        <w:autoSpaceDN/>
        <w:bidi w:val="0"/>
        <w:adjustRightInd/>
        <w:snapToGrid/>
        <w:spacing w:line="460" w:lineRule="exact"/>
        <w:ind w:leftChars="0" w:firstLine="440" w:firstLineChars="200"/>
        <w:rPr>
          <w:rFonts w:hint="eastAsia" w:ascii="宋体" w:hAnsi="宋体" w:eastAsia="宋体" w:cs="宋体"/>
          <w:color w:val="auto"/>
          <w:sz w:val="22"/>
          <w:szCs w:val="22"/>
          <w:highlight w:val="none"/>
          <w:lang w:val="en-GB"/>
        </w:rPr>
      </w:pPr>
      <w:r>
        <w:rPr>
          <w:rFonts w:hint="eastAsia" w:ascii="宋体" w:hAnsi="宋体" w:cs="宋体"/>
          <w:color w:val="auto"/>
          <w:sz w:val="22"/>
          <w:szCs w:val="22"/>
          <w:highlight w:val="none"/>
          <w:lang w:val="en-US" w:eastAsia="zh-CN"/>
        </w:rPr>
        <w:t>3</w:t>
      </w:r>
      <w:r>
        <w:rPr>
          <w:rFonts w:hint="eastAsia" w:ascii="宋体" w:hAnsi="宋体" w:eastAsia="宋体" w:cs="宋体"/>
          <w:color w:val="auto"/>
          <w:sz w:val="22"/>
          <w:szCs w:val="22"/>
          <w:highlight w:val="none"/>
          <w:lang w:val="en-GB"/>
        </w:rPr>
        <w:t>、甲方在付款时应随附相对应月份的月度动态考核细则打分表。</w:t>
      </w:r>
    </w:p>
    <w:p w14:paraId="03907F08">
      <w:pPr>
        <w:keepLines w:val="0"/>
        <w:pageBreakBefore w:val="0"/>
        <w:numPr>
          <w:ilvl w:val="0"/>
          <w:numId w:val="0"/>
        </w:numPr>
        <w:kinsoku/>
        <w:wordWrap/>
        <w:overflowPunct/>
        <w:topLinePunct w:val="0"/>
        <w:bidi w:val="0"/>
        <w:spacing w:line="460" w:lineRule="exact"/>
        <w:ind w:leftChars="0"/>
        <w:jc w:val="both"/>
        <w:outlineLvl w:val="1"/>
        <w:rPr>
          <w:rFonts w:hint="eastAsia" w:ascii="宋体" w:hAnsi="宋体" w:eastAsia="宋体" w:cs="宋体"/>
          <w:b/>
          <w:bCs/>
          <w:color w:val="auto"/>
          <w:kern w:val="2"/>
          <w:sz w:val="22"/>
          <w:szCs w:val="22"/>
          <w:highlight w:val="none"/>
          <w:lang w:val="en-US" w:eastAsia="zh-CN" w:bidi="ar-SA"/>
        </w:rPr>
      </w:pPr>
      <w:r>
        <w:rPr>
          <w:rFonts w:hint="eastAsia" w:ascii="宋体" w:hAnsi="宋体" w:eastAsia="宋体" w:cs="宋体"/>
          <w:b/>
          <w:bCs/>
          <w:color w:val="auto"/>
          <w:kern w:val="2"/>
          <w:sz w:val="22"/>
          <w:szCs w:val="22"/>
          <w:highlight w:val="none"/>
          <w:lang w:val="en-US" w:eastAsia="zh-CN" w:bidi="ar-SA"/>
        </w:rPr>
        <w:t>八、样品</w:t>
      </w:r>
    </w:p>
    <w:p w14:paraId="423F3112">
      <w:pPr>
        <w:spacing w:line="460" w:lineRule="exact"/>
        <w:ind w:firstLine="440" w:firstLineChars="200"/>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1、供应商在递交响应文件的同时，提供与报价产品相一致的</w:t>
      </w:r>
      <w:r>
        <w:rPr>
          <w:rFonts w:hint="eastAsia" w:ascii="宋体" w:hAnsi="宋体" w:eastAsia="宋体" w:cs="宋体"/>
          <w:color w:val="auto"/>
          <w:sz w:val="22"/>
          <w:szCs w:val="22"/>
          <w:highlight w:val="none"/>
          <w:lang w:eastAsia="zh-CN"/>
        </w:rPr>
        <w:t>大豆油（非转基因）一级10L、菜籽油（非转基因）一级10L</w:t>
      </w:r>
      <w:r>
        <w:rPr>
          <w:rFonts w:hint="eastAsia" w:ascii="宋体" w:hAnsi="宋体" w:eastAsia="宋体" w:cs="宋体"/>
          <w:color w:val="auto"/>
          <w:sz w:val="22"/>
          <w:szCs w:val="22"/>
          <w:highlight w:val="none"/>
          <w:lang w:val="en-US" w:eastAsia="zh-CN"/>
        </w:rPr>
        <w:t>各2瓶，其中1瓶做现场拆包评定，另1瓶样品在中标后作为验收及供货的依据。</w:t>
      </w:r>
    </w:p>
    <w:p w14:paraId="697E2721">
      <w:pPr>
        <w:spacing w:line="460" w:lineRule="exact"/>
        <w:ind w:firstLine="440" w:firstLineChars="200"/>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lang w:eastAsia="zh-CN"/>
        </w:rPr>
        <w:t>样品均需标明供应商全称、样品名称、规格、品牌、等级、产地等信息，并包装完好（如未标注投标人信息或信息模糊不清，评审委员会可能对其作出不利评判，其后果由投标人自行承担）。</w:t>
      </w:r>
    </w:p>
    <w:p w14:paraId="209EA4C5">
      <w:pPr>
        <w:spacing w:line="460" w:lineRule="exact"/>
        <w:ind w:firstLine="440" w:firstLineChars="200"/>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lang w:eastAsia="zh-CN"/>
        </w:rPr>
        <w:t>供应商自行承担样品费用，中标</w:t>
      </w:r>
      <w:r>
        <w:rPr>
          <w:rFonts w:hint="eastAsia" w:ascii="宋体" w:hAnsi="宋体" w:eastAsia="宋体" w:cs="宋体"/>
          <w:color w:val="auto"/>
          <w:sz w:val="22"/>
          <w:szCs w:val="22"/>
          <w:highlight w:val="none"/>
          <w:lang w:val="en-US" w:eastAsia="zh-CN"/>
        </w:rPr>
        <w:t>供应商样品</w:t>
      </w:r>
      <w:r>
        <w:rPr>
          <w:rFonts w:hint="eastAsia" w:ascii="宋体" w:hAnsi="宋体" w:eastAsia="宋体" w:cs="宋体"/>
          <w:color w:val="auto"/>
          <w:sz w:val="22"/>
          <w:szCs w:val="22"/>
          <w:highlight w:val="none"/>
          <w:lang w:eastAsia="zh-CN"/>
        </w:rPr>
        <w:t>由招标人封存，并作为验收标准。未中标</w:t>
      </w:r>
      <w:r>
        <w:rPr>
          <w:rFonts w:hint="eastAsia" w:ascii="宋体" w:hAnsi="宋体" w:eastAsia="宋体" w:cs="宋体"/>
          <w:color w:val="auto"/>
          <w:sz w:val="22"/>
          <w:szCs w:val="22"/>
          <w:highlight w:val="none"/>
          <w:lang w:val="en-US" w:eastAsia="zh-CN"/>
        </w:rPr>
        <w:t>样品</w:t>
      </w:r>
      <w:r>
        <w:rPr>
          <w:rFonts w:hint="eastAsia" w:ascii="宋体" w:hAnsi="宋体" w:eastAsia="宋体" w:cs="宋体"/>
          <w:color w:val="auto"/>
          <w:sz w:val="22"/>
          <w:szCs w:val="22"/>
          <w:highlight w:val="none"/>
          <w:lang w:eastAsia="zh-CN"/>
        </w:rPr>
        <w:t>在评审结束后退还。</w:t>
      </w:r>
    </w:p>
    <w:p w14:paraId="13B33846">
      <w:pPr>
        <w:spacing w:line="460" w:lineRule="exact"/>
        <w:ind w:firstLine="440" w:firstLineChars="200"/>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4</w:t>
      </w:r>
      <w:r>
        <w:rPr>
          <w:rFonts w:hint="eastAsia" w:ascii="宋体" w:hAnsi="宋体" w:eastAsia="宋体" w:cs="宋体"/>
          <w:color w:val="auto"/>
          <w:sz w:val="22"/>
          <w:szCs w:val="22"/>
          <w:highlight w:val="none"/>
          <w:lang w:eastAsia="zh-CN"/>
        </w:rPr>
        <w:t>、样品的递交方式：现场递交。</w:t>
      </w:r>
    </w:p>
    <w:p w14:paraId="37D04E28">
      <w:pPr>
        <w:spacing w:line="460" w:lineRule="exact"/>
        <w:ind w:firstLine="440" w:firstLineChars="200"/>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递交时间：开标当日8:</w:t>
      </w: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lang w:eastAsia="zh-CN"/>
        </w:rPr>
        <w:t>0至提交投标文件截止时间止。</w:t>
      </w:r>
    </w:p>
    <w:p w14:paraId="19A137A5">
      <w:pPr>
        <w:spacing w:line="460" w:lineRule="exact"/>
        <w:ind w:firstLine="440" w:firstLineChars="200"/>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递交地点：温州市鹿城区勤民路鹿城壹号18幢803室。</w:t>
      </w:r>
    </w:p>
    <w:p w14:paraId="74BCA75C">
      <w:pPr>
        <w:spacing w:line="460" w:lineRule="exact"/>
        <w:ind w:firstLine="440" w:firstLineChars="200"/>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联系人：王先生；手机：13757727199。</w:t>
      </w:r>
    </w:p>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14:paraId="4BC06AA4">
      <w:pPr>
        <w:keepNext w:val="0"/>
        <w:keepLines w:val="0"/>
        <w:pageBreakBefore w:val="0"/>
        <w:widowControl w:val="0"/>
        <w:numPr>
          <w:ilvl w:val="0"/>
          <w:numId w:val="6"/>
        </w:numPr>
        <w:kinsoku/>
        <w:wordWrap/>
        <w:overflowPunct/>
        <w:topLinePunct w:val="0"/>
        <w:bidi w:val="0"/>
        <w:spacing w:line="460" w:lineRule="exact"/>
        <w:textAlignment w:val="auto"/>
        <w:rPr>
          <w:rFonts w:hint="eastAsia" w:ascii="宋体" w:hAnsi="宋体" w:eastAsia="宋体" w:cs="宋体"/>
          <w:color w:val="auto"/>
          <w:highlight w:val="none"/>
        </w:rPr>
      </w:pPr>
      <w:r>
        <w:rPr>
          <w:rFonts w:hint="eastAsia" w:ascii="宋体" w:hAnsi="宋体" w:eastAsia="宋体" w:cs="宋体"/>
          <w:b/>
          <w:color w:val="auto"/>
          <w:sz w:val="30"/>
          <w:highlight w:val="none"/>
        </w:rPr>
        <w:br w:type="page"/>
      </w:r>
    </w:p>
    <w:p w14:paraId="13BEB5BD">
      <w:pPr>
        <w:keepNext w:val="0"/>
        <w:keepLines w:val="0"/>
        <w:pageBreakBefore w:val="0"/>
        <w:widowControl w:val="0"/>
        <w:kinsoku/>
        <w:wordWrap/>
        <w:overflowPunct/>
        <w:topLinePunct w:val="0"/>
        <w:autoSpaceDE/>
        <w:autoSpaceDN/>
        <w:bidi w:val="0"/>
        <w:adjustRightInd/>
        <w:snapToGrid/>
        <w:spacing w:line="460" w:lineRule="exact"/>
        <w:jc w:val="center"/>
        <w:textAlignment w:val="auto"/>
        <w:outlineLvl w:val="1"/>
        <w:rPr>
          <w:rFonts w:hint="eastAsia" w:ascii="新宋体" w:hAnsi="新宋体" w:eastAsia="新宋体" w:cs="新宋体"/>
          <w:b/>
          <w:color w:val="auto"/>
          <w:sz w:val="28"/>
          <w:szCs w:val="28"/>
          <w:highlight w:val="none"/>
          <w:shd w:val="clear" w:color="auto" w:fill="auto"/>
          <w:lang w:val="en-US" w:eastAsia="zh-CN"/>
        </w:rPr>
      </w:pPr>
      <w:bookmarkStart w:id="67" w:name="_Toc30323"/>
      <w:bookmarkStart w:id="68" w:name="_Toc18194"/>
      <w:r>
        <w:rPr>
          <w:rFonts w:hint="eastAsia" w:ascii="新宋体" w:hAnsi="新宋体" w:eastAsia="新宋体" w:cs="新宋体"/>
          <w:b/>
          <w:color w:val="auto"/>
          <w:sz w:val="28"/>
          <w:szCs w:val="28"/>
          <w:highlight w:val="none"/>
          <w:shd w:val="clear" w:color="auto" w:fill="auto"/>
          <w:lang w:val="en-US" w:eastAsia="zh-CN"/>
        </w:rPr>
        <w:t>动态考核机制</w:t>
      </w:r>
    </w:p>
    <w:p w14:paraId="70772FD8">
      <w:pPr>
        <w:tabs>
          <w:tab w:val="left" w:pos="360"/>
        </w:tabs>
        <w:spacing w:line="460" w:lineRule="exact"/>
        <w:ind w:firstLine="550" w:firstLineChars="250"/>
        <w:rPr>
          <w:rFonts w:hint="eastAsia" w:ascii="新宋体" w:hAnsi="新宋体" w:eastAsia="新宋体" w:cs="新宋体"/>
          <w:b w:val="0"/>
          <w:bCs w:val="0"/>
          <w:color w:val="auto"/>
          <w:sz w:val="22"/>
          <w:highlight w:val="none"/>
        </w:rPr>
      </w:pPr>
      <w:r>
        <w:rPr>
          <w:rFonts w:hint="eastAsia" w:ascii="新宋体" w:hAnsi="新宋体" w:eastAsia="新宋体" w:cs="新宋体"/>
          <w:b w:val="0"/>
          <w:bCs w:val="0"/>
          <w:color w:val="auto"/>
          <w:sz w:val="22"/>
          <w:highlight w:val="none"/>
        </w:rPr>
        <w:t>配送任务完成后，</w:t>
      </w:r>
      <w:r>
        <w:rPr>
          <w:rFonts w:hint="eastAsia" w:ascii="新宋体" w:hAnsi="新宋体" w:eastAsia="新宋体" w:cs="新宋体"/>
          <w:b w:val="0"/>
          <w:bCs w:val="0"/>
          <w:color w:val="auto"/>
          <w:sz w:val="22"/>
          <w:highlight w:val="none"/>
          <w:lang w:eastAsia="zh-CN"/>
        </w:rPr>
        <w:t>温州市中心医院、温州市第六人民医院</w:t>
      </w:r>
      <w:r>
        <w:rPr>
          <w:rFonts w:hint="eastAsia" w:ascii="新宋体" w:hAnsi="新宋体" w:eastAsia="新宋体" w:cs="新宋体"/>
          <w:b w:val="0"/>
          <w:bCs w:val="0"/>
          <w:color w:val="auto"/>
          <w:sz w:val="22"/>
          <w:highlight w:val="none"/>
          <w:lang w:val="en-US" w:eastAsia="zh-CN"/>
        </w:rPr>
        <w:t>每月</w:t>
      </w:r>
      <w:r>
        <w:rPr>
          <w:rFonts w:hint="eastAsia" w:ascii="新宋体" w:hAnsi="新宋体" w:eastAsia="新宋体" w:cs="新宋体"/>
          <w:b w:val="0"/>
          <w:bCs w:val="0"/>
          <w:color w:val="auto"/>
          <w:sz w:val="22"/>
          <w:highlight w:val="none"/>
        </w:rPr>
        <w:t>对配送单位实行考核评分，月度考核得分以</w:t>
      </w:r>
      <w:r>
        <w:rPr>
          <w:rFonts w:hint="eastAsia" w:ascii="新宋体" w:hAnsi="新宋体" w:eastAsia="新宋体" w:cs="新宋体"/>
          <w:b w:val="0"/>
          <w:bCs w:val="0"/>
          <w:color w:val="auto"/>
          <w:sz w:val="22"/>
          <w:highlight w:val="none"/>
          <w:lang w:val="en-US" w:eastAsia="zh-CN"/>
        </w:rPr>
        <w:t>100</w:t>
      </w:r>
      <w:r>
        <w:rPr>
          <w:rFonts w:hint="eastAsia" w:ascii="新宋体" w:hAnsi="新宋体" w:eastAsia="新宋体" w:cs="新宋体"/>
          <w:b w:val="0"/>
          <w:bCs w:val="0"/>
          <w:color w:val="auto"/>
          <w:sz w:val="22"/>
          <w:highlight w:val="none"/>
        </w:rPr>
        <w:t>分为基准分。月考核分低于</w:t>
      </w:r>
      <w:r>
        <w:rPr>
          <w:rFonts w:hint="eastAsia" w:ascii="新宋体" w:hAnsi="新宋体" w:eastAsia="新宋体" w:cs="新宋体"/>
          <w:b w:val="0"/>
          <w:bCs w:val="0"/>
          <w:color w:val="auto"/>
          <w:sz w:val="22"/>
          <w:highlight w:val="none"/>
          <w:lang w:val="en-US" w:eastAsia="zh-CN"/>
        </w:rPr>
        <w:t>100</w:t>
      </w:r>
      <w:r>
        <w:rPr>
          <w:rFonts w:hint="eastAsia" w:ascii="新宋体" w:hAnsi="新宋体" w:eastAsia="新宋体" w:cs="新宋体"/>
          <w:b w:val="0"/>
          <w:bCs w:val="0"/>
          <w:color w:val="auto"/>
          <w:sz w:val="22"/>
          <w:highlight w:val="none"/>
        </w:rPr>
        <w:t>分，高于等于</w:t>
      </w:r>
      <w:r>
        <w:rPr>
          <w:rFonts w:hint="eastAsia" w:ascii="新宋体" w:hAnsi="新宋体" w:eastAsia="新宋体" w:cs="新宋体"/>
          <w:b w:val="0"/>
          <w:bCs w:val="0"/>
          <w:color w:val="auto"/>
          <w:sz w:val="22"/>
          <w:highlight w:val="none"/>
          <w:lang w:val="en-US" w:eastAsia="zh-CN"/>
        </w:rPr>
        <w:t>9</w:t>
      </w:r>
      <w:r>
        <w:rPr>
          <w:rFonts w:hint="eastAsia" w:ascii="新宋体" w:hAnsi="新宋体" w:eastAsia="新宋体" w:cs="新宋体"/>
          <w:b w:val="0"/>
          <w:bCs w:val="0"/>
          <w:color w:val="auto"/>
          <w:sz w:val="22"/>
          <w:highlight w:val="none"/>
        </w:rPr>
        <w:t>0分，则每少于基准分1分扣当月结算款的1%；,月考核考核分低于</w:t>
      </w:r>
      <w:r>
        <w:rPr>
          <w:rFonts w:hint="eastAsia" w:ascii="新宋体" w:hAnsi="新宋体" w:eastAsia="新宋体" w:cs="新宋体"/>
          <w:b w:val="0"/>
          <w:bCs w:val="0"/>
          <w:color w:val="auto"/>
          <w:sz w:val="22"/>
          <w:highlight w:val="none"/>
          <w:lang w:val="en-US" w:eastAsia="zh-CN"/>
        </w:rPr>
        <w:t>9</w:t>
      </w:r>
      <w:r>
        <w:rPr>
          <w:rFonts w:hint="eastAsia" w:ascii="新宋体" w:hAnsi="新宋体" w:eastAsia="新宋体" w:cs="新宋体"/>
          <w:b w:val="0"/>
          <w:bCs w:val="0"/>
          <w:color w:val="auto"/>
          <w:sz w:val="22"/>
          <w:highlight w:val="none"/>
        </w:rPr>
        <w:t>0分，则每少于基准分1分扣当月结算款的2% ；高于或等于基准分，全额付款。</w:t>
      </w:r>
    </w:p>
    <w:p w14:paraId="5ADE7A13">
      <w:pPr>
        <w:tabs>
          <w:tab w:val="left" w:pos="360"/>
        </w:tabs>
        <w:spacing w:line="460" w:lineRule="exact"/>
        <w:ind w:firstLine="550" w:firstLineChars="250"/>
        <w:rPr>
          <w:rFonts w:hint="eastAsia" w:ascii="新宋体" w:hAnsi="新宋体" w:eastAsia="新宋体" w:cs="新宋体"/>
          <w:b w:val="0"/>
          <w:bCs w:val="0"/>
          <w:color w:val="auto"/>
          <w:sz w:val="22"/>
          <w:highlight w:val="none"/>
        </w:rPr>
      </w:pPr>
      <w:r>
        <w:rPr>
          <w:rFonts w:hint="eastAsia" w:ascii="新宋体" w:hAnsi="新宋体" w:eastAsia="新宋体" w:cs="新宋体"/>
          <w:b w:val="0"/>
          <w:bCs w:val="0"/>
          <w:color w:val="auto"/>
          <w:sz w:val="22"/>
          <w:highlight w:val="none"/>
        </w:rPr>
        <w:t>同一年度，若配送单位出现三次考核得分低于</w:t>
      </w:r>
      <w:r>
        <w:rPr>
          <w:rFonts w:hint="eastAsia" w:ascii="新宋体" w:hAnsi="新宋体" w:eastAsia="新宋体" w:cs="新宋体"/>
          <w:b w:val="0"/>
          <w:bCs w:val="0"/>
          <w:color w:val="auto"/>
          <w:sz w:val="22"/>
          <w:highlight w:val="none"/>
          <w:lang w:val="en-US" w:eastAsia="zh-CN"/>
        </w:rPr>
        <w:t>10</w:t>
      </w:r>
      <w:r>
        <w:rPr>
          <w:rFonts w:hint="eastAsia" w:ascii="新宋体" w:hAnsi="新宋体" w:eastAsia="新宋体" w:cs="新宋体"/>
          <w:b w:val="0"/>
          <w:bCs w:val="0"/>
          <w:color w:val="auto"/>
          <w:sz w:val="22"/>
          <w:highlight w:val="none"/>
        </w:rPr>
        <w:t>0分的，采购人有权解除合同，取消配送供应资格，</w:t>
      </w:r>
      <w:r>
        <w:rPr>
          <w:rFonts w:hint="eastAsia" w:ascii="新宋体" w:hAnsi="新宋体" w:eastAsia="新宋体" w:cs="新宋体"/>
          <w:color w:val="auto"/>
          <w:sz w:val="22"/>
          <w:highlight w:val="none"/>
        </w:rPr>
        <w:t>并扣罚相应</w:t>
      </w:r>
      <w:r>
        <w:rPr>
          <w:rFonts w:hint="eastAsia" w:ascii="新宋体" w:hAnsi="新宋体" w:eastAsia="新宋体" w:cs="新宋体"/>
          <w:color w:val="auto"/>
          <w:sz w:val="22"/>
          <w:highlight w:val="none"/>
          <w:lang w:val="en-US" w:eastAsia="zh-CN"/>
        </w:rPr>
        <w:t>货款</w:t>
      </w:r>
      <w:r>
        <w:rPr>
          <w:rFonts w:hint="eastAsia" w:ascii="新宋体" w:hAnsi="新宋体" w:eastAsia="新宋体" w:cs="新宋体"/>
          <w:color w:val="auto"/>
          <w:sz w:val="22"/>
          <w:highlight w:val="none"/>
        </w:rPr>
        <w:t>。</w:t>
      </w:r>
      <w:r>
        <w:rPr>
          <w:rFonts w:hint="eastAsia" w:ascii="新宋体" w:hAnsi="新宋体" w:eastAsia="新宋体" w:cs="新宋体"/>
          <w:b w:val="0"/>
          <w:bCs w:val="0"/>
          <w:color w:val="auto"/>
          <w:sz w:val="22"/>
          <w:highlight w:val="none"/>
        </w:rPr>
        <w:t>发生食物中毒等食品安全事故的将终止合同，</w:t>
      </w:r>
      <w:r>
        <w:rPr>
          <w:rFonts w:hint="eastAsia" w:ascii="新宋体" w:hAnsi="新宋体" w:eastAsia="新宋体" w:cs="新宋体"/>
          <w:color w:val="auto"/>
          <w:sz w:val="22"/>
          <w:highlight w:val="none"/>
        </w:rPr>
        <w:t>并扣罚相应</w:t>
      </w:r>
      <w:r>
        <w:rPr>
          <w:rFonts w:hint="eastAsia" w:ascii="新宋体" w:hAnsi="新宋体" w:eastAsia="新宋体" w:cs="新宋体"/>
          <w:color w:val="auto"/>
          <w:sz w:val="22"/>
          <w:highlight w:val="none"/>
          <w:lang w:val="en-US" w:eastAsia="zh-CN"/>
        </w:rPr>
        <w:t>货款</w:t>
      </w:r>
      <w:r>
        <w:rPr>
          <w:rFonts w:hint="eastAsia" w:ascii="新宋体" w:hAnsi="新宋体" w:eastAsia="新宋体" w:cs="新宋体"/>
          <w:color w:val="auto"/>
          <w:sz w:val="22"/>
          <w:highlight w:val="none"/>
        </w:rPr>
        <w:t>。</w:t>
      </w:r>
      <w:r>
        <w:rPr>
          <w:rFonts w:hint="eastAsia" w:ascii="新宋体" w:hAnsi="新宋体" w:eastAsia="新宋体" w:cs="新宋体"/>
          <w:b w:val="0"/>
          <w:bCs w:val="0"/>
          <w:color w:val="auto"/>
          <w:sz w:val="22"/>
          <w:highlight w:val="none"/>
        </w:rPr>
        <w:t>各项指标扣完为止，不倒扣分。各食堂主管人员须做好日常的品质、数量、时效评价并登记记录工作，并将扣分记录告知供应商，并每月前将月考核表总分数作为结算依据。本动态考核细则为暂定内容,</w:t>
      </w:r>
      <w:r>
        <w:rPr>
          <w:rFonts w:hint="eastAsia" w:ascii="新宋体" w:hAnsi="新宋体" w:eastAsia="新宋体" w:cs="新宋体"/>
          <w:b w:val="0"/>
          <w:bCs w:val="0"/>
          <w:color w:val="auto"/>
          <w:sz w:val="22"/>
          <w:highlight w:val="none"/>
          <w:lang w:val="en-US" w:eastAsia="zh-CN"/>
        </w:rPr>
        <w:t>采购</w:t>
      </w:r>
      <w:r>
        <w:rPr>
          <w:rFonts w:hint="eastAsia" w:ascii="新宋体" w:hAnsi="新宋体" w:eastAsia="新宋体" w:cs="新宋体"/>
          <w:b w:val="0"/>
          <w:bCs w:val="0"/>
          <w:color w:val="auto"/>
          <w:sz w:val="22"/>
          <w:highlight w:val="none"/>
        </w:rPr>
        <w:t>人有权根据配送具体情况修改及添加考核条款。</w:t>
      </w:r>
    </w:p>
    <w:p w14:paraId="1B4AADD5">
      <w:pPr>
        <w:tabs>
          <w:tab w:val="left" w:pos="360"/>
        </w:tabs>
        <w:spacing w:line="460" w:lineRule="exact"/>
        <w:ind w:firstLine="552" w:firstLineChars="250"/>
        <w:jc w:val="center"/>
        <w:rPr>
          <w:rFonts w:hint="eastAsia" w:ascii="新宋体" w:hAnsi="新宋体" w:eastAsia="新宋体" w:cs="新宋体"/>
          <w:b/>
          <w:bCs/>
          <w:color w:val="auto"/>
          <w:sz w:val="22"/>
          <w:highlight w:val="none"/>
        </w:rPr>
      </w:pPr>
      <w:r>
        <w:rPr>
          <w:rFonts w:hint="eastAsia" w:ascii="新宋体" w:hAnsi="新宋体" w:eastAsia="新宋体" w:cs="新宋体"/>
          <w:b/>
          <w:bCs/>
          <w:color w:val="auto"/>
          <w:sz w:val="22"/>
          <w:highlight w:val="none"/>
        </w:rPr>
        <w:t>动态考核细则</w:t>
      </w:r>
    </w:p>
    <w:tbl>
      <w:tblPr>
        <w:tblStyle w:val="52"/>
        <w:tblW w:w="97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1112"/>
        <w:gridCol w:w="2800"/>
        <w:gridCol w:w="3000"/>
        <w:gridCol w:w="763"/>
        <w:gridCol w:w="750"/>
        <w:gridCol w:w="787"/>
      </w:tblGrid>
      <w:tr w14:paraId="6B95B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dxa"/>
            <w:tcBorders>
              <w:top w:val="single" w:color="auto" w:sz="4" w:space="0"/>
              <w:left w:val="single" w:color="auto" w:sz="4" w:space="0"/>
              <w:bottom w:val="single" w:color="auto" w:sz="4" w:space="0"/>
              <w:right w:val="single" w:color="auto" w:sz="4" w:space="0"/>
            </w:tcBorders>
            <w:noWrap w:val="0"/>
            <w:vAlign w:val="center"/>
          </w:tcPr>
          <w:p w14:paraId="2F4C5B61">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序号</w:t>
            </w:r>
          </w:p>
        </w:tc>
        <w:tc>
          <w:tcPr>
            <w:tcW w:w="1112" w:type="dxa"/>
            <w:tcBorders>
              <w:top w:val="single" w:color="auto" w:sz="4" w:space="0"/>
              <w:left w:val="single" w:color="auto" w:sz="4" w:space="0"/>
              <w:bottom w:val="single" w:color="auto" w:sz="4" w:space="0"/>
              <w:right w:val="single" w:color="auto" w:sz="4" w:space="0"/>
            </w:tcBorders>
            <w:noWrap w:val="0"/>
            <w:vAlign w:val="center"/>
          </w:tcPr>
          <w:p w14:paraId="0A0F5FC7">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考核</w:t>
            </w:r>
          </w:p>
          <w:p w14:paraId="562DEF82">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内容</w:t>
            </w:r>
          </w:p>
        </w:tc>
        <w:tc>
          <w:tcPr>
            <w:tcW w:w="2800" w:type="dxa"/>
            <w:tcBorders>
              <w:top w:val="single" w:color="auto" w:sz="4" w:space="0"/>
              <w:left w:val="single" w:color="auto" w:sz="4" w:space="0"/>
              <w:bottom w:val="single" w:color="auto" w:sz="4" w:space="0"/>
              <w:right w:val="single" w:color="auto" w:sz="4" w:space="0"/>
            </w:tcBorders>
            <w:noWrap w:val="0"/>
            <w:vAlign w:val="center"/>
          </w:tcPr>
          <w:p w14:paraId="72D40B7E">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考核细则</w:t>
            </w:r>
          </w:p>
        </w:tc>
        <w:tc>
          <w:tcPr>
            <w:tcW w:w="3000" w:type="dxa"/>
            <w:tcBorders>
              <w:top w:val="single" w:color="auto" w:sz="4" w:space="0"/>
              <w:left w:val="single" w:color="auto" w:sz="4" w:space="0"/>
              <w:bottom w:val="single" w:color="auto" w:sz="4" w:space="0"/>
              <w:right w:val="single" w:color="auto" w:sz="4" w:space="0"/>
            </w:tcBorders>
            <w:noWrap w:val="0"/>
            <w:vAlign w:val="center"/>
          </w:tcPr>
          <w:p w14:paraId="7C682C37">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标分标准</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5F7CCDF6">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基本分</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4241EADB">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考核情况</w:t>
            </w:r>
          </w:p>
        </w:tc>
        <w:tc>
          <w:tcPr>
            <w:tcW w:w="787" w:type="dxa"/>
            <w:tcBorders>
              <w:top w:val="single" w:color="auto" w:sz="4" w:space="0"/>
              <w:left w:val="single" w:color="auto" w:sz="4" w:space="0"/>
              <w:bottom w:val="single" w:color="auto" w:sz="4" w:space="0"/>
              <w:right w:val="single" w:color="auto" w:sz="4" w:space="0"/>
            </w:tcBorders>
            <w:noWrap w:val="0"/>
            <w:vAlign w:val="center"/>
          </w:tcPr>
          <w:p w14:paraId="21EB5008">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扣分情况</w:t>
            </w:r>
          </w:p>
        </w:tc>
      </w:tr>
      <w:tr w14:paraId="49848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dxa"/>
            <w:vMerge w:val="restart"/>
            <w:tcBorders>
              <w:top w:val="single" w:color="auto" w:sz="4" w:space="0"/>
              <w:left w:val="single" w:color="auto" w:sz="4" w:space="0"/>
              <w:bottom w:val="single" w:color="auto" w:sz="4" w:space="0"/>
              <w:right w:val="single" w:color="auto" w:sz="4" w:space="0"/>
            </w:tcBorders>
            <w:noWrap w:val="0"/>
            <w:vAlign w:val="center"/>
          </w:tcPr>
          <w:p w14:paraId="5BDB0D3C">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w:t>
            </w:r>
          </w:p>
        </w:tc>
        <w:tc>
          <w:tcPr>
            <w:tcW w:w="1112" w:type="dxa"/>
            <w:vMerge w:val="restart"/>
            <w:tcBorders>
              <w:top w:val="single" w:color="auto" w:sz="4" w:space="0"/>
              <w:left w:val="single" w:color="auto" w:sz="4" w:space="0"/>
              <w:bottom w:val="single" w:color="auto" w:sz="4" w:space="0"/>
              <w:right w:val="single" w:color="auto" w:sz="4" w:space="0"/>
            </w:tcBorders>
            <w:noWrap w:val="0"/>
            <w:vAlign w:val="center"/>
          </w:tcPr>
          <w:p w14:paraId="56F06F5A">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货源组织</w:t>
            </w:r>
          </w:p>
        </w:tc>
        <w:tc>
          <w:tcPr>
            <w:tcW w:w="2800" w:type="dxa"/>
            <w:tcBorders>
              <w:top w:val="single" w:color="auto" w:sz="4" w:space="0"/>
              <w:left w:val="single" w:color="auto" w:sz="4" w:space="0"/>
              <w:bottom w:val="single" w:color="auto" w:sz="4" w:space="0"/>
              <w:right w:val="single" w:color="auto" w:sz="4" w:space="0"/>
            </w:tcBorders>
            <w:noWrap w:val="0"/>
            <w:vAlign w:val="center"/>
          </w:tcPr>
          <w:p w14:paraId="5A8EBC26">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从符合规定资质的单位进货、有协议及资质证明材料</w:t>
            </w:r>
          </w:p>
        </w:tc>
        <w:tc>
          <w:tcPr>
            <w:tcW w:w="3000" w:type="dxa"/>
            <w:tcBorders>
              <w:top w:val="single" w:color="auto" w:sz="4" w:space="0"/>
              <w:left w:val="single" w:color="auto" w:sz="4" w:space="0"/>
              <w:bottom w:val="single" w:color="auto" w:sz="4" w:space="0"/>
              <w:right w:val="single" w:color="auto" w:sz="4" w:space="0"/>
            </w:tcBorders>
            <w:noWrap w:val="0"/>
            <w:vAlign w:val="center"/>
          </w:tcPr>
          <w:p w14:paraId="00F005B9">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不符要求每次扣1分</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62C51A47">
            <w:pPr>
              <w:spacing w:line="460" w:lineRule="exact"/>
              <w:jc w:val="center"/>
              <w:rPr>
                <w:rFonts w:hint="eastAsia" w:ascii="新宋体" w:hAnsi="新宋体" w:eastAsia="新宋体" w:cs="新宋体"/>
                <w:color w:val="auto"/>
                <w:sz w:val="22"/>
                <w:szCs w:val="22"/>
                <w:highlight w:val="none"/>
                <w:lang w:eastAsia="zh-CN"/>
              </w:rPr>
            </w:pPr>
            <w:r>
              <w:rPr>
                <w:rFonts w:hint="eastAsia" w:ascii="新宋体" w:hAnsi="新宋体" w:eastAsia="新宋体" w:cs="新宋体"/>
                <w:color w:val="auto"/>
                <w:sz w:val="22"/>
                <w:szCs w:val="22"/>
                <w:highlight w:val="none"/>
                <w:lang w:val="en-US" w:eastAsia="zh-CN"/>
              </w:rPr>
              <w:t>5</w:t>
            </w:r>
          </w:p>
        </w:tc>
        <w:tc>
          <w:tcPr>
            <w:tcW w:w="750" w:type="dxa"/>
            <w:tcBorders>
              <w:top w:val="single" w:color="auto" w:sz="4" w:space="0"/>
              <w:left w:val="single" w:color="auto" w:sz="4" w:space="0"/>
              <w:bottom w:val="single" w:color="auto" w:sz="4" w:space="0"/>
              <w:right w:val="single" w:color="auto" w:sz="4" w:space="0"/>
            </w:tcBorders>
            <w:noWrap w:val="0"/>
            <w:vAlign w:val="top"/>
          </w:tcPr>
          <w:p w14:paraId="47D66959">
            <w:pPr>
              <w:spacing w:line="460" w:lineRule="exact"/>
              <w:jc w:val="center"/>
              <w:rPr>
                <w:rFonts w:hint="eastAsia" w:ascii="新宋体" w:hAnsi="新宋体" w:eastAsia="新宋体" w:cs="新宋体"/>
                <w:color w:val="auto"/>
                <w:sz w:val="22"/>
                <w:szCs w:val="22"/>
                <w:highlight w:val="none"/>
              </w:rPr>
            </w:pPr>
          </w:p>
        </w:tc>
        <w:tc>
          <w:tcPr>
            <w:tcW w:w="787" w:type="dxa"/>
            <w:tcBorders>
              <w:top w:val="single" w:color="auto" w:sz="4" w:space="0"/>
              <w:left w:val="single" w:color="auto" w:sz="4" w:space="0"/>
              <w:bottom w:val="single" w:color="auto" w:sz="4" w:space="0"/>
              <w:right w:val="single" w:color="auto" w:sz="4" w:space="0"/>
            </w:tcBorders>
            <w:noWrap w:val="0"/>
            <w:vAlign w:val="center"/>
          </w:tcPr>
          <w:p w14:paraId="623489E9">
            <w:pPr>
              <w:spacing w:line="460" w:lineRule="exact"/>
              <w:jc w:val="center"/>
              <w:rPr>
                <w:rFonts w:hint="eastAsia" w:ascii="新宋体" w:hAnsi="新宋体" w:eastAsia="新宋体" w:cs="新宋体"/>
                <w:color w:val="auto"/>
                <w:sz w:val="22"/>
                <w:szCs w:val="22"/>
                <w:highlight w:val="none"/>
              </w:rPr>
            </w:pPr>
          </w:p>
        </w:tc>
      </w:tr>
      <w:tr w14:paraId="69809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dxa"/>
            <w:vMerge w:val="continue"/>
            <w:tcBorders>
              <w:top w:val="single" w:color="auto" w:sz="4" w:space="0"/>
              <w:left w:val="single" w:color="auto" w:sz="4" w:space="0"/>
              <w:bottom w:val="single" w:color="auto" w:sz="4" w:space="0"/>
              <w:right w:val="single" w:color="auto" w:sz="4" w:space="0"/>
            </w:tcBorders>
            <w:noWrap w:val="0"/>
            <w:vAlign w:val="center"/>
          </w:tcPr>
          <w:p w14:paraId="7BECEFC0">
            <w:pPr>
              <w:spacing w:line="460" w:lineRule="exact"/>
              <w:jc w:val="center"/>
              <w:rPr>
                <w:rFonts w:hint="eastAsia" w:ascii="新宋体" w:hAnsi="新宋体" w:eastAsia="新宋体" w:cs="新宋体"/>
                <w:color w:val="auto"/>
                <w:sz w:val="22"/>
                <w:szCs w:val="22"/>
                <w:highlight w:val="none"/>
              </w:rPr>
            </w:pPr>
          </w:p>
        </w:tc>
        <w:tc>
          <w:tcPr>
            <w:tcW w:w="1112" w:type="dxa"/>
            <w:vMerge w:val="continue"/>
            <w:tcBorders>
              <w:top w:val="single" w:color="auto" w:sz="4" w:space="0"/>
              <w:left w:val="single" w:color="auto" w:sz="4" w:space="0"/>
              <w:bottom w:val="single" w:color="auto" w:sz="4" w:space="0"/>
              <w:right w:val="single" w:color="auto" w:sz="4" w:space="0"/>
            </w:tcBorders>
            <w:noWrap w:val="0"/>
            <w:vAlign w:val="center"/>
          </w:tcPr>
          <w:p w14:paraId="079E9DA6">
            <w:pPr>
              <w:spacing w:line="460" w:lineRule="exact"/>
              <w:jc w:val="center"/>
              <w:rPr>
                <w:rFonts w:hint="eastAsia" w:ascii="新宋体" w:hAnsi="新宋体" w:eastAsia="新宋体" w:cs="新宋体"/>
                <w:color w:val="auto"/>
                <w:sz w:val="22"/>
                <w:szCs w:val="22"/>
                <w:highlight w:val="none"/>
              </w:rPr>
            </w:pPr>
          </w:p>
        </w:tc>
        <w:tc>
          <w:tcPr>
            <w:tcW w:w="2800" w:type="dxa"/>
            <w:tcBorders>
              <w:top w:val="single" w:color="auto" w:sz="4" w:space="0"/>
              <w:left w:val="single" w:color="auto" w:sz="4" w:space="0"/>
              <w:bottom w:val="single" w:color="auto" w:sz="4" w:space="0"/>
              <w:right w:val="single" w:color="auto" w:sz="4" w:space="0"/>
            </w:tcBorders>
            <w:noWrap w:val="0"/>
            <w:vAlign w:val="center"/>
          </w:tcPr>
          <w:p w14:paraId="1DBF5F7A">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产品证件（合格证、检疫证、检验报告等原件或复印件）</w:t>
            </w:r>
          </w:p>
        </w:tc>
        <w:tc>
          <w:tcPr>
            <w:tcW w:w="3000" w:type="dxa"/>
            <w:tcBorders>
              <w:top w:val="single" w:color="auto" w:sz="4" w:space="0"/>
              <w:left w:val="single" w:color="auto" w:sz="4" w:space="0"/>
              <w:bottom w:val="single" w:color="auto" w:sz="4" w:space="0"/>
              <w:right w:val="single" w:color="auto" w:sz="4" w:space="0"/>
            </w:tcBorders>
            <w:noWrap w:val="0"/>
            <w:vAlign w:val="center"/>
          </w:tcPr>
          <w:p w14:paraId="3057D57C">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不符要求每次扣1分</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1A3C7C82">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5</w:t>
            </w:r>
          </w:p>
        </w:tc>
        <w:tc>
          <w:tcPr>
            <w:tcW w:w="750" w:type="dxa"/>
            <w:tcBorders>
              <w:top w:val="single" w:color="auto" w:sz="4" w:space="0"/>
              <w:left w:val="single" w:color="auto" w:sz="4" w:space="0"/>
              <w:bottom w:val="single" w:color="auto" w:sz="4" w:space="0"/>
              <w:right w:val="single" w:color="auto" w:sz="4" w:space="0"/>
            </w:tcBorders>
            <w:noWrap w:val="0"/>
            <w:vAlign w:val="top"/>
          </w:tcPr>
          <w:p w14:paraId="5DF0AD21">
            <w:pPr>
              <w:spacing w:line="460" w:lineRule="exact"/>
              <w:jc w:val="center"/>
              <w:rPr>
                <w:rFonts w:hint="eastAsia" w:ascii="新宋体" w:hAnsi="新宋体" w:eastAsia="新宋体" w:cs="新宋体"/>
                <w:color w:val="auto"/>
                <w:sz w:val="22"/>
                <w:szCs w:val="22"/>
                <w:highlight w:val="none"/>
              </w:rPr>
            </w:pPr>
          </w:p>
        </w:tc>
        <w:tc>
          <w:tcPr>
            <w:tcW w:w="787" w:type="dxa"/>
            <w:tcBorders>
              <w:top w:val="single" w:color="auto" w:sz="4" w:space="0"/>
              <w:left w:val="single" w:color="auto" w:sz="4" w:space="0"/>
              <w:bottom w:val="single" w:color="auto" w:sz="4" w:space="0"/>
              <w:right w:val="single" w:color="auto" w:sz="4" w:space="0"/>
            </w:tcBorders>
            <w:noWrap w:val="0"/>
            <w:vAlign w:val="center"/>
          </w:tcPr>
          <w:p w14:paraId="2B68A62B">
            <w:pPr>
              <w:spacing w:line="460" w:lineRule="exact"/>
              <w:jc w:val="center"/>
              <w:rPr>
                <w:rFonts w:hint="eastAsia" w:ascii="新宋体" w:hAnsi="新宋体" w:eastAsia="新宋体" w:cs="新宋体"/>
                <w:color w:val="auto"/>
                <w:sz w:val="22"/>
                <w:szCs w:val="22"/>
                <w:highlight w:val="none"/>
              </w:rPr>
            </w:pPr>
          </w:p>
        </w:tc>
      </w:tr>
      <w:tr w14:paraId="3EA64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dxa"/>
            <w:vMerge w:val="restart"/>
            <w:tcBorders>
              <w:top w:val="single" w:color="auto" w:sz="4" w:space="0"/>
              <w:left w:val="single" w:color="auto" w:sz="4" w:space="0"/>
              <w:right w:val="single" w:color="auto" w:sz="4" w:space="0"/>
            </w:tcBorders>
            <w:noWrap w:val="0"/>
            <w:vAlign w:val="center"/>
          </w:tcPr>
          <w:p w14:paraId="2D5F340C">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w:t>
            </w:r>
          </w:p>
        </w:tc>
        <w:tc>
          <w:tcPr>
            <w:tcW w:w="1112" w:type="dxa"/>
            <w:vMerge w:val="restart"/>
            <w:tcBorders>
              <w:top w:val="single" w:color="auto" w:sz="4" w:space="0"/>
              <w:left w:val="single" w:color="auto" w:sz="4" w:space="0"/>
              <w:right w:val="single" w:color="auto" w:sz="4" w:space="0"/>
            </w:tcBorders>
            <w:noWrap w:val="0"/>
            <w:vAlign w:val="center"/>
          </w:tcPr>
          <w:p w14:paraId="6E653A89">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质量保障</w:t>
            </w:r>
          </w:p>
          <w:p w14:paraId="1C896E55">
            <w:pPr>
              <w:pStyle w:val="50"/>
              <w:spacing w:after="0" w:line="460" w:lineRule="exact"/>
              <w:ind w:firstLine="220"/>
              <w:rPr>
                <w:rFonts w:hint="eastAsia" w:ascii="新宋体" w:hAnsi="新宋体" w:eastAsia="新宋体" w:cs="新宋体"/>
                <w:color w:val="auto"/>
                <w:sz w:val="22"/>
                <w:szCs w:val="22"/>
                <w:highlight w:val="none"/>
              </w:rPr>
            </w:pPr>
          </w:p>
        </w:tc>
        <w:tc>
          <w:tcPr>
            <w:tcW w:w="2800" w:type="dxa"/>
            <w:tcBorders>
              <w:top w:val="single" w:color="auto" w:sz="4" w:space="0"/>
              <w:left w:val="single" w:color="auto" w:sz="4" w:space="0"/>
              <w:bottom w:val="single" w:color="auto" w:sz="4" w:space="0"/>
              <w:right w:val="single" w:color="auto" w:sz="4" w:space="0"/>
            </w:tcBorders>
            <w:noWrap w:val="0"/>
            <w:vAlign w:val="center"/>
          </w:tcPr>
          <w:p w14:paraId="24EB8B6B">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包装产品有SC编码</w:t>
            </w:r>
          </w:p>
        </w:tc>
        <w:tc>
          <w:tcPr>
            <w:tcW w:w="3000" w:type="dxa"/>
            <w:tcBorders>
              <w:top w:val="single" w:color="auto" w:sz="4" w:space="0"/>
              <w:left w:val="single" w:color="auto" w:sz="4" w:space="0"/>
              <w:bottom w:val="single" w:color="auto" w:sz="4" w:space="0"/>
              <w:right w:val="single" w:color="auto" w:sz="4" w:space="0"/>
            </w:tcBorders>
            <w:noWrap w:val="0"/>
            <w:vAlign w:val="center"/>
          </w:tcPr>
          <w:p w14:paraId="6A12A31F">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不符要求每次扣</w:t>
            </w:r>
            <w:r>
              <w:rPr>
                <w:rFonts w:hint="eastAsia" w:ascii="新宋体" w:hAnsi="新宋体" w:eastAsia="新宋体" w:cs="新宋体"/>
                <w:color w:val="auto"/>
                <w:sz w:val="22"/>
                <w:szCs w:val="22"/>
                <w:highlight w:val="none"/>
                <w:lang w:val="en-US" w:eastAsia="zh-CN"/>
              </w:rPr>
              <w:t>2</w:t>
            </w:r>
            <w:r>
              <w:rPr>
                <w:rFonts w:hint="eastAsia" w:ascii="新宋体" w:hAnsi="新宋体" w:eastAsia="新宋体" w:cs="新宋体"/>
                <w:color w:val="auto"/>
                <w:sz w:val="22"/>
                <w:szCs w:val="22"/>
                <w:highlight w:val="none"/>
              </w:rPr>
              <w:t>分</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2206181A">
            <w:pPr>
              <w:spacing w:line="460" w:lineRule="exact"/>
              <w:jc w:val="center"/>
              <w:rPr>
                <w:rFonts w:hint="eastAsia" w:ascii="新宋体" w:hAnsi="新宋体" w:eastAsia="新宋体" w:cs="新宋体"/>
                <w:color w:val="auto"/>
                <w:sz w:val="22"/>
                <w:szCs w:val="22"/>
                <w:highlight w:val="none"/>
                <w:lang w:eastAsia="zh-CN"/>
              </w:rPr>
            </w:pPr>
            <w:r>
              <w:rPr>
                <w:rFonts w:hint="eastAsia" w:ascii="新宋体" w:hAnsi="新宋体" w:eastAsia="新宋体" w:cs="新宋体"/>
                <w:color w:val="auto"/>
                <w:sz w:val="22"/>
                <w:szCs w:val="22"/>
                <w:highlight w:val="none"/>
                <w:lang w:val="en-US" w:eastAsia="zh-CN"/>
              </w:rPr>
              <w:t>10</w:t>
            </w:r>
          </w:p>
        </w:tc>
        <w:tc>
          <w:tcPr>
            <w:tcW w:w="750" w:type="dxa"/>
            <w:tcBorders>
              <w:top w:val="single" w:color="auto" w:sz="4" w:space="0"/>
              <w:left w:val="single" w:color="auto" w:sz="4" w:space="0"/>
              <w:bottom w:val="single" w:color="auto" w:sz="4" w:space="0"/>
              <w:right w:val="single" w:color="auto" w:sz="4" w:space="0"/>
            </w:tcBorders>
            <w:noWrap w:val="0"/>
            <w:vAlign w:val="top"/>
          </w:tcPr>
          <w:p w14:paraId="20B580AD">
            <w:pPr>
              <w:spacing w:line="460" w:lineRule="exact"/>
              <w:jc w:val="center"/>
              <w:rPr>
                <w:rFonts w:hint="eastAsia" w:ascii="新宋体" w:hAnsi="新宋体" w:eastAsia="新宋体" w:cs="新宋体"/>
                <w:color w:val="auto"/>
                <w:sz w:val="22"/>
                <w:szCs w:val="22"/>
                <w:highlight w:val="none"/>
              </w:rPr>
            </w:pPr>
          </w:p>
        </w:tc>
        <w:tc>
          <w:tcPr>
            <w:tcW w:w="787" w:type="dxa"/>
            <w:tcBorders>
              <w:top w:val="single" w:color="auto" w:sz="4" w:space="0"/>
              <w:left w:val="single" w:color="auto" w:sz="4" w:space="0"/>
              <w:bottom w:val="single" w:color="auto" w:sz="4" w:space="0"/>
              <w:right w:val="single" w:color="auto" w:sz="4" w:space="0"/>
            </w:tcBorders>
            <w:noWrap w:val="0"/>
            <w:vAlign w:val="center"/>
          </w:tcPr>
          <w:p w14:paraId="64BAA1AD">
            <w:pPr>
              <w:spacing w:line="460" w:lineRule="exact"/>
              <w:jc w:val="center"/>
              <w:rPr>
                <w:rFonts w:hint="eastAsia" w:ascii="新宋体" w:hAnsi="新宋体" w:eastAsia="新宋体" w:cs="新宋体"/>
                <w:color w:val="auto"/>
                <w:sz w:val="22"/>
                <w:szCs w:val="22"/>
                <w:highlight w:val="none"/>
              </w:rPr>
            </w:pPr>
          </w:p>
        </w:tc>
      </w:tr>
      <w:tr w14:paraId="22A07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dxa"/>
            <w:vMerge w:val="continue"/>
            <w:tcBorders>
              <w:left w:val="single" w:color="auto" w:sz="4" w:space="0"/>
              <w:right w:val="single" w:color="auto" w:sz="4" w:space="0"/>
            </w:tcBorders>
            <w:noWrap w:val="0"/>
            <w:vAlign w:val="center"/>
          </w:tcPr>
          <w:p w14:paraId="14B6D299">
            <w:pPr>
              <w:spacing w:line="460" w:lineRule="exact"/>
              <w:jc w:val="center"/>
              <w:rPr>
                <w:rFonts w:hint="eastAsia" w:ascii="新宋体" w:hAnsi="新宋体" w:eastAsia="新宋体" w:cs="新宋体"/>
                <w:color w:val="auto"/>
                <w:sz w:val="22"/>
                <w:szCs w:val="22"/>
                <w:highlight w:val="none"/>
              </w:rPr>
            </w:pPr>
          </w:p>
        </w:tc>
        <w:tc>
          <w:tcPr>
            <w:tcW w:w="1112" w:type="dxa"/>
            <w:vMerge w:val="continue"/>
            <w:tcBorders>
              <w:left w:val="single" w:color="auto" w:sz="4" w:space="0"/>
              <w:right w:val="single" w:color="auto" w:sz="4" w:space="0"/>
            </w:tcBorders>
            <w:noWrap w:val="0"/>
            <w:vAlign w:val="center"/>
          </w:tcPr>
          <w:p w14:paraId="12544839">
            <w:pPr>
              <w:spacing w:line="460" w:lineRule="exact"/>
              <w:jc w:val="center"/>
              <w:rPr>
                <w:rFonts w:hint="eastAsia" w:ascii="新宋体" w:hAnsi="新宋体" w:eastAsia="新宋体" w:cs="新宋体"/>
                <w:color w:val="auto"/>
                <w:sz w:val="22"/>
                <w:szCs w:val="22"/>
                <w:highlight w:val="none"/>
              </w:rPr>
            </w:pPr>
          </w:p>
        </w:tc>
        <w:tc>
          <w:tcPr>
            <w:tcW w:w="2800" w:type="dxa"/>
            <w:tcBorders>
              <w:top w:val="single" w:color="auto" w:sz="4" w:space="0"/>
              <w:left w:val="single" w:color="auto" w:sz="4" w:space="0"/>
              <w:bottom w:val="single" w:color="auto" w:sz="4" w:space="0"/>
              <w:right w:val="single" w:color="auto" w:sz="4" w:space="0"/>
            </w:tcBorders>
            <w:noWrap w:val="0"/>
            <w:vAlign w:val="center"/>
          </w:tcPr>
          <w:p w14:paraId="49F71D23">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散装产品有质量合格证明或检测报告</w:t>
            </w:r>
          </w:p>
        </w:tc>
        <w:tc>
          <w:tcPr>
            <w:tcW w:w="3000" w:type="dxa"/>
            <w:tcBorders>
              <w:top w:val="single" w:color="auto" w:sz="4" w:space="0"/>
              <w:left w:val="single" w:color="auto" w:sz="4" w:space="0"/>
              <w:bottom w:val="single" w:color="auto" w:sz="4" w:space="0"/>
              <w:right w:val="single" w:color="auto" w:sz="4" w:space="0"/>
            </w:tcBorders>
            <w:noWrap w:val="0"/>
            <w:vAlign w:val="center"/>
          </w:tcPr>
          <w:p w14:paraId="77325E2F">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不符要求每次扣1分</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1A5C0E15">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5</w:t>
            </w:r>
          </w:p>
        </w:tc>
        <w:tc>
          <w:tcPr>
            <w:tcW w:w="750" w:type="dxa"/>
            <w:tcBorders>
              <w:top w:val="single" w:color="auto" w:sz="4" w:space="0"/>
              <w:left w:val="single" w:color="auto" w:sz="4" w:space="0"/>
              <w:bottom w:val="single" w:color="auto" w:sz="4" w:space="0"/>
              <w:right w:val="single" w:color="auto" w:sz="4" w:space="0"/>
            </w:tcBorders>
            <w:noWrap w:val="0"/>
            <w:vAlign w:val="top"/>
          </w:tcPr>
          <w:p w14:paraId="3CC6F42E">
            <w:pPr>
              <w:spacing w:line="460" w:lineRule="exact"/>
              <w:jc w:val="center"/>
              <w:rPr>
                <w:rFonts w:hint="eastAsia" w:ascii="新宋体" w:hAnsi="新宋体" w:eastAsia="新宋体" w:cs="新宋体"/>
                <w:color w:val="auto"/>
                <w:sz w:val="22"/>
                <w:szCs w:val="22"/>
                <w:highlight w:val="none"/>
              </w:rPr>
            </w:pPr>
          </w:p>
        </w:tc>
        <w:tc>
          <w:tcPr>
            <w:tcW w:w="787" w:type="dxa"/>
            <w:tcBorders>
              <w:top w:val="single" w:color="auto" w:sz="4" w:space="0"/>
              <w:left w:val="single" w:color="auto" w:sz="4" w:space="0"/>
              <w:bottom w:val="single" w:color="auto" w:sz="4" w:space="0"/>
              <w:right w:val="single" w:color="auto" w:sz="4" w:space="0"/>
            </w:tcBorders>
            <w:noWrap w:val="0"/>
            <w:vAlign w:val="center"/>
          </w:tcPr>
          <w:p w14:paraId="75D2D018">
            <w:pPr>
              <w:spacing w:line="460" w:lineRule="exact"/>
              <w:jc w:val="center"/>
              <w:rPr>
                <w:rFonts w:hint="eastAsia" w:ascii="新宋体" w:hAnsi="新宋体" w:eastAsia="新宋体" w:cs="新宋体"/>
                <w:color w:val="auto"/>
                <w:sz w:val="22"/>
                <w:szCs w:val="22"/>
                <w:highlight w:val="none"/>
              </w:rPr>
            </w:pPr>
          </w:p>
        </w:tc>
      </w:tr>
      <w:tr w14:paraId="5C7B3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dxa"/>
            <w:vMerge w:val="continue"/>
            <w:tcBorders>
              <w:left w:val="single" w:color="auto" w:sz="4" w:space="0"/>
              <w:right w:val="single" w:color="auto" w:sz="4" w:space="0"/>
            </w:tcBorders>
            <w:noWrap w:val="0"/>
            <w:vAlign w:val="center"/>
          </w:tcPr>
          <w:p w14:paraId="1103215B">
            <w:pPr>
              <w:spacing w:line="460" w:lineRule="exact"/>
              <w:jc w:val="center"/>
              <w:rPr>
                <w:rFonts w:hint="eastAsia" w:ascii="新宋体" w:hAnsi="新宋体" w:eastAsia="新宋体" w:cs="新宋体"/>
                <w:color w:val="auto"/>
                <w:sz w:val="22"/>
                <w:szCs w:val="22"/>
                <w:highlight w:val="none"/>
              </w:rPr>
            </w:pPr>
          </w:p>
        </w:tc>
        <w:tc>
          <w:tcPr>
            <w:tcW w:w="1112" w:type="dxa"/>
            <w:vMerge w:val="continue"/>
            <w:tcBorders>
              <w:left w:val="single" w:color="auto" w:sz="4" w:space="0"/>
              <w:right w:val="single" w:color="auto" w:sz="4" w:space="0"/>
            </w:tcBorders>
            <w:noWrap w:val="0"/>
            <w:vAlign w:val="center"/>
          </w:tcPr>
          <w:p w14:paraId="2C212168">
            <w:pPr>
              <w:spacing w:line="460" w:lineRule="exact"/>
              <w:jc w:val="center"/>
              <w:rPr>
                <w:rFonts w:hint="eastAsia" w:ascii="新宋体" w:hAnsi="新宋体" w:eastAsia="新宋体" w:cs="新宋体"/>
                <w:color w:val="auto"/>
                <w:sz w:val="22"/>
                <w:szCs w:val="22"/>
                <w:highlight w:val="none"/>
              </w:rPr>
            </w:pPr>
          </w:p>
        </w:tc>
        <w:tc>
          <w:tcPr>
            <w:tcW w:w="2800" w:type="dxa"/>
            <w:tcBorders>
              <w:top w:val="single" w:color="auto" w:sz="4" w:space="0"/>
              <w:left w:val="single" w:color="auto" w:sz="4" w:space="0"/>
              <w:bottom w:val="single" w:color="auto" w:sz="4" w:space="0"/>
              <w:right w:val="single" w:color="auto" w:sz="4" w:space="0"/>
            </w:tcBorders>
            <w:noWrap w:val="0"/>
            <w:vAlign w:val="center"/>
          </w:tcPr>
          <w:p w14:paraId="0EEDEC73">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指定品牌食品采购情况</w:t>
            </w:r>
          </w:p>
        </w:tc>
        <w:tc>
          <w:tcPr>
            <w:tcW w:w="3000" w:type="dxa"/>
            <w:tcBorders>
              <w:top w:val="single" w:color="auto" w:sz="4" w:space="0"/>
              <w:left w:val="single" w:color="auto" w:sz="4" w:space="0"/>
              <w:bottom w:val="single" w:color="auto" w:sz="4" w:space="0"/>
              <w:right w:val="single" w:color="auto" w:sz="4" w:space="0"/>
            </w:tcBorders>
            <w:noWrap w:val="0"/>
            <w:vAlign w:val="center"/>
          </w:tcPr>
          <w:p w14:paraId="30F6D6D4">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不属指定品牌的每次扣1分</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0B665744">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5</w:t>
            </w:r>
          </w:p>
        </w:tc>
        <w:tc>
          <w:tcPr>
            <w:tcW w:w="750" w:type="dxa"/>
            <w:tcBorders>
              <w:top w:val="single" w:color="auto" w:sz="4" w:space="0"/>
              <w:left w:val="single" w:color="auto" w:sz="4" w:space="0"/>
              <w:bottom w:val="single" w:color="auto" w:sz="4" w:space="0"/>
              <w:right w:val="single" w:color="auto" w:sz="4" w:space="0"/>
            </w:tcBorders>
            <w:noWrap w:val="0"/>
            <w:vAlign w:val="top"/>
          </w:tcPr>
          <w:p w14:paraId="2D3F26C5">
            <w:pPr>
              <w:spacing w:line="460" w:lineRule="exact"/>
              <w:jc w:val="center"/>
              <w:rPr>
                <w:rFonts w:hint="eastAsia" w:ascii="新宋体" w:hAnsi="新宋体" w:eastAsia="新宋体" w:cs="新宋体"/>
                <w:color w:val="auto"/>
                <w:sz w:val="22"/>
                <w:szCs w:val="22"/>
                <w:highlight w:val="none"/>
              </w:rPr>
            </w:pPr>
          </w:p>
        </w:tc>
        <w:tc>
          <w:tcPr>
            <w:tcW w:w="787" w:type="dxa"/>
            <w:tcBorders>
              <w:top w:val="single" w:color="auto" w:sz="4" w:space="0"/>
              <w:left w:val="single" w:color="auto" w:sz="4" w:space="0"/>
              <w:bottom w:val="single" w:color="auto" w:sz="4" w:space="0"/>
              <w:right w:val="single" w:color="auto" w:sz="4" w:space="0"/>
            </w:tcBorders>
            <w:noWrap w:val="0"/>
            <w:vAlign w:val="center"/>
          </w:tcPr>
          <w:p w14:paraId="716E423D">
            <w:pPr>
              <w:spacing w:line="460" w:lineRule="exact"/>
              <w:jc w:val="center"/>
              <w:rPr>
                <w:rFonts w:hint="eastAsia" w:ascii="新宋体" w:hAnsi="新宋体" w:eastAsia="新宋体" w:cs="新宋体"/>
                <w:color w:val="auto"/>
                <w:sz w:val="22"/>
                <w:szCs w:val="22"/>
                <w:highlight w:val="none"/>
              </w:rPr>
            </w:pPr>
          </w:p>
        </w:tc>
      </w:tr>
      <w:tr w14:paraId="1A08C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dxa"/>
            <w:vMerge w:val="continue"/>
            <w:tcBorders>
              <w:left w:val="single" w:color="auto" w:sz="4" w:space="0"/>
              <w:right w:val="single" w:color="auto" w:sz="4" w:space="0"/>
            </w:tcBorders>
            <w:noWrap w:val="0"/>
            <w:vAlign w:val="center"/>
          </w:tcPr>
          <w:p w14:paraId="0C144355">
            <w:pPr>
              <w:spacing w:line="460" w:lineRule="exact"/>
              <w:jc w:val="center"/>
              <w:rPr>
                <w:rFonts w:hint="eastAsia" w:ascii="新宋体" w:hAnsi="新宋体" w:eastAsia="新宋体" w:cs="新宋体"/>
                <w:color w:val="auto"/>
                <w:sz w:val="22"/>
                <w:szCs w:val="22"/>
                <w:highlight w:val="none"/>
              </w:rPr>
            </w:pPr>
          </w:p>
        </w:tc>
        <w:tc>
          <w:tcPr>
            <w:tcW w:w="1112" w:type="dxa"/>
            <w:vMerge w:val="continue"/>
            <w:tcBorders>
              <w:left w:val="single" w:color="auto" w:sz="4" w:space="0"/>
              <w:right w:val="single" w:color="auto" w:sz="4" w:space="0"/>
            </w:tcBorders>
            <w:noWrap w:val="0"/>
            <w:vAlign w:val="center"/>
          </w:tcPr>
          <w:p w14:paraId="6221EE86">
            <w:pPr>
              <w:spacing w:line="460" w:lineRule="exact"/>
              <w:jc w:val="center"/>
              <w:rPr>
                <w:rFonts w:hint="eastAsia" w:ascii="新宋体" w:hAnsi="新宋体" w:eastAsia="新宋体" w:cs="新宋体"/>
                <w:color w:val="auto"/>
                <w:sz w:val="22"/>
                <w:szCs w:val="22"/>
                <w:highlight w:val="none"/>
              </w:rPr>
            </w:pPr>
          </w:p>
        </w:tc>
        <w:tc>
          <w:tcPr>
            <w:tcW w:w="2800" w:type="dxa"/>
            <w:tcBorders>
              <w:top w:val="single" w:color="auto" w:sz="4" w:space="0"/>
              <w:left w:val="single" w:color="auto" w:sz="4" w:space="0"/>
              <w:bottom w:val="single" w:color="auto" w:sz="4" w:space="0"/>
              <w:right w:val="single" w:color="auto" w:sz="4" w:space="0"/>
            </w:tcBorders>
            <w:noWrap w:val="0"/>
            <w:vAlign w:val="center"/>
          </w:tcPr>
          <w:p w14:paraId="405028CF">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lang w:val="en-US" w:eastAsia="zh-CN"/>
              </w:rPr>
              <w:t>配送</w:t>
            </w:r>
            <w:r>
              <w:rPr>
                <w:rFonts w:hint="eastAsia" w:ascii="新宋体" w:hAnsi="新宋体" w:eastAsia="新宋体" w:cs="新宋体"/>
                <w:color w:val="auto"/>
                <w:sz w:val="22"/>
                <w:szCs w:val="22"/>
                <w:highlight w:val="none"/>
              </w:rPr>
              <w:t>食品的质量情况</w:t>
            </w:r>
          </w:p>
        </w:tc>
        <w:tc>
          <w:tcPr>
            <w:tcW w:w="3000" w:type="dxa"/>
            <w:tcBorders>
              <w:top w:val="single" w:color="auto" w:sz="4" w:space="0"/>
              <w:left w:val="single" w:color="auto" w:sz="4" w:space="0"/>
              <w:bottom w:val="single" w:color="auto" w:sz="4" w:space="0"/>
              <w:right w:val="single" w:color="auto" w:sz="4" w:space="0"/>
            </w:tcBorders>
            <w:noWrap w:val="0"/>
            <w:vAlign w:val="center"/>
          </w:tcPr>
          <w:p w14:paraId="1AEA16C0">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质量不符要求每次扣</w:t>
            </w:r>
            <w:r>
              <w:rPr>
                <w:rFonts w:hint="eastAsia" w:ascii="新宋体" w:hAnsi="新宋体" w:eastAsia="新宋体" w:cs="新宋体"/>
                <w:color w:val="auto"/>
                <w:sz w:val="22"/>
                <w:szCs w:val="22"/>
                <w:highlight w:val="none"/>
                <w:lang w:val="en-US" w:eastAsia="zh-CN"/>
              </w:rPr>
              <w:t>5</w:t>
            </w:r>
            <w:r>
              <w:rPr>
                <w:rFonts w:hint="eastAsia" w:ascii="新宋体" w:hAnsi="新宋体" w:eastAsia="新宋体" w:cs="新宋体"/>
                <w:color w:val="auto"/>
                <w:sz w:val="22"/>
                <w:szCs w:val="22"/>
                <w:highlight w:val="none"/>
              </w:rPr>
              <w:t>分，如发生质量不符情况未能及时调换影响食堂正常运作的，每次扣</w:t>
            </w:r>
            <w:r>
              <w:rPr>
                <w:rFonts w:hint="eastAsia" w:ascii="新宋体" w:hAnsi="新宋体" w:eastAsia="新宋体" w:cs="新宋体"/>
                <w:color w:val="auto"/>
                <w:sz w:val="22"/>
                <w:szCs w:val="22"/>
                <w:highlight w:val="none"/>
                <w:lang w:val="en-US" w:eastAsia="zh-CN"/>
              </w:rPr>
              <w:t>10</w:t>
            </w:r>
            <w:r>
              <w:rPr>
                <w:rFonts w:hint="eastAsia" w:ascii="新宋体" w:hAnsi="新宋体" w:eastAsia="新宋体" w:cs="新宋体"/>
                <w:color w:val="auto"/>
                <w:sz w:val="22"/>
                <w:szCs w:val="22"/>
                <w:highlight w:val="none"/>
              </w:rPr>
              <w:t>分</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6B49E440">
            <w:pPr>
              <w:spacing w:line="460" w:lineRule="exact"/>
              <w:jc w:val="center"/>
              <w:rPr>
                <w:rFonts w:hint="eastAsia" w:ascii="新宋体" w:hAnsi="新宋体" w:eastAsia="新宋体" w:cs="新宋体"/>
                <w:color w:val="auto"/>
                <w:sz w:val="22"/>
                <w:szCs w:val="22"/>
                <w:highlight w:val="none"/>
                <w:lang w:eastAsia="zh-CN"/>
              </w:rPr>
            </w:pPr>
            <w:r>
              <w:rPr>
                <w:rFonts w:hint="eastAsia" w:ascii="新宋体" w:hAnsi="新宋体" w:eastAsia="新宋体" w:cs="新宋体"/>
                <w:color w:val="auto"/>
                <w:sz w:val="22"/>
                <w:szCs w:val="22"/>
                <w:highlight w:val="none"/>
                <w:lang w:val="en-US" w:eastAsia="zh-CN"/>
              </w:rPr>
              <w:t>20</w:t>
            </w:r>
          </w:p>
        </w:tc>
        <w:tc>
          <w:tcPr>
            <w:tcW w:w="750" w:type="dxa"/>
            <w:tcBorders>
              <w:top w:val="single" w:color="auto" w:sz="4" w:space="0"/>
              <w:left w:val="single" w:color="auto" w:sz="4" w:space="0"/>
              <w:bottom w:val="single" w:color="auto" w:sz="4" w:space="0"/>
              <w:right w:val="single" w:color="auto" w:sz="4" w:space="0"/>
            </w:tcBorders>
            <w:noWrap w:val="0"/>
            <w:vAlign w:val="top"/>
          </w:tcPr>
          <w:p w14:paraId="5B5D7362">
            <w:pPr>
              <w:spacing w:line="460" w:lineRule="exact"/>
              <w:jc w:val="center"/>
              <w:rPr>
                <w:rFonts w:hint="eastAsia" w:ascii="新宋体" w:hAnsi="新宋体" w:eastAsia="新宋体" w:cs="新宋体"/>
                <w:color w:val="auto"/>
                <w:sz w:val="22"/>
                <w:szCs w:val="22"/>
                <w:highlight w:val="none"/>
              </w:rPr>
            </w:pPr>
          </w:p>
        </w:tc>
        <w:tc>
          <w:tcPr>
            <w:tcW w:w="787" w:type="dxa"/>
            <w:tcBorders>
              <w:top w:val="single" w:color="auto" w:sz="4" w:space="0"/>
              <w:left w:val="single" w:color="auto" w:sz="4" w:space="0"/>
              <w:bottom w:val="single" w:color="auto" w:sz="4" w:space="0"/>
              <w:right w:val="single" w:color="auto" w:sz="4" w:space="0"/>
            </w:tcBorders>
            <w:noWrap w:val="0"/>
            <w:vAlign w:val="center"/>
          </w:tcPr>
          <w:p w14:paraId="34279EF4">
            <w:pPr>
              <w:spacing w:line="460" w:lineRule="exact"/>
              <w:jc w:val="center"/>
              <w:rPr>
                <w:rFonts w:hint="eastAsia" w:ascii="新宋体" w:hAnsi="新宋体" w:eastAsia="新宋体" w:cs="新宋体"/>
                <w:color w:val="auto"/>
                <w:sz w:val="22"/>
                <w:szCs w:val="22"/>
                <w:highlight w:val="none"/>
              </w:rPr>
            </w:pPr>
          </w:p>
        </w:tc>
      </w:tr>
      <w:tr w14:paraId="39924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dxa"/>
            <w:vMerge w:val="continue"/>
            <w:tcBorders>
              <w:left w:val="single" w:color="auto" w:sz="4" w:space="0"/>
              <w:bottom w:val="single" w:color="auto" w:sz="4" w:space="0"/>
              <w:right w:val="single" w:color="auto" w:sz="4" w:space="0"/>
            </w:tcBorders>
            <w:noWrap w:val="0"/>
            <w:vAlign w:val="center"/>
          </w:tcPr>
          <w:p w14:paraId="6D3BFBBA">
            <w:pPr>
              <w:spacing w:line="460" w:lineRule="exact"/>
              <w:jc w:val="center"/>
              <w:rPr>
                <w:rFonts w:hint="eastAsia" w:ascii="新宋体" w:hAnsi="新宋体" w:eastAsia="新宋体" w:cs="新宋体"/>
                <w:color w:val="auto"/>
                <w:sz w:val="22"/>
                <w:szCs w:val="22"/>
                <w:highlight w:val="none"/>
              </w:rPr>
            </w:pPr>
          </w:p>
        </w:tc>
        <w:tc>
          <w:tcPr>
            <w:tcW w:w="1112" w:type="dxa"/>
            <w:vMerge w:val="continue"/>
            <w:tcBorders>
              <w:left w:val="single" w:color="auto" w:sz="4" w:space="0"/>
              <w:bottom w:val="single" w:color="auto" w:sz="4" w:space="0"/>
              <w:right w:val="single" w:color="auto" w:sz="4" w:space="0"/>
            </w:tcBorders>
            <w:noWrap w:val="0"/>
            <w:vAlign w:val="center"/>
          </w:tcPr>
          <w:p w14:paraId="4C4478DE">
            <w:pPr>
              <w:spacing w:line="460" w:lineRule="exact"/>
              <w:jc w:val="center"/>
              <w:rPr>
                <w:rFonts w:hint="eastAsia" w:ascii="新宋体" w:hAnsi="新宋体" w:eastAsia="新宋体" w:cs="新宋体"/>
                <w:color w:val="auto"/>
                <w:sz w:val="22"/>
                <w:szCs w:val="22"/>
                <w:highlight w:val="none"/>
              </w:rPr>
            </w:pPr>
          </w:p>
        </w:tc>
        <w:tc>
          <w:tcPr>
            <w:tcW w:w="2800" w:type="dxa"/>
            <w:tcBorders>
              <w:top w:val="single" w:color="auto" w:sz="4" w:space="0"/>
              <w:left w:val="single" w:color="auto" w:sz="4" w:space="0"/>
              <w:bottom w:val="single" w:color="auto" w:sz="4" w:space="0"/>
              <w:right w:val="single" w:color="auto" w:sz="4" w:space="0"/>
            </w:tcBorders>
            <w:noWrap w:val="0"/>
            <w:vAlign w:val="center"/>
          </w:tcPr>
          <w:p w14:paraId="0C19DA5E">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按要求数量配送</w:t>
            </w:r>
          </w:p>
        </w:tc>
        <w:tc>
          <w:tcPr>
            <w:tcW w:w="3000" w:type="dxa"/>
            <w:tcBorders>
              <w:top w:val="single" w:color="auto" w:sz="4" w:space="0"/>
              <w:left w:val="single" w:color="auto" w:sz="4" w:space="0"/>
              <w:bottom w:val="single" w:color="auto" w:sz="4" w:space="0"/>
              <w:right w:val="single" w:color="auto" w:sz="4" w:space="0"/>
            </w:tcBorders>
            <w:noWrap w:val="0"/>
            <w:vAlign w:val="center"/>
          </w:tcPr>
          <w:p w14:paraId="60A088BE">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出现一次缺斤少两情况每次扣</w:t>
            </w:r>
            <w:r>
              <w:rPr>
                <w:rFonts w:hint="eastAsia" w:ascii="新宋体" w:hAnsi="新宋体" w:eastAsia="新宋体" w:cs="新宋体"/>
                <w:color w:val="auto"/>
                <w:sz w:val="22"/>
                <w:szCs w:val="22"/>
                <w:highlight w:val="none"/>
                <w:lang w:val="en-US" w:eastAsia="zh-CN"/>
              </w:rPr>
              <w:t>2</w:t>
            </w:r>
            <w:r>
              <w:rPr>
                <w:rFonts w:hint="eastAsia" w:ascii="新宋体" w:hAnsi="新宋体" w:eastAsia="新宋体" w:cs="新宋体"/>
                <w:color w:val="auto"/>
                <w:sz w:val="22"/>
                <w:szCs w:val="22"/>
                <w:highlight w:val="none"/>
              </w:rPr>
              <w:t>分</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3FEC53E5">
            <w:pPr>
              <w:spacing w:line="460" w:lineRule="exact"/>
              <w:jc w:val="center"/>
              <w:rPr>
                <w:rFonts w:hint="eastAsia" w:ascii="新宋体" w:hAnsi="新宋体" w:eastAsia="新宋体" w:cs="新宋体"/>
                <w:color w:val="auto"/>
                <w:sz w:val="22"/>
                <w:szCs w:val="22"/>
                <w:highlight w:val="none"/>
                <w:lang w:eastAsia="zh-CN"/>
              </w:rPr>
            </w:pPr>
            <w:r>
              <w:rPr>
                <w:rFonts w:hint="eastAsia" w:ascii="新宋体" w:hAnsi="新宋体" w:eastAsia="新宋体" w:cs="新宋体"/>
                <w:color w:val="auto"/>
                <w:sz w:val="22"/>
                <w:szCs w:val="22"/>
                <w:highlight w:val="none"/>
                <w:lang w:val="en-US" w:eastAsia="zh-CN"/>
              </w:rPr>
              <w:t>10</w:t>
            </w:r>
          </w:p>
        </w:tc>
        <w:tc>
          <w:tcPr>
            <w:tcW w:w="750" w:type="dxa"/>
            <w:tcBorders>
              <w:top w:val="single" w:color="auto" w:sz="4" w:space="0"/>
              <w:left w:val="single" w:color="auto" w:sz="4" w:space="0"/>
              <w:bottom w:val="single" w:color="auto" w:sz="4" w:space="0"/>
              <w:right w:val="single" w:color="auto" w:sz="4" w:space="0"/>
            </w:tcBorders>
            <w:noWrap w:val="0"/>
            <w:vAlign w:val="top"/>
          </w:tcPr>
          <w:p w14:paraId="58EA8171">
            <w:pPr>
              <w:spacing w:line="460" w:lineRule="exact"/>
              <w:jc w:val="center"/>
              <w:rPr>
                <w:rFonts w:hint="eastAsia" w:ascii="新宋体" w:hAnsi="新宋体" w:eastAsia="新宋体" w:cs="新宋体"/>
                <w:color w:val="auto"/>
                <w:sz w:val="22"/>
                <w:szCs w:val="22"/>
                <w:highlight w:val="none"/>
              </w:rPr>
            </w:pPr>
          </w:p>
        </w:tc>
        <w:tc>
          <w:tcPr>
            <w:tcW w:w="787" w:type="dxa"/>
            <w:tcBorders>
              <w:top w:val="single" w:color="auto" w:sz="4" w:space="0"/>
              <w:left w:val="single" w:color="auto" w:sz="4" w:space="0"/>
              <w:bottom w:val="single" w:color="auto" w:sz="4" w:space="0"/>
              <w:right w:val="single" w:color="auto" w:sz="4" w:space="0"/>
            </w:tcBorders>
            <w:noWrap w:val="0"/>
            <w:vAlign w:val="center"/>
          </w:tcPr>
          <w:p w14:paraId="46C1F3E2">
            <w:pPr>
              <w:spacing w:line="460" w:lineRule="exact"/>
              <w:jc w:val="center"/>
              <w:rPr>
                <w:rFonts w:hint="eastAsia" w:ascii="新宋体" w:hAnsi="新宋体" w:eastAsia="新宋体" w:cs="新宋体"/>
                <w:color w:val="auto"/>
                <w:sz w:val="22"/>
                <w:szCs w:val="22"/>
                <w:highlight w:val="none"/>
              </w:rPr>
            </w:pPr>
          </w:p>
        </w:tc>
      </w:tr>
      <w:tr w14:paraId="5F051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dxa"/>
            <w:vMerge w:val="restart"/>
            <w:tcBorders>
              <w:top w:val="single" w:color="auto" w:sz="4" w:space="0"/>
              <w:left w:val="single" w:color="auto" w:sz="4" w:space="0"/>
              <w:right w:val="single" w:color="auto" w:sz="4" w:space="0"/>
            </w:tcBorders>
            <w:noWrap w:val="0"/>
            <w:vAlign w:val="center"/>
          </w:tcPr>
          <w:p w14:paraId="04E69EBF">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3</w:t>
            </w:r>
          </w:p>
        </w:tc>
        <w:tc>
          <w:tcPr>
            <w:tcW w:w="1112" w:type="dxa"/>
            <w:vMerge w:val="restart"/>
            <w:tcBorders>
              <w:top w:val="single" w:color="auto" w:sz="4" w:space="0"/>
              <w:left w:val="single" w:color="auto" w:sz="4" w:space="0"/>
              <w:right w:val="single" w:color="auto" w:sz="4" w:space="0"/>
            </w:tcBorders>
            <w:noWrap w:val="0"/>
            <w:vAlign w:val="center"/>
          </w:tcPr>
          <w:p w14:paraId="5BB23FA0">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配送服务</w:t>
            </w:r>
          </w:p>
        </w:tc>
        <w:tc>
          <w:tcPr>
            <w:tcW w:w="2800" w:type="dxa"/>
            <w:tcBorders>
              <w:top w:val="single" w:color="auto" w:sz="4" w:space="0"/>
              <w:left w:val="single" w:color="auto" w:sz="4" w:space="0"/>
              <w:bottom w:val="single" w:color="auto" w:sz="4" w:space="0"/>
              <w:right w:val="single" w:color="auto" w:sz="4" w:space="0"/>
            </w:tcBorders>
            <w:noWrap w:val="0"/>
            <w:vAlign w:val="center"/>
          </w:tcPr>
          <w:p w14:paraId="1C23B01D">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按时到位</w:t>
            </w:r>
          </w:p>
        </w:tc>
        <w:tc>
          <w:tcPr>
            <w:tcW w:w="3000" w:type="dxa"/>
            <w:tcBorders>
              <w:top w:val="single" w:color="auto" w:sz="4" w:space="0"/>
              <w:left w:val="single" w:color="auto" w:sz="4" w:space="0"/>
              <w:bottom w:val="single" w:color="auto" w:sz="4" w:space="0"/>
              <w:right w:val="single" w:color="auto" w:sz="4" w:space="0"/>
            </w:tcBorders>
            <w:noWrap w:val="0"/>
            <w:vAlign w:val="center"/>
          </w:tcPr>
          <w:p w14:paraId="287CC42B">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不按时到位每次扣</w:t>
            </w:r>
            <w:r>
              <w:rPr>
                <w:rFonts w:hint="eastAsia" w:ascii="新宋体" w:hAnsi="新宋体" w:eastAsia="新宋体" w:cs="新宋体"/>
                <w:color w:val="auto"/>
                <w:sz w:val="22"/>
                <w:szCs w:val="22"/>
                <w:highlight w:val="none"/>
                <w:lang w:val="en-US" w:eastAsia="zh-CN"/>
              </w:rPr>
              <w:t>1</w:t>
            </w:r>
            <w:r>
              <w:rPr>
                <w:rFonts w:hint="eastAsia" w:ascii="新宋体" w:hAnsi="新宋体" w:eastAsia="新宋体" w:cs="新宋体"/>
                <w:color w:val="auto"/>
                <w:sz w:val="22"/>
                <w:szCs w:val="22"/>
                <w:highlight w:val="none"/>
              </w:rPr>
              <w:t>分</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033E2FEE">
            <w:pPr>
              <w:spacing w:line="460" w:lineRule="exact"/>
              <w:jc w:val="center"/>
              <w:rPr>
                <w:rFonts w:hint="eastAsia" w:ascii="新宋体" w:hAnsi="新宋体" w:eastAsia="新宋体" w:cs="新宋体"/>
                <w:color w:val="auto"/>
                <w:sz w:val="22"/>
                <w:szCs w:val="22"/>
                <w:highlight w:val="none"/>
                <w:lang w:eastAsia="zh-CN"/>
              </w:rPr>
            </w:pPr>
            <w:r>
              <w:rPr>
                <w:rFonts w:hint="eastAsia" w:ascii="新宋体" w:hAnsi="新宋体" w:eastAsia="新宋体" w:cs="新宋体"/>
                <w:color w:val="auto"/>
                <w:sz w:val="22"/>
                <w:szCs w:val="22"/>
                <w:highlight w:val="none"/>
                <w:lang w:val="en-US" w:eastAsia="zh-CN"/>
              </w:rPr>
              <w:t>5</w:t>
            </w:r>
          </w:p>
        </w:tc>
        <w:tc>
          <w:tcPr>
            <w:tcW w:w="750" w:type="dxa"/>
            <w:tcBorders>
              <w:top w:val="single" w:color="auto" w:sz="4" w:space="0"/>
              <w:left w:val="single" w:color="auto" w:sz="4" w:space="0"/>
              <w:bottom w:val="single" w:color="auto" w:sz="4" w:space="0"/>
              <w:right w:val="single" w:color="auto" w:sz="4" w:space="0"/>
            </w:tcBorders>
            <w:noWrap w:val="0"/>
            <w:vAlign w:val="top"/>
          </w:tcPr>
          <w:p w14:paraId="29F9C146">
            <w:pPr>
              <w:spacing w:line="460" w:lineRule="exact"/>
              <w:jc w:val="center"/>
              <w:rPr>
                <w:rFonts w:hint="eastAsia" w:ascii="新宋体" w:hAnsi="新宋体" w:eastAsia="新宋体" w:cs="新宋体"/>
                <w:color w:val="auto"/>
                <w:sz w:val="22"/>
                <w:szCs w:val="22"/>
                <w:highlight w:val="none"/>
              </w:rPr>
            </w:pPr>
          </w:p>
        </w:tc>
        <w:tc>
          <w:tcPr>
            <w:tcW w:w="787" w:type="dxa"/>
            <w:tcBorders>
              <w:top w:val="single" w:color="auto" w:sz="4" w:space="0"/>
              <w:left w:val="single" w:color="auto" w:sz="4" w:space="0"/>
              <w:bottom w:val="single" w:color="auto" w:sz="4" w:space="0"/>
              <w:right w:val="single" w:color="auto" w:sz="4" w:space="0"/>
            </w:tcBorders>
            <w:noWrap w:val="0"/>
            <w:vAlign w:val="center"/>
          </w:tcPr>
          <w:p w14:paraId="022216AA">
            <w:pPr>
              <w:spacing w:line="460" w:lineRule="exact"/>
              <w:jc w:val="center"/>
              <w:rPr>
                <w:rFonts w:hint="eastAsia" w:ascii="新宋体" w:hAnsi="新宋体" w:eastAsia="新宋体" w:cs="新宋体"/>
                <w:color w:val="auto"/>
                <w:sz w:val="22"/>
                <w:szCs w:val="22"/>
                <w:highlight w:val="none"/>
              </w:rPr>
            </w:pPr>
          </w:p>
        </w:tc>
      </w:tr>
      <w:tr w14:paraId="46C9A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dxa"/>
            <w:vMerge w:val="continue"/>
            <w:tcBorders>
              <w:left w:val="single" w:color="auto" w:sz="4" w:space="0"/>
              <w:right w:val="single" w:color="auto" w:sz="4" w:space="0"/>
            </w:tcBorders>
            <w:noWrap w:val="0"/>
            <w:vAlign w:val="center"/>
          </w:tcPr>
          <w:p w14:paraId="6FCD95D1">
            <w:pPr>
              <w:spacing w:line="460" w:lineRule="exact"/>
              <w:jc w:val="center"/>
              <w:rPr>
                <w:rFonts w:hint="eastAsia" w:ascii="新宋体" w:hAnsi="新宋体" w:eastAsia="新宋体" w:cs="新宋体"/>
                <w:color w:val="auto"/>
                <w:sz w:val="22"/>
                <w:szCs w:val="22"/>
                <w:highlight w:val="none"/>
              </w:rPr>
            </w:pPr>
          </w:p>
        </w:tc>
        <w:tc>
          <w:tcPr>
            <w:tcW w:w="1112" w:type="dxa"/>
            <w:vMerge w:val="continue"/>
            <w:tcBorders>
              <w:left w:val="single" w:color="auto" w:sz="4" w:space="0"/>
              <w:right w:val="single" w:color="auto" w:sz="4" w:space="0"/>
            </w:tcBorders>
            <w:noWrap w:val="0"/>
            <w:vAlign w:val="center"/>
          </w:tcPr>
          <w:p w14:paraId="598E50A1">
            <w:pPr>
              <w:spacing w:line="460" w:lineRule="exact"/>
              <w:jc w:val="center"/>
              <w:rPr>
                <w:rFonts w:hint="eastAsia" w:ascii="新宋体" w:hAnsi="新宋体" w:eastAsia="新宋体" w:cs="新宋体"/>
                <w:color w:val="auto"/>
                <w:sz w:val="22"/>
                <w:szCs w:val="22"/>
                <w:highlight w:val="none"/>
              </w:rPr>
            </w:pPr>
          </w:p>
        </w:tc>
        <w:tc>
          <w:tcPr>
            <w:tcW w:w="2800" w:type="dxa"/>
            <w:tcBorders>
              <w:top w:val="single" w:color="auto" w:sz="4" w:space="0"/>
              <w:left w:val="single" w:color="auto" w:sz="4" w:space="0"/>
              <w:bottom w:val="single" w:color="auto" w:sz="4" w:space="0"/>
              <w:right w:val="single" w:color="auto" w:sz="4" w:space="0"/>
            </w:tcBorders>
            <w:noWrap w:val="0"/>
            <w:vAlign w:val="center"/>
          </w:tcPr>
          <w:p w14:paraId="58DC8A49">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售后跟踪情况</w:t>
            </w:r>
          </w:p>
        </w:tc>
        <w:tc>
          <w:tcPr>
            <w:tcW w:w="3000" w:type="dxa"/>
            <w:tcBorders>
              <w:top w:val="single" w:color="auto" w:sz="4" w:space="0"/>
              <w:left w:val="single" w:color="auto" w:sz="4" w:space="0"/>
              <w:bottom w:val="single" w:color="auto" w:sz="4" w:space="0"/>
              <w:right w:val="single" w:color="auto" w:sz="4" w:space="0"/>
            </w:tcBorders>
            <w:noWrap w:val="0"/>
            <w:vAlign w:val="center"/>
          </w:tcPr>
          <w:p w14:paraId="1E9ECB29">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优：不扣分，良：扣1分，一般：扣3分，差：扣5分</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38B79B85">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5</w:t>
            </w:r>
          </w:p>
        </w:tc>
        <w:tc>
          <w:tcPr>
            <w:tcW w:w="750" w:type="dxa"/>
            <w:tcBorders>
              <w:top w:val="single" w:color="auto" w:sz="4" w:space="0"/>
              <w:left w:val="single" w:color="auto" w:sz="4" w:space="0"/>
              <w:bottom w:val="single" w:color="auto" w:sz="4" w:space="0"/>
              <w:right w:val="single" w:color="auto" w:sz="4" w:space="0"/>
            </w:tcBorders>
            <w:noWrap w:val="0"/>
            <w:vAlign w:val="top"/>
          </w:tcPr>
          <w:p w14:paraId="64F349A8">
            <w:pPr>
              <w:spacing w:line="460" w:lineRule="exact"/>
              <w:jc w:val="center"/>
              <w:rPr>
                <w:rFonts w:hint="eastAsia" w:ascii="新宋体" w:hAnsi="新宋体" w:eastAsia="新宋体" w:cs="新宋体"/>
                <w:color w:val="auto"/>
                <w:sz w:val="22"/>
                <w:szCs w:val="22"/>
                <w:highlight w:val="none"/>
              </w:rPr>
            </w:pPr>
          </w:p>
        </w:tc>
        <w:tc>
          <w:tcPr>
            <w:tcW w:w="787" w:type="dxa"/>
            <w:tcBorders>
              <w:top w:val="single" w:color="auto" w:sz="4" w:space="0"/>
              <w:left w:val="single" w:color="auto" w:sz="4" w:space="0"/>
              <w:bottom w:val="single" w:color="auto" w:sz="4" w:space="0"/>
              <w:right w:val="single" w:color="auto" w:sz="4" w:space="0"/>
            </w:tcBorders>
            <w:noWrap w:val="0"/>
            <w:vAlign w:val="center"/>
          </w:tcPr>
          <w:p w14:paraId="6C650E7B">
            <w:pPr>
              <w:spacing w:line="460" w:lineRule="exact"/>
              <w:jc w:val="center"/>
              <w:rPr>
                <w:rFonts w:hint="eastAsia" w:ascii="新宋体" w:hAnsi="新宋体" w:eastAsia="新宋体" w:cs="新宋体"/>
                <w:color w:val="auto"/>
                <w:sz w:val="22"/>
                <w:szCs w:val="22"/>
                <w:highlight w:val="none"/>
              </w:rPr>
            </w:pPr>
          </w:p>
        </w:tc>
      </w:tr>
      <w:tr w14:paraId="132B6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dxa"/>
            <w:vMerge w:val="continue"/>
            <w:tcBorders>
              <w:left w:val="single" w:color="auto" w:sz="4" w:space="0"/>
              <w:right w:val="single" w:color="auto" w:sz="4" w:space="0"/>
            </w:tcBorders>
            <w:noWrap w:val="0"/>
            <w:vAlign w:val="center"/>
          </w:tcPr>
          <w:p w14:paraId="4D75D3D2">
            <w:pPr>
              <w:spacing w:line="460" w:lineRule="exact"/>
              <w:jc w:val="center"/>
              <w:rPr>
                <w:rFonts w:hint="eastAsia" w:ascii="新宋体" w:hAnsi="新宋体" w:eastAsia="新宋体" w:cs="新宋体"/>
                <w:color w:val="auto"/>
                <w:sz w:val="22"/>
                <w:szCs w:val="22"/>
                <w:highlight w:val="none"/>
              </w:rPr>
            </w:pPr>
          </w:p>
        </w:tc>
        <w:tc>
          <w:tcPr>
            <w:tcW w:w="1112" w:type="dxa"/>
            <w:vMerge w:val="continue"/>
            <w:tcBorders>
              <w:left w:val="single" w:color="auto" w:sz="4" w:space="0"/>
              <w:right w:val="single" w:color="auto" w:sz="4" w:space="0"/>
            </w:tcBorders>
            <w:noWrap w:val="0"/>
            <w:vAlign w:val="center"/>
          </w:tcPr>
          <w:p w14:paraId="5D98EB19">
            <w:pPr>
              <w:spacing w:line="460" w:lineRule="exact"/>
              <w:jc w:val="center"/>
              <w:rPr>
                <w:rFonts w:hint="eastAsia" w:ascii="新宋体" w:hAnsi="新宋体" w:eastAsia="新宋体" w:cs="新宋体"/>
                <w:color w:val="auto"/>
                <w:sz w:val="22"/>
                <w:szCs w:val="22"/>
                <w:highlight w:val="none"/>
              </w:rPr>
            </w:pPr>
          </w:p>
        </w:tc>
        <w:tc>
          <w:tcPr>
            <w:tcW w:w="2800" w:type="dxa"/>
            <w:tcBorders>
              <w:top w:val="single" w:color="auto" w:sz="4" w:space="0"/>
              <w:left w:val="single" w:color="auto" w:sz="4" w:space="0"/>
              <w:bottom w:val="single" w:color="auto" w:sz="4" w:space="0"/>
              <w:right w:val="single" w:color="auto" w:sz="4" w:space="0"/>
            </w:tcBorders>
            <w:noWrap w:val="0"/>
            <w:vAlign w:val="center"/>
          </w:tcPr>
          <w:p w14:paraId="33EFE8AB">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配送人员及车辆配置情况</w:t>
            </w:r>
          </w:p>
        </w:tc>
        <w:tc>
          <w:tcPr>
            <w:tcW w:w="3000" w:type="dxa"/>
            <w:tcBorders>
              <w:top w:val="single" w:color="auto" w:sz="4" w:space="0"/>
              <w:left w:val="single" w:color="auto" w:sz="4" w:space="0"/>
              <w:bottom w:val="single" w:color="auto" w:sz="4" w:space="0"/>
              <w:right w:val="single" w:color="auto" w:sz="4" w:space="0"/>
            </w:tcBorders>
            <w:noWrap w:val="0"/>
            <w:vAlign w:val="center"/>
          </w:tcPr>
          <w:p w14:paraId="7BA0ACF8">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优：不扣分，良：扣1分，一般：扣</w:t>
            </w:r>
            <w:r>
              <w:rPr>
                <w:rFonts w:hint="eastAsia" w:ascii="新宋体" w:hAnsi="新宋体" w:eastAsia="新宋体" w:cs="新宋体"/>
                <w:color w:val="auto"/>
                <w:sz w:val="22"/>
                <w:szCs w:val="22"/>
                <w:highlight w:val="none"/>
                <w:lang w:val="en-US" w:eastAsia="zh-CN"/>
              </w:rPr>
              <w:t>2</w:t>
            </w:r>
            <w:r>
              <w:rPr>
                <w:rFonts w:hint="eastAsia" w:ascii="新宋体" w:hAnsi="新宋体" w:eastAsia="新宋体" w:cs="新宋体"/>
                <w:color w:val="auto"/>
                <w:sz w:val="22"/>
                <w:szCs w:val="22"/>
                <w:highlight w:val="none"/>
              </w:rPr>
              <w:t>分，差：扣</w:t>
            </w:r>
            <w:r>
              <w:rPr>
                <w:rFonts w:hint="eastAsia" w:ascii="新宋体" w:hAnsi="新宋体" w:eastAsia="新宋体" w:cs="新宋体"/>
                <w:color w:val="auto"/>
                <w:sz w:val="22"/>
                <w:szCs w:val="22"/>
                <w:highlight w:val="none"/>
                <w:lang w:val="en-US" w:eastAsia="zh-CN"/>
              </w:rPr>
              <w:t>3</w:t>
            </w:r>
            <w:r>
              <w:rPr>
                <w:rFonts w:hint="eastAsia" w:ascii="新宋体" w:hAnsi="新宋体" w:eastAsia="新宋体" w:cs="新宋体"/>
                <w:color w:val="auto"/>
                <w:sz w:val="22"/>
                <w:szCs w:val="22"/>
                <w:highlight w:val="none"/>
              </w:rPr>
              <w:t>分</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3A381A46">
            <w:pPr>
              <w:spacing w:line="460" w:lineRule="exact"/>
              <w:jc w:val="center"/>
              <w:rPr>
                <w:rFonts w:hint="eastAsia" w:ascii="新宋体" w:hAnsi="新宋体" w:eastAsia="新宋体" w:cs="新宋体"/>
                <w:color w:val="auto"/>
                <w:sz w:val="22"/>
                <w:szCs w:val="22"/>
                <w:highlight w:val="none"/>
                <w:lang w:eastAsia="zh-CN"/>
              </w:rPr>
            </w:pPr>
            <w:r>
              <w:rPr>
                <w:rFonts w:hint="eastAsia" w:ascii="新宋体" w:hAnsi="新宋体" w:eastAsia="新宋体" w:cs="新宋体"/>
                <w:color w:val="auto"/>
                <w:sz w:val="22"/>
                <w:szCs w:val="22"/>
                <w:highlight w:val="none"/>
                <w:lang w:val="en-US" w:eastAsia="zh-CN"/>
              </w:rPr>
              <w:t>3</w:t>
            </w:r>
          </w:p>
        </w:tc>
        <w:tc>
          <w:tcPr>
            <w:tcW w:w="750" w:type="dxa"/>
            <w:tcBorders>
              <w:top w:val="single" w:color="auto" w:sz="4" w:space="0"/>
              <w:left w:val="single" w:color="auto" w:sz="4" w:space="0"/>
              <w:bottom w:val="single" w:color="auto" w:sz="4" w:space="0"/>
              <w:right w:val="single" w:color="auto" w:sz="4" w:space="0"/>
            </w:tcBorders>
            <w:noWrap w:val="0"/>
            <w:vAlign w:val="top"/>
          </w:tcPr>
          <w:p w14:paraId="2242C734">
            <w:pPr>
              <w:spacing w:line="460" w:lineRule="exact"/>
              <w:jc w:val="center"/>
              <w:rPr>
                <w:rFonts w:hint="eastAsia" w:ascii="新宋体" w:hAnsi="新宋体" w:eastAsia="新宋体" w:cs="新宋体"/>
                <w:color w:val="auto"/>
                <w:sz w:val="22"/>
                <w:szCs w:val="22"/>
                <w:highlight w:val="none"/>
              </w:rPr>
            </w:pPr>
          </w:p>
        </w:tc>
        <w:tc>
          <w:tcPr>
            <w:tcW w:w="787" w:type="dxa"/>
            <w:tcBorders>
              <w:top w:val="single" w:color="auto" w:sz="4" w:space="0"/>
              <w:left w:val="single" w:color="auto" w:sz="4" w:space="0"/>
              <w:bottom w:val="single" w:color="auto" w:sz="4" w:space="0"/>
              <w:right w:val="single" w:color="auto" w:sz="4" w:space="0"/>
            </w:tcBorders>
            <w:noWrap w:val="0"/>
            <w:vAlign w:val="center"/>
          </w:tcPr>
          <w:p w14:paraId="0E9CE89C">
            <w:pPr>
              <w:spacing w:line="460" w:lineRule="exact"/>
              <w:jc w:val="center"/>
              <w:rPr>
                <w:rFonts w:hint="eastAsia" w:ascii="新宋体" w:hAnsi="新宋体" w:eastAsia="新宋体" w:cs="新宋体"/>
                <w:color w:val="auto"/>
                <w:sz w:val="22"/>
                <w:szCs w:val="22"/>
                <w:highlight w:val="none"/>
              </w:rPr>
            </w:pPr>
          </w:p>
        </w:tc>
      </w:tr>
      <w:tr w14:paraId="52675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dxa"/>
            <w:vMerge w:val="continue"/>
            <w:tcBorders>
              <w:left w:val="single" w:color="auto" w:sz="4" w:space="0"/>
              <w:right w:val="single" w:color="auto" w:sz="4" w:space="0"/>
            </w:tcBorders>
            <w:noWrap w:val="0"/>
            <w:vAlign w:val="center"/>
          </w:tcPr>
          <w:p w14:paraId="6D34BAAB">
            <w:pPr>
              <w:spacing w:line="460" w:lineRule="exact"/>
              <w:jc w:val="center"/>
              <w:rPr>
                <w:rFonts w:hint="eastAsia" w:ascii="新宋体" w:hAnsi="新宋体" w:eastAsia="新宋体" w:cs="新宋体"/>
                <w:color w:val="auto"/>
                <w:sz w:val="22"/>
                <w:szCs w:val="22"/>
                <w:highlight w:val="none"/>
              </w:rPr>
            </w:pPr>
          </w:p>
        </w:tc>
        <w:tc>
          <w:tcPr>
            <w:tcW w:w="1112" w:type="dxa"/>
            <w:vMerge w:val="continue"/>
            <w:tcBorders>
              <w:left w:val="single" w:color="auto" w:sz="4" w:space="0"/>
              <w:right w:val="single" w:color="auto" w:sz="4" w:space="0"/>
            </w:tcBorders>
            <w:noWrap w:val="0"/>
            <w:vAlign w:val="center"/>
          </w:tcPr>
          <w:p w14:paraId="54659B60">
            <w:pPr>
              <w:spacing w:line="460" w:lineRule="exact"/>
              <w:jc w:val="center"/>
              <w:rPr>
                <w:rFonts w:hint="eastAsia" w:ascii="新宋体" w:hAnsi="新宋体" w:eastAsia="新宋体" w:cs="新宋体"/>
                <w:color w:val="auto"/>
                <w:sz w:val="22"/>
                <w:szCs w:val="22"/>
                <w:highlight w:val="none"/>
              </w:rPr>
            </w:pPr>
          </w:p>
        </w:tc>
        <w:tc>
          <w:tcPr>
            <w:tcW w:w="2800" w:type="dxa"/>
            <w:tcBorders>
              <w:top w:val="single" w:color="auto" w:sz="4" w:space="0"/>
              <w:left w:val="single" w:color="auto" w:sz="4" w:space="0"/>
              <w:right w:val="single" w:color="auto" w:sz="4" w:space="0"/>
            </w:tcBorders>
            <w:noWrap w:val="0"/>
            <w:vAlign w:val="center"/>
          </w:tcPr>
          <w:p w14:paraId="59DCBE8D">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配送车辆及用具需保持清洁，每天清洗，无异味</w:t>
            </w:r>
          </w:p>
        </w:tc>
        <w:tc>
          <w:tcPr>
            <w:tcW w:w="3000" w:type="dxa"/>
            <w:tcBorders>
              <w:top w:val="single" w:color="auto" w:sz="4" w:space="0"/>
              <w:left w:val="single" w:color="auto" w:sz="4" w:space="0"/>
              <w:right w:val="single" w:color="auto" w:sz="4" w:space="0"/>
            </w:tcBorders>
            <w:noWrap w:val="0"/>
            <w:vAlign w:val="center"/>
          </w:tcPr>
          <w:p w14:paraId="01AB9821">
            <w:pPr>
              <w:spacing w:line="460" w:lineRule="exact"/>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不符要求每次扣1分</w:t>
            </w:r>
          </w:p>
        </w:tc>
        <w:tc>
          <w:tcPr>
            <w:tcW w:w="763" w:type="dxa"/>
            <w:tcBorders>
              <w:top w:val="single" w:color="auto" w:sz="4" w:space="0"/>
              <w:left w:val="single" w:color="auto" w:sz="4" w:space="0"/>
              <w:right w:val="single" w:color="auto" w:sz="4" w:space="0"/>
            </w:tcBorders>
            <w:noWrap w:val="0"/>
            <w:vAlign w:val="center"/>
          </w:tcPr>
          <w:p w14:paraId="1C9446FF">
            <w:pPr>
              <w:spacing w:line="460" w:lineRule="exact"/>
              <w:jc w:val="center"/>
              <w:rPr>
                <w:rFonts w:hint="eastAsia" w:ascii="新宋体" w:hAnsi="新宋体" w:eastAsia="新宋体" w:cs="新宋体"/>
                <w:color w:val="auto"/>
                <w:sz w:val="22"/>
                <w:szCs w:val="22"/>
                <w:highlight w:val="none"/>
                <w:lang w:eastAsia="zh-CN"/>
              </w:rPr>
            </w:pPr>
            <w:r>
              <w:rPr>
                <w:rFonts w:hint="eastAsia" w:ascii="新宋体" w:hAnsi="新宋体" w:eastAsia="新宋体" w:cs="新宋体"/>
                <w:color w:val="auto"/>
                <w:sz w:val="22"/>
                <w:szCs w:val="22"/>
                <w:highlight w:val="none"/>
                <w:lang w:val="en-US" w:eastAsia="zh-CN"/>
              </w:rPr>
              <w:t>3</w:t>
            </w:r>
          </w:p>
        </w:tc>
        <w:tc>
          <w:tcPr>
            <w:tcW w:w="750" w:type="dxa"/>
            <w:tcBorders>
              <w:top w:val="single" w:color="auto" w:sz="4" w:space="0"/>
              <w:left w:val="single" w:color="auto" w:sz="4" w:space="0"/>
              <w:right w:val="single" w:color="auto" w:sz="4" w:space="0"/>
            </w:tcBorders>
            <w:noWrap w:val="0"/>
            <w:vAlign w:val="top"/>
          </w:tcPr>
          <w:p w14:paraId="5526AACF">
            <w:pPr>
              <w:spacing w:line="460" w:lineRule="exact"/>
              <w:jc w:val="center"/>
              <w:rPr>
                <w:rFonts w:hint="eastAsia" w:ascii="新宋体" w:hAnsi="新宋体" w:eastAsia="新宋体" w:cs="新宋体"/>
                <w:color w:val="auto"/>
                <w:sz w:val="22"/>
                <w:szCs w:val="22"/>
                <w:highlight w:val="none"/>
              </w:rPr>
            </w:pPr>
          </w:p>
        </w:tc>
        <w:tc>
          <w:tcPr>
            <w:tcW w:w="787" w:type="dxa"/>
            <w:tcBorders>
              <w:top w:val="single" w:color="auto" w:sz="4" w:space="0"/>
              <w:left w:val="single" w:color="auto" w:sz="4" w:space="0"/>
              <w:bottom w:val="single" w:color="auto" w:sz="4" w:space="0"/>
              <w:right w:val="single" w:color="auto" w:sz="4" w:space="0"/>
            </w:tcBorders>
            <w:noWrap w:val="0"/>
            <w:vAlign w:val="center"/>
          </w:tcPr>
          <w:p w14:paraId="6AA8AD56">
            <w:pPr>
              <w:spacing w:line="460" w:lineRule="exact"/>
              <w:jc w:val="center"/>
              <w:rPr>
                <w:rFonts w:hint="eastAsia" w:ascii="新宋体" w:hAnsi="新宋体" w:eastAsia="新宋体" w:cs="新宋体"/>
                <w:color w:val="auto"/>
                <w:sz w:val="22"/>
                <w:szCs w:val="22"/>
                <w:highlight w:val="none"/>
              </w:rPr>
            </w:pPr>
          </w:p>
        </w:tc>
      </w:tr>
      <w:tr w14:paraId="12F2C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dxa"/>
            <w:vMerge w:val="continue"/>
            <w:tcBorders>
              <w:left w:val="single" w:color="auto" w:sz="4" w:space="0"/>
              <w:right w:val="single" w:color="auto" w:sz="4" w:space="0"/>
            </w:tcBorders>
            <w:noWrap w:val="0"/>
            <w:vAlign w:val="center"/>
          </w:tcPr>
          <w:p w14:paraId="1267DBAA">
            <w:pPr>
              <w:spacing w:line="460" w:lineRule="exact"/>
              <w:jc w:val="center"/>
              <w:rPr>
                <w:rFonts w:hint="eastAsia" w:ascii="新宋体" w:hAnsi="新宋体" w:eastAsia="新宋体" w:cs="新宋体"/>
                <w:color w:val="auto"/>
                <w:sz w:val="22"/>
                <w:szCs w:val="22"/>
                <w:highlight w:val="none"/>
              </w:rPr>
            </w:pPr>
          </w:p>
        </w:tc>
        <w:tc>
          <w:tcPr>
            <w:tcW w:w="1112" w:type="dxa"/>
            <w:vMerge w:val="continue"/>
            <w:tcBorders>
              <w:left w:val="single" w:color="auto" w:sz="4" w:space="0"/>
              <w:right w:val="single" w:color="auto" w:sz="4" w:space="0"/>
            </w:tcBorders>
            <w:noWrap w:val="0"/>
            <w:vAlign w:val="center"/>
          </w:tcPr>
          <w:p w14:paraId="738F60C8">
            <w:pPr>
              <w:spacing w:line="460" w:lineRule="exact"/>
              <w:jc w:val="center"/>
              <w:rPr>
                <w:rFonts w:hint="eastAsia" w:ascii="新宋体" w:hAnsi="新宋体" w:eastAsia="新宋体" w:cs="新宋体"/>
                <w:color w:val="auto"/>
                <w:sz w:val="22"/>
                <w:szCs w:val="22"/>
                <w:highlight w:val="none"/>
              </w:rPr>
            </w:pPr>
          </w:p>
        </w:tc>
        <w:tc>
          <w:tcPr>
            <w:tcW w:w="2800" w:type="dxa"/>
            <w:tcBorders>
              <w:top w:val="single" w:color="auto" w:sz="4" w:space="0"/>
              <w:left w:val="single" w:color="auto" w:sz="4" w:space="0"/>
              <w:right w:val="single" w:color="auto" w:sz="4" w:space="0"/>
            </w:tcBorders>
            <w:noWrap w:val="0"/>
            <w:vAlign w:val="center"/>
          </w:tcPr>
          <w:p w14:paraId="58619C1B">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应急配送到位情况</w:t>
            </w:r>
          </w:p>
        </w:tc>
        <w:tc>
          <w:tcPr>
            <w:tcW w:w="3000" w:type="dxa"/>
            <w:tcBorders>
              <w:top w:val="single" w:color="auto" w:sz="4" w:space="0"/>
              <w:left w:val="single" w:color="auto" w:sz="4" w:space="0"/>
              <w:right w:val="single" w:color="auto" w:sz="4" w:space="0"/>
            </w:tcBorders>
            <w:noWrap w:val="0"/>
            <w:vAlign w:val="center"/>
          </w:tcPr>
          <w:p w14:paraId="092584F0">
            <w:pPr>
              <w:spacing w:line="460" w:lineRule="exact"/>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不按要求到位每次扣</w:t>
            </w:r>
            <w:r>
              <w:rPr>
                <w:rFonts w:hint="eastAsia" w:ascii="新宋体" w:hAnsi="新宋体" w:eastAsia="新宋体" w:cs="新宋体"/>
                <w:color w:val="auto"/>
                <w:sz w:val="22"/>
                <w:szCs w:val="22"/>
                <w:highlight w:val="none"/>
                <w:lang w:val="en-US" w:eastAsia="zh-CN"/>
              </w:rPr>
              <w:t>3</w:t>
            </w:r>
            <w:r>
              <w:rPr>
                <w:rFonts w:hint="eastAsia" w:ascii="新宋体" w:hAnsi="新宋体" w:eastAsia="新宋体" w:cs="新宋体"/>
                <w:color w:val="auto"/>
                <w:sz w:val="22"/>
                <w:szCs w:val="22"/>
                <w:highlight w:val="none"/>
              </w:rPr>
              <w:t>分</w:t>
            </w:r>
          </w:p>
        </w:tc>
        <w:tc>
          <w:tcPr>
            <w:tcW w:w="763" w:type="dxa"/>
            <w:tcBorders>
              <w:top w:val="single" w:color="auto" w:sz="4" w:space="0"/>
              <w:left w:val="single" w:color="auto" w:sz="4" w:space="0"/>
              <w:right w:val="single" w:color="auto" w:sz="4" w:space="0"/>
            </w:tcBorders>
            <w:noWrap w:val="0"/>
            <w:vAlign w:val="center"/>
          </w:tcPr>
          <w:p w14:paraId="714E38D5">
            <w:pPr>
              <w:spacing w:line="460" w:lineRule="exact"/>
              <w:jc w:val="center"/>
              <w:rPr>
                <w:rFonts w:hint="eastAsia" w:ascii="新宋体" w:hAnsi="新宋体" w:eastAsia="新宋体" w:cs="新宋体"/>
                <w:color w:val="auto"/>
                <w:sz w:val="22"/>
                <w:szCs w:val="22"/>
                <w:highlight w:val="none"/>
                <w:lang w:eastAsia="zh-CN"/>
              </w:rPr>
            </w:pPr>
            <w:r>
              <w:rPr>
                <w:rFonts w:hint="eastAsia" w:ascii="新宋体" w:hAnsi="新宋体" w:eastAsia="新宋体" w:cs="新宋体"/>
                <w:color w:val="auto"/>
                <w:sz w:val="22"/>
                <w:szCs w:val="22"/>
                <w:highlight w:val="none"/>
                <w:lang w:val="en-US" w:eastAsia="zh-CN"/>
              </w:rPr>
              <w:t>3</w:t>
            </w:r>
          </w:p>
        </w:tc>
        <w:tc>
          <w:tcPr>
            <w:tcW w:w="750" w:type="dxa"/>
            <w:tcBorders>
              <w:top w:val="single" w:color="auto" w:sz="4" w:space="0"/>
              <w:left w:val="single" w:color="auto" w:sz="4" w:space="0"/>
              <w:right w:val="single" w:color="auto" w:sz="4" w:space="0"/>
            </w:tcBorders>
            <w:noWrap w:val="0"/>
            <w:vAlign w:val="top"/>
          </w:tcPr>
          <w:p w14:paraId="5020E107">
            <w:pPr>
              <w:spacing w:line="460" w:lineRule="exact"/>
              <w:jc w:val="center"/>
              <w:rPr>
                <w:rFonts w:hint="eastAsia" w:ascii="新宋体" w:hAnsi="新宋体" w:eastAsia="新宋体" w:cs="新宋体"/>
                <w:color w:val="auto"/>
                <w:sz w:val="22"/>
                <w:szCs w:val="22"/>
                <w:highlight w:val="none"/>
              </w:rPr>
            </w:pPr>
          </w:p>
        </w:tc>
        <w:tc>
          <w:tcPr>
            <w:tcW w:w="787" w:type="dxa"/>
            <w:tcBorders>
              <w:top w:val="single" w:color="auto" w:sz="4" w:space="0"/>
              <w:left w:val="single" w:color="auto" w:sz="4" w:space="0"/>
              <w:bottom w:val="single" w:color="auto" w:sz="4" w:space="0"/>
              <w:right w:val="single" w:color="auto" w:sz="4" w:space="0"/>
            </w:tcBorders>
            <w:noWrap w:val="0"/>
            <w:vAlign w:val="center"/>
          </w:tcPr>
          <w:p w14:paraId="7BAFD4C1">
            <w:pPr>
              <w:spacing w:line="460" w:lineRule="exact"/>
              <w:jc w:val="center"/>
              <w:rPr>
                <w:rFonts w:hint="eastAsia" w:ascii="新宋体" w:hAnsi="新宋体" w:eastAsia="新宋体" w:cs="新宋体"/>
                <w:color w:val="auto"/>
                <w:sz w:val="22"/>
                <w:szCs w:val="22"/>
                <w:highlight w:val="none"/>
              </w:rPr>
            </w:pPr>
          </w:p>
        </w:tc>
      </w:tr>
      <w:tr w14:paraId="4A3C3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dxa"/>
            <w:tcBorders>
              <w:top w:val="single" w:color="auto" w:sz="4" w:space="0"/>
              <w:left w:val="single" w:color="auto" w:sz="4" w:space="0"/>
              <w:bottom w:val="single" w:color="auto" w:sz="4" w:space="0"/>
              <w:right w:val="single" w:color="auto" w:sz="4" w:space="0"/>
            </w:tcBorders>
            <w:noWrap w:val="0"/>
            <w:vAlign w:val="center"/>
          </w:tcPr>
          <w:p w14:paraId="3A06C6CA">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4</w:t>
            </w:r>
          </w:p>
        </w:tc>
        <w:tc>
          <w:tcPr>
            <w:tcW w:w="1112" w:type="dxa"/>
            <w:tcBorders>
              <w:top w:val="single" w:color="auto" w:sz="4" w:space="0"/>
              <w:left w:val="single" w:color="auto" w:sz="4" w:space="0"/>
              <w:bottom w:val="single" w:color="auto" w:sz="4" w:space="0"/>
              <w:right w:val="single" w:color="auto" w:sz="4" w:space="0"/>
            </w:tcBorders>
            <w:noWrap w:val="0"/>
            <w:vAlign w:val="center"/>
          </w:tcPr>
          <w:p w14:paraId="0308DF3F">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价格执行</w:t>
            </w:r>
          </w:p>
        </w:tc>
        <w:tc>
          <w:tcPr>
            <w:tcW w:w="2800" w:type="dxa"/>
            <w:tcBorders>
              <w:top w:val="single" w:color="auto" w:sz="4" w:space="0"/>
              <w:left w:val="single" w:color="auto" w:sz="4" w:space="0"/>
              <w:bottom w:val="single" w:color="auto" w:sz="4" w:space="0"/>
              <w:right w:val="single" w:color="auto" w:sz="4" w:space="0"/>
            </w:tcBorders>
            <w:noWrap w:val="0"/>
            <w:vAlign w:val="center"/>
          </w:tcPr>
          <w:p w14:paraId="10AD7373">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价格与市场价格比较情况</w:t>
            </w:r>
          </w:p>
        </w:tc>
        <w:tc>
          <w:tcPr>
            <w:tcW w:w="3000" w:type="dxa"/>
            <w:tcBorders>
              <w:top w:val="single" w:color="auto" w:sz="4" w:space="0"/>
              <w:left w:val="single" w:color="auto" w:sz="4" w:space="0"/>
              <w:bottom w:val="single" w:color="auto" w:sz="4" w:space="0"/>
              <w:right w:val="single" w:color="auto" w:sz="4" w:space="0"/>
            </w:tcBorders>
            <w:noWrap w:val="0"/>
            <w:vAlign w:val="center"/>
          </w:tcPr>
          <w:p w14:paraId="797772F5">
            <w:pPr>
              <w:spacing w:line="460" w:lineRule="exact"/>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优：不扣分，良：扣5分，一般：扣10分，差：扣15分</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759147E1">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15</w:t>
            </w:r>
          </w:p>
        </w:tc>
        <w:tc>
          <w:tcPr>
            <w:tcW w:w="750" w:type="dxa"/>
            <w:tcBorders>
              <w:top w:val="single" w:color="auto" w:sz="4" w:space="0"/>
              <w:left w:val="single" w:color="auto" w:sz="4" w:space="0"/>
              <w:bottom w:val="single" w:color="auto" w:sz="4" w:space="0"/>
              <w:right w:val="single" w:color="auto" w:sz="4" w:space="0"/>
            </w:tcBorders>
            <w:noWrap w:val="0"/>
            <w:vAlign w:val="top"/>
          </w:tcPr>
          <w:p w14:paraId="61C8F6BE">
            <w:pPr>
              <w:spacing w:line="460" w:lineRule="exact"/>
              <w:jc w:val="center"/>
              <w:rPr>
                <w:rFonts w:hint="eastAsia" w:ascii="新宋体" w:hAnsi="新宋体" w:eastAsia="新宋体" w:cs="新宋体"/>
                <w:color w:val="auto"/>
                <w:sz w:val="22"/>
                <w:szCs w:val="22"/>
                <w:highlight w:val="none"/>
              </w:rPr>
            </w:pPr>
          </w:p>
        </w:tc>
        <w:tc>
          <w:tcPr>
            <w:tcW w:w="787" w:type="dxa"/>
            <w:tcBorders>
              <w:top w:val="single" w:color="auto" w:sz="4" w:space="0"/>
              <w:left w:val="single" w:color="auto" w:sz="4" w:space="0"/>
              <w:bottom w:val="single" w:color="auto" w:sz="4" w:space="0"/>
              <w:right w:val="single" w:color="auto" w:sz="4" w:space="0"/>
            </w:tcBorders>
            <w:noWrap w:val="0"/>
            <w:vAlign w:val="center"/>
          </w:tcPr>
          <w:p w14:paraId="700B3D7F">
            <w:pPr>
              <w:spacing w:line="460" w:lineRule="exact"/>
              <w:jc w:val="center"/>
              <w:rPr>
                <w:rFonts w:hint="eastAsia" w:ascii="新宋体" w:hAnsi="新宋体" w:eastAsia="新宋体" w:cs="新宋体"/>
                <w:color w:val="auto"/>
                <w:sz w:val="22"/>
                <w:szCs w:val="22"/>
                <w:highlight w:val="none"/>
              </w:rPr>
            </w:pPr>
          </w:p>
        </w:tc>
      </w:tr>
      <w:tr w14:paraId="06605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dxa"/>
            <w:tcBorders>
              <w:top w:val="single" w:color="auto" w:sz="4" w:space="0"/>
              <w:left w:val="single" w:color="auto" w:sz="4" w:space="0"/>
              <w:bottom w:val="single" w:color="auto" w:sz="4" w:space="0"/>
              <w:right w:val="single" w:color="auto" w:sz="4" w:space="0"/>
            </w:tcBorders>
            <w:noWrap w:val="0"/>
            <w:vAlign w:val="center"/>
          </w:tcPr>
          <w:p w14:paraId="38B48F72">
            <w:pPr>
              <w:spacing w:line="460" w:lineRule="exact"/>
              <w:jc w:val="center"/>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5</w:t>
            </w:r>
          </w:p>
        </w:tc>
        <w:tc>
          <w:tcPr>
            <w:tcW w:w="1112" w:type="dxa"/>
            <w:tcBorders>
              <w:top w:val="single" w:color="auto" w:sz="4" w:space="0"/>
              <w:left w:val="single" w:color="auto" w:sz="4" w:space="0"/>
              <w:bottom w:val="single" w:color="auto" w:sz="4" w:space="0"/>
              <w:right w:val="single" w:color="auto" w:sz="4" w:space="0"/>
            </w:tcBorders>
            <w:noWrap w:val="0"/>
            <w:vAlign w:val="center"/>
          </w:tcPr>
          <w:p w14:paraId="185D121A">
            <w:pPr>
              <w:spacing w:line="460" w:lineRule="exact"/>
              <w:jc w:val="center"/>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应急措施</w:t>
            </w:r>
          </w:p>
        </w:tc>
        <w:tc>
          <w:tcPr>
            <w:tcW w:w="2800" w:type="dxa"/>
            <w:tcBorders>
              <w:top w:val="single" w:color="auto" w:sz="4" w:space="0"/>
              <w:left w:val="single" w:color="auto" w:sz="4" w:space="0"/>
              <w:bottom w:val="single" w:color="auto" w:sz="4" w:space="0"/>
              <w:right w:val="single" w:color="auto" w:sz="4" w:space="0"/>
            </w:tcBorders>
            <w:noWrap w:val="0"/>
            <w:vAlign w:val="center"/>
          </w:tcPr>
          <w:p w14:paraId="42FAAB5F">
            <w:pPr>
              <w:spacing w:line="460" w:lineRule="exact"/>
              <w:jc w:val="center"/>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临时加单配送情况</w:t>
            </w:r>
          </w:p>
        </w:tc>
        <w:tc>
          <w:tcPr>
            <w:tcW w:w="3000" w:type="dxa"/>
            <w:tcBorders>
              <w:top w:val="single" w:color="auto" w:sz="4" w:space="0"/>
              <w:left w:val="single" w:color="auto" w:sz="4" w:space="0"/>
              <w:bottom w:val="single" w:color="auto" w:sz="4" w:space="0"/>
              <w:right w:val="single" w:color="auto" w:sz="4" w:space="0"/>
            </w:tcBorders>
            <w:noWrap w:val="0"/>
            <w:vAlign w:val="center"/>
          </w:tcPr>
          <w:p w14:paraId="57DC975F">
            <w:pPr>
              <w:spacing w:line="460" w:lineRule="exact"/>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优：不扣分，一般：扣0.5分，差：扣1分</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7120B638">
            <w:pPr>
              <w:spacing w:line="460" w:lineRule="exact"/>
              <w:jc w:val="center"/>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1</w:t>
            </w:r>
          </w:p>
        </w:tc>
        <w:tc>
          <w:tcPr>
            <w:tcW w:w="750" w:type="dxa"/>
            <w:tcBorders>
              <w:top w:val="single" w:color="auto" w:sz="4" w:space="0"/>
              <w:left w:val="single" w:color="auto" w:sz="4" w:space="0"/>
              <w:bottom w:val="single" w:color="auto" w:sz="4" w:space="0"/>
              <w:right w:val="single" w:color="auto" w:sz="4" w:space="0"/>
            </w:tcBorders>
            <w:noWrap w:val="0"/>
            <w:vAlign w:val="top"/>
          </w:tcPr>
          <w:p w14:paraId="5B6B0CF5">
            <w:pPr>
              <w:spacing w:line="460" w:lineRule="exact"/>
              <w:jc w:val="center"/>
              <w:rPr>
                <w:rFonts w:hint="eastAsia" w:ascii="新宋体" w:hAnsi="新宋体" w:eastAsia="新宋体" w:cs="新宋体"/>
                <w:color w:val="auto"/>
                <w:sz w:val="22"/>
                <w:szCs w:val="22"/>
                <w:highlight w:val="none"/>
              </w:rPr>
            </w:pPr>
          </w:p>
        </w:tc>
        <w:tc>
          <w:tcPr>
            <w:tcW w:w="787" w:type="dxa"/>
            <w:tcBorders>
              <w:top w:val="single" w:color="auto" w:sz="4" w:space="0"/>
              <w:left w:val="single" w:color="auto" w:sz="4" w:space="0"/>
              <w:bottom w:val="single" w:color="auto" w:sz="4" w:space="0"/>
              <w:right w:val="single" w:color="auto" w:sz="4" w:space="0"/>
            </w:tcBorders>
            <w:noWrap w:val="0"/>
            <w:vAlign w:val="center"/>
          </w:tcPr>
          <w:p w14:paraId="0F59BFB6">
            <w:pPr>
              <w:spacing w:line="460" w:lineRule="exact"/>
              <w:jc w:val="center"/>
              <w:rPr>
                <w:rFonts w:hint="eastAsia" w:ascii="新宋体" w:hAnsi="新宋体" w:eastAsia="新宋体" w:cs="新宋体"/>
                <w:color w:val="auto"/>
                <w:sz w:val="22"/>
                <w:szCs w:val="22"/>
                <w:highlight w:val="none"/>
              </w:rPr>
            </w:pPr>
          </w:p>
        </w:tc>
      </w:tr>
      <w:tr w14:paraId="621FC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dxa"/>
            <w:tcBorders>
              <w:top w:val="single" w:color="auto" w:sz="4" w:space="0"/>
              <w:left w:val="single" w:color="auto" w:sz="4" w:space="0"/>
              <w:bottom w:val="single" w:color="auto" w:sz="4" w:space="0"/>
              <w:right w:val="single" w:color="auto" w:sz="4" w:space="0"/>
            </w:tcBorders>
            <w:noWrap w:val="0"/>
            <w:vAlign w:val="center"/>
          </w:tcPr>
          <w:p w14:paraId="512E3ABF">
            <w:pPr>
              <w:spacing w:line="460" w:lineRule="exact"/>
              <w:jc w:val="center"/>
              <w:rPr>
                <w:rFonts w:hint="eastAsia" w:ascii="新宋体" w:hAnsi="新宋体" w:eastAsia="新宋体" w:cs="新宋体"/>
                <w:color w:val="auto"/>
                <w:sz w:val="22"/>
                <w:szCs w:val="22"/>
                <w:highlight w:val="none"/>
                <w:lang w:eastAsia="zh-CN"/>
              </w:rPr>
            </w:pPr>
            <w:r>
              <w:rPr>
                <w:rFonts w:hint="eastAsia" w:ascii="新宋体" w:hAnsi="新宋体" w:eastAsia="新宋体" w:cs="新宋体"/>
                <w:color w:val="auto"/>
                <w:sz w:val="22"/>
                <w:szCs w:val="22"/>
                <w:highlight w:val="none"/>
                <w:lang w:val="en-US" w:eastAsia="zh-CN"/>
              </w:rPr>
              <w:t>6</w:t>
            </w:r>
          </w:p>
        </w:tc>
        <w:tc>
          <w:tcPr>
            <w:tcW w:w="1112" w:type="dxa"/>
            <w:tcBorders>
              <w:top w:val="single" w:color="auto" w:sz="4" w:space="0"/>
              <w:left w:val="single" w:color="auto" w:sz="4" w:space="0"/>
              <w:bottom w:val="single" w:color="auto" w:sz="4" w:space="0"/>
              <w:right w:val="single" w:color="auto" w:sz="4" w:space="0"/>
            </w:tcBorders>
            <w:noWrap w:val="0"/>
            <w:vAlign w:val="center"/>
          </w:tcPr>
          <w:p w14:paraId="76D229D5">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财务对账及时</w:t>
            </w:r>
          </w:p>
        </w:tc>
        <w:tc>
          <w:tcPr>
            <w:tcW w:w="2800" w:type="dxa"/>
            <w:tcBorders>
              <w:top w:val="single" w:color="auto" w:sz="4" w:space="0"/>
              <w:left w:val="single" w:color="auto" w:sz="4" w:space="0"/>
              <w:bottom w:val="single" w:color="auto" w:sz="4" w:space="0"/>
              <w:right w:val="single" w:color="auto" w:sz="4" w:space="0"/>
            </w:tcBorders>
            <w:noWrap w:val="0"/>
            <w:vAlign w:val="center"/>
          </w:tcPr>
          <w:p w14:paraId="70133363">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财会人员及时对帐</w:t>
            </w:r>
          </w:p>
        </w:tc>
        <w:tc>
          <w:tcPr>
            <w:tcW w:w="3000" w:type="dxa"/>
            <w:tcBorders>
              <w:top w:val="single" w:color="auto" w:sz="4" w:space="0"/>
              <w:left w:val="single" w:color="auto" w:sz="4" w:space="0"/>
              <w:bottom w:val="single" w:color="auto" w:sz="4" w:space="0"/>
              <w:right w:val="single" w:color="auto" w:sz="4" w:space="0"/>
            </w:tcBorders>
            <w:noWrap w:val="0"/>
            <w:vAlign w:val="center"/>
          </w:tcPr>
          <w:p w14:paraId="5DF1365C">
            <w:pPr>
              <w:spacing w:line="460" w:lineRule="exact"/>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不及时每次扣0.5分</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3C58F79A">
            <w:pPr>
              <w:spacing w:line="460" w:lineRule="exact"/>
              <w:jc w:val="center"/>
              <w:rPr>
                <w:rFonts w:hint="eastAsia" w:ascii="新宋体" w:hAnsi="新宋体" w:eastAsia="新宋体" w:cs="新宋体"/>
                <w:color w:val="auto"/>
                <w:sz w:val="22"/>
                <w:szCs w:val="22"/>
                <w:highlight w:val="none"/>
                <w:lang w:eastAsia="zh-CN"/>
              </w:rPr>
            </w:pPr>
            <w:r>
              <w:rPr>
                <w:rFonts w:hint="eastAsia" w:ascii="新宋体" w:hAnsi="新宋体" w:eastAsia="新宋体" w:cs="新宋体"/>
                <w:color w:val="auto"/>
                <w:sz w:val="22"/>
                <w:szCs w:val="22"/>
                <w:highlight w:val="none"/>
                <w:lang w:val="en-US" w:eastAsia="zh-CN"/>
              </w:rPr>
              <w:t>2</w:t>
            </w:r>
          </w:p>
        </w:tc>
        <w:tc>
          <w:tcPr>
            <w:tcW w:w="750" w:type="dxa"/>
            <w:tcBorders>
              <w:top w:val="single" w:color="auto" w:sz="4" w:space="0"/>
              <w:left w:val="single" w:color="auto" w:sz="4" w:space="0"/>
              <w:bottom w:val="single" w:color="auto" w:sz="4" w:space="0"/>
              <w:right w:val="single" w:color="auto" w:sz="4" w:space="0"/>
            </w:tcBorders>
            <w:noWrap w:val="0"/>
            <w:vAlign w:val="top"/>
          </w:tcPr>
          <w:p w14:paraId="38E4397F">
            <w:pPr>
              <w:spacing w:line="460" w:lineRule="exact"/>
              <w:jc w:val="center"/>
              <w:rPr>
                <w:rFonts w:hint="eastAsia" w:ascii="新宋体" w:hAnsi="新宋体" w:eastAsia="新宋体" w:cs="新宋体"/>
                <w:color w:val="auto"/>
                <w:sz w:val="22"/>
                <w:szCs w:val="22"/>
                <w:highlight w:val="none"/>
              </w:rPr>
            </w:pPr>
          </w:p>
        </w:tc>
        <w:tc>
          <w:tcPr>
            <w:tcW w:w="787" w:type="dxa"/>
            <w:tcBorders>
              <w:top w:val="single" w:color="auto" w:sz="4" w:space="0"/>
              <w:left w:val="single" w:color="auto" w:sz="4" w:space="0"/>
              <w:bottom w:val="single" w:color="auto" w:sz="4" w:space="0"/>
              <w:right w:val="single" w:color="auto" w:sz="4" w:space="0"/>
            </w:tcBorders>
            <w:noWrap w:val="0"/>
            <w:vAlign w:val="center"/>
          </w:tcPr>
          <w:p w14:paraId="6CA8CAAE">
            <w:pPr>
              <w:spacing w:line="460" w:lineRule="exact"/>
              <w:jc w:val="center"/>
              <w:rPr>
                <w:rFonts w:hint="eastAsia" w:ascii="新宋体" w:hAnsi="新宋体" w:eastAsia="新宋体" w:cs="新宋体"/>
                <w:color w:val="auto"/>
                <w:sz w:val="22"/>
                <w:szCs w:val="22"/>
                <w:highlight w:val="none"/>
              </w:rPr>
            </w:pPr>
          </w:p>
        </w:tc>
      </w:tr>
      <w:tr w14:paraId="0E536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dxa"/>
            <w:tcBorders>
              <w:top w:val="single" w:color="auto" w:sz="4" w:space="0"/>
              <w:left w:val="single" w:color="auto" w:sz="4" w:space="0"/>
              <w:bottom w:val="single" w:color="auto" w:sz="4" w:space="0"/>
              <w:right w:val="single" w:color="auto" w:sz="4" w:space="0"/>
            </w:tcBorders>
            <w:noWrap w:val="0"/>
            <w:vAlign w:val="center"/>
          </w:tcPr>
          <w:p w14:paraId="3E6AC99F">
            <w:pPr>
              <w:spacing w:line="460" w:lineRule="exact"/>
              <w:jc w:val="center"/>
              <w:rPr>
                <w:rFonts w:hint="eastAsia" w:ascii="新宋体" w:hAnsi="新宋体" w:eastAsia="新宋体" w:cs="新宋体"/>
                <w:color w:val="auto"/>
                <w:sz w:val="22"/>
                <w:szCs w:val="22"/>
                <w:highlight w:val="none"/>
                <w:lang w:eastAsia="zh-CN"/>
              </w:rPr>
            </w:pPr>
            <w:r>
              <w:rPr>
                <w:rFonts w:hint="eastAsia" w:ascii="新宋体" w:hAnsi="新宋体" w:eastAsia="新宋体" w:cs="新宋体"/>
                <w:color w:val="auto"/>
                <w:sz w:val="22"/>
                <w:szCs w:val="22"/>
                <w:highlight w:val="none"/>
                <w:lang w:val="en-US" w:eastAsia="zh-CN"/>
              </w:rPr>
              <w:t>7</w:t>
            </w:r>
          </w:p>
        </w:tc>
        <w:tc>
          <w:tcPr>
            <w:tcW w:w="1112" w:type="dxa"/>
            <w:tcBorders>
              <w:top w:val="single" w:color="auto" w:sz="4" w:space="0"/>
              <w:left w:val="single" w:color="auto" w:sz="4" w:space="0"/>
              <w:bottom w:val="single" w:color="auto" w:sz="4" w:space="0"/>
              <w:right w:val="single" w:color="auto" w:sz="4" w:space="0"/>
            </w:tcBorders>
            <w:noWrap w:val="0"/>
            <w:vAlign w:val="center"/>
          </w:tcPr>
          <w:p w14:paraId="1E929816">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业主评价</w:t>
            </w:r>
          </w:p>
        </w:tc>
        <w:tc>
          <w:tcPr>
            <w:tcW w:w="2800" w:type="dxa"/>
            <w:tcBorders>
              <w:top w:val="single" w:color="auto" w:sz="4" w:space="0"/>
              <w:left w:val="single" w:color="auto" w:sz="4" w:space="0"/>
              <w:bottom w:val="single" w:color="auto" w:sz="4" w:space="0"/>
              <w:right w:val="single" w:color="auto" w:sz="4" w:space="0"/>
            </w:tcBorders>
            <w:noWrap w:val="0"/>
            <w:vAlign w:val="center"/>
          </w:tcPr>
          <w:p w14:paraId="469C4895">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服务满意度测评</w:t>
            </w:r>
          </w:p>
        </w:tc>
        <w:tc>
          <w:tcPr>
            <w:tcW w:w="3000" w:type="dxa"/>
            <w:tcBorders>
              <w:top w:val="single" w:color="auto" w:sz="4" w:space="0"/>
              <w:left w:val="single" w:color="auto" w:sz="4" w:space="0"/>
              <w:bottom w:val="single" w:color="auto" w:sz="4" w:space="0"/>
              <w:right w:val="single" w:color="auto" w:sz="4" w:space="0"/>
            </w:tcBorders>
            <w:noWrap w:val="0"/>
            <w:vAlign w:val="center"/>
          </w:tcPr>
          <w:p w14:paraId="22D1464C">
            <w:pPr>
              <w:spacing w:line="460" w:lineRule="exact"/>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优：不扣分，良：扣</w:t>
            </w:r>
            <w:r>
              <w:rPr>
                <w:rFonts w:hint="eastAsia" w:ascii="新宋体" w:hAnsi="新宋体" w:eastAsia="新宋体" w:cs="新宋体"/>
                <w:color w:val="auto"/>
                <w:sz w:val="22"/>
                <w:szCs w:val="22"/>
                <w:highlight w:val="none"/>
                <w:lang w:val="en-US" w:eastAsia="zh-CN"/>
              </w:rPr>
              <w:t>1</w:t>
            </w:r>
            <w:r>
              <w:rPr>
                <w:rFonts w:hint="eastAsia" w:ascii="新宋体" w:hAnsi="新宋体" w:eastAsia="新宋体" w:cs="新宋体"/>
                <w:color w:val="auto"/>
                <w:sz w:val="22"/>
                <w:szCs w:val="22"/>
                <w:highlight w:val="none"/>
              </w:rPr>
              <w:t>分，一般：扣</w:t>
            </w:r>
            <w:r>
              <w:rPr>
                <w:rFonts w:hint="eastAsia" w:ascii="新宋体" w:hAnsi="新宋体" w:eastAsia="新宋体" w:cs="新宋体"/>
                <w:color w:val="auto"/>
                <w:sz w:val="22"/>
                <w:szCs w:val="22"/>
                <w:highlight w:val="none"/>
                <w:lang w:val="en-US" w:eastAsia="zh-CN"/>
              </w:rPr>
              <w:t>2</w:t>
            </w:r>
            <w:r>
              <w:rPr>
                <w:rFonts w:hint="eastAsia" w:ascii="新宋体" w:hAnsi="新宋体" w:eastAsia="新宋体" w:cs="新宋体"/>
                <w:color w:val="auto"/>
                <w:sz w:val="22"/>
                <w:szCs w:val="22"/>
                <w:highlight w:val="none"/>
              </w:rPr>
              <w:t>分，差：扣</w:t>
            </w:r>
            <w:r>
              <w:rPr>
                <w:rFonts w:hint="eastAsia" w:ascii="新宋体" w:hAnsi="新宋体" w:eastAsia="新宋体" w:cs="新宋体"/>
                <w:color w:val="auto"/>
                <w:sz w:val="22"/>
                <w:szCs w:val="22"/>
                <w:highlight w:val="none"/>
                <w:lang w:val="en-US" w:eastAsia="zh-CN"/>
              </w:rPr>
              <w:t>3</w:t>
            </w:r>
            <w:r>
              <w:rPr>
                <w:rFonts w:hint="eastAsia" w:ascii="新宋体" w:hAnsi="新宋体" w:eastAsia="新宋体" w:cs="新宋体"/>
                <w:color w:val="auto"/>
                <w:sz w:val="22"/>
                <w:szCs w:val="22"/>
                <w:highlight w:val="none"/>
              </w:rPr>
              <w:t>分</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70B09502">
            <w:pPr>
              <w:spacing w:line="460" w:lineRule="exact"/>
              <w:jc w:val="center"/>
              <w:rPr>
                <w:rFonts w:hint="eastAsia" w:ascii="新宋体" w:hAnsi="新宋体" w:eastAsia="新宋体" w:cs="新宋体"/>
                <w:color w:val="auto"/>
                <w:sz w:val="22"/>
                <w:szCs w:val="22"/>
                <w:highlight w:val="none"/>
                <w:lang w:eastAsia="zh-CN"/>
              </w:rPr>
            </w:pPr>
            <w:r>
              <w:rPr>
                <w:rFonts w:hint="eastAsia" w:ascii="新宋体" w:hAnsi="新宋体" w:eastAsia="新宋体" w:cs="新宋体"/>
                <w:color w:val="auto"/>
                <w:sz w:val="22"/>
                <w:szCs w:val="22"/>
                <w:highlight w:val="none"/>
                <w:lang w:val="en-US" w:eastAsia="zh-CN"/>
              </w:rPr>
              <w:t>3</w:t>
            </w:r>
          </w:p>
        </w:tc>
        <w:tc>
          <w:tcPr>
            <w:tcW w:w="750" w:type="dxa"/>
            <w:tcBorders>
              <w:top w:val="single" w:color="auto" w:sz="4" w:space="0"/>
              <w:left w:val="single" w:color="auto" w:sz="4" w:space="0"/>
              <w:bottom w:val="single" w:color="auto" w:sz="4" w:space="0"/>
              <w:right w:val="single" w:color="auto" w:sz="4" w:space="0"/>
            </w:tcBorders>
            <w:noWrap w:val="0"/>
            <w:vAlign w:val="top"/>
          </w:tcPr>
          <w:p w14:paraId="0466BF73">
            <w:pPr>
              <w:spacing w:line="460" w:lineRule="exact"/>
              <w:jc w:val="center"/>
              <w:rPr>
                <w:rFonts w:hint="eastAsia" w:ascii="新宋体" w:hAnsi="新宋体" w:eastAsia="新宋体" w:cs="新宋体"/>
                <w:color w:val="auto"/>
                <w:sz w:val="22"/>
                <w:szCs w:val="22"/>
                <w:highlight w:val="none"/>
              </w:rPr>
            </w:pPr>
          </w:p>
        </w:tc>
        <w:tc>
          <w:tcPr>
            <w:tcW w:w="787" w:type="dxa"/>
            <w:tcBorders>
              <w:top w:val="single" w:color="auto" w:sz="4" w:space="0"/>
              <w:left w:val="single" w:color="auto" w:sz="4" w:space="0"/>
              <w:bottom w:val="single" w:color="auto" w:sz="4" w:space="0"/>
              <w:right w:val="single" w:color="auto" w:sz="4" w:space="0"/>
            </w:tcBorders>
            <w:noWrap w:val="0"/>
            <w:vAlign w:val="center"/>
          </w:tcPr>
          <w:p w14:paraId="0E37D37C">
            <w:pPr>
              <w:spacing w:line="460" w:lineRule="exact"/>
              <w:jc w:val="center"/>
              <w:rPr>
                <w:rFonts w:hint="eastAsia" w:ascii="新宋体" w:hAnsi="新宋体" w:eastAsia="新宋体" w:cs="新宋体"/>
                <w:color w:val="auto"/>
                <w:sz w:val="22"/>
                <w:szCs w:val="22"/>
                <w:highlight w:val="none"/>
              </w:rPr>
            </w:pPr>
          </w:p>
        </w:tc>
      </w:tr>
      <w:tr w14:paraId="591B5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gridSpan w:val="2"/>
            <w:tcBorders>
              <w:top w:val="single" w:color="auto" w:sz="4" w:space="0"/>
              <w:left w:val="single" w:color="auto" w:sz="4" w:space="0"/>
              <w:bottom w:val="single" w:color="auto" w:sz="4" w:space="0"/>
              <w:right w:val="single" w:color="auto" w:sz="4" w:space="0"/>
            </w:tcBorders>
            <w:noWrap w:val="0"/>
            <w:vAlign w:val="center"/>
          </w:tcPr>
          <w:p w14:paraId="613146D9">
            <w:pPr>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总分</w:t>
            </w:r>
          </w:p>
        </w:tc>
        <w:tc>
          <w:tcPr>
            <w:tcW w:w="8100" w:type="dxa"/>
            <w:gridSpan w:val="5"/>
            <w:tcBorders>
              <w:top w:val="single" w:color="auto" w:sz="4" w:space="0"/>
              <w:left w:val="single" w:color="auto" w:sz="4" w:space="0"/>
              <w:bottom w:val="single" w:color="auto" w:sz="4" w:space="0"/>
              <w:right w:val="single" w:color="auto" w:sz="4" w:space="0"/>
            </w:tcBorders>
            <w:noWrap w:val="0"/>
            <w:vAlign w:val="center"/>
          </w:tcPr>
          <w:p w14:paraId="74A1215F">
            <w:pPr>
              <w:spacing w:line="460" w:lineRule="exact"/>
              <w:jc w:val="left"/>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rPr>
              <w:t>本考核表初始总分100分，考核得分</w:t>
            </w:r>
            <w:r>
              <w:rPr>
                <w:rFonts w:hint="eastAsia" w:ascii="新宋体" w:hAnsi="新宋体" w:eastAsia="新宋体" w:cs="新宋体"/>
                <w:color w:val="auto"/>
                <w:sz w:val="22"/>
                <w:szCs w:val="22"/>
                <w:highlight w:val="none"/>
                <w:lang w:val="en-US" w:eastAsia="zh-CN"/>
              </w:rPr>
              <w:t>100</w:t>
            </w:r>
            <w:r>
              <w:rPr>
                <w:rFonts w:hint="eastAsia" w:ascii="新宋体" w:hAnsi="新宋体" w:eastAsia="新宋体" w:cs="新宋体"/>
                <w:color w:val="auto"/>
                <w:sz w:val="22"/>
                <w:szCs w:val="22"/>
                <w:highlight w:val="none"/>
                <w:lang w:eastAsia="zh-CN"/>
              </w:rPr>
              <w:t>分</w:t>
            </w:r>
            <w:r>
              <w:rPr>
                <w:rFonts w:hint="eastAsia" w:ascii="新宋体" w:hAnsi="新宋体" w:eastAsia="新宋体" w:cs="新宋体"/>
                <w:color w:val="auto"/>
                <w:sz w:val="22"/>
                <w:szCs w:val="22"/>
                <w:highlight w:val="none"/>
              </w:rPr>
              <w:t>（含）以上为合格。以每月考核最终扣分结果为准</w:t>
            </w:r>
            <w:r>
              <w:rPr>
                <w:rFonts w:hint="eastAsia" w:ascii="新宋体" w:hAnsi="新宋体" w:eastAsia="新宋体" w:cs="新宋体"/>
                <w:color w:val="auto"/>
                <w:sz w:val="22"/>
                <w:szCs w:val="22"/>
                <w:highlight w:val="none"/>
                <w:lang w:val="en-US" w:eastAsia="zh-CN"/>
              </w:rPr>
              <w:t>.</w:t>
            </w:r>
          </w:p>
        </w:tc>
      </w:tr>
    </w:tbl>
    <w:p w14:paraId="38EA68CA">
      <w:pPr>
        <w:rPr>
          <w:rFonts w:hint="eastAsia" w:ascii="宋体" w:hAnsi="宋体" w:eastAsia="宋体" w:cs="宋体"/>
          <w:color w:val="auto"/>
          <w:highlight w:val="none"/>
        </w:rPr>
      </w:pPr>
    </w:p>
    <w:p w14:paraId="3013DFFB">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295228E9">
      <w:pPr>
        <w:pStyle w:val="3"/>
        <w:bidi w:val="0"/>
        <w:rPr>
          <w:rFonts w:hint="eastAsia" w:ascii="宋体" w:hAnsi="宋体" w:eastAsia="宋体" w:cs="宋体"/>
          <w:color w:val="auto"/>
          <w:highlight w:val="none"/>
        </w:rPr>
      </w:pPr>
      <w:r>
        <w:rPr>
          <w:rFonts w:hint="eastAsia" w:ascii="宋体" w:hAnsi="宋体" w:eastAsia="宋体" w:cs="宋体"/>
          <w:color w:val="auto"/>
          <w:highlight w:val="none"/>
        </w:rPr>
        <w:t>第五部分   评标原则及方法</w:t>
      </w:r>
      <w:bookmarkEnd w:id="67"/>
      <w:bookmarkEnd w:id="68"/>
    </w:p>
    <w:p w14:paraId="099B61B9">
      <w:pPr>
        <w:spacing w:line="460" w:lineRule="exact"/>
        <w:ind w:firstLine="541" w:firstLineChars="245"/>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根据《中华人民共和国政府采购法》、《政府采购货物和服务招标投标管理办法》、《中华人民共和国政府采购法实施条例》和《关于进一步规范政府采购活动的若干意见》等相关法规特制定以下评标办法。</w:t>
      </w:r>
    </w:p>
    <w:p w14:paraId="79C0C554">
      <w:pPr>
        <w:keepNext w:val="0"/>
        <w:keepLines w:val="0"/>
        <w:pageBreakBefore w:val="0"/>
        <w:widowControl w:val="0"/>
        <w:kinsoku/>
        <w:wordWrap/>
        <w:overflowPunct/>
        <w:topLinePunct w:val="0"/>
        <w:autoSpaceDE/>
        <w:autoSpaceDN/>
        <w:bidi w:val="0"/>
        <w:adjustRightInd/>
        <w:snapToGrid/>
        <w:spacing w:line="460" w:lineRule="exact"/>
        <w:ind w:firstLine="541" w:firstLineChars="245"/>
        <w:textAlignment w:val="auto"/>
        <w:outlineLvl w:val="1"/>
        <w:rPr>
          <w:rFonts w:hint="eastAsia" w:ascii="宋体" w:hAnsi="宋体" w:eastAsia="宋体" w:cs="宋体"/>
          <w:b/>
          <w:color w:val="auto"/>
          <w:sz w:val="22"/>
          <w:szCs w:val="22"/>
          <w:highlight w:val="none"/>
        </w:rPr>
      </w:pPr>
      <w:bookmarkStart w:id="69" w:name="_Toc4407"/>
      <w:bookmarkStart w:id="70" w:name="_Toc15713"/>
      <w:r>
        <w:rPr>
          <w:rFonts w:hint="eastAsia" w:ascii="宋体" w:hAnsi="宋体" w:eastAsia="宋体" w:cs="宋体"/>
          <w:b/>
          <w:color w:val="auto"/>
          <w:sz w:val="22"/>
          <w:szCs w:val="22"/>
          <w:highlight w:val="none"/>
        </w:rPr>
        <w:t>一、总 则</w:t>
      </w:r>
      <w:bookmarkEnd w:id="69"/>
      <w:bookmarkEnd w:id="70"/>
    </w:p>
    <w:p w14:paraId="65E34442">
      <w:pPr>
        <w:spacing w:line="460" w:lineRule="exact"/>
        <w:ind w:firstLine="539" w:firstLineChars="245"/>
        <w:rPr>
          <w:rFonts w:hint="eastAsia" w:ascii="宋体" w:hAnsi="宋体" w:eastAsia="宋体" w:cs="宋体"/>
          <w:b/>
          <w:color w:val="auto"/>
          <w:sz w:val="22"/>
          <w:highlight w:val="none"/>
        </w:rPr>
      </w:pPr>
      <w:r>
        <w:rPr>
          <w:rFonts w:hint="eastAsia" w:ascii="宋体" w:hAnsi="宋体" w:eastAsia="宋体" w:cs="宋体"/>
          <w:color w:val="auto"/>
          <w:sz w:val="22"/>
          <w:szCs w:val="22"/>
          <w:highlight w:val="none"/>
        </w:rPr>
        <w:t>评标工作遵循公平、公正、科学、择优原则和诚实、信誉、效率的服务原则。本着科学、严谨的态度，认真进行评标。择优选用，推进技术进步，确保质量、交货期，节约投资，最大限度的保护当事人权益，严格按照招标文件的商务、技术要求，对投标文件进行综合评定，提出优选方案，编写评标报告。对落标单位，评委会不作任何落标解释。投标人不得以任何方式干扰招投标工作的进行，一经发现其投标文件将被拒绝。</w:t>
      </w:r>
    </w:p>
    <w:p w14:paraId="2A05F10D">
      <w:pPr>
        <w:keepNext w:val="0"/>
        <w:keepLines w:val="0"/>
        <w:pageBreakBefore w:val="0"/>
        <w:widowControl w:val="0"/>
        <w:kinsoku/>
        <w:wordWrap/>
        <w:overflowPunct/>
        <w:topLinePunct w:val="0"/>
        <w:autoSpaceDE/>
        <w:autoSpaceDN/>
        <w:bidi w:val="0"/>
        <w:adjustRightInd/>
        <w:snapToGrid/>
        <w:spacing w:line="460" w:lineRule="exact"/>
        <w:ind w:firstLine="541" w:firstLineChars="245"/>
        <w:textAlignment w:val="auto"/>
        <w:outlineLvl w:val="1"/>
        <w:rPr>
          <w:rFonts w:hint="eastAsia" w:ascii="宋体" w:hAnsi="宋体" w:eastAsia="宋体" w:cs="宋体"/>
          <w:b/>
          <w:color w:val="auto"/>
          <w:sz w:val="22"/>
          <w:szCs w:val="22"/>
          <w:highlight w:val="none"/>
        </w:rPr>
      </w:pPr>
      <w:bookmarkStart w:id="71" w:name="_Toc23152"/>
      <w:bookmarkStart w:id="72" w:name="_Toc24468"/>
      <w:r>
        <w:rPr>
          <w:rFonts w:hint="eastAsia" w:ascii="宋体" w:hAnsi="宋体" w:eastAsia="宋体" w:cs="宋体"/>
          <w:b/>
          <w:color w:val="auto"/>
          <w:sz w:val="22"/>
          <w:szCs w:val="22"/>
          <w:highlight w:val="none"/>
        </w:rPr>
        <w:t>二、评标组织</w:t>
      </w:r>
      <w:bookmarkEnd w:id="71"/>
      <w:bookmarkEnd w:id="72"/>
    </w:p>
    <w:p w14:paraId="7712374C">
      <w:pPr>
        <w:spacing w:line="460" w:lineRule="exact"/>
        <w:ind w:firstLine="539" w:firstLineChars="2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评标工作由招标人组建的评标委员会负责，评标全过程由有关部门指导监督。</w:t>
      </w:r>
    </w:p>
    <w:p w14:paraId="321C2870">
      <w:pPr>
        <w:keepNext w:val="0"/>
        <w:keepLines w:val="0"/>
        <w:pageBreakBefore w:val="0"/>
        <w:widowControl w:val="0"/>
        <w:kinsoku/>
        <w:wordWrap/>
        <w:overflowPunct/>
        <w:topLinePunct w:val="0"/>
        <w:autoSpaceDE/>
        <w:autoSpaceDN/>
        <w:bidi w:val="0"/>
        <w:adjustRightInd/>
        <w:snapToGrid/>
        <w:spacing w:line="460" w:lineRule="exact"/>
        <w:ind w:firstLine="541" w:firstLineChars="245"/>
        <w:textAlignment w:val="auto"/>
        <w:outlineLvl w:val="1"/>
        <w:rPr>
          <w:rFonts w:hint="eastAsia" w:ascii="宋体" w:hAnsi="宋体" w:eastAsia="宋体" w:cs="宋体"/>
          <w:b/>
          <w:color w:val="auto"/>
          <w:sz w:val="22"/>
          <w:szCs w:val="22"/>
          <w:highlight w:val="none"/>
        </w:rPr>
      </w:pPr>
      <w:bookmarkStart w:id="73" w:name="_Toc67"/>
      <w:bookmarkStart w:id="74" w:name="_Toc15153"/>
      <w:r>
        <w:rPr>
          <w:rFonts w:hint="eastAsia" w:ascii="宋体" w:hAnsi="宋体" w:eastAsia="宋体" w:cs="宋体"/>
          <w:b/>
          <w:color w:val="auto"/>
          <w:sz w:val="22"/>
          <w:szCs w:val="22"/>
          <w:highlight w:val="none"/>
        </w:rPr>
        <w:t>三、评标程序</w:t>
      </w:r>
      <w:bookmarkEnd w:id="73"/>
      <w:bookmarkEnd w:id="74"/>
    </w:p>
    <w:p w14:paraId="5B896E9F">
      <w:pPr>
        <w:spacing w:line="460" w:lineRule="exact"/>
        <w:ind w:firstLine="539" w:firstLineChars="245"/>
        <w:rPr>
          <w:rFonts w:hint="eastAsia" w:ascii="宋体" w:hAnsi="宋体" w:eastAsia="宋体" w:cs="宋体"/>
          <w:b w:val="0"/>
          <w:bCs w:val="0"/>
          <w:color w:val="auto"/>
          <w:sz w:val="22"/>
          <w:szCs w:val="22"/>
          <w:highlight w:val="none"/>
          <w:u w:val="none"/>
        </w:rPr>
      </w:pPr>
      <w:r>
        <w:rPr>
          <w:rFonts w:hint="eastAsia" w:ascii="宋体" w:hAnsi="宋体" w:eastAsia="宋体" w:cs="宋体"/>
          <w:bCs/>
          <w:color w:val="auto"/>
          <w:sz w:val="22"/>
          <w:szCs w:val="22"/>
          <w:highlight w:val="none"/>
        </w:rPr>
        <w:t>评标委员按照招标文件中规定的评标方法和标准，对投标文件进行商务和技术评估，综合比较与评价</w:t>
      </w:r>
      <w:r>
        <w:rPr>
          <w:rFonts w:hint="eastAsia" w:ascii="宋体" w:hAnsi="宋体" w:eastAsia="宋体" w:cs="宋体"/>
          <w:color w:val="auto"/>
          <w:sz w:val="22"/>
          <w:szCs w:val="22"/>
          <w:highlight w:val="none"/>
        </w:rPr>
        <w:t>，根据综合评审结果，提交评审报告。</w:t>
      </w:r>
    </w:p>
    <w:p w14:paraId="5B5FCFCF">
      <w:pPr>
        <w:keepNext w:val="0"/>
        <w:keepLines w:val="0"/>
        <w:pageBreakBefore w:val="0"/>
        <w:widowControl w:val="0"/>
        <w:kinsoku/>
        <w:wordWrap/>
        <w:overflowPunct/>
        <w:topLinePunct w:val="0"/>
        <w:autoSpaceDE/>
        <w:autoSpaceDN/>
        <w:bidi w:val="0"/>
        <w:adjustRightInd/>
        <w:snapToGrid/>
        <w:spacing w:line="460" w:lineRule="exact"/>
        <w:ind w:firstLine="541" w:firstLineChars="245"/>
        <w:textAlignment w:val="auto"/>
        <w:outlineLvl w:val="1"/>
        <w:rPr>
          <w:rFonts w:hint="eastAsia" w:ascii="宋体" w:hAnsi="宋体" w:eastAsia="宋体" w:cs="宋体"/>
          <w:b/>
          <w:color w:val="auto"/>
          <w:sz w:val="22"/>
          <w:szCs w:val="22"/>
          <w:highlight w:val="none"/>
        </w:rPr>
      </w:pPr>
      <w:bookmarkStart w:id="75" w:name="_Toc11306"/>
      <w:bookmarkStart w:id="76" w:name="_Toc24825"/>
      <w:r>
        <w:rPr>
          <w:rFonts w:hint="eastAsia" w:ascii="宋体" w:hAnsi="宋体" w:eastAsia="宋体" w:cs="宋体"/>
          <w:b/>
          <w:color w:val="auto"/>
          <w:sz w:val="22"/>
          <w:szCs w:val="22"/>
          <w:highlight w:val="none"/>
        </w:rPr>
        <w:t>四、评标办法</w:t>
      </w:r>
      <w:bookmarkEnd w:id="75"/>
      <w:bookmarkEnd w:id="76"/>
    </w:p>
    <w:p w14:paraId="095EC7B8">
      <w:pPr>
        <w:spacing w:line="460" w:lineRule="exact"/>
        <w:ind w:firstLine="539" w:firstLineChars="245"/>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rPr>
        <w:t>本次采购采用百分制综合评分法，即投标人最大限度地满足招标文件实质性要求的基础上，按照招标文件的各项因素进行综合评审后，以评标总得分最高的投标人和次高的投标人作为第一和第二排序的中标候选人的评标方法。根据采购要求，</w:t>
      </w:r>
      <w:r>
        <w:rPr>
          <w:rFonts w:hint="eastAsia" w:ascii="宋体" w:hAnsi="宋体" w:eastAsia="宋体" w:cs="宋体"/>
          <w:b/>
          <w:color w:val="auto"/>
          <w:sz w:val="22"/>
          <w:szCs w:val="22"/>
          <w:highlight w:val="none"/>
        </w:rPr>
        <w:t>总分设定为100分：技术标</w:t>
      </w:r>
      <w:r>
        <w:rPr>
          <w:rFonts w:hint="eastAsia" w:ascii="宋体" w:hAnsi="宋体" w:cs="宋体"/>
          <w:b/>
          <w:color w:val="auto"/>
          <w:sz w:val="22"/>
          <w:szCs w:val="22"/>
          <w:highlight w:val="none"/>
          <w:lang w:val="en-US" w:eastAsia="zh-CN"/>
        </w:rPr>
        <w:t>7</w:t>
      </w:r>
      <w:r>
        <w:rPr>
          <w:rFonts w:hint="eastAsia" w:ascii="宋体" w:hAnsi="宋体" w:eastAsia="宋体" w:cs="宋体"/>
          <w:b/>
          <w:color w:val="auto"/>
          <w:sz w:val="22"/>
          <w:szCs w:val="22"/>
          <w:highlight w:val="none"/>
        </w:rPr>
        <w:t>0分（权值</w:t>
      </w:r>
      <w:r>
        <w:rPr>
          <w:rFonts w:hint="eastAsia" w:ascii="宋体" w:hAnsi="宋体" w:cs="宋体"/>
          <w:b/>
          <w:color w:val="auto"/>
          <w:sz w:val="22"/>
          <w:szCs w:val="22"/>
          <w:highlight w:val="none"/>
          <w:lang w:val="en-US" w:eastAsia="zh-CN"/>
        </w:rPr>
        <w:t>7</w:t>
      </w:r>
      <w:r>
        <w:rPr>
          <w:rFonts w:hint="eastAsia" w:ascii="宋体" w:hAnsi="宋体" w:eastAsia="宋体" w:cs="宋体"/>
          <w:b/>
          <w:color w:val="auto"/>
          <w:sz w:val="22"/>
          <w:szCs w:val="22"/>
          <w:highlight w:val="none"/>
        </w:rPr>
        <w:t>0%），商务标（报价）</w:t>
      </w:r>
      <w:r>
        <w:rPr>
          <w:rFonts w:hint="eastAsia" w:ascii="宋体" w:hAnsi="宋体" w:cs="宋体"/>
          <w:b/>
          <w:color w:val="auto"/>
          <w:sz w:val="22"/>
          <w:szCs w:val="22"/>
          <w:highlight w:val="none"/>
          <w:lang w:val="en-US" w:eastAsia="zh-CN"/>
        </w:rPr>
        <w:t>3</w:t>
      </w:r>
      <w:r>
        <w:rPr>
          <w:rFonts w:hint="eastAsia" w:ascii="宋体" w:hAnsi="宋体" w:eastAsia="宋体" w:cs="宋体"/>
          <w:b/>
          <w:color w:val="auto"/>
          <w:sz w:val="22"/>
          <w:szCs w:val="22"/>
          <w:highlight w:val="none"/>
        </w:rPr>
        <w:t>0分（权值</w:t>
      </w:r>
      <w:r>
        <w:rPr>
          <w:rFonts w:hint="eastAsia" w:ascii="宋体" w:hAnsi="宋体" w:cs="宋体"/>
          <w:b/>
          <w:color w:val="auto"/>
          <w:sz w:val="22"/>
          <w:szCs w:val="22"/>
          <w:highlight w:val="none"/>
          <w:lang w:val="en-US" w:eastAsia="zh-CN"/>
        </w:rPr>
        <w:t>3</w:t>
      </w:r>
      <w:r>
        <w:rPr>
          <w:rFonts w:hint="eastAsia" w:ascii="宋体" w:hAnsi="宋体" w:eastAsia="宋体" w:cs="宋体"/>
          <w:b/>
          <w:color w:val="auto"/>
          <w:sz w:val="22"/>
          <w:szCs w:val="22"/>
          <w:highlight w:val="none"/>
        </w:rPr>
        <w:t>0%）。</w:t>
      </w:r>
    </w:p>
    <w:p w14:paraId="36382735">
      <w:pPr>
        <w:keepNext w:val="0"/>
        <w:keepLines w:val="0"/>
        <w:pageBreakBefore w:val="0"/>
        <w:widowControl w:val="0"/>
        <w:numPr>
          <w:ilvl w:val="0"/>
          <w:numId w:val="7"/>
        </w:numPr>
        <w:kinsoku/>
        <w:wordWrap/>
        <w:overflowPunct/>
        <w:topLinePunct w:val="0"/>
        <w:autoSpaceDE/>
        <w:autoSpaceDN/>
        <w:bidi w:val="0"/>
        <w:adjustRightInd/>
        <w:snapToGrid/>
        <w:spacing w:line="460" w:lineRule="exact"/>
        <w:ind w:firstLine="541" w:firstLineChars="245"/>
        <w:textAlignment w:val="auto"/>
        <w:outlineLvl w:val="1"/>
        <w:rPr>
          <w:rFonts w:hint="eastAsia" w:ascii="宋体" w:hAnsi="宋体" w:eastAsia="宋体" w:cs="宋体"/>
          <w:b/>
          <w:color w:val="auto"/>
          <w:sz w:val="22"/>
          <w:szCs w:val="22"/>
          <w:highlight w:val="none"/>
        </w:rPr>
      </w:pPr>
      <w:bookmarkStart w:id="77" w:name="_Toc1535"/>
      <w:bookmarkStart w:id="78" w:name="_Toc11450"/>
      <w:r>
        <w:rPr>
          <w:rFonts w:hint="eastAsia" w:ascii="宋体" w:hAnsi="宋体" w:eastAsia="宋体" w:cs="宋体"/>
          <w:b/>
          <w:color w:val="auto"/>
          <w:sz w:val="22"/>
          <w:szCs w:val="22"/>
          <w:highlight w:val="none"/>
        </w:rPr>
        <w:t>评分细则</w:t>
      </w:r>
      <w:bookmarkEnd w:id="77"/>
      <w:bookmarkEnd w:id="78"/>
    </w:p>
    <w:p w14:paraId="08F07C6B">
      <w:pPr>
        <w:spacing w:line="460" w:lineRule="exact"/>
        <w:ind w:firstLine="541" w:firstLineChars="245"/>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1、技术分的评定：技术标</w:t>
      </w:r>
      <w:r>
        <w:rPr>
          <w:rFonts w:hint="eastAsia" w:ascii="宋体" w:hAnsi="宋体" w:cs="宋体"/>
          <w:b/>
          <w:color w:val="auto"/>
          <w:sz w:val="22"/>
          <w:szCs w:val="22"/>
          <w:highlight w:val="none"/>
          <w:lang w:val="en-US" w:eastAsia="zh-CN"/>
        </w:rPr>
        <w:t>7</w:t>
      </w:r>
      <w:r>
        <w:rPr>
          <w:rFonts w:hint="eastAsia" w:ascii="宋体" w:hAnsi="宋体" w:eastAsia="宋体" w:cs="宋体"/>
          <w:b/>
          <w:color w:val="auto"/>
          <w:sz w:val="22"/>
          <w:szCs w:val="22"/>
          <w:highlight w:val="none"/>
        </w:rPr>
        <w:t>0分（权值</w:t>
      </w:r>
      <w:r>
        <w:rPr>
          <w:rFonts w:hint="eastAsia" w:ascii="宋体" w:hAnsi="宋体" w:cs="宋体"/>
          <w:b/>
          <w:color w:val="auto"/>
          <w:sz w:val="22"/>
          <w:szCs w:val="22"/>
          <w:highlight w:val="none"/>
          <w:lang w:val="en-US" w:eastAsia="zh-CN"/>
        </w:rPr>
        <w:t>7</w:t>
      </w:r>
      <w:r>
        <w:rPr>
          <w:rFonts w:hint="eastAsia" w:ascii="宋体" w:hAnsi="宋体" w:eastAsia="宋体" w:cs="宋体"/>
          <w:b/>
          <w:color w:val="auto"/>
          <w:sz w:val="22"/>
          <w:szCs w:val="22"/>
          <w:highlight w:val="none"/>
        </w:rPr>
        <w:t>0%）</w:t>
      </w:r>
    </w:p>
    <w:p w14:paraId="604AEFEB">
      <w:pPr>
        <w:spacing w:line="460" w:lineRule="exact"/>
        <w:ind w:firstLine="539" w:firstLineChars="2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各评委成员按下列评分项目进行评判，每人一张评分计算票，并记名。投标文件各项评分内容由评标委员会成员各自评分，如某张票的一个因素项目超过规定的范围，则该张票无效。</w:t>
      </w:r>
      <w:r>
        <w:rPr>
          <w:rFonts w:hint="eastAsia" w:ascii="宋体" w:hAnsi="宋体" w:eastAsia="宋体" w:cs="宋体"/>
          <w:color w:val="auto"/>
          <w:sz w:val="22"/>
          <w:highlight w:val="none"/>
        </w:rPr>
        <w:t>各评标委员会成员对各投标人的各项评分内容评分的算术平均值为各投标人技术分得分</w:t>
      </w:r>
      <w:r>
        <w:rPr>
          <w:rFonts w:hint="eastAsia" w:ascii="宋体" w:hAnsi="宋体" w:eastAsia="宋体" w:cs="宋体"/>
          <w:color w:val="auto"/>
          <w:sz w:val="22"/>
          <w:szCs w:val="22"/>
          <w:highlight w:val="none"/>
        </w:rPr>
        <w:t>（小数点后按四舍五入保留2位）。</w:t>
      </w:r>
    </w:p>
    <w:tbl>
      <w:tblPr>
        <w:tblStyle w:val="53"/>
        <w:tblW w:w="97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755"/>
        <w:gridCol w:w="6433"/>
        <w:gridCol w:w="870"/>
      </w:tblGrid>
      <w:tr w14:paraId="0D0BE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12" w:type="dxa"/>
            <w:vAlign w:val="center"/>
          </w:tcPr>
          <w:p w14:paraId="3B42336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vertAlign w:val="baseline"/>
                <w:lang w:val="en-US" w:eastAsia="zh-CN"/>
              </w:rPr>
            </w:pPr>
            <w:r>
              <w:rPr>
                <w:rFonts w:hint="eastAsia" w:ascii="宋体" w:hAnsi="宋体" w:eastAsia="宋体" w:cs="宋体"/>
                <w:b/>
                <w:bCs/>
                <w:color w:val="auto"/>
                <w:sz w:val="22"/>
                <w:szCs w:val="22"/>
                <w:highlight w:val="none"/>
                <w:vertAlign w:val="baseline"/>
                <w:lang w:val="en-US" w:eastAsia="zh-CN"/>
              </w:rPr>
              <w:t>序号</w:t>
            </w:r>
          </w:p>
        </w:tc>
        <w:tc>
          <w:tcPr>
            <w:tcW w:w="1755" w:type="dxa"/>
            <w:vAlign w:val="center"/>
          </w:tcPr>
          <w:p w14:paraId="7AAA1DC2">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vertAlign w:val="baseline"/>
                <w:lang w:val="en-US" w:eastAsia="zh-CN"/>
              </w:rPr>
            </w:pPr>
            <w:r>
              <w:rPr>
                <w:rFonts w:hint="eastAsia" w:ascii="宋体" w:hAnsi="宋体" w:eastAsia="宋体" w:cs="宋体"/>
                <w:b/>
                <w:bCs/>
                <w:color w:val="auto"/>
                <w:sz w:val="22"/>
                <w:szCs w:val="22"/>
                <w:highlight w:val="none"/>
                <w:vertAlign w:val="baseline"/>
                <w:lang w:val="en-US" w:eastAsia="zh-CN"/>
              </w:rPr>
              <w:t>评分内容</w:t>
            </w:r>
          </w:p>
        </w:tc>
        <w:tc>
          <w:tcPr>
            <w:tcW w:w="6433" w:type="dxa"/>
            <w:vAlign w:val="center"/>
          </w:tcPr>
          <w:p w14:paraId="69585AD8">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vertAlign w:val="baseline"/>
                <w:lang w:val="en-US" w:eastAsia="zh-CN"/>
              </w:rPr>
            </w:pPr>
            <w:r>
              <w:rPr>
                <w:rFonts w:hint="eastAsia" w:ascii="宋体" w:hAnsi="宋体" w:eastAsia="宋体" w:cs="宋体"/>
                <w:b/>
                <w:bCs/>
                <w:color w:val="auto"/>
                <w:sz w:val="22"/>
                <w:szCs w:val="22"/>
                <w:highlight w:val="none"/>
                <w:vertAlign w:val="baseline"/>
                <w:lang w:val="en-US" w:eastAsia="zh-CN"/>
              </w:rPr>
              <w:t>评分明细</w:t>
            </w:r>
          </w:p>
        </w:tc>
        <w:tc>
          <w:tcPr>
            <w:tcW w:w="870" w:type="dxa"/>
            <w:vAlign w:val="center"/>
          </w:tcPr>
          <w:p w14:paraId="3D5101F6">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sz w:val="22"/>
                <w:szCs w:val="22"/>
                <w:highlight w:val="none"/>
                <w:vertAlign w:val="baseline"/>
                <w:lang w:val="en-US" w:eastAsia="zh-CN"/>
              </w:rPr>
            </w:pPr>
            <w:r>
              <w:rPr>
                <w:rFonts w:hint="eastAsia" w:ascii="宋体" w:hAnsi="宋体" w:eastAsia="宋体" w:cs="宋体"/>
                <w:b/>
                <w:bCs/>
                <w:color w:val="auto"/>
                <w:sz w:val="22"/>
                <w:szCs w:val="22"/>
                <w:highlight w:val="none"/>
                <w:vertAlign w:val="baseline"/>
                <w:lang w:val="en-US" w:eastAsia="zh-CN"/>
              </w:rPr>
              <w:t>分值</w:t>
            </w:r>
          </w:p>
        </w:tc>
      </w:tr>
      <w:tr w14:paraId="12B18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vAlign w:val="center"/>
          </w:tcPr>
          <w:p w14:paraId="526D9CF8">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2"/>
                <w:szCs w:val="22"/>
                <w:highlight w:val="none"/>
                <w:vertAlign w:val="baseline"/>
                <w:lang w:val="en-US" w:eastAsia="zh-CN"/>
              </w:rPr>
            </w:pPr>
            <w:r>
              <w:rPr>
                <w:rFonts w:hint="eastAsia" w:ascii="宋体" w:hAnsi="宋体" w:eastAsia="宋体" w:cs="宋体"/>
                <w:color w:val="auto"/>
                <w:sz w:val="22"/>
                <w:szCs w:val="22"/>
                <w:highlight w:val="none"/>
                <w:vertAlign w:val="baseline"/>
                <w:lang w:val="en-US" w:eastAsia="zh-CN"/>
              </w:rPr>
              <w:t>1</w:t>
            </w:r>
          </w:p>
        </w:tc>
        <w:tc>
          <w:tcPr>
            <w:tcW w:w="1755" w:type="dxa"/>
            <w:vAlign w:val="center"/>
          </w:tcPr>
          <w:p w14:paraId="4129818D">
            <w:pPr>
              <w:keepNext w:val="0"/>
              <w:keepLines w:val="0"/>
              <w:pageBreakBefore w:val="0"/>
              <w:widowControl w:val="0"/>
              <w:kinsoku/>
              <w:wordWrap/>
              <w:overflowPunct/>
              <w:topLinePunct w:val="0"/>
              <w:autoSpaceDE/>
              <w:autoSpaceDN/>
              <w:bidi w:val="0"/>
              <w:adjustRightInd/>
              <w:snapToGrid/>
              <w:spacing w:line="460" w:lineRule="exact"/>
              <w:ind w:left="-50" w:leftChars="0"/>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投标人综合</w:t>
            </w:r>
            <w:r>
              <w:rPr>
                <w:rFonts w:hint="eastAsia" w:ascii="宋体" w:hAnsi="宋体" w:eastAsia="宋体" w:cs="宋体"/>
                <w:color w:val="auto"/>
                <w:sz w:val="22"/>
                <w:szCs w:val="22"/>
                <w:highlight w:val="none"/>
                <w:lang w:val="en-US" w:eastAsia="zh-CN"/>
              </w:rPr>
              <w:t>情况</w:t>
            </w:r>
          </w:p>
        </w:tc>
        <w:tc>
          <w:tcPr>
            <w:tcW w:w="6433" w:type="dxa"/>
            <w:vAlign w:val="center"/>
          </w:tcPr>
          <w:p w14:paraId="6FEB2159">
            <w:pPr>
              <w:keepNext w:val="0"/>
              <w:keepLines w:val="0"/>
              <w:pageBreakBefore w:val="0"/>
              <w:kinsoku/>
              <w:wordWrap/>
              <w:overflowPunct/>
              <w:topLinePunct w:val="0"/>
              <w:autoSpaceDE/>
              <w:autoSpaceDN/>
              <w:bidi w:val="0"/>
              <w:snapToGrid/>
              <w:spacing w:line="460" w:lineRule="exact"/>
              <w:rPr>
                <w:rFonts w:hint="eastAsia" w:ascii="宋体" w:hAnsi="宋体" w:eastAsia="宋体" w:cs="宋体"/>
                <w:b w:val="0"/>
                <w:bCs/>
                <w:color w:val="auto"/>
                <w:kern w:val="2"/>
                <w:sz w:val="22"/>
                <w:szCs w:val="22"/>
                <w:highlight w:val="none"/>
                <w:vertAlign w:val="baseline"/>
                <w:lang w:val="en-US" w:eastAsia="zh-CN" w:bidi="ar-SA"/>
              </w:rPr>
            </w:pPr>
            <w:r>
              <w:rPr>
                <w:rFonts w:hint="eastAsia" w:ascii="宋体" w:hAnsi="宋体" w:eastAsia="宋体" w:cs="宋体"/>
                <w:color w:val="auto"/>
                <w:sz w:val="22"/>
                <w:szCs w:val="22"/>
                <w:highlight w:val="none"/>
              </w:rPr>
              <w:t>根据企业相关认证资质证书、是否建立完善的企业管理制度、卫生管理制度、岗位职责、质量考核办法等进行评分</w:t>
            </w:r>
            <w:r>
              <w:rPr>
                <w:rFonts w:hint="eastAsia" w:ascii="宋体" w:hAnsi="宋体" w:eastAsia="宋体" w:cs="宋体"/>
                <w:bCs/>
                <w:color w:val="auto"/>
                <w:sz w:val="22"/>
                <w:szCs w:val="22"/>
                <w:highlight w:val="none"/>
                <w:lang w:eastAsia="zh-CN"/>
              </w:rPr>
              <w:t>（</w:t>
            </w:r>
            <w:r>
              <w:rPr>
                <w:rFonts w:hint="eastAsia" w:ascii="宋体" w:hAnsi="宋体" w:eastAsia="宋体" w:cs="宋体"/>
                <w:bCs/>
                <w:color w:val="auto"/>
                <w:sz w:val="22"/>
                <w:szCs w:val="22"/>
                <w:highlight w:val="none"/>
                <w:lang w:val="en-US" w:eastAsia="zh-CN"/>
              </w:rPr>
              <w:t>评分范围：</w:t>
            </w:r>
            <w:r>
              <w:rPr>
                <w:rFonts w:hint="eastAsia" w:ascii="宋体" w:hAnsi="宋体" w:cs="宋体"/>
                <w:bCs/>
                <w:color w:val="auto"/>
                <w:sz w:val="22"/>
                <w:szCs w:val="22"/>
                <w:highlight w:val="none"/>
                <w:lang w:val="en-US" w:eastAsia="zh-CN"/>
              </w:rPr>
              <w:t>6</w:t>
            </w:r>
            <w:r>
              <w:rPr>
                <w:rFonts w:hint="eastAsia" w:ascii="宋体" w:hAnsi="宋体" w:eastAsia="宋体" w:cs="宋体"/>
                <w:bCs/>
                <w:color w:val="auto"/>
                <w:sz w:val="22"/>
                <w:szCs w:val="22"/>
                <w:highlight w:val="none"/>
                <w:lang w:val="en-US" w:eastAsia="zh-CN"/>
              </w:rPr>
              <w:t>,5,4,3,2,1,0分</w:t>
            </w:r>
            <w:r>
              <w:rPr>
                <w:rFonts w:hint="eastAsia" w:ascii="宋体" w:hAnsi="宋体" w:eastAsia="宋体" w:cs="宋体"/>
                <w:bCs/>
                <w:color w:val="auto"/>
                <w:sz w:val="22"/>
                <w:szCs w:val="22"/>
                <w:highlight w:val="none"/>
                <w:lang w:eastAsia="zh-CN"/>
              </w:rPr>
              <w:t>）</w:t>
            </w:r>
          </w:p>
        </w:tc>
        <w:tc>
          <w:tcPr>
            <w:tcW w:w="870" w:type="dxa"/>
            <w:vAlign w:val="center"/>
          </w:tcPr>
          <w:p w14:paraId="7EEB834D">
            <w:pPr>
              <w:pStyle w:val="22"/>
              <w:keepNext w:val="0"/>
              <w:keepLines w:val="0"/>
              <w:pageBreakBefore w:val="0"/>
              <w:kinsoku/>
              <w:wordWrap/>
              <w:overflowPunct/>
              <w:topLinePunct w:val="0"/>
              <w:autoSpaceDE/>
              <w:autoSpaceDN/>
              <w:bidi w:val="0"/>
              <w:snapToGrid/>
              <w:spacing w:line="460" w:lineRule="exact"/>
              <w:ind w:left="440" w:leftChars="0" w:hanging="440" w:hangingChars="200"/>
              <w:jc w:val="center"/>
              <w:rPr>
                <w:rFonts w:hint="eastAsia" w:ascii="宋体" w:hAnsi="宋体" w:eastAsia="宋体" w:cs="宋体"/>
                <w:b w:val="0"/>
                <w:bCs/>
                <w:color w:val="auto"/>
                <w:kern w:val="2"/>
                <w:sz w:val="22"/>
                <w:szCs w:val="22"/>
                <w:highlight w:val="none"/>
                <w:vertAlign w:val="baseline"/>
                <w:lang w:val="en-US" w:eastAsia="zh-CN" w:bidi="ar-SA"/>
              </w:rPr>
            </w:pPr>
            <w:r>
              <w:rPr>
                <w:rFonts w:hint="eastAsia" w:ascii="宋体" w:hAnsi="宋体" w:cs="宋体"/>
                <w:b w:val="0"/>
                <w:bCs/>
                <w:color w:val="auto"/>
                <w:kern w:val="2"/>
                <w:sz w:val="22"/>
                <w:szCs w:val="22"/>
                <w:highlight w:val="none"/>
                <w:vertAlign w:val="baseline"/>
                <w:lang w:val="en-US" w:eastAsia="zh-CN" w:bidi="ar-SA"/>
              </w:rPr>
              <w:t>6</w:t>
            </w:r>
          </w:p>
        </w:tc>
      </w:tr>
      <w:tr w14:paraId="1BDF1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vAlign w:val="center"/>
          </w:tcPr>
          <w:p w14:paraId="6600461F">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2"/>
                <w:szCs w:val="22"/>
                <w:highlight w:val="none"/>
                <w:vertAlign w:val="baseline"/>
                <w:lang w:val="en-US" w:eastAsia="zh-CN"/>
              </w:rPr>
            </w:pPr>
            <w:r>
              <w:rPr>
                <w:rFonts w:hint="eastAsia" w:ascii="宋体" w:hAnsi="宋体" w:eastAsia="宋体" w:cs="宋体"/>
                <w:color w:val="auto"/>
                <w:sz w:val="22"/>
                <w:szCs w:val="22"/>
                <w:highlight w:val="none"/>
                <w:vertAlign w:val="baseline"/>
                <w:lang w:val="en-US" w:eastAsia="zh-CN"/>
              </w:rPr>
              <w:t>2</w:t>
            </w:r>
          </w:p>
        </w:tc>
        <w:tc>
          <w:tcPr>
            <w:tcW w:w="1755" w:type="dxa"/>
            <w:vAlign w:val="center"/>
          </w:tcPr>
          <w:p w14:paraId="0205CEEA">
            <w:pPr>
              <w:keepNext w:val="0"/>
              <w:keepLines w:val="0"/>
              <w:pageBreakBefore w:val="0"/>
              <w:widowControl w:val="0"/>
              <w:kinsoku/>
              <w:wordWrap/>
              <w:overflowPunct/>
              <w:topLinePunct w:val="0"/>
              <w:autoSpaceDE/>
              <w:autoSpaceDN/>
              <w:bidi w:val="0"/>
              <w:adjustRightInd/>
              <w:snapToGrid/>
              <w:spacing w:line="460" w:lineRule="exact"/>
              <w:ind w:left="-50" w:leftChars="0"/>
              <w:jc w:val="center"/>
              <w:textAlignment w:val="auto"/>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食品情况</w:t>
            </w:r>
          </w:p>
        </w:tc>
        <w:tc>
          <w:tcPr>
            <w:tcW w:w="6433" w:type="dxa"/>
            <w:vAlign w:val="top"/>
          </w:tcPr>
          <w:p w14:paraId="2434CECC">
            <w:pPr>
              <w:spacing w:line="440" w:lineRule="exact"/>
              <w:ind w:left="-50" w:left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根据投标人提供的食用油的厂家</w:t>
            </w:r>
            <w:r>
              <w:rPr>
                <w:rFonts w:hint="eastAsia" w:ascii="宋体" w:hAnsi="宋体" w:eastAsia="宋体" w:cs="宋体"/>
                <w:color w:val="auto"/>
                <w:sz w:val="22"/>
                <w:szCs w:val="22"/>
                <w:highlight w:val="none"/>
                <w:lang w:val="en-US" w:eastAsia="zh-CN"/>
              </w:rPr>
              <w:t>能力</w:t>
            </w:r>
            <w:r>
              <w:rPr>
                <w:rFonts w:hint="eastAsia" w:ascii="宋体" w:hAnsi="宋体" w:eastAsia="宋体" w:cs="宋体"/>
                <w:color w:val="auto"/>
                <w:sz w:val="22"/>
                <w:szCs w:val="22"/>
                <w:highlight w:val="none"/>
              </w:rPr>
              <w:t>、市场流通情况、</w:t>
            </w:r>
            <w:r>
              <w:rPr>
                <w:rFonts w:hint="eastAsia" w:ascii="宋体" w:hAnsi="宋体" w:cs="宋体"/>
                <w:color w:val="auto"/>
                <w:sz w:val="22"/>
                <w:szCs w:val="22"/>
                <w:highlight w:val="none"/>
                <w:lang w:val="en-US" w:eastAsia="zh-CN"/>
              </w:rPr>
              <w:t>产品</w:t>
            </w:r>
            <w:r>
              <w:rPr>
                <w:rFonts w:hint="eastAsia" w:ascii="宋体" w:hAnsi="宋体" w:eastAsia="宋体" w:cs="宋体"/>
                <w:color w:val="auto"/>
                <w:sz w:val="22"/>
                <w:szCs w:val="22"/>
                <w:highlight w:val="none"/>
              </w:rPr>
              <w:t>知名度等因素评分</w:t>
            </w:r>
            <w:r>
              <w:rPr>
                <w:rFonts w:hint="eastAsia" w:ascii="宋体" w:hAnsi="宋体" w:eastAsia="宋体" w:cs="宋体"/>
                <w:bCs/>
                <w:color w:val="auto"/>
                <w:sz w:val="22"/>
                <w:szCs w:val="22"/>
                <w:highlight w:val="none"/>
                <w:lang w:eastAsia="zh-CN"/>
              </w:rPr>
              <w:t>（</w:t>
            </w:r>
            <w:r>
              <w:rPr>
                <w:rFonts w:hint="eastAsia" w:ascii="宋体" w:hAnsi="宋体" w:eastAsia="宋体" w:cs="宋体"/>
                <w:bCs/>
                <w:color w:val="auto"/>
                <w:sz w:val="22"/>
                <w:szCs w:val="22"/>
                <w:highlight w:val="none"/>
                <w:lang w:val="en-US" w:eastAsia="zh-CN"/>
              </w:rPr>
              <w:t>评分范围：</w:t>
            </w:r>
            <w:r>
              <w:rPr>
                <w:rFonts w:hint="eastAsia" w:ascii="宋体" w:hAnsi="宋体" w:cs="宋体"/>
                <w:bCs/>
                <w:color w:val="auto"/>
                <w:sz w:val="22"/>
                <w:szCs w:val="22"/>
                <w:highlight w:val="none"/>
                <w:lang w:val="en-US" w:eastAsia="zh-CN"/>
              </w:rPr>
              <w:t>6</w:t>
            </w:r>
            <w:r>
              <w:rPr>
                <w:rFonts w:hint="eastAsia" w:ascii="宋体" w:hAnsi="宋体" w:eastAsia="宋体" w:cs="宋体"/>
                <w:bCs/>
                <w:color w:val="auto"/>
                <w:sz w:val="22"/>
                <w:szCs w:val="22"/>
                <w:highlight w:val="none"/>
                <w:lang w:val="en-US" w:eastAsia="zh-CN"/>
              </w:rPr>
              <w:t>,5,4,3,2,1,0分</w:t>
            </w:r>
            <w:r>
              <w:rPr>
                <w:rFonts w:hint="eastAsia" w:ascii="宋体" w:hAnsi="宋体" w:eastAsia="宋体" w:cs="宋体"/>
                <w:bCs/>
                <w:color w:val="auto"/>
                <w:sz w:val="22"/>
                <w:szCs w:val="22"/>
                <w:highlight w:val="none"/>
                <w:lang w:eastAsia="zh-CN"/>
              </w:rPr>
              <w:t>）</w:t>
            </w:r>
          </w:p>
        </w:tc>
        <w:tc>
          <w:tcPr>
            <w:tcW w:w="870" w:type="dxa"/>
            <w:vAlign w:val="center"/>
          </w:tcPr>
          <w:p w14:paraId="7812DCCD">
            <w:pPr>
              <w:pStyle w:val="22"/>
              <w:keepNext w:val="0"/>
              <w:keepLines w:val="0"/>
              <w:pageBreakBefore w:val="0"/>
              <w:kinsoku/>
              <w:wordWrap/>
              <w:overflowPunct/>
              <w:topLinePunct w:val="0"/>
              <w:autoSpaceDE/>
              <w:autoSpaceDN/>
              <w:bidi w:val="0"/>
              <w:snapToGrid/>
              <w:spacing w:line="460" w:lineRule="exact"/>
              <w:ind w:left="440" w:leftChars="0" w:hanging="440" w:hangingChars="200"/>
              <w:jc w:val="center"/>
              <w:rPr>
                <w:rFonts w:hint="eastAsia" w:ascii="宋体" w:hAnsi="宋体" w:eastAsia="宋体" w:cs="宋体"/>
                <w:b w:val="0"/>
                <w:bCs/>
                <w:color w:val="auto"/>
                <w:kern w:val="2"/>
                <w:sz w:val="22"/>
                <w:szCs w:val="22"/>
                <w:highlight w:val="none"/>
                <w:vertAlign w:val="baseline"/>
                <w:lang w:val="en-US" w:eastAsia="zh-CN" w:bidi="ar-SA"/>
              </w:rPr>
            </w:pPr>
            <w:r>
              <w:rPr>
                <w:rFonts w:hint="eastAsia" w:ascii="宋体" w:hAnsi="宋体" w:cs="宋体"/>
                <w:b w:val="0"/>
                <w:bCs/>
                <w:color w:val="auto"/>
                <w:kern w:val="2"/>
                <w:sz w:val="22"/>
                <w:szCs w:val="22"/>
                <w:highlight w:val="none"/>
                <w:vertAlign w:val="baseline"/>
                <w:lang w:val="en-US" w:eastAsia="zh-CN" w:bidi="ar-SA"/>
              </w:rPr>
              <w:t>6</w:t>
            </w:r>
          </w:p>
        </w:tc>
      </w:tr>
      <w:tr w14:paraId="2E3CF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vMerge w:val="restart"/>
            <w:vAlign w:val="center"/>
          </w:tcPr>
          <w:p w14:paraId="782BD437">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2"/>
                <w:szCs w:val="22"/>
                <w:highlight w:val="none"/>
                <w:vertAlign w:val="baseline"/>
                <w:lang w:val="en-US" w:eastAsia="zh-CN"/>
              </w:rPr>
            </w:pPr>
            <w:r>
              <w:rPr>
                <w:rFonts w:hint="eastAsia" w:ascii="宋体" w:hAnsi="宋体" w:eastAsia="宋体" w:cs="宋体"/>
                <w:color w:val="auto"/>
                <w:sz w:val="22"/>
                <w:szCs w:val="22"/>
                <w:highlight w:val="none"/>
                <w:vertAlign w:val="baseline"/>
                <w:lang w:val="en-US" w:eastAsia="zh-CN"/>
              </w:rPr>
              <w:t>3</w:t>
            </w:r>
          </w:p>
        </w:tc>
        <w:tc>
          <w:tcPr>
            <w:tcW w:w="1755" w:type="dxa"/>
            <w:vMerge w:val="restart"/>
            <w:vAlign w:val="center"/>
          </w:tcPr>
          <w:p w14:paraId="6E9C6E3D">
            <w:pPr>
              <w:keepNext w:val="0"/>
              <w:keepLines w:val="0"/>
              <w:pageBreakBefore w:val="0"/>
              <w:widowControl w:val="0"/>
              <w:kinsoku/>
              <w:wordWrap/>
              <w:overflowPunct/>
              <w:topLinePunct w:val="0"/>
              <w:autoSpaceDE/>
              <w:autoSpaceDN/>
              <w:bidi w:val="0"/>
              <w:adjustRightInd/>
              <w:snapToGrid/>
              <w:spacing w:line="460" w:lineRule="exact"/>
              <w:ind w:left="-50" w:leftChars="0"/>
              <w:jc w:val="center"/>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产品的符合程度</w:t>
            </w:r>
          </w:p>
        </w:tc>
        <w:tc>
          <w:tcPr>
            <w:tcW w:w="6433" w:type="dxa"/>
            <w:vAlign w:val="center"/>
          </w:tcPr>
          <w:p w14:paraId="6241851D">
            <w:pPr>
              <w:keepNext w:val="0"/>
              <w:keepLines w:val="0"/>
              <w:pageBreakBefore w:val="0"/>
              <w:kinsoku/>
              <w:wordWrap/>
              <w:overflowPunct/>
              <w:topLinePunct w:val="0"/>
              <w:autoSpaceDE/>
              <w:autoSpaceDN/>
              <w:bidi w:val="0"/>
              <w:snapToGrid/>
              <w:spacing w:line="460" w:lineRule="exact"/>
              <w:rPr>
                <w:rFonts w:hint="eastAsia" w:ascii="宋体" w:hAnsi="宋体" w:eastAsia="宋体" w:cs="宋体"/>
                <w:b w:val="0"/>
                <w:bCs/>
                <w:color w:val="auto"/>
                <w:kern w:val="2"/>
                <w:sz w:val="22"/>
                <w:szCs w:val="22"/>
                <w:highlight w:val="none"/>
                <w:vertAlign w:val="baseline"/>
                <w:lang w:val="en-US" w:eastAsia="zh-CN" w:bidi="ar-SA"/>
              </w:rPr>
            </w:pPr>
            <w:r>
              <w:rPr>
                <w:rFonts w:hint="eastAsia" w:ascii="宋体" w:hAnsi="宋体" w:eastAsia="宋体" w:cs="宋体"/>
                <w:color w:val="auto"/>
                <w:sz w:val="22"/>
                <w:szCs w:val="22"/>
                <w:highlight w:val="none"/>
              </w:rPr>
              <w:t>根据投标人</w:t>
            </w:r>
            <w:r>
              <w:rPr>
                <w:rFonts w:hint="eastAsia" w:ascii="宋体" w:hAnsi="宋体" w:eastAsia="宋体" w:cs="宋体"/>
                <w:color w:val="auto"/>
                <w:sz w:val="22"/>
                <w:szCs w:val="22"/>
                <w:highlight w:val="none"/>
                <w:lang w:val="en-US" w:eastAsia="zh-CN"/>
              </w:rPr>
              <w:t>提供的“</w:t>
            </w:r>
            <w:r>
              <w:rPr>
                <w:rFonts w:hint="eastAsia" w:ascii="宋体" w:hAnsi="宋体" w:eastAsia="宋体" w:cs="宋体"/>
                <w:color w:val="auto"/>
                <w:sz w:val="22"/>
                <w:szCs w:val="22"/>
                <w:highlight w:val="none"/>
              </w:rPr>
              <w:t>大豆油（非转基因）一级</w:t>
            </w:r>
            <w:r>
              <w:rPr>
                <w:rFonts w:hint="eastAsia" w:ascii="宋体" w:hAnsi="宋体" w:eastAsia="宋体" w:cs="宋体"/>
                <w:color w:val="auto"/>
                <w:sz w:val="22"/>
                <w:szCs w:val="22"/>
                <w:highlight w:val="none"/>
                <w:lang w:val="en-US" w:eastAsia="zh-CN"/>
              </w:rPr>
              <w:t>”</w:t>
            </w:r>
            <w:r>
              <w:rPr>
                <w:rFonts w:hint="eastAsia" w:ascii="宋体" w:hAnsi="宋体" w:eastAsia="宋体" w:cs="宋体"/>
                <w:color w:val="auto"/>
                <w:sz w:val="22"/>
                <w:szCs w:val="22"/>
                <w:highlight w:val="none"/>
              </w:rPr>
              <w:t>的主要指标、性能、质量水平描述评分</w:t>
            </w:r>
            <w:r>
              <w:rPr>
                <w:rFonts w:hint="eastAsia" w:ascii="宋体" w:hAnsi="宋体" w:eastAsia="宋体" w:cs="宋体"/>
                <w:bCs/>
                <w:color w:val="auto"/>
                <w:sz w:val="22"/>
                <w:szCs w:val="22"/>
                <w:highlight w:val="none"/>
                <w:lang w:eastAsia="zh-CN"/>
              </w:rPr>
              <w:t>（</w:t>
            </w:r>
            <w:r>
              <w:rPr>
                <w:rFonts w:hint="eastAsia" w:ascii="宋体" w:hAnsi="宋体" w:eastAsia="宋体" w:cs="宋体"/>
                <w:bCs/>
                <w:color w:val="auto"/>
                <w:sz w:val="22"/>
                <w:szCs w:val="22"/>
                <w:highlight w:val="none"/>
                <w:lang w:val="en-US" w:eastAsia="zh-CN"/>
              </w:rPr>
              <w:t>评分范围：</w:t>
            </w:r>
            <w:r>
              <w:rPr>
                <w:rFonts w:hint="eastAsia" w:ascii="宋体" w:hAnsi="宋体" w:cs="宋体"/>
                <w:bCs/>
                <w:color w:val="auto"/>
                <w:sz w:val="22"/>
                <w:szCs w:val="22"/>
                <w:highlight w:val="none"/>
                <w:lang w:val="en-US" w:eastAsia="zh-CN"/>
              </w:rPr>
              <w:t>7,6,</w:t>
            </w:r>
            <w:r>
              <w:rPr>
                <w:rFonts w:hint="eastAsia" w:ascii="宋体" w:hAnsi="宋体" w:eastAsia="宋体" w:cs="宋体"/>
                <w:bCs/>
                <w:color w:val="auto"/>
                <w:sz w:val="22"/>
                <w:szCs w:val="22"/>
                <w:highlight w:val="none"/>
                <w:lang w:val="en-US" w:eastAsia="zh-CN"/>
              </w:rPr>
              <w:t>5,4,3,2,1,0分</w:t>
            </w:r>
            <w:r>
              <w:rPr>
                <w:rFonts w:hint="eastAsia" w:ascii="宋体" w:hAnsi="宋体" w:eastAsia="宋体" w:cs="宋体"/>
                <w:bCs/>
                <w:color w:val="auto"/>
                <w:sz w:val="22"/>
                <w:szCs w:val="22"/>
                <w:highlight w:val="none"/>
                <w:lang w:eastAsia="zh-CN"/>
              </w:rPr>
              <w:t>）</w:t>
            </w:r>
            <w:r>
              <w:rPr>
                <w:rFonts w:hint="eastAsia" w:ascii="宋体" w:hAnsi="宋体" w:cs="宋体"/>
                <w:bCs/>
                <w:color w:val="auto"/>
                <w:sz w:val="22"/>
                <w:szCs w:val="22"/>
                <w:highlight w:val="none"/>
                <w:lang w:eastAsia="zh-CN"/>
              </w:rPr>
              <w:t>。</w:t>
            </w:r>
          </w:p>
        </w:tc>
        <w:tc>
          <w:tcPr>
            <w:tcW w:w="870" w:type="dxa"/>
            <w:vAlign w:val="center"/>
          </w:tcPr>
          <w:p w14:paraId="2592CBD1">
            <w:pPr>
              <w:pStyle w:val="22"/>
              <w:keepNext w:val="0"/>
              <w:keepLines w:val="0"/>
              <w:pageBreakBefore w:val="0"/>
              <w:kinsoku/>
              <w:wordWrap/>
              <w:overflowPunct/>
              <w:topLinePunct w:val="0"/>
              <w:autoSpaceDE/>
              <w:autoSpaceDN/>
              <w:bidi w:val="0"/>
              <w:snapToGrid/>
              <w:spacing w:line="460" w:lineRule="exact"/>
              <w:ind w:left="440" w:leftChars="0" w:hanging="440" w:hangingChars="200"/>
              <w:jc w:val="center"/>
              <w:rPr>
                <w:rFonts w:hint="eastAsia" w:ascii="宋体" w:hAnsi="宋体" w:eastAsia="宋体" w:cs="宋体"/>
                <w:b w:val="0"/>
                <w:bCs/>
                <w:color w:val="auto"/>
                <w:kern w:val="2"/>
                <w:sz w:val="22"/>
                <w:szCs w:val="22"/>
                <w:highlight w:val="none"/>
                <w:vertAlign w:val="baseline"/>
                <w:lang w:val="en-US" w:eastAsia="zh-CN" w:bidi="ar-SA"/>
              </w:rPr>
            </w:pPr>
            <w:r>
              <w:rPr>
                <w:rFonts w:hint="eastAsia" w:ascii="宋体" w:hAnsi="宋体" w:eastAsia="宋体" w:cs="宋体"/>
                <w:b w:val="0"/>
                <w:bCs/>
                <w:color w:val="auto"/>
                <w:kern w:val="2"/>
                <w:sz w:val="22"/>
                <w:szCs w:val="22"/>
                <w:highlight w:val="none"/>
                <w:vertAlign w:val="baseline"/>
                <w:lang w:val="en-US" w:eastAsia="zh-CN" w:bidi="ar-SA"/>
              </w:rPr>
              <w:t>7</w:t>
            </w:r>
          </w:p>
        </w:tc>
      </w:tr>
      <w:tr w14:paraId="799BD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vMerge w:val="continue"/>
            <w:vAlign w:val="center"/>
          </w:tcPr>
          <w:p w14:paraId="74E66F12">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2"/>
                <w:szCs w:val="22"/>
                <w:highlight w:val="none"/>
                <w:vertAlign w:val="baseline"/>
                <w:lang w:val="en-US" w:eastAsia="zh-CN"/>
              </w:rPr>
            </w:pPr>
          </w:p>
        </w:tc>
        <w:tc>
          <w:tcPr>
            <w:tcW w:w="1755" w:type="dxa"/>
            <w:vMerge w:val="continue"/>
            <w:vAlign w:val="center"/>
          </w:tcPr>
          <w:p w14:paraId="17ECBE85">
            <w:pPr>
              <w:keepNext w:val="0"/>
              <w:keepLines w:val="0"/>
              <w:pageBreakBefore w:val="0"/>
              <w:widowControl w:val="0"/>
              <w:kinsoku/>
              <w:wordWrap/>
              <w:overflowPunct/>
              <w:topLinePunct w:val="0"/>
              <w:autoSpaceDE/>
              <w:autoSpaceDN/>
              <w:bidi w:val="0"/>
              <w:adjustRightInd/>
              <w:snapToGrid/>
              <w:spacing w:line="460" w:lineRule="exact"/>
              <w:ind w:left="-50" w:leftChars="0"/>
              <w:jc w:val="center"/>
              <w:textAlignment w:val="auto"/>
              <w:rPr>
                <w:rFonts w:hint="eastAsia" w:ascii="宋体" w:hAnsi="宋体" w:eastAsia="宋体" w:cs="宋体"/>
                <w:color w:val="auto"/>
                <w:sz w:val="22"/>
                <w:szCs w:val="22"/>
                <w:highlight w:val="none"/>
              </w:rPr>
            </w:pPr>
          </w:p>
        </w:tc>
        <w:tc>
          <w:tcPr>
            <w:tcW w:w="6433" w:type="dxa"/>
            <w:vAlign w:val="center"/>
          </w:tcPr>
          <w:p w14:paraId="79EAD3B1">
            <w:pPr>
              <w:keepNext w:val="0"/>
              <w:keepLines w:val="0"/>
              <w:pageBreakBefore w:val="0"/>
              <w:kinsoku/>
              <w:wordWrap/>
              <w:overflowPunct/>
              <w:topLinePunct w:val="0"/>
              <w:autoSpaceDE/>
              <w:autoSpaceDN/>
              <w:bidi w:val="0"/>
              <w:snapToGrid/>
              <w:spacing w:line="460" w:lineRule="exact"/>
              <w:rPr>
                <w:rFonts w:hint="eastAsia" w:ascii="宋体" w:hAnsi="宋体" w:eastAsia="宋体" w:cs="宋体"/>
                <w:color w:val="auto"/>
                <w:highlight w:val="none"/>
                <w:lang w:val="en-US" w:eastAsia="zh-CN"/>
              </w:rPr>
            </w:pPr>
            <w:r>
              <w:rPr>
                <w:rFonts w:hint="eastAsia" w:ascii="宋体" w:hAnsi="宋体" w:eastAsia="宋体" w:cs="宋体"/>
                <w:color w:val="auto"/>
                <w:sz w:val="22"/>
                <w:szCs w:val="22"/>
                <w:highlight w:val="none"/>
              </w:rPr>
              <w:t>根据投标人</w:t>
            </w:r>
            <w:r>
              <w:rPr>
                <w:rFonts w:hint="eastAsia" w:ascii="宋体" w:hAnsi="宋体" w:eastAsia="宋体" w:cs="宋体"/>
                <w:color w:val="auto"/>
                <w:sz w:val="22"/>
                <w:szCs w:val="22"/>
                <w:highlight w:val="none"/>
                <w:lang w:val="en-US" w:eastAsia="zh-CN"/>
              </w:rPr>
              <w:t>提供的</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菜籽油（非转基因）一级</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的主要指标、性能、质量水平描述评分</w:t>
            </w:r>
            <w:r>
              <w:rPr>
                <w:rFonts w:hint="eastAsia" w:ascii="宋体" w:hAnsi="宋体" w:eastAsia="宋体" w:cs="宋体"/>
                <w:bCs/>
                <w:color w:val="auto"/>
                <w:sz w:val="22"/>
                <w:szCs w:val="22"/>
                <w:highlight w:val="none"/>
                <w:lang w:eastAsia="zh-CN"/>
              </w:rPr>
              <w:t>（</w:t>
            </w:r>
            <w:r>
              <w:rPr>
                <w:rFonts w:hint="eastAsia" w:ascii="宋体" w:hAnsi="宋体" w:eastAsia="宋体" w:cs="宋体"/>
                <w:bCs/>
                <w:color w:val="auto"/>
                <w:sz w:val="22"/>
                <w:szCs w:val="22"/>
                <w:highlight w:val="none"/>
                <w:lang w:val="en-US" w:eastAsia="zh-CN"/>
              </w:rPr>
              <w:t>评分范围：</w:t>
            </w:r>
            <w:r>
              <w:rPr>
                <w:rFonts w:hint="eastAsia" w:ascii="宋体" w:hAnsi="宋体" w:cs="宋体"/>
                <w:bCs/>
                <w:color w:val="auto"/>
                <w:sz w:val="22"/>
                <w:szCs w:val="22"/>
                <w:highlight w:val="none"/>
                <w:lang w:val="en-US" w:eastAsia="zh-CN"/>
              </w:rPr>
              <w:t>7,6,</w:t>
            </w:r>
            <w:r>
              <w:rPr>
                <w:rFonts w:hint="eastAsia" w:ascii="宋体" w:hAnsi="宋体" w:eastAsia="宋体" w:cs="宋体"/>
                <w:bCs/>
                <w:color w:val="auto"/>
                <w:sz w:val="22"/>
                <w:szCs w:val="22"/>
                <w:highlight w:val="none"/>
                <w:lang w:val="en-US" w:eastAsia="zh-CN"/>
              </w:rPr>
              <w:t>5,4,3,2,1,0分</w:t>
            </w:r>
            <w:r>
              <w:rPr>
                <w:rFonts w:hint="eastAsia" w:ascii="宋体" w:hAnsi="宋体" w:eastAsia="宋体" w:cs="宋体"/>
                <w:bCs/>
                <w:color w:val="auto"/>
                <w:sz w:val="22"/>
                <w:szCs w:val="22"/>
                <w:highlight w:val="none"/>
                <w:lang w:eastAsia="zh-CN"/>
              </w:rPr>
              <w:t>）</w:t>
            </w:r>
            <w:r>
              <w:rPr>
                <w:rFonts w:hint="eastAsia" w:ascii="宋体" w:hAnsi="宋体" w:cs="宋体"/>
                <w:bCs/>
                <w:color w:val="auto"/>
                <w:sz w:val="22"/>
                <w:szCs w:val="22"/>
                <w:highlight w:val="none"/>
                <w:lang w:eastAsia="zh-CN"/>
              </w:rPr>
              <w:t>。</w:t>
            </w:r>
          </w:p>
        </w:tc>
        <w:tc>
          <w:tcPr>
            <w:tcW w:w="870" w:type="dxa"/>
            <w:vAlign w:val="center"/>
          </w:tcPr>
          <w:p w14:paraId="12B7B843">
            <w:pPr>
              <w:pStyle w:val="22"/>
              <w:keepNext w:val="0"/>
              <w:keepLines w:val="0"/>
              <w:pageBreakBefore w:val="0"/>
              <w:kinsoku/>
              <w:wordWrap/>
              <w:overflowPunct/>
              <w:topLinePunct w:val="0"/>
              <w:autoSpaceDE/>
              <w:autoSpaceDN/>
              <w:bidi w:val="0"/>
              <w:snapToGrid/>
              <w:spacing w:line="460" w:lineRule="exact"/>
              <w:ind w:left="440" w:leftChars="0" w:hanging="440" w:hangingChars="200"/>
              <w:jc w:val="center"/>
              <w:rPr>
                <w:rFonts w:hint="eastAsia" w:ascii="宋体" w:hAnsi="宋体" w:eastAsia="宋体" w:cs="宋体"/>
                <w:b w:val="0"/>
                <w:bCs/>
                <w:color w:val="auto"/>
                <w:sz w:val="22"/>
                <w:szCs w:val="22"/>
                <w:highlight w:val="none"/>
                <w:vertAlign w:val="baseline"/>
                <w:lang w:val="en-US" w:eastAsia="zh-CN"/>
              </w:rPr>
            </w:pPr>
            <w:r>
              <w:rPr>
                <w:rFonts w:hint="eastAsia" w:ascii="宋体" w:hAnsi="宋体" w:eastAsia="宋体" w:cs="宋体"/>
                <w:b w:val="0"/>
                <w:bCs/>
                <w:color w:val="auto"/>
                <w:sz w:val="22"/>
                <w:szCs w:val="22"/>
                <w:highlight w:val="none"/>
                <w:vertAlign w:val="baseline"/>
                <w:lang w:val="en-US" w:eastAsia="zh-CN"/>
              </w:rPr>
              <w:t>7</w:t>
            </w:r>
          </w:p>
        </w:tc>
      </w:tr>
      <w:tr w14:paraId="1AC02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vAlign w:val="center"/>
          </w:tcPr>
          <w:p w14:paraId="6B386D52">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2"/>
                <w:szCs w:val="22"/>
                <w:highlight w:val="none"/>
                <w:vertAlign w:val="baseline"/>
                <w:lang w:val="en-US" w:eastAsia="zh-CN"/>
              </w:rPr>
            </w:pPr>
            <w:r>
              <w:rPr>
                <w:rFonts w:hint="eastAsia" w:ascii="宋体" w:hAnsi="宋体" w:eastAsia="宋体" w:cs="宋体"/>
                <w:color w:val="auto"/>
                <w:sz w:val="22"/>
                <w:szCs w:val="22"/>
                <w:highlight w:val="none"/>
                <w:vertAlign w:val="baseline"/>
                <w:lang w:val="en-US" w:eastAsia="zh-CN"/>
              </w:rPr>
              <w:t>4</w:t>
            </w:r>
          </w:p>
        </w:tc>
        <w:tc>
          <w:tcPr>
            <w:tcW w:w="1755" w:type="dxa"/>
            <w:vAlign w:val="center"/>
          </w:tcPr>
          <w:p w14:paraId="017E1487">
            <w:pPr>
              <w:keepNext w:val="0"/>
              <w:keepLines w:val="0"/>
              <w:pageBreakBefore w:val="0"/>
              <w:widowControl w:val="0"/>
              <w:kinsoku/>
              <w:wordWrap/>
              <w:overflowPunct/>
              <w:topLinePunct w:val="0"/>
              <w:autoSpaceDE/>
              <w:autoSpaceDN/>
              <w:bidi w:val="0"/>
              <w:adjustRightInd/>
              <w:snapToGrid/>
              <w:spacing w:line="460" w:lineRule="exact"/>
              <w:ind w:left="-50" w:leftChars="0"/>
              <w:jc w:val="center"/>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仓储情况</w:t>
            </w:r>
          </w:p>
        </w:tc>
        <w:tc>
          <w:tcPr>
            <w:tcW w:w="6433" w:type="dxa"/>
            <w:vAlign w:val="center"/>
          </w:tcPr>
          <w:p w14:paraId="5EF957CD">
            <w:pPr>
              <w:keepNext w:val="0"/>
              <w:keepLines w:val="0"/>
              <w:pageBreakBefore w:val="0"/>
              <w:kinsoku/>
              <w:wordWrap/>
              <w:overflowPunct/>
              <w:topLinePunct w:val="0"/>
              <w:autoSpaceDE/>
              <w:autoSpaceDN/>
              <w:bidi w:val="0"/>
              <w:snapToGrid/>
              <w:spacing w:line="460" w:lineRule="exact"/>
              <w:ind w:left="-50" w:leftChars="0"/>
              <w:rPr>
                <w:rFonts w:hint="eastAsia" w:ascii="宋体" w:hAnsi="宋体" w:eastAsia="宋体" w:cs="宋体"/>
                <w:b w:val="0"/>
                <w:bCs/>
                <w:color w:val="auto"/>
                <w:kern w:val="2"/>
                <w:sz w:val="22"/>
                <w:szCs w:val="22"/>
                <w:highlight w:val="none"/>
                <w:vertAlign w:val="baseline"/>
                <w:lang w:val="en-US" w:eastAsia="zh-CN" w:bidi="ar-SA"/>
              </w:rPr>
            </w:pPr>
            <w:r>
              <w:rPr>
                <w:rFonts w:hint="eastAsia" w:ascii="宋体" w:hAnsi="宋体" w:eastAsia="宋体" w:cs="宋体"/>
                <w:color w:val="auto"/>
                <w:sz w:val="22"/>
                <w:szCs w:val="22"/>
                <w:highlight w:val="none"/>
              </w:rPr>
              <w:t>根据投标人的仓库</w:t>
            </w:r>
            <w:r>
              <w:rPr>
                <w:rFonts w:hint="eastAsia" w:ascii="宋体" w:hAnsi="宋体" w:eastAsia="宋体" w:cs="宋体"/>
                <w:color w:val="auto"/>
                <w:sz w:val="22"/>
                <w:szCs w:val="22"/>
                <w:highlight w:val="none"/>
                <w:lang w:val="en-US" w:eastAsia="zh-CN"/>
              </w:rPr>
              <w:t>综合</w:t>
            </w:r>
            <w:r>
              <w:rPr>
                <w:rFonts w:hint="eastAsia" w:ascii="宋体" w:hAnsi="宋体" w:eastAsia="宋体" w:cs="宋体"/>
                <w:color w:val="auto"/>
                <w:sz w:val="22"/>
                <w:szCs w:val="22"/>
                <w:highlight w:val="none"/>
              </w:rPr>
              <w:t>情况进行评分</w:t>
            </w:r>
            <w:r>
              <w:rPr>
                <w:rFonts w:hint="eastAsia" w:ascii="宋体" w:hAnsi="宋体" w:eastAsia="宋体" w:cs="宋体"/>
                <w:bCs/>
                <w:color w:val="auto"/>
                <w:sz w:val="22"/>
                <w:szCs w:val="22"/>
                <w:highlight w:val="none"/>
                <w:lang w:eastAsia="zh-CN"/>
              </w:rPr>
              <w:t>（</w:t>
            </w:r>
            <w:r>
              <w:rPr>
                <w:rFonts w:hint="eastAsia" w:ascii="宋体" w:hAnsi="宋体" w:eastAsia="宋体" w:cs="宋体"/>
                <w:bCs/>
                <w:color w:val="auto"/>
                <w:sz w:val="22"/>
                <w:szCs w:val="22"/>
                <w:highlight w:val="none"/>
                <w:lang w:val="en-US" w:eastAsia="zh-CN"/>
              </w:rPr>
              <w:t>评分范围：</w:t>
            </w:r>
            <w:r>
              <w:rPr>
                <w:rFonts w:hint="eastAsia" w:ascii="宋体" w:hAnsi="宋体" w:cs="宋体"/>
                <w:bCs/>
                <w:color w:val="auto"/>
                <w:sz w:val="22"/>
                <w:szCs w:val="22"/>
                <w:highlight w:val="none"/>
                <w:lang w:val="en-US" w:eastAsia="zh-CN"/>
              </w:rPr>
              <w:t>4,</w:t>
            </w:r>
            <w:r>
              <w:rPr>
                <w:rFonts w:hint="eastAsia" w:ascii="宋体" w:hAnsi="宋体" w:eastAsia="宋体" w:cs="宋体"/>
                <w:bCs/>
                <w:color w:val="auto"/>
                <w:sz w:val="22"/>
                <w:szCs w:val="22"/>
                <w:highlight w:val="none"/>
                <w:lang w:val="en-US" w:eastAsia="zh-CN"/>
              </w:rPr>
              <w:t>3,2,1,0分</w:t>
            </w:r>
            <w:r>
              <w:rPr>
                <w:rFonts w:hint="eastAsia" w:ascii="宋体" w:hAnsi="宋体" w:eastAsia="宋体" w:cs="宋体"/>
                <w:bCs/>
                <w:color w:val="auto"/>
                <w:sz w:val="22"/>
                <w:szCs w:val="22"/>
                <w:highlight w:val="none"/>
                <w:lang w:eastAsia="zh-CN"/>
              </w:rPr>
              <w:t>）</w:t>
            </w:r>
            <w:r>
              <w:rPr>
                <w:rFonts w:hint="eastAsia" w:ascii="宋体" w:hAnsi="宋体" w:eastAsia="宋体" w:cs="宋体"/>
                <w:color w:val="auto"/>
                <w:sz w:val="22"/>
                <w:szCs w:val="22"/>
                <w:highlight w:val="none"/>
                <w:lang w:val="en-US" w:eastAsia="zh-CN"/>
              </w:rPr>
              <w:t>。注：</w:t>
            </w:r>
            <w:r>
              <w:rPr>
                <w:rFonts w:hint="eastAsia" w:ascii="宋体" w:hAnsi="宋体" w:eastAsia="宋体" w:cs="宋体"/>
                <w:color w:val="auto"/>
                <w:sz w:val="22"/>
                <w:szCs w:val="22"/>
                <w:highlight w:val="none"/>
              </w:rPr>
              <w:t>提供房产证或租赁合同</w:t>
            </w:r>
            <w:r>
              <w:rPr>
                <w:rFonts w:hint="eastAsia" w:ascii="宋体" w:hAnsi="宋体" w:eastAsia="宋体" w:cs="宋体"/>
                <w:color w:val="auto"/>
                <w:sz w:val="22"/>
                <w:szCs w:val="22"/>
                <w:highlight w:val="none"/>
                <w:lang w:val="en-US" w:eastAsia="zh-CN"/>
              </w:rPr>
              <w:t>复印件作</w:t>
            </w:r>
            <w:r>
              <w:rPr>
                <w:rFonts w:hint="eastAsia" w:ascii="宋体" w:hAnsi="宋体" w:eastAsia="宋体" w:cs="宋体"/>
                <w:color w:val="auto"/>
                <w:sz w:val="22"/>
                <w:szCs w:val="22"/>
                <w:highlight w:val="none"/>
              </w:rPr>
              <w:t>为证明材料，</w:t>
            </w:r>
            <w:r>
              <w:rPr>
                <w:rFonts w:hint="eastAsia" w:ascii="宋体" w:hAnsi="宋体" w:eastAsia="宋体" w:cs="宋体"/>
                <w:color w:val="auto"/>
                <w:sz w:val="22"/>
                <w:szCs w:val="22"/>
                <w:highlight w:val="none"/>
                <w:lang w:val="en-US" w:eastAsia="zh-CN"/>
              </w:rPr>
              <w:t>否则不得分。</w:t>
            </w:r>
          </w:p>
        </w:tc>
        <w:tc>
          <w:tcPr>
            <w:tcW w:w="870" w:type="dxa"/>
            <w:vAlign w:val="center"/>
          </w:tcPr>
          <w:p w14:paraId="65CAD8DC">
            <w:pPr>
              <w:pStyle w:val="22"/>
              <w:keepNext w:val="0"/>
              <w:keepLines w:val="0"/>
              <w:pageBreakBefore w:val="0"/>
              <w:kinsoku/>
              <w:wordWrap/>
              <w:overflowPunct/>
              <w:topLinePunct w:val="0"/>
              <w:autoSpaceDE/>
              <w:autoSpaceDN/>
              <w:bidi w:val="0"/>
              <w:snapToGrid/>
              <w:spacing w:line="460" w:lineRule="exact"/>
              <w:ind w:left="440" w:leftChars="0" w:hanging="440" w:hangingChars="200"/>
              <w:jc w:val="center"/>
              <w:rPr>
                <w:rFonts w:hint="eastAsia" w:ascii="宋体" w:hAnsi="宋体" w:eastAsia="宋体" w:cs="宋体"/>
                <w:b w:val="0"/>
                <w:bCs/>
                <w:color w:val="auto"/>
                <w:kern w:val="2"/>
                <w:sz w:val="22"/>
                <w:szCs w:val="22"/>
                <w:highlight w:val="none"/>
                <w:vertAlign w:val="baseline"/>
                <w:lang w:val="en-US" w:eastAsia="zh-CN" w:bidi="ar-SA"/>
              </w:rPr>
            </w:pPr>
            <w:r>
              <w:rPr>
                <w:rFonts w:hint="eastAsia" w:ascii="宋体" w:hAnsi="宋体" w:cs="宋体"/>
                <w:b w:val="0"/>
                <w:bCs/>
                <w:color w:val="auto"/>
                <w:kern w:val="2"/>
                <w:sz w:val="22"/>
                <w:szCs w:val="22"/>
                <w:highlight w:val="none"/>
                <w:vertAlign w:val="baseline"/>
                <w:lang w:val="en-US" w:eastAsia="zh-CN" w:bidi="ar-SA"/>
              </w:rPr>
              <w:t>4</w:t>
            </w:r>
          </w:p>
        </w:tc>
      </w:tr>
      <w:tr w14:paraId="79CBD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vMerge w:val="restart"/>
            <w:vAlign w:val="center"/>
          </w:tcPr>
          <w:p w14:paraId="30B7FBB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2"/>
                <w:szCs w:val="22"/>
                <w:highlight w:val="none"/>
                <w:vertAlign w:val="baseline"/>
                <w:lang w:val="en-US" w:eastAsia="zh-CN"/>
              </w:rPr>
            </w:pPr>
            <w:r>
              <w:rPr>
                <w:rFonts w:hint="eastAsia" w:ascii="宋体" w:hAnsi="宋体" w:eastAsia="宋体" w:cs="宋体"/>
                <w:color w:val="auto"/>
                <w:sz w:val="22"/>
                <w:szCs w:val="22"/>
                <w:highlight w:val="none"/>
                <w:vertAlign w:val="baseline"/>
                <w:lang w:val="en-US" w:eastAsia="zh-CN"/>
              </w:rPr>
              <w:t>5</w:t>
            </w:r>
          </w:p>
        </w:tc>
        <w:tc>
          <w:tcPr>
            <w:tcW w:w="1755" w:type="dxa"/>
            <w:vMerge w:val="restart"/>
            <w:vAlign w:val="center"/>
          </w:tcPr>
          <w:p w14:paraId="1445CF74">
            <w:pPr>
              <w:keepNext w:val="0"/>
              <w:keepLines w:val="0"/>
              <w:pageBreakBefore w:val="0"/>
              <w:widowControl w:val="0"/>
              <w:kinsoku/>
              <w:wordWrap/>
              <w:overflowPunct/>
              <w:topLinePunct w:val="0"/>
              <w:autoSpaceDE/>
              <w:autoSpaceDN/>
              <w:bidi w:val="0"/>
              <w:adjustRightInd/>
              <w:snapToGrid/>
              <w:spacing w:line="460" w:lineRule="exact"/>
              <w:ind w:left="-50" w:leftChars="0"/>
              <w:jc w:val="center"/>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货物品质保证措施</w:t>
            </w:r>
          </w:p>
        </w:tc>
        <w:tc>
          <w:tcPr>
            <w:tcW w:w="6433" w:type="dxa"/>
            <w:vAlign w:val="center"/>
          </w:tcPr>
          <w:p w14:paraId="73BA943F">
            <w:pPr>
              <w:keepNext w:val="0"/>
              <w:keepLines w:val="0"/>
              <w:pageBreakBefore w:val="0"/>
              <w:kinsoku/>
              <w:wordWrap/>
              <w:overflowPunct/>
              <w:topLinePunct w:val="0"/>
              <w:autoSpaceDE/>
              <w:autoSpaceDN/>
              <w:bidi w:val="0"/>
              <w:snapToGrid/>
              <w:spacing w:line="460" w:lineRule="exact"/>
              <w:ind w:left="-50" w:leftChars="0"/>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color w:val="auto"/>
                <w:sz w:val="22"/>
                <w:szCs w:val="22"/>
                <w:highlight w:val="none"/>
              </w:rPr>
              <w:t>根据投标货物相关加工、包装、保存、运输、仓储各环节的质量保证等进行评分</w:t>
            </w:r>
            <w:r>
              <w:rPr>
                <w:rFonts w:hint="eastAsia" w:ascii="宋体" w:hAnsi="宋体" w:eastAsia="宋体" w:cs="宋体"/>
                <w:bCs/>
                <w:color w:val="auto"/>
                <w:sz w:val="22"/>
                <w:szCs w:val="22"/>
                <w:highlight w:val="none"/>
                <w:lang w:eastAsia="zh-CN"/>
              </w:rPr>
              <w:t>（</w:t>
            </w:r>
            <w:r>
              <w:rPr>
                <w:rFonts w:hint="eastAsia" w:ascii="宋体" w:hAnsi="宋体" w:eastAsia="宋体" w:cs="宋体"/>
                <w:bCs/>
                <w:color w:val="auto"/>
                <w:sz w:val="22"/>
                <w:szCs w:val="22"/>
                <w:highlight w:val="none"/>
                <w:lang w:val="en-US" w:eastAsia="zh-CN"/>
              </w:rPr>
              <w:t>评分范围：5,4,3,2,1,0分</w:t>
            </w:r>
            <w:r>
              <w:rPr>
                <w:rFonts w:hint="eastAsia" w:ascii="宋体" w:hAnsi="宋体" w:eastAsia="宋体" w:cs="宋体"/>
                <w:bCs/>
                <w:color w:val="auto"/>
                <w:sz w:val="22"/>
                <w:szCs w:val="22"/>
                <w:highlight w:val="none"/>
                <w:lang w:eastAsia="zh-CN"/>
              </w:rPr>
              <w:t>）。</w:t>
            </w:r>
          </w:p>
        </w:tc>
        <w:tc>
          <w:tcPr>
            <w:tcW w:w="870" w:type="dxa"/>
            <w:vAlign w:val="center"/>
          </w:tcPr>
          <w:p w14:paraId="25CC51E3">
            <w:pPr>
              <w:pStyle w:val="22"/>
              <w:keepNext w:val="0"/>
              <w:keepLines w:val="0"/>
              <w:pageBreakBefore w:val="0"/>
              <w:kinsoku/>
              <w:wordWrap/>
              <w:overflowPunct/>
              <w:topLinePunct w:val="0"/>
              <w:autoSpaceDE/>
              <w:autoSpaceDN/>
              <w:bidi w:val="0"/>
              <w:snapToGrid/>
              <w:spacing w:line="460" w:lineRule="exact"/>
              <w:ind w:left="440" w:leftChars="0" w:hanging="440" w:hangingChars="200"/>
              <w:jc w:val="center"/>
              <w:rPr>
                <w:rFonts w:hint="eastAsia" w:ascii="宋体" w:hAnsi="宋体" w:eastAsia="宋体" w:cs="宋体"/>
                <w:b w:val="0"/>
                <w:bCs/>
                <w:color w:val="auto"/>
                <w:kern w:val="2"/>
                <w:sz w:val="22"/>
                <w:szCs w:val="22"/>
                <w:highlight w:val="none"/>
                <w:vertAlign w:val="baseline"/>
                <w:lang w:val="en-US" w:eastAsia="zh-CN" w:bidi="ar-SA"/>
              </w:rPr>
            </w:pPr>
            <w:r>
              <w:rPr>
                <w:rFonts w:hint="eastAsia" w:ascii="宋体" w:hAnsi="宋体" w:cs="宋体"/>
                <w:b w:val="0"/>
                <w:bCs/>
                <w:color w:val="auto"/>
                <w:kern w:val="2"/>
                <w:sz w:val="22"/>
                <w:szCs w:val="22"/>
                <w:highlight w:val="none"/>
                <w:vertAlign w:val="baseline"/>
                <w:lang w:val="en-US" w:eastAsia="zh-CN" w:bidi="ar-SA"/>
              </w:rPr>
              <w:t>5</w:t>
            </w:r>
          </w:p>
        </w:tc>
      </w:tr>
      <w:tr w14:paraId="54B05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vMerge w:val="continue"/>
            <w:vAlign w:val="center"/>
          </w:tcPr>
          <w:p w14:paraId="4648CD44">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2"/>
                <w:szCs w:val="22"/>
                <w:highlight w:val="none"/>
                <w:vertAlign w:val="baseline"/>
                <w:lang w:val="en-US" w:eastAsia="zh-CN"/>
              </w:rPr>
            </w:pPr>
          </w:p>
        </w:tc>
        <w:tc>
          <w:tcPr>
            <w:tcW w:w="1755" w:type="dxa"/>
            <w:vMerge w:val="continue"/>
            <w:vAlign w:val="center"/>
          </w:tcPr>
          <w:p w14:paraId="56B5B25A">
            <w:pPr>
              <w:keepNext w:val="0"/>
              <w:keepLines w:val="0"/>
              <w:pageBreakBefore w:val="0"/>
              <w:widowControl w:val="0"/>
              <w:kinsoku/>
              <w:wordWrap/>
              <w:overflowPunct/>
              <w:topLinePunct w:val="0"/>
              <w:autoSpaceDE/>
              <w:autoSpaceDN/>
              <w:bidi w:val="0"/>
              <w:adjustRightInd/>
              <w:snapToGrid/>
              <w:spacing w:line="460" w:lineRule="exact"/>
              <w:ind w:left="-50" w:leftChars="0"/>
              <w:jc w:val="center"/>
              <w:textAlignment w:val="auto"/>
              <w:rPr>
                <w:rFonts w:hint="eastAsia" w:ascii="宋体" w:hAnsi="宋体" w:eastAsia="宋体" w:cs="宋体"/>
                <w:color w:val="auto"/>
                <w:sz w:val="22"/>
                <w:szCs w:val="22"/>
                <w:highlight w:val="none"/>
              </w:rPr>
            </w:pPr>
          </w:p>
        </w:tc>
        <w:tc>
          <w:tcPr>
            <w:tcW w:w="6433" w:type="dxa"/>
            <w:vAlign w:val="top"/>
          </w:tcPr>
          <w:p w14:paraId="47A61EAC">
            <w:pPr>
              <w:keepNext w:val="0"/>
              <w:keepLines w:val="0"/>
              <w:pageBreakBefore w:val="0"/>
              <w:kinsoku/>
              <w:wordWrap/>
              <w:overflowPunct/>
              <w:topLinePunct w:val="0"/>
              <w:autoSpaceDE/>
              <w:autoSpaceDN/>
              <w:bidi w:val="0"/>
              <w:snapToGrid/>
              <w:spacing w:line="460" w:lineRule="exact"/>
              <w:ind w:left="-50" w:left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根据投标货物食品安全</w:t>
            </w:r>
            <w:r>
              <w:rPr>
                <w:rFonts w:hint="eastAsia" w:ascii="宋体" w:hAnsi="宋体" w:cs="宋体"/>
                <w:color w:val="auto"/>
                <w:sz w:val="22"/>
                <w:szCs w:val="22"/>
                <w:highlight w:val="none"/>
                <w:lang w:val="en-US" w:eastAsia="zh-CN"/>
              </w:rPr>
              <w:t>保障</w:t>
            </w:r>
            <w:r>
              <w:rPr>
                <w:rFonts w:hint="eastAsia" w:ascii="宋体" w:hAnsi="宋体" w:eastAsia="宋体" w:cs="宋体"/>
                <w:color w:val="auto"/>
                <w:sz w:val="22"/>
                <w:szCs w:val="22"/>
                <w:highlight w:val="none"/>
              </w:rPr>
              <w:t>措施等进行评分</w:t>
            </w:r>
            <w:r>
              <w:rPr>
                <w:rFonts w:hint="eastAsia" w:ascii="宋体" w:hAnsi="宋体" w:eastAsia="宋体" w:cs="宋体"/>
                <w:bCs/>
                <w:color w:val="auto"/>
                <w:sz w:val="22"/>
                <w:szCs w:val="22"/>
                <w:highlight w:val="none"/>
                <w:lang w:eastAsia="zh-CN"/>
              </w:rPr>
              <w:t>（</w:t>
            </w:r>
            <w:r>
              <w:rPr>
                <w:rFonts w:hint="eastAsia" w:ascii="宋体" w:hAnsi="宋体" w:eastAsia="宋体" w:cs="宋体"/>
                <w:bCs/>
                <w:color w:val="auto"/>
                <w:sz w:val="22"/>
                <w:szCs w:val="22"/>
                <w:highlight w:val="none"/>
                <w:lang w:val="en-US" w:eastAsia="zh-CN"/>
              </w:rPr>
              <w:t>评分范围：5,4,3,2,1,0分</w:t>
            </w:r>
            <w:r>
              <w:rPr>
                <w:rFonts w:hint="eastAsia" w:ascii="宋体" w:hAnsi="宋体" w:eastAsia="宋体" w:cs="宋体"/>
                <w:bCs/>
                <w:color w:val="auto"/>
                <w:sz w:val="22"/>
                <w:szCs w:val="22"/>
                <w:highlight w:val="none"/>
                <w:lang w:eastAsia="zh-CN"/>
              </w:rPr>
              <w:t>）。</w:t>
            </w:r>
          </w:p>
        </w:tc>
        <w:tc>
          <w:tcPr>
            <w:tcW w:w="870" w:type="dxa"/>
            <w:vAlign w:val="center"/>
          </w:tcPr>
          <w:p w14:paraId="5F08BC45">
            <w:pPr>
              <w:pStyle w:val="22"/>
              <w:keepNext w:val="0"/>
              <w:keepLines w:val="0"/>
              <w:pageBreakBefore w:val="0"/>
              <w:kinsoku/>
              <w:wordWrap/>
              <w:overflowPunct/>
              <w:topLinePunct w:val="0"/>
              <w:autoSpaceDE/>
              <w:autoSpaceDN/>
              <w:bidi w:val="0"/>
              <w:snapToGrid/>
              <w:spacing w:line="460" w:lineRule="exact"/>
              <w:ind w:left="440" w:leftChars="0" w:hanging="440" w:hangingChars="200"/>
              <w:jc w:val="center"/>
              <w:rPr>
                <w:rFonts w:hint="default" w:ascii="宋体" w:hAnsi="宋体" w:eastAsia="宋体" w:cs="宋体"/>
                <w:b w:val="0"/>
                <w:bCs/>
                <w:color w:val="auto"/>
                <w:kern w:val="2"/>
                <w:sz w:val="22"/>
                <w:szCs w:val="22"/>
                <w:highlight w:val="none"/>
                <w:vertAlign w:val="baseline"/>
                <w:lang w:val="en-US" w:eastAsia="zh-CN" w:bidi="ar-SA"/>
              </w:rPr>
            </w:pPr>
            <w:r>
              <w:rPr>
                <w:rFonts w:hint="eastAsia" w:ascii="宋体" w:hAnsi="宋体" w:cs="宋体"/>
                <w:b w:val="0"/>
                <w:bCs/>
                <w:color w:val="auto"/>
                <w:kern w:val="2"/>
                <w:sz w:val="22"/>
                <w:szCs w:val="22"/>
                <w:highlight w:val="none"/>
                <w:vertAlign w:val="baseline"/>
                <w:lang w:val="en-US" w:eastAsia="zh-CN" w:bidi="ar-SA"/>
              </w:rPr>
              <w:t>5</w:t>
            </w:r>
          </w:p>
        </w:tc>
      </w:tr>
      <w:tr w14:paraId="2AD8D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vMerge w:val="restart"/>
            <w:vAlign w:val="center"/>
          </w:tcPr>
          <w:p w14:paraId="6469E14F">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2"/>
                <w:szCs w:val="22"/>
                <w:highlight w:val="none"/>
                <w:vertAlign w:val="baseline"/>
                <w:lang w:val="en-US" w:eastAsia="zh-CN"/>
              </w:rPr>
            </w:pPr>
            <w:r>
              <w:rPr>
                <w:rFonts w:hint="eastAsia" w:ascii="宋体" w:hAnsi="宋体" w:eastAsia="宋体" w:cs="宋体"/>
                <w:color w:val="auto"/>
                <w:sz w:val="22"/>
                <w:szCs w:val="22"/>
                <w:highlight w:val="none"/>
                <w:vertAlign w:val="baseline"/>
                <w:lang w:val="en-US" w:eastAsia="zh-CN"/>
              </w:rPr>
              <w:t>6</w:t>
            </w:r>
          </w:p>
        </w:tc>
        <w:tc>
          <w:tcPr>
            <w:tcW w:w="1755" w:type="dxa"/>
            <w:vMerge w:val="restart"/>
            <w:vAlign w:val="center"/>
          </w:tcPr>
          <w:p w14:paraId="41F5D52F">
            <w:pPr>
              <w:keepNext w:val="0"/>
              <w:keepLines w:val="0"/>
              <w:pageBreakBefore w:val="0"/>
              <w:widowControl w:val="0"/>
              <w:kinsoku/>
              <w:wordWrap/>
              <w:overflowPunct/>
              <w:topLinePunct w:val="0"/>
              <w:autoSpaceDE/>
              <w:autoSpaceDN/>
              <w:bidi w:val="0"/>
              <w:adjustRightInd/>
              <w:snapToGrid/>
              <w:spacing w:line="460" w:lineRule="exact"/>
              <w:ind w:left="-50" w:leftChars="0"/>
              <w:jc w:val="center"/>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配送方案</w:t>
            </w:r>
          </w:p>
        </w:tc>
        <w:tc>
          <w:tcPr>
            <w:tcW w:w="6433" w:type="dxa"/>
            <w:vAlign w:val="top"/>
          </w:tcPr>
          <w:p w14:paraId="1D04944C">
            <w:pPr>
              <w:keepNext w:val="0"/>
              <w:keepLines w:val="0"/>
              <w:pageBreakBefore w:val="0"/>
              <w:kinsoku/>
              <w:wordWrap/>
              <w:overflowPunct/>
              <w:topLinePunct w:val="0"/>
              <w:autoSpaceDE/>
              <w:autoSpaceDN/>
              <w:bidi w:val="0"/>
              <w:snapToGrid/>
              <w:spacing w:line="460" w:lineRule="exact"/>
              <w:ind w:left="-50" w:leftChars="0"/>
              <w:rPr>
                <w:rFonts w:hint="eastAsia" w:ascii="宋体" w:hAnsi="宋体" w:eastAsia="宋体" w:cs="宋体"/>
                <w:b w:val="0"/>
                <w:bCs/>
                <w:color w:val="auto"/>
                <w:kern w:val="0"/>
                <w:sz w:val="22"/>
                <w:szCs w:val="22"/>
                <w:highlight w:val="none"/>
                <w:lang w:val="en-US" w:eastAsia="zh-CN" w:bidi="ar-SA"/>
              </w:rPr>
            </w:pPr>
            <w:r>
              <w:rPr>
                <w:rFonts w:hint="eastAsia" w:ascii="宋体" w:hAnsi="宋体" w:eastAsia="宋体" w:cs="宋体"/>
                <w:color w:val="auto"/>
                <w:sz w:val="22"/>
                <w:szCs w:val="22"/>
                <w:highlight w:val="none"/>
              </w:rPr>
              <w:t>根据</w:t>
            </w:r>
            <w:r>
              <w:rPr>
                <w:rFonts w:hint="eastAsia" w:ascii="宋体" w:hAnsi="宋体" w:eastAsia="宋体" w:cs="宋体"/>
                <w:color w:val="auto"/>
                <w:sz w:val="22"/>
                <w:szCs w:val="22"/>
                <w:highlight w:val="none"/>
                <w:lang w:val="en-US" w:eastAsia="zh-CN"/>
              </w:rPr>
              <w:t>投标人的</w:t>
            </w:r>
            <w:r>
              <w:rPr>
                <w:rFonts w:hint="eastAsia" w:ascii="宋体" w:hAnsi="宋体" w:eastAsia="宋体" w:cs="宋体"/>
                <w:color w:val="auto"/>
                <w:sz w:val="22"/>
                <w:szCs w:val="22"/>
                <w:highlight w:val="none"/>
              </w:rPr>
              <w:t>供货配送的设备</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lang w:val="en-US" w:eastAsia="zh-CN"/>
              </w:rPr>
              <w:t>车辆</w:t>
            </w:r>
            <w:r>
              <w:rPr>
                <w:rFonts w:hint="eastAsia" w:ascii="宋体" w:hAnsi="宋体" w:eastAsia="宋体" w:cs="宋体"/>
                <w:color w:val="auto"/>
                <w:sz w:val="22"/>
                <w:szCs w:val="22"/>
                <w:highlight w:val="none"/>
              </w:rPr>
              <w:t>配置</w:t>
            </w:r>
            <w:r>
              <w:rPr>
                <w:rFonts w:hint="eastAsia" w:ascii="宋体" w:hAnsi="宋体" w:eastAsia="宋体" w:cs="宋体"/>
                <w:color w:val="auto"/>
                <w:sz w:val="22"/>
                <w:szCs w:val="22"/>
                <w:highlight w:val="none"/>
                <w:lang w:val="en-US" w:eastAsia="zh-CN"/>
              </w:rPr>
              <w:t>是否科学、合理，是否与本项目</w:t>
            </w:r>
            <w:r>
              <w:rPr>
                <w:rFonts w:hint="eastAsia" w:ascii="宋体" w:hAnsi="宋体" w:eastAsia="宋体" w:cs="宋体"/>
                <w:color w:val="auto"/>
                <w:sz w:val="22"/>
                <w:szCs w:val="22"/>
                <w:highlight w:val="none"/>
              </w:rPr>
              <w:t>服务相适应</w:t>
            </w:r>
            <w:r>
              <w:rPr>
                <w:rFonts w:hint="eastAsia" w:ascii="宋体" w:hAnsi="宋体" w:eastAsia="宋体" w:cs="宋体"/>
                <w:color w:val="auto"/>
                <w:sz w:val="22"/>
                <w:szCs w:val="22"/>
                <w:highlight w:val="none"/>
                <w:lang w:val="en-US" w:eastAsia="zh-CN"/>
              </w:rPr>
              <w:t>进行打分</w:t>
            </w:r>
            <w:r>
              <w:rPr>
                <w:rFonts w:hint="eastAsia" w:ascii="宋体" w:hAnsi="宋体" w:eastAsia="宋体" w:cs="宋体"/>
                <w:bCs/>
                <w:color w:val="auto"/>
                <w:sz w:val="22"/>
                <w:szCs w:val="22"/>
                <w:highlight w:val="none"/>
                <w:lang w:eastAsia="zh-CN"/>
              </w:rPr>
              <w:t>（</w:t>
            </w:r>
            <w:r>
              <w:rPr>
                <w:rFonts w:hint="eastAsia" w:ascii="宋体" w:hAnsi="宋体" w:eastAsia="宋体" w:cs="宋体"/>
                <w:bCs/>
                <w:color w:val="auto"/>
                <w:sz w:val="22"/>
                <w:szCs w:val="22"/>
                <w:highlight w:val="none"/>
                <w:lang w:val="en-US" w:eastAsia="zh-CN"/>
              </w:rPr>
              <w:t>评分范围：4,3,2,1,0分</w:t>
            </w:r>
            <w:r>
              <w:rPr>
                <w:rFonts w:hint="eastAsia" w:ascii="宋体" w:hAnsi="宋体" w:eastAsia="宋体" w:cs="宋体"/>
                <w:bCs/>
                <w:color w:val="auto"/>
                <w:sz w:val="22"/>
                <w:szCs w:val="22"/>
                <w:highlight w:val="none"/>
                <w:lang w:eastAsia="zh-CN"/>
              </w:rPr>
              <w:t>）。</w:t>
            </w:r>
          </w:p>
        </w:tc>
        <w:tc>
          <w:tcPr>
            <w:tcW w:w="870" w:type="dxa"/>
            <w:vAlign w:val="center"/>
          </w:tcPr>
          <w:p w14:paraId="490BC4AE">
            <w:pPr>
              <w:pStyle w:val="22"/>
              <w:keepNext w:val="0"/>
              <w:keepLines w:val="0"/>
              <w:pageBreakBefore w:val="0"/>
              <w:kinsoku/>
              <w:wordWrap/>
              <w:overflowPunct/>
              <w:topLinePunct w:val="0"/>
              <w:autoSpaceDE/>
              <w:autoSpaceDN/>
              <w:bidi w:val="0"/>
              <w:snapToGrid/>
              <w:spacing w:line="460" w:lineRule="exact"/>
              <w:ind w:left="440" w:leftChars="0" w:hanging="440" w:hangingChars="200"/>
              <w:jc w:val="center"/>
              <w:rPr>
                <w:rFonts w:hint="eastAsia" w:ascii="宋体" w:hAnsi="宋体" w:eastAsia="宋体" w:cs="宋体"/>
                <w:b w:val="0"/>
                <w:bCs/>
                <w:color w:val="auto"/>
                <w:kern w:val="2"/>
                <w:sz w:val="22"/>
                <w:szCs w:val="22"/>
                <w:highlight w:val="none"/>
                <w:vertAlign w:val="baseline"/>
                <w:lang w:val="en-US" w:eastAsia="zh-CN" w:bidi="ar-SA"/>
              </w:rPr>
            </w:pPr>
            <w:r>
              <w:rPr>
                <w:rFonts w:hint="eastAsia" w:ascii="宋体" w:hAnsi="宋体" w:cs="宋体"/>
                <w:b w:val="0"/>
                <w:bCs/>
                <w:color w:val="auto"/>
                <w:kern w:val="2"/>
                <w:sz w:val="22"/>
                <w:szCs w:val="22"/>
                <w:highlight w:val="none"/>
                <w:vertAlign w:val="baseline"/>
                <w:lang w:val="en-US" w:eastAsia="zh-CN" w:bidi="ar-SA"/>
              </w:rPr>
              <w:t>4</w:t>
            </w:r>
          </w:p>
        </w:tc>
      </w:tr>
      <w:tr w14:paraId="11033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vMerge w:val="continue"/>
            <w:vAlign w:val="center"/>
          </w:tcPr>
          <w:p w14:paraId="14F1A03C">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2"/>
                <w:szCs w:val="22"/>
                <w:highlight w:val="none"/>
                <w:vertAlign w:val="baseline"/>
                <w:lang w:val="en-US" w:eastAsia="zh-CN"/>
              </w:rPr>
            </w:pPr>
          </w:p>
        </w:tc>
        <w:tc>
          <w:tcPr>
            <w:tcW w:w="1755" w:type="dxa"/>
            <w:vMerge w:val="continue"/>
            <w:vAlign w:val="center"/>
          </w:tcPr>
          <w:p w14:paraId="0F0C3D64">
            <w:pPr>
              <w:keepNext w:val="0"/>
              <w:keepLines w:val="0"/>
              <w:pageBreakBefore w:val="0"/>
              <w:widowControl w:val="0"/>
              <w:kinsoku/>
              <w:wordWrap/>
              <w:overflowPunct/>
              <w:topLinePunct w:val="0"/>
              <w:autoSpaceDE/>
              <w:autoSpaceDN/>
              <w:bidi w:val="0"/>
              <w:adjustRightInd/>
              <w:snapToGrid/>
              <w:spacing w:line="460" w:lineRule="exact"/>
              <w:ind w:left="-50" w:leftChars="0"/>
              <w:jc w:val="center"/>
              <w:textAlignment w:val="auto"/>
              <w:rPr>
                <w:rFonts w:hint="eastAsia" w:ascii="宋体" w:hAnsi="宋体" w:eastAsia="宋体" w:cs="宋体"/>
                <w:color w:val="auto"/>
                <w:sz w:val="22"/>
                <w:szCs w:val="22"/>
                <w:highlight w:val="none"/>
              </w:rPr>
            </w:pPr>
          </w:p>
        </w:tc>
        <w:tc>
          <w:tcPr>
            <w:tcW w:w="6433" w:type="dxa"/>
            <w:vAlign w:val="top"/>
          </w:tcPr>
          <w:p w14:paraId="728B83AE">
            <w:pPr>
              <w:keepNext w:val="0"/>
              <w:keepLines w:val="0"/>
              <w:pageBreakBefore w:val="0"/>
              <w:kinsoku/>
              <w:wordWrap/>
              <w:overflowPunct/>
              <w:topLinePunct w:val="0"/>
              <w:autoSpaceDE/>
              <w:autoSpaceDN/>
              <w:bidi w:val="0"/>
              <w:snapToGrid/>
              <w:spacing w:line="460" w:lineRule="exact"/>
              <w:ind w:left="-50" w:leftChars="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根据</w:t>
            </w:r>
            <w:r>
              <w:rPr>
                <w:rFonts w:hint="eastAsia" w:ascii="宋体" w:hAnsi="宋体" w:eastAsia="宋体" w:cs="宋体"/>
                <w:color w:val="auto"/>
                <w:sz w:val="22"/>
                <w:szCs w:val="22"/>
                <w:highlight w:val="none"/>
                <w:lang w:val="en-US" w:eastAsia="zh-CN"/>
              </w:rPr>
              <w:t>投标人的</w:t>
            </w:r>
            <w:r>
              <w:rPr>
                <w:rFonts w:hint="eastAsia" w:ascii="宋体" w:hAnsi="宋体" w:eastAsia="宋体" w:cs="宋体"/>
                <w:color w:val="auto"/>
                <w:sz w:val="22"/>
                <w:szCs w:val="22"/>
                <w:highlight w:val="none"/>
              </w:rPr>
              <w:t>供货配送人员配备</w:t>
            </w:r>
            <w:r>
              <w:rPr>
                <w:rFonts w:hint="eastAsia" w:ascii="宋体" w:hAnsi="宋体" w:eastAsia="宋体" w:cs="宋体"/>
                <w:color w:val="auto"/>
                <w:sz w:val="22"/>
                <w:szCs w:val="22"/>
                <w:highlight w:val="none"/>
                <w:lang w:val="en-US" w:eastAsia="zh-CN"/>
              </w:rPr>
              <w:t>是否科学、合理，是否与本项目</w:t>
            </w:r>
            <w:r>
              <w:rPr>
                <w:rFonts w:hint="eastAsia" w:ascii="宋体" w:hAnsi="宋体" w:eastAsia="宋体" w:cs="宋体"/>
                <w:color w:val="auto"/>
                <w:sz w:val="22"/>
                <w:szCs w:val="22"/>
                <w:highlight w:val="none"/>
              </w:rPr>
              <w:t>服务相适应</w:t>
            </w:r>
            <w:r>
              <w:rPr>
                <w:rFonts w:hint="eastAsia" w:ascii="宋体" w:hAnsi="宋体" w:eastAsia="宋体" w:cs="宋体"/>
                <w:color w:val="auto"/>
                <w:sz w:val="22"/>
                <w:szCs w:val="22"/>
                <w:highlight w:val="none"/>
                <w:lang w:val="en-US" w:eastAsia="zh-CN"/>
              </w:rPr>
              <w:t>进行打分</w:t>
            </w:r>
            <w:r>
              <w:rPr>
                <w:rFonts w:hint="eastAsia" w:ascii="宋体" w:hAnsi="宋体" w:eastAsia="宋体" w:cs="宋体"/>
                <w:bCs/>
                <w:color w:val="auto"/>
                <w:sz w:val="22"/>
                <w:szCs w:val="22"/>
                <w:highlight w:val="none"/>
                <w:lang w:eastAsia="zh-CN"/>
              </w:rPr>
              <w:t>（</w:t>
            </w:r>
            <w:r>
              <w:rPr>
                <w:rFonts w:hint="eastAsia" w:ascii="宋体" w:hAnsi="宋体" w:eastAsia="宋体" w:cs="宋体"/>
                <w:bCs/>
                <w:color w:val="auto"/>
                <w:sz w:val="22"/>
                <w:szCs w:val="22"/>
                <w:highlight w:val="none"/>
                <w:lang w:val="en-US" w:eastAsia="zh-CN"/>
              </w:rPr>
              <w:t>评分范围：4,3,2,1,0分</w:t>
            </w:r>
            <w:r>
              <w:rPr>
                <w:rFonts w:hint="eastAsia" w:ascii="宋体" w:hAnsi="宋体" w:eastAsia="宋体" w:cs="宋体"/>
                <w:bCs/>
                <w:color w:val="auto"/>
                <w:sz w:val="22"/>
                <w:szCs w:val="22"/>
                <w:highlight w:val="none"/>
                <w:lang w:eastAsia="zh-CN"/>
              </w:rPr>
              <w:t>）。</w:t>
            </w:r>
          </w:p>
        </w:tc>
        <w:tc>
          <w:tcPr>
            <w:tcW w:w="870" w:type="dxa"/>
            <w:vAlign w:val="center"/>
          </w:tcPr>
          <w:p w14:paraId="71EE002B">
            <w:pPr>
              <w:pStyle w:val="22"/>
              <w:keepNext w:val="0"/>
              <w:keepLines w:val="0"/>
              <w:pageBreakBefore w:val="0"/>
              <w:kinsoku/>
              <w:wordWrap/>
              <w:overflowPunct/>
              <w:topLinePunct w:val="0"/>
              <w:autoSpaceDE/>
              <w:autoSpaceDN/>
              <w:bidi w:val="0"/>
              <w:snapToGrid/>
              <w:spacing w:line="460" w:lineRule="exact"/>
              <w:ind w:left="440" w:leftChars="0" w:hanging="440" w:hangingChars="200"/>
              <w:jc w:val="center"/>
              <w:rPr>
                <w:rFonts w:hint="default" w:ascii="宋体" w:hAnsi="宋体" w:eastAsia="宋体" w:cs="宋体"/>
                <w:b w:val="0"/>
                <w:bCs/>
                <w:color w:val="auto"/>
                <w:kern w:val="2"/>
                <w:sz w:val="22"/>
                <w:szCs w:val="22"/>
                <w:highlight w:val="none"/>
                <w:vertAlign w:val="baseline"/>
                <w:lang w:val="en-US" w:eastAsia="zh-CN" w:bidi="ar-SA"/>
              </w:rPr>
            </w:pPr>
            <w:r>
              <w:rPr>
                <w:rFonts w:hint="eastAsia" w:ascii="宋体" w:hAnsi="宋体" w:cs="宋体"/>
                <w:b w:val="0"/>
                <w:bCs/>
                <w:color w:val="auto"/>
                <w:kern w:val="2"/>
                <w:sz w:val="22"/>
                <w:szCs w:val="22"/>
                <w:highlight w:val="none"/>
                <w:vertAlign w:val="baseline"/>
                <w:lang w:val="en-US" w:eastAsia="zh-CN" w:bidi="ar-SA"/>
              </w:rPr>
              <w:t>4</w:t>
            </w:r>
          </w:p>
        </w:tc>
      </w:tr>
      <w:tr w14:paraId="69A5A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vMerge w:val="continue"/>
            <w:vAlign w:val="center"/>
          </w:tcPr>
          <w:p w14:paraId="44F2BE0B">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2"/>
                <w:szCs w:val="22"/>
                <w:highlight w:val="none"/>
                <w:vertAlign w:val="baseline"/>
                <w:lang w:val="en-US" w:eastAsia="zh-CN"/>
              </w:rPr>
            </w:pPr>
          </w:p>
        </w:tc>
        <w:tc>
          <w:tcPr>
            <w:tcW w:w="1755" w:type="dxa"/>
            <w:vMerge w:val="continue"/>
            <w:vAlign w:val="center"/>
          </w:tcPr>
          <w:p w14:paraId="0DBA6442">
            <w:pPr>
              <w:keepNext w:val="0"/>
              <w:keepLines w:val="0"/>
              <w:pageBreakBefore w:val="0"/>
              <w:widowControl w:val="0"/>
              <w:kinsoku/>
              <w:wordWrap/>
              <w:overflowPunct/>
              <w:topLinePunct w:val="0"/>
              <w:autoSpaceDE/>
              <w:autoSpaceDN/>
              <w:bidi w:val="0"/>
              <w:adjustRightInd/>
              <w:snapToGrid/>
              <w:spacing w:line="460" w:lineRule="exact"/>
              <w:ind w:left="-50" w:leftChars="0"/>
              <w:jc w:val="center"/>
              <w:textAlignment w:val="auto"/>
              <w:rPr>
                <w:rFonts w:hint="eastAsia" w:ascii="宋体" w:hAnsi="宋体" w:eastAsia="宋体" w:cs="宋体"/>
                <w:color w:val="auto"/>
                <w:sz w:val="22"/>
                <w:szCs w:val="22"/>
                <w:highlight w:val="none"/>
              </w:rPr>
            </w:pPr>
          </w:p>
        </w:tc>
        <w:tc>
          <w:tcPr>
            <w:tcW w:w="6433" w:type="dxa"/>
            <w:vAlign w:val="top"/>
          </w:tcPr>
          <w:p w14:paraId="432B6EBE">
            <w:pPr>
              <w:keepNext w:val="0"/>
              <w:keepLines w:val="0"/>
              <w:pageBreakBefore w:val="0"/>
              <w:kinsoku/>
              <w:wordWrap/>
              <w:overflowPunct/>
              <w:topLinePunct w:val="0"/>
              <w:autoSpaceDE/>
              <w:autoSpaceDN/>
              <w:bidi w:val="0"/>
              <w:snapToGrid/>
              <w:spacing w:line="460" w:lineRule="exact"/>
              <w:ind w:left="-50" w:leftChars="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根据</w:t>
            </w:r>
            <w:r>
              <w:rPr>
                <w:rFonts w:hint="eastAsia" w:ascii="宋体" w:hAnsi="宋体" w:eastAsia="宋体" w:cs="宋体"/>
                <w:color w:val="auto"/>
                <w:sz w:val="22"/>
                <w:szCs w:val="22"/>
                <w:highlight w:val="none"/>
                <w:lang w:val="en-US" w:eastAsia="zh-CN"/>
              </w:rPr>
              <w:t>投标人的配送</w:t>
            </w:r>
            <w:r>
              <w:rPr>
                <w:rFonts w:hint="eastAsia" w:ascii="宋体" w:hAnsi="宋体" w:cs="宋体"/>
                <w:color w:val="auto"/>
                <w:sz w:val="22"/>
                <w:szCs w:val="22"/>
                <w:highlight w:val="none"/>
                <w:lang w:val="en-US" w:eastAsia="zh-CN"/>
              </w:rPr>
              <w:t>流程、配送节点</w:t>
            </w:r>
            <w:r>
              <w:rPr>
                <w:rFonts w:hint="eastAsia" w:ascii="宋体" w:hAnsi="宋体" w:eastAsia="宋体" w:cs="宋体"/>
                <w:color w:val="auto"/>
                <w:sz w:val="22"/>
                <w:szCs w:val="22"/>
                <w:highlight w:val="none"/>
                <w:lang w:val="en-US" w:eastAsia="zh-CN"/>
              </w:rPr>
              <w:t>方案等是否科学、合理，是否与本项目</w:t>
            </w:r>
            <w:r>
              <w:rPr>
                <w:rFonts w:hint="eastAsia" w:ascii="宋体" w:hAnsi="宋体" w:eastAsia="宋体" w:cs="宋体"/>
                <w:color w:val="auto"/>
                <w:sz w:val="22"/>
                <w:szCs w:val="22"/>
                <w:highlight w:val="none"/>
              </w:rPr>
              <w:t>服务相适应</w:t>
            </w:r>
            <w:r>
              <w:rPr>
                <w:rFonts w:hint="eastAsia" w:ascii="宋体" w:hAnsi="宋体" w:eastAsia="宋体" w:cs="宋体"/>
                <w:color w:val="auto"/>
                <w:sz w:val="22"/>
                <w:szCs w:val="22"/>
                <w:highlight w:val="none"/>
                <w:lang w:val="en-US" w:eastAsia="zh-CN"/>
              </w:rPr>
              <w:t>进行打分</w:t>
            </w:r>
            <w:r>
              <w:rPr>
                <w:rFonts w:hint="eastAsia" w:ascii="宋体" w:hAnsi="宋体" w:eastAsia="宋体" w:cs="宋体"/>
                <w:bCs/>
                <w:color w:val="auto"/>
                <w:sz w:val="22"/>
                <w:szCs w:val="22"/>
                <w:highlight w:val="none"/>
                <w:lang w:eastAsia="zh-CN"/>
              </w:rPr>
              <w:t>（</w:t>
            </w:r>
            <w:r>
              <w:rPr>
                <w:rFonts w:hint="eastAsia" w:ascii="宋体" w:hAnsi="宋体" w:eastAsia="宋体" w:cs="宋体"/>
                <w:bCs/>
                <w:color w:val="auto"/>
                <w:sz w:val="22"/>
                <w:szCs w:val="22"/>
                <w:highlight w:val="none"/>
                <w:lang w:val="en-US" w:eastAsia="zh-CN"/>
              </w:rPr>
              <w:t>评分范围：4,3,2,1,0分</w:t>
            </w:r>
            <w:r>
              <w:rPr>
                <w:rFonts w:hint="eastAsia" w:ascii="宋体" w:hAnsi="宋体" w:eastAsia="宋体" w:cs="宋体"/>
                <w:bCs/>
                <w:color w:val="auto"/>
                <w:sz w:val="22"/>
                <w:szCs w:val="22"/>
                <w:highlight w:val="none"/>
                <w:lang w:eastAsia="zh-CN"/>
              </w:rPr>
              <w:t>）。</w:t>
            </w:r>
          </w:p>
        </w:tc>
        <w:tc>
          <w:tcPr>
            <w:tcW w:w="870" w:type="dxa"/>
            <w:vAlign w:val="center"/>
          </w:tcPr>
          <w:p w14:paraId="7418FD5D">
            <w:pPr>
              <w:pStyle w:val="22"/>
              <w:keepNext w:val="0"/>
              <w:keepLines w:val="0"/>
              <w:pageBreakBefore w:val="0"/>
              <w:kinsoku/>
              <w:wordWrap/>
              <w:overflowPunct/>
              <w:topLinePunct w:val="0"/>
              <w:autoSpaceDE/>
              <w:autoSpaceDN/>
              <w:bidi w:val="0"/>
              <w:snapToGrid/>
              <w:spacing w:line="460" w:lineRule="exact"/>
              <w:ind w:left="440" w:leftChars="0" w:hanging="440" w:hangingChars="200"/>
              <w:jc w:val="center"/>
              <w:rPr>
                <w:rFonts w:hint="default" w:ascii="宋体" w:hAnsi="宋体" w:eastAsia="宋体" w:cs="宋体"/>
                <w:b w:val="0"/>
                <w:bCs/>
                <w:color w:val="auto"/>
                <w:kern w:val="2"/>
                <w:sz w:val="22"/>
                <w:szCs w:val="22"/>
                <w:highlight w:val="none"/>
                <w:vertAlign w:val="baseline"/>
                <w:lang w:val="en-US" w:eastAsia="zh-CN" w:bidi="ar-SA"/>
              </w:rPr>
            </w:pPr>
            <w:r>
              <w:rPr>
                <w:rFonts w:hint="eastAsia" w:ascii="宋体" w:hAnsi="宋体" w:cs="宋体"/>
                <w:b w:val="0"/>
                <w:bCs/>
                <w:color w:val="auto"/>
                <w:kern w:val="2"/>
                <w:sz w:val="22"/>
                <w:szCs w:val="22"/>
                <w:highlight w:val="none"/>
                <w:vertAlign w:val="baseline"/>
                <w:lang w:val="en-US" w:eastAsia="zh-CN" w:bidi="ar-SA"/>
              </w:rPr>
              <w:t>4</w:t>
            </w:r>
          </w:p>
        </w:tc>
      </w:tr>
      <w:tr w14:paraId="420A7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vAlign w:val="center"/>
          </w:tcPr>
          <w:p w14:paraId="4382AC1F">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2"/>
                <w:szCs w:val="22"/>
                <w:highlight w:val="none"/>
                <w:vertAlign w:val="baseline"/>
                <w:lang w:val="en-US" w:eastAsia="zh-CN"/>
              </w:rPr>
            </w:pPr>
            <w:r>
              <w:rPr>
                <w:rFonts w:hint="eastAsia" w:ascii="宋体" w:hAnsi="宋体" w:eastAsia="宋体" w:cs="宋体"/>
                <w:color w:val="auto"/>
                <w:sz w:val="22"/>
                <w:szCs w:val="22"/>
                <w:highlight w:val="none"/>
                <w:vertAlign w:val="baseline"/>
                <w:lang w:val="en-US" w:eastAsia="zh-CN"/>
              </w:rPr>
              <w:t>7</w:t>
            </w:r>
          </w:p>
        </w:tc>
        <w:tc>
          <w:tcPr>
            <w:tcW w:w="1755" w:type="dxa"/>
            <w:vAlign w:val="center"/>
          </w:tcPr>
          <w:p w14:paraId="7E9DB48A">
            <w:pPr>
              <w:keepNext w:val="0"/>
              <w:keepLines w:val="0"/>
              <w:pageBreakBefore w:val="0"/>
              <w:widowControl w:val="0"/>
              <w:kinsoku/>
              <w:wordWrap/>
              <w:overflowPunct/>
              <w:topLinePunct w:val="0"/>
              <w:autoSpaceDE/>
              <w:autoSpaceDN/>
              <w:bidi w:val="0"/>
              <w:adjustRightInd/>
              <w:snapToGrid/>
              <w:spacing w:line="460" w:lineRule="exact"/>
              <w:ind w:left="-50" w:leftChars="0"/>
              <w:jc w:val="center"/>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应急方案和承诺</w:t>
            </w:r>
          </w:p>
        </w:tc>
        <w:tc>
          <w:tcPr>
            <w:tcW w:w="6433" w:type="dxa"/>
            <w:vAlign w:val="top"/>
          </w:tcPr>
          <w:p w14:paraId="15754CCB">
            <w:pPr>
              <w:keepNext w:val="0"/>
              <w:keepLines w:val="0"/>
              <w:pageBreakBefore w:val="0"/>
              <w:kinsoku/>
              <w:wordWrap/>
              <w:overflowPunct/>
              <w:topLinePunct w:val="0"/>
              <w:autoSpaceDE/>
              <w:autoSpaceDN/>
              <w:bidi w:val="0"/>
              <w:snapToGrid/>
              <w:spacing w:line="460" w:lineRule="exact"/>
              <w:ind w:left="-50" w:leftChars="0"/>
              <w:rPr>
                <w:rFonts w:hint="eastAsia" w:ascii="宋体" w:hAnsi="宋体" w:eastAsia="宋体" w:cs="宋体"/>
                <w:b w:val="0"/>
                <w:bCs/>
                <w:snapToGrid w:val="0"/>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根据</w:t>
            </w:r>
            <w:r>
              <w:rPr>
                <w:rFonts w:hint="eastAsia" w:ascii="宋体" w:hAnsi="宋体" w:eastAsia="宋体" w:cs="宋体"/>
                <w:color w:val="auto"/>
                <w:sz w:val="22"/>
                <w:szCs w:val="22"/>
                <w:highlight w:val="none"/>
              </w:rPr>
              <w:t>投标人在供货过程</w:t>
            </w:r>
            <w:r>
              <w:rPr>
                <w:rFonts w:hint="eastAsia" w:ascii="宋体" w:hAnsi="宋体" w:eastAsia="宋体" w:cs="宋体"/>
                <w:color w:val="auto"/>
                <w:sz w:val="22"/>
                <w:szCs w:val="22"/>
                <w:highlight w:val="none"/>
                <w:lang w:val="en-US" w:eastAsia="zh-CN"/>
              </w:rPr>
              <w:t>中如</w:t>
            </w:r>
            <w:r>
              <w:rPr>
                <w:rFonts w:hint="eastAsia" w:ascii="宋体" w:hAnsi="宋体" w:eastAsia="宋体" w:cs="宋体"/>
                <w:color w:val="auto"/>
                <w:sz w:val="22"/>
                <w:szCs w:val="22"/>
                <w:highlight w:val="none"/>
              </w:rPr>
              <w:t>出现供货不足</w:t>
            </w:r>
            <w:r>
              <w:rPr>
                <w:rFonts w:hint="eastAsia" w:ascii="宋体" w:hAnsi="宋体" w:eastAsia="宋体" w:cs="宋体"/>
                <w:color w:val="auto"/>
                <w:sz w:val="22"/>
                <w:szCs w:val="22"/>
                <w:highlight w:val="none"/>
                <w:lang w:val="en-US" w:eastAsia="zh-CN"/>
              </w:rPr>
              <w:t>或产品质量问题</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运输过程</w:t>
            </w:r>
            <w:r>
              <w:rPr>
                <w:rFonts w:hint="eastAsia" w:ascii="宋体" w:hAnsi="宋体" w:eastAsia="宋体" w:cs="宋体"/>
                <w:color w:val="auto"/>
                <w:sz w:val="22"/>
                <w:szCs w:val="22"/>
                <w:highlight w:val="none"/>
                <w:lang w:val="en-US" w:eastAsia="zh-CN"/>
              </w:rPr>
              <w:t>中</w:t>
            </w:r>
            <w:r>
              <w:rPr>
                <w:rFonts w:hint="eastAsia" w:ascii="宋体" w:hAnsi="宋体" w:eastAsia="宋体" w:cs="宋体"/>
                <w:color w:val="auto"/>
                <w:sz w:val="22"/>
                <w:szCs w:val="22"/>
                <w:highlight w:val="none"/>
              </w:rPr>
              <w:t>出现突发性事件等情况作出应急措施</w:t>
            </w:r>
            <w:r>
              <w:rPr>
                <w:rFonts w:hint="eastAsia" w:ascii="宋体" w:hAnsi="宋体" w:eastAsia="宋体" w:cs="宋体"/>
                <w:color w:val="auto"/>
                <w:sz w:val="22"/>
                <w:szCs w:val="22"/>
                <w:highlight w:val="none"/>
                <w:lang w:val="en-US" w:eastAsia="zh-CN"/>
              </w:rPr>
              <w:t>和</w:t>
            </w:r>
            <w:r>
              <w:rPr>
                <w:rFonts w:hint="eastAsia" w:ascii="宋体" w:hAnsi="宋体" w:eastAsia="宋体" w:cs="宋体"/>
                <w:color w:val="auto"/>
                <w:sz w:val="22"/>
                <w:szCs w:val="22"/>
                <w:highlight w:val="none"/>
              </w:rPr>
              <w:t>承诺进行评分</w:t>
            </w:r>
            <w:r>
              <w:rPr>
                <w:rFonts w:hint="eastAsia" w:ascii="宋体" w:hAnsi="宋体" w:eastAsia="宋体" w:cs="宋体"/>
                <w:bCs/>
                <w:color w:val="auto"/>
                <w:sz w:val="22"/>
                <w:szCs w:val="22"/>
                <w:highlight w:val="none"/>
                <w:lang w:eastAsia="zh-CN"/>
              </w:rPr>
              <w:t>（</w:t>
            </w:r>
            <w:r>
              <w:rPr>
                <w:rFonts w:hint="eastAsia" w:ascii="宋体" w:hAnsi="宋体" w:eastAsia="宋体" w:cs="宋体"/>
                <w:bCs/>
                <w:color w:val="auto"/>
                <w:sz w:val="22"/>
                <w:szCs w:val="22"/>
                <w:highlight w:val="none"/>
                <w:lang w:val="en-US" w:eastAsia="zh-CN"/>
              </w:rPr>
              <w:t>评分范围：5,4,3,2,1,0分</w:t>
            </w:r>
            <w:r>
              <w:rPr>
                <w:rFonts w:hint="eastAsia" w:ascii="宋体" w:hAnsi="宋体" w:eastAsia="宋体" w:cs="宋体"/>
                <w:bCs/>
                <w:color w:val="auto"/>
                <w:sz w:val="22"/>
                <w:szCs w:val="22"/>
                <w:highlight w:val="none"/>
                <w:lang w:eastAsia="zh-CN"/>
              </w:rPr>
              <w:t>）</w:t>
            </w:r>
          </w:p>
        </w:tc>
        <w:tc>
          <w:tcPr>
            <w:tcW w:w="870" w:type="dxa"/>
            <w:vAlign w:val="center"/>
          </w:tcPr>
          <w:p w14:paraId="6A149D81">
            <w:pPr>
              <w:pStyle w:val="22"/>
              <w:keepNext w:val="0"/>
              <w:keepLines w:val="0"/>
              <w:pageBreakBefore w:val="0"/>
              <w:kinsoku/>
              <w:wordWrap/>
              <w:overflowPunct/>
              <w:topLinePunct w:val="0"/>
              <w:autoSpaceDE/>
              <w:autoSpaceDN/>
              <w:bidi w:val="0"/>
              <w:snapToGrid/>
              <w:spacing w:line="460" w:lineRule="exact"/>
              <w:ind w:left="440" w:leftChars="0" w:hanging="440" w:hangingChars="200"/>
              <w:jc w:val="center"/>
              <w:rPr>
                <w:rFonts w:hint="eastAsia" w:ascii="宋体" w:hAnsi="宋体" w:eastAsia="宋体" w:cs="宋体"/>
                <w:b w:val="0"/>
                <w:bCs/>
                <w:color w:val="auto"/>
                <w:kern w:val="2"/>
                <w:sz w:val="22"/>
                <w:szCs w:val="22"/>
                <w:highlight w:val="none"/>
                <w:vertAlign w:val="baseline"/>
                <w:lang w:val="en-US" w:eastAsia="zh-CN" w:bidi="ar-SA"/>
              </w:rPr>
            </w:pPr>
            <w:r>
              <w:rPr>
                <w:rFonts w:hint="eastAsia" w:ascii="宋体" w:hAnsi="宋体" w:eastAsia="宋体" w:cs="宋体"/>
                <w:b w:val="0"/>
                <w:bCs/>
                <w:color w:val="auto"/>
                <w:kern w:val="2"/>
                <w:sz w:val="22"/>
                <w:szCs w:val="22"/>
                <w:highlight w:val="none"/>
                <w:vertAlign w:val="baseline"/>
                <w:lang w:val="en-US" w:eastAsia="zh-CN" w:bidi="ar-SA"/>
              </w:rPr>
              <w:t>5</w:t>
            </w:r>
          </w:p>
        </w:tc>
      </w:tr>
      <w:tr w14:paraId="6DF3D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vAlign w:val="center"/>
          </w:tcPr>
          <w:p w14:paraId="1A97DD45">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2"/>
                <w:szCs w:val="22"/>
                <w:highlight w:val="none"/>
                <w:vertAlign w:val="baseline"/>
                <w:lang w:val="en-US" w:eastAsia="zh-CN"/>
              </w:rPr>
            </w:pPr>
            <w:r>
              <w:rPr>
                <w:rFonts w:hint="eastAsia" w:ascii="宋体" w:hAnsi="宋体" w:eastAsia="宋体" w:cs="宋体"/>
                <w:color w:val="auto"/>
                <w:sz w:val="22"/>
                <w:szCs w:val="22"/>
                <w:highlight w:val="none"/>
                <w:vertAlign w:val="baseline"/>
                <w:lang w:val="en-US" w:eastAsia="zh-CN"/>
              </w:rPr>
              <w:t>8</w:t>
            </w:r>
          </w:p>
        </w:tc>
        <w:tc>
          <w:tcPr>
            <w:tcW w:w="1755" w:type="dxa"/>
            <w:vAlign w:val="center"/>
          </w:tcPr>
          <w:p w14:paraId="45AD0ABB">
            <w:pPr>
              <w:keepNext w:val="0"/>
              <w:keepLines w:val="0"/>
              <w:pageBreakBefore w:val="0"/>
              <w:widowControl w:val="0"/>
              <w:kinsoku/>
              <w:wordWrap/>
              <w:overflowPunct/>
              <w:topLinePunct w:val="0"/>
              <w:autoSpaceDE/>
              <w:autoSpaceDN/>
              <w:bidi w:val="0"/>
              <w:adjustRightInd/>
              <w:snapToGrid/>
              <w:spacing w:line="460" w:lineRule="exact"/>
              <w:ind w:left="-50" w:leftChars="0"/>
              <w:jc w:val="center"/>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0"/>
                <w:sz w:val="22"/>
                <w:szCs w:val="22"/>
                <w:highlight w:val="none"/>
              </w:rPr>
              <w:t>业绩</w:t>
            </w:r>
          </w:p>
        </w:tc>
        <w:tc>
          <w:tcPr>
            <w:tcW w:w="6433" w:type="dxa"/>
            <w:vAlign w:val="center"/>
          </w:tcPr>
          <w:p w14:paraId="7632A340">
            <w:pPr>
              <w:pStyle w:val="22"/>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根据投标人2022年1月1日</w:t>
            </w:r>
            <w:r>
              <w:rPr>
                <w:rFonts w:hint="eastAsia" w:ascii="宋体" w:hAnsi="宋体" w:cs="宋体"/>
                <w:color w:val="auto"/>
                <w:kern w:val="2"/>
                <w:sz w:val="22"/>
                <w:szCs w:val="22"/>
                <w:highlight w:val="none"/>
                <w:lang w:val="en-US" w:eastAsia="zh-CN" w:bidi="ar-SA"/>
              </w:rPr>
              <w:t>（以合同签订时间为准）</w:t>
            </w:r>
            <w:r>
              <w:rPr>
                <w:rFonts w:hint="eastAsia" w:ascii="宋体" w:hAnsi="宋体" w:eastAsia="宋体" w:cs="宋体"/>
                <w:color w:val="auto"/>
                <w:kern w:val="2"/>
                <w:sz w:val="22"/>
                <w:szCs w:val="22"/>
                <w:highlight w:val="none"/>
                <w:lang w:val="en-US" w:eastAsia="zh-CN" w:bidi="ar-SA"/>
              </w:rPr>
              <w:t>以来食用油的项目业绩情况，每提供1个得1分，同一单位不重复计分，最多得3分。</w:t>
            </w:r>
          </w:p>
          <w:p w14:paraId="14A1BF2E">
            <w:pPr>
              <w:pStyle w:val="22"/>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both"/>
              <w:textAlignment w:val="auto"/>
              <w:rPr>
                <w:rFonts w:hint="eastAsia" w:ascii="宋体" w:hAnsi="宋体" w:eastAsia="宋体" w:cs="宋体"/>
                <w:b w:val="0"/>
                <w:bCs/>
                <w:color w:val="auto"/>
                <w:kern w:val="2"/>
                <w:sz w:val="22"/>
                <w:szCs w:val="22"/>
                <w:highlight w:val="none"/>
                <w:vertAlign w:val="baseline"/>
                <w:lang w:val="en-US" w:eastAsia="zh-CN" w:bidi="ar-SA"/>
              </w:rPr>
            </w:pPr>
            <w:r>
              <w:rPr>
                <w:rFonts w:hint="eastAsia" w:ascii="宋体" w:hAnsi="宋体" w:eastAsia="宋体" w:cs="宋体"/>
                <w:color w:val="auto"/>
                <w:kern w:val="2"/>
                <w:sz w:val="22"/>
                <w:szCs w:val="22"/>
                <w:highlight w:val="none"/>
                <w:lang w:val="en-US" w:eastAsia="zh-CN" w:bidi="ar-SA"/>
              </w:rPr>
              <w:t>注：提供合同复印件</w:t>
            </w:r>
            <w:r>
              <w:rPr>
                <w:rFonts w:hint="eastAsia" w:ascii="宋体" w:hAnsi="宋体" w:cs="宋体"/>
                <w:color w:val="auto"/>
                <w:kern w:val="2"/>
                <w:sz w:val="22"/>
                <w:szCs w:val="22"/>
                <w:highlight w:val="none"/>
                <w:lang w:val="en-US" w:eastAsia="zh-CN" w:bidi="ar-SA"/>
              </w:rPr>
              <w:t>、中标（成交）通知书及业主满意度评价表（评价为满意等正面评价，</w:t>
            </w:r>
            <w:r>
              <w:rPr>
                <w:rFonts w:hint="eastAsia" w:ascii="新宋体" w:hAnsi="新宋体" w:eastAsia="新宋体" w:cs="新宋体"/>
                <w:color w:val="auto"/>
                <w:sz w:val="22"/>
                <w:szCs w:val="22"/>
                <w:highlight w:val="none"/>
              </w:rPr>
              <w:t>评价表须加盖</w:t>
            </w:r>
            <w:r>
              <w:rPr>
                <w:rFonts w:hint="eastAsia" w:ascii="新宋体" w:hAnsi="新宋体" w:eastAsia="新宋体" w:cs="新宋体"/>
                <w:color w:val="auto"/>
                <w:sz w:val="22"/>
                <w:szCs w:val="22"/>
                <w:highlight w:val="none"/>
                <w:lang w:val="en-US" w:eastAsia="zh-CN"/>
              </w:rPr>
              <w:t>单位</w:t>
            </w:r>
            <w:r>
              <w:rPr>
                <w:rFonts w:hint="eastAsia" w:ascii="新宋体" w:hAnsi="新宋体" w:eastAsia="新宋体" w:cs="新宋体"/>
                <w:color w:val="auto"/>
                <w:sz w:val="22"/>
                <w:szCs w:val="22"/>
                <w:highlight w:val="none"/>
              </w:rPr>
              <w:t>科室章或</w:t>
            </w:r>
            <w:r>
              <w:rPr>
                <w:rFonts w:hint="eastAsia" w:ascii="新宋体" w:hAnsi="新宋体" w:eastAsia="新宋体" w:cs="新宋体"/>
                <w:color w:val="auto"/>
                <w:sz w:val="22"/>
                <w:szCs w:val="22"/>
                <w:highlight w:val="none"/>
                <w:lang w:val="en-US" w:eastAsia="zh-CN"/>
              </w:rPr>
              <w:t>单位</w:t>
            </w:r>
            <w:r>
              <w:rPr>
                <w:rFonts w:hint="eastAsia" w:ascii="新宋体" w:hAnsi="新宋体" w:eastAsia="新宋体" w:cs="新宋体"/>
                <w:color w:val="auto"/>
                <w:sz w:val="22"/>
                <w:szCs w:val="22"/>
                <w:highlight w:val="none"/>
              </w:rPr>
              <w:t>公章</w:t>
            </w:r>
            <w:r>
              <w:rPr>
                <w:rFonts w:hint="eastAsia" w:ascii="宋体" w:hAnsi="宋体" w:cs="宋体"/>
                <w:color w:val="auto"/>
                <w:kern w:val="2"/>
                <w:sz w:val="22"/>
                <w:szCs w:val="22"/>
                <w:highlight w:val="none"/>
                <w:lang w:val="en-US" w:eastAsia="zh-CN" w:bidi="ar-SA"/>
              </w:rPr>
              <w:t>），</w:t>
            </w:r>
            <w:r>
              <w:rPr>
                <w:rFonts w:hint="eastAsia" w:ascii="宋体" w:hAnsi="宋体" w:eastAsia="宋体" w:cs="宋体"/>
                <w:color w:val="auto"/>
                <w:kern w:val="2"/>
                <w:sz w:val="22"/>
                <w:szCs w:val="22"/>
                <w:highlight w:val="none"/>
                <w:lang w:val="en-US" w:eastAsia="zh-CN" w:bidi="ar-SA"/>
              </w:rPr>
              <w:t>合同须包含食用油</w:t>
            </w:r>
            <w:r>
              <w:rPr>
                <w:rFonts w:hint="eastAsia" w:ascii="宋体" w:hAnsi="宋体" w:cs="宋体"/>
                <w:color w:val="auto"/>
                <w:kern w:val="2"/>
                <w:sz w:val="22"/>
                <w:szCs w:val="22"/>
                <w:highlight w:val="none"/>
                <w:lang w:val="en-US" w:eastAsia="zh-CN" w:bidi="ar-SA"/>
              </w:rPr>
              <w:t>，并加盖公章，缺一不得分</w:t>
            </w:r>
            <w:r>
              <w:rPr>
                <w:rFonts w:hint="eastAsia" w:ascii="宋体" w:hAnsi="宋体" w:eastAsia="宋体" w:cs="宋体"/>
                <w:color w:val="auto"/>
                <w:kern w:val="2"/>
                <w:sz w:val="22"/>
                <w:szCs w:val="22"/>
                <w:highlight w:val="none"/>
                <w:lang w:val="en-US" w:eastAsia="zh-CN" w:bidi="ar-SA"/>
              </w:rPr>
              <w:t>。</w:t>
            </w:r>
          </w:p>
        </w:tc>
        <w:tc>
          <w:tcPr>
            <w:tcW w:w="870" w:type="dxa"/>
            <w:vAlign w:val="center"/>
          </w:tcPr>
          <w:p w14:paraId="37B6EA9C">
            <w:pPr>
              <w:pStyle w:val="22"/>
              <w:keepNext w:val="0"/>
              <w:keepLines w:val="0"/>
              <w:pageBreakBefore w:val="0"/>
              <w:kinsoku/>
              <w:wordWrap/>
              <w:overflowPunct/>
              <w:topLinePunct w:val="0"/>
              <w:autoSpaceDE/>
              <w:autoSpaceDN/>
              <w:bidi w:val="0"/>
              <w:snapToGrid/>
              <w:spacing w:line="460" w:lineRule="exact"/>
              <w:ind w:left="440" w:leftChars="0" w:hanging="440" w:hangingChars="200"/>
              <w:jc w:val="center"/>
              <w:rPr>
                <w:rFonts w:hint="eastAsia" w:ascii="宋体" w:hAnsi="宋体" w:eastAsia="宋体" w:cs="宋体"/>
                <w:b w:val="0"/>
                <w:bCs/>
                <w:color w:val="auto"/>
                <w:kern w:val="2"/>
                <w:sz w:val="22"/>
                <w:szCs w:val="22"/>
                <w:highlight w:val="none"/>
                <w:vertAlign w:val="baseline"/>
                <w:lang w:val="en-US" w:eastAsia="zh-CN" w:bidi="ar-SA"/>
              </w:rPr>
            </w:pPr>
            <w:r>
              <w:rPr>
                <w:rFonts w:hint="eastAsia" w:ascii="宋体" w:hAnsi="宋体" w:eastAsia="宋体" w:cs="宋体"/>
                <w:b w:val="0"/>
                <w:bCs/>
                <w:color w:val="auto"/>
                <w:kern w:val="2"/>
                <w:sz w:val="22"/>
                <w:szCs w:val="22"/>
                <w:highlight w:val="none"/>
                <w:vertAlign w:val="baseline"/>
                <w:lang w:val="en-US" w:eastAsia="zh-CN" w:bidi="ar-SA"/>
              </w:rPr>
              <w:t>3</w:t>
            </w:r>
          </w:p>
        </w:tc>
      </w:tr>
      <w:tr w14:paraId="0E862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vMerge w:val="restart"/>
            <w:vAlign w:val="center"/>
          </w:tcPr>
          <w:p w14:paraId="2E3674FE">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2"/>
                <w:szCs w:val="22"/>
                <w:highlight w:val="none"/>
                <w:vertAlign w:val="baseline"/>
                <w:lang w:val="en-US" w:eastAsia="zh-CN"/>
              </w:rPr>
            </w:pPr>
            <w:r>
              <w:rPr>
                <w:rFonts w:hint="eastAsia" w:ascii="宋体" w:hAnsi="宋体" w:eastAsia="宋体" w:cs="宋体"/>
                <w:color w:val="auto"/>
                <w:sz w:val="22"/>
                <w:szCs w:val="22"/>
                <w:highlight w:val="none"/>
                <w:vertAlign w:val="baseline"/>
                <w:lang w:val="en-US" w:eastAsia="zh-CN"/>
              </w:rPr>
              <w:t>9</w:t>
            </w:r>
          </w:p>
        </w:tc>
        <w:tc>
          <w:tcPr>
            <w:tcW w:w="1755" w:type="dxa"/>
            <w:vMerge w:val="restart"/>
            <w:vAlign w:val="center"/>
          </w:tcPr>
          <w:p w14:paraId="208B8ED8">
            <w:pPr>
              <w:keepNext w:val="0"/>
              <w:keepLines w:val="0"/>
              <w:pageBreakBefore w:val="0"/>
              <w:widowControl w:val="0"/>
              <w:kinsoku/>
              <w:wordWrap/>
              <w:overflowPunct/>
              <w:topLinePunct w:val="0"/>
              <w:autoSpaceDE/>
              <w:autoSpaceDN/>
              <w:bidi w:val="0"/>
              <w:adjustRightInd/>
              <w:snapToGrid/>
              <w:spacing w:line="460" w:lineRule="exact"/>
              <w:ind w:left="-50" w:leftChars="0"/>
              <w:jc w:val="center"/>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样品</w:t>
            </w:r>
          </w:p>
        </w:tc>
        <w:tc>
          <w:tcPr>
            <w:tcW w:w="6433" w:type="dxa"/>
            <w:vAlign w:val="center"/>
          </w:tcPr>
          <w:p w14:paraId="447B4D96">
            <w:pPr>
              <w:spacing w:line="440" w:lineRule="exact"/>
              <w:ind w:left="-50"/>
              <w:rPr>
                <w:rFonts w:hint="eastAsia" w:ascii="宋体" w:hAnsi="宋体" w:eastAsia="宋体" w:cs="宋体"/>
                <w:b w:val="0"/>
                <w:bCs/>
                <w:color w:val="auto"/>
                <w:kern w:val="2"/>
                <w:sz w:val="22"/>
                <w:szCs w:val="22"/>
                <w:highlight w:val="none"/>
                <w:vertAlign w:val="baseline"/>
                <w:lang w:val="en-US" w:eastAsia="zh-CN" w:bidi="ar-SA"/>
              </w:rPr>
            </w:pPr>
            <w:r>
              <w:rPr>
                <w:rFonts w:hint="eastAsia" w:ascii="宋体" w:hAnsi="宋体" w:eastAsia="宋体" w:cs="宋体"/>
                <w:color w:val="auto"/>
                <w:sz w:val="22"/>
                <w:szCs w:val="22"/>
                <w:highlight w:val="none"/>
              </w:rPr>
              <w:t>根据投标人</w:t>
            </w:r>
            <w:r>
              <w:rPr>
                <w:rFonts w:hint="eastAsia" w:ascii="宋体" w:hAnsi="宋体" w:eastAsia="宋体" w:cs="宋体"/>
                <w:color w:val="auto"/>
                <w:sz w:val="22"/>
                <w:szCs w:val="22"/>
                <w:highlight w:val="none"/>
                <w:lang w:val="en-US" w:eastAsia="zh-CN"/>
              </w:rPr>
              <w:t>提供的“</w:t>
            </w:r>
            <w:r>
              <w:rPr>
                <w:rFonts w:hint="eastAsia" w:ascii="宋体" w:hAnsi="宋体" w:eastAsia="宋体" w:cs="宋体"/>
                <w:color w:val="auto"/>
                <w:sz w:val="22"/>
                <w:szCs w:val="22"/>
                <w:highlight w:val="none"/>
              </w:rPr>
              <w:t>大豆油（非转基因）一级</w:t>
            </w:r>
            <w:r>
              <w:rPr>
                <w:rFonts w:hint="eastAsia" w:ascii="宋体" w:hAnsi="宋体" w:eastAsia="宋体" w:cs="宋体"/>
                <w:color w:val="auto"/>
                <w:sz w:val="22"/>
                <w:szCs w:val="22"/>
                <w:highlight w:val="none"/>
                <w:lang w:val="en-US" w:eastAsia="zh-CN"/>
              </w:rPr>
              <w:t>”</w:t>
            </w:r>
            <w:r>
              <w:rPr>
                <w:rFonts w:hint="eastAsia" w:ascii="宋体" w:hAnsi="宋体" w:eastAsia="宋体" w:cs="宋体"/>
                <w:color w:val="auto"/>
                <w:sz w:val="22"/>
                <w:szCs w:val="22"/>
                <w:highlight w:val="none"/>
              </w:rPr>
              <w:t>样品的色泽、气味、透明度等因素酌情打分</w:t>
            </w:r>
            <w:r>
              <w:rPr>
                <w:rFonts w:hint="eastAsia" w:ascii="宋体" w:hAnsi="宋体" w:eastAsia="宋体" w:cs="宋体"/>
                <w:bCs/>
                <w:color w:val="auto"/>
                <w:sz w:val="22"/>
                <w:szCs w:val="22"/>
                <w:highlight w:val="none"/>
                <w:lang w:eastAsia="zh-CN"/>
              </w:rPr>
              <w:t>（</w:t>
            </w:r>
            <w:r>
              <w:rPr>
                <w:rFonts w:hint="eastAsia" w:ascii="宋体" w:hAnsi="宋体" w:eastAsia="宋体" w:cs="宋体"/>
                <w:bCs/>
                <w:color w:val="auto"/>
                <w:sz w:val="22"/>
                <w:szCs w:val="22"/>
                <w:highlight w:val="none"/>
                <w:lang w:val="en-US" w:eastAsia="zh-CN"/>
              </w:rPr>
              <w:t>评分范围：5,4,3,2,1,0分</w:t>
            </w:r>
            <w:r>
              <w:rPr>
                <w:rFonts w:hint="eastAsia" w:ascii="宋体" w:hAnsi="宋体" w:eastAsia="宋体" w:cs="宋体"/>
                <w:bCs/>
                <w:color w:val="auto"/>
                <w:sz w:val="22"/>
                <w:szCs w:val="22"/>
                <w:highlight w:val="none"/>
                <w:lang w:eastAsia="zh-CN"/>
              </w:rPr>
              <w:t>）</w:t>
            </w:r>
          </w:p>
        </w:tc>
        <w:tc>
          <w:tcPr>
            <w:tcW w:w="870" w:type="dxa"/>
            <w:vAlign w:val="center"/>
          </w:tcPr>
          <w:p w14:paraId="4F859213">
            <w:pPr>
              <w:pStyle w:val="22"/>
              <w:keepNext w:val="0"/>
              <w:keepLines w:val="0"/>
              <w:pageBreakBefore w:val="0"/>
              <w:kinsoku/>
              <w:wordWrap/>
              <w:overflowPunct/>
              <w:topLinePunct w:val="0"/>
              <w:autoSpaceDE/>
              <w:autoSpaceDN/>
              <w:bidi w:val="0"/>
              <w:snapToGrid/>
              <w:spacing w:line="460" w:lineRule="exact"/>
              <w:ind w:left="440" w:leftChars="0" w:hanging="440" w:hangingChars="200"/>
              <w:jc w:val="center"/>
              <w:rPr>
                <w:rFonts w:hint="eastAsia" w:ascii="宋体" w:hAnsi="宋体" w:eastAsia="宋体" w:cs="宋体"/>
                <w:b w:val="0"/>
                <w:bCs/>
                <w:color w:val="auto"/>
                <w:kern w:val="2"/>
                <w:sz w:val="22"/>
                <w:szCs w:val="22"/>
                <w:highlight w:val="none"/>
                <w:vertAlign w:val="baseline"/>
                <w:lang w:val="en-US" w:eastAsia="zh-CN" w:bidi="ar-SA"/>
              </w:rPr>
            </w:pPr>
            <w:r>
              <w:rPr>
                <w:rFonts w:hint="eastAsia" w:ascii="宋体" w:hAnsi="宋体" w:eastAsia="宋体" w:cs="宋体"/>
                <w:b w:val="0"/>
                <w:bCs/>
                <w:color w:val="auto"/>
                <w:kern w:val="2"/>
                <w:sz w:val="22"/>
                <w:szCs w:val="22"/>
                <w:highlight w:val="none"/>
                <w:vertAlign w:val="baseline"/>
                <w:lang w:val="en-US" w:eastAsia="zh-CN" w:bidi="ar-SA"/>
              </w:rPr>
              <w:t>5</w:t>
            </w:r>
          </w:p>
        </w:tc>
      </w:tr>
      <w:tr w14:paraId="37151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12" w:type="dxa"/>
            <w:vMerge w:val="continue"/>
            <w:vAlign w:val="center"/>
          </w:tcPr>
          <w:p w14:paraId="58AD00EC">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2"/>
                <w:szCs w:val="22"/>
                <w:highlight w:val="none"/>
                <w:vertAlign w:val="baseline"/>
                <w:lang w:val="en-US" w:eastAsia="zh-CN"/>
              </w:rPr>
            </w:pPr>
          </w:p>
        </w:tc>
        <w:tc>
          <w:tcPr>
            <w:tcW w:w="1755" w:type="dxa"/>
            <w:vMerge w:val="continue"/>
            <w:vAlign w:val="center"/>
          </w:tcPr>
          <w:p w14:paraId="5B33907F">
            <w:pPr>
              <w:keepNext w:val="0"/>
              <w:keepLines w:val="0"/>
              <w:pageBreakBefore w:val="0"/>
              <w:widowControl w:val="0"/>
              <w:kinsoku/>
              <w:wordWrap/>
              <w:overflowPunct/>
              <w:topLinePunct w:val="0"/>
              <w:autoSpaceDE/>
              <w:autoSpaceDN/>
              <w:bidi w:val="0"/>
              <w:adjustRightInd/>
              <w:snapToGrid/>
              <w:spacing w:line="460" w:lineRule="exact"/>
              <w:ind w:left="-50" w:leftChars="0"/>
              <w:jc w:val="center"/>
              <w:textAlignment w:val="auto"/>
              <w:outlineLvl w:val="9"/>
              <w:rPr>
                <w:rFonts w:hint="eastAsia" w:ascii="宋体" w:hAnsi="宋体" w:eastAsia="宋体" w:cs="宋体"/>
                <w:b w:val="0"/>
                <w:bCs/>
                <w:color w:val="auto"/>
                <w:kern w:val="2"/>
                <w:sz w:val="22"/>
                <w:szCs w:val="22"/>
                <w:highlight w:val="none"/>
                <w:lang w:val="en-US" w:eastAsia="zh-CN" w:bidi="ar-SA"/>
              </w:rPr>
            </w:pPr>
          </w:p>
        </w:tc>
        <w:tc>
          <w:tcPr>
            <w:tcW w:w="6433" w:type="dxa"/>
            <w:vAlign w:val="center"/>
          </w:tcPr>
          <w:p w14:paraId="6CC6DAC2">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b w:val="0"/>
                <w:bCs/>
                <w:color w:val="auto"/>
                <w:kern w:val="2"/>
                <w:sz w:val="22"/>
                <w:szCs w:val="22"/>
                <w:highlight w:val="none"/>
                <w:vertAlign w:val="baseline"/>
                <w:lang w:val="en-US" w:eastAsia="zh-CN" w:bidi="ar-SA"/>
              </w:rPr>
            </w:pPr>
            <w:r>
              <w:rPr>
                <w:rFonts w:hint="eastAsia" w:ascii="宋体" w:hAnsi="宋体" w:eastAsia="宋体" w:cs="宋体"/>
                <w:color w:val="auto"/>
                <w:sz w:val="22"/>
                <w:szCs w:val="22"/>
                <w:highlight w:val="none"/>
              </w:rPr>
              <w:t>根据投标人</w:t>
            </w:r>
            <w:r>
              <w:rPr>
                <w:rFonts w:hint="eastAsia" w:ascii="宋体" w:hAnsi="宋体" w:eastAsia="宋体" w:cs="宋体"/>
                <w:color w:val="auto"/>
                <w:sz w:val="22"/>
                <w:szCs w:val="22"/>
                <w:highlight w:val="none"/>
                <w:lang w:val="en-US" w:eastAsia="zh-CN"/>
              </w:rPr>
              <w:t>提供的</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菜籽油（非转基因）一级</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样品的色泽、气味、透明度等因素酌情打分</w:t>
            </w:r>
            <w:r>
              <w:rPr>
                <w:rFonts w:hint="eastAsia" w:ascii="宋体" w:hAnsi="宋体" w:eastAsia="宋体" w:cs="宋体"/>
                <w:bCs/>
                <w:color w:val="auto"/>
                <w:sz w:val="22"/>
                <w:szCs w:val="22"/>
                <w:highlight w:val="none"/>
                <w:lang w:eastAsia="zh-CN"/>
              </w:rPr>
              <w:t>（</w:t>
            </w:r>
            <w:r>
              <w:rPr>
                <w:rFonts w:hint="eastAsia" w:ascii="宋体" w:hAnsi="宋体" w:eastAsia="宋体" w:cs="宋体"/>
                <w:bCs/>
                <w:color w:val="auto"/>
                <w:sz w:val="22"/>
                <w:szCs w:val="22"/>
                <w:highlight w:val="none"/>
                <w:lang w:val="en-US" w:eastAsia="zh-CN"/>
              </w:rPr>
              <w:t>评分范围：5,4,3,2,1,0分</w:t>
            </w:r>
            <w:r>
              <w:rPr>
                <w:rFonts w:hint="eastAsia" w:ascii="宋体" w:hAnsi="宋体" w:eastAsia="宋体" w:cs="宋体"/>
                <w:bCs/>
                <w:color w:val="auto"/>
                <w:sz w:val="22"/>
                <w:szCs w:val="22"/>
                <w:highlight w:val="none"/>
                <w:lang w:eastAsia="zh-CN"/>
              </w:rPr>
              <w:t>）</w:t>
            </w:r>
          </w:p>
        </w:tc>
        <w:tc>
          <w:tcPr>
            <w:tcW w:w="870" w:type="dxa"/>
            <w:vAlign w:val="center"/>
          </w:tcPr>
          <w:p w14:paraId="5E6ABBA1">
            <w:pPr>
              <w:pStyle w:val="22"/>
              <w:keepNext w:val="0"/>
              <w:keepLines w:val="0"/>
              <w:pageBreakBefore w:val="0"/>
              <w:kinsoku/>
              <w:wordWrap/>
              <w:overflowPunct/>
              <w:topLinePunct w:val="0"/>
              <w:autoSpaceDE/>
              <w:autoSpaceDN/>
              <w:bidi w:val="0"/>
              <w:snapToGrid/>
              <w:spacing w:line="460" w:lineRule="exact"/>
              <w:ind w:left="440" w:leftChars="0" w:hanging="440" w:hangingChars="200"/>
              <w:jc w:val="center"/>
              <w:rPr>
                <w:rFonts w:hint="eastAsia" w:ascii="宋体" w:hAnsi="宋体" w:eastAsia="宋体" w:cs="宋体"/>
                <w:b w:val="0"/>
                <w:bCs/>
                <w:color w:val="auto"/>
                <w:kern w:val="2"/>
                <w:sz w:val="22"/>
                <w:szCs w:val="22"/>
                <w:highlight w:val="none"/>
                <w:vertAlign w:val="baseline"/>
                <w:lang w:val="en-US" w:eastAsia="zh-CN" w:bidi="ar-SA"/>
              </w:rPr>
            </w:pPr>
            <w:r>
              <w:rPr>
                <w:rFonts w:hint="eastAsia" w:ascii="宋体" w:hAnsi="宋体" w:eastAsia="宋体" w:cs="宋体"/>
                <w:b w:val="0"/>
                <w:bCs/>
                <w:color w:val="auto"/>
                <w:kern w:val="2"/>
                <w:sz w:val="22"/>
                <w:szCs w:val="22"/>
                <w:highlight w:val="none"/>
                <w:vertAlign w:val="baseline"/>
                <w:lang w:val="en-US" w:eastAsia="zh-CN" w:bidi="ar-SA"/>
              </w:rPr>
              <w:t>5</w:t>
            </w:r>
          </w:p>
        </w:tc>
      </w:tr>
    </w:tbl>
    <w:p w14:paraId="669EC54B">
      <w:pPr>
        <w:pStyle w:val="22"/>
        <w:spacing w:line="460" w:lineRule="exact"/>
        <w:ind w:firstLine="0" w:firstLineChars="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2、报价评分（</w:t>
      </w:r>
      <w:r>
        <w:rPr>
          <w:rFonts w:hint="eastAsia" w:ascii="宋体" w:hAnsi="宋体" w:cs="宋体"/>
          <w:b/>
          <w:color w:val="auto"/>
          <w:sz w:val="22"/>
          <w:szCs w:val="22"/>
          <w:highlight w:val="none"/>
          <w:lang w:val="en-US" w:eastAsia="zh-CN"/>
        </w:rPr>
        <w:t>3</w:t>
      </w:r>
      <w:r>
        <w:rPr>
          <w:rFonts w:hint="eastAsia" w:ascii="宋体" w:hAnsi="宋体" w:eastAsia="宋体" w:cs="宋体"/>
          <w:b/>
          <w:color w:val="auto"/>
          <w:sz w:val="22"/>
          <w:szCs w:val="22"/>
          <w:highlight w:val="none"/>
        </w:rPr>
        <w:t>0分）（权值</w:t>
      </w:r>
      <w:r>
        <w:rPr>
          <w:rFonts w:hint="eastAsia" w:ascii="宋体" w:hAnsi="宋体" w:cs="宋体"/>
          <w:b/>
          <w:color w:val="auto"/>
          <w:sz w:val="22"/>
          <w:szCs w:val="22"/>
          <w:highlight w:val="none"/>
          <w:lang w:val="en-US" w:eastAsia="zh-CN"/>
        </w:rPr>
        <w:t>3</w:t>
      </w:r>
      <w:r>
        <w:rPr>
          <w:rFonts w:hint="eastAsia" w:ascii="宋体" w:hAnsi="宋体" w:eastAsia="宋体" w:cs="宋体"/>
          <w:b/>
          <w:color w:val="auto"/>
          <w:sz w:val="22"/>
          <w:szCs w:val="22"/>
          <w:highlight w:val="none"/>
        </w:rPr>
        <w:t>0%）：</w:t>
      </w:r>
    </w:p>
    <w:p w14:paraId="294B2E74">
      <w:pPr>
        <w:spacing w:line="460" w:lineRule="exact"/>
        <w:ind w:firstLine="539" w:firstLineChars="2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满足招标文件要求且投标报价最低的投标报价为评标基准价，其余投标人投标报价与该基准价对比，计算出商务报价评分值（保留小数2位）：</w:t>
      </w:r>
    </w:p>
    <w:p w14:paraId="45064B71">
      <w:pPr>
        <w:spacing w:line="460" w:lineRule="exact"/>
        <w:ind w:firstLine="539" w:firstLineChars="2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1）有效投标人的投标报价等于评标基准价时其报价分为满分</w:t>
      </w:r>
      <w:r>
        <w:rPr>
          <w:rFonts w:hint="eastAsia" w:ascii="宋体" w:hAnsi="宋体" w:cs="宋体"/>
          <w:color w:val="auto"/>
          <w:sz w:val="22"/>
          <w:szCs w:val="22"/>
          <w:highlight w:val="none"/>
          <w:lang w:val="en-US" w:eastAsia="zh-CN"/>
        </w:rPr>
        <w:t>3</w:t>
      </w:r>
      <w:r>
        <w:rPr>
          <w:rFonts w:hint="eastAsia" w:ascii="宋体" w:hAnsi="宋体" w:eastAsia="宋体" w:cs="宋体"/>
          <w:color w:val="auto"/>
          <w:sz w:val="22"/>
          <w:szCs w:val="22"/>
          <w:highlight w:val="none"/>
        </w:rPr>
        <w:t>0分；</w:t>
      </w:r>
    </w:p>
    <w:p w14:paraId="1FF490E9">
      <w:pPr>
        <w:spacing w:line="460" w:lineRule="exact"/>
        <w:ind w:firstLine="539" w:firstLineChars="2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2）其他投标人的价格分按以下公式计算：</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840"/>
        <w:gridCol w:w="2850"/>
        <w:gridCol w:w="3195"/>
        <w:gridCol w:w="1110"/>
        <w:gridCol w:w="1046"/>
      </w:tblGrid>
      <w:tr w14:paraId="6CB0B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5" w:hRule="atLeast"/>
          <w:jc w:val="center"/>
        </w:trPr>
        <w:tc>
          <w:tcPr>
            <w:tcW w:w="840" w:type="dxa"/>
            <w:shd w:val="clear" w:color="auto" w:fill="FFFFFF"/>
            <w:noWrap w:val="0"/>
            <w:vAlign w:val="center"/>
          </w:tcPr>
          <w:p w14:paraId="6EA85451">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序号</w:t>
            </w:r>
          </w:p>
        </w:tc>
        <w:tc>
          <w:tcPr>
            <w:tcW w:w="2850" w:type="dxa"/>
            <w:shd w:val="clear" w:color="auto" w:fill="FFFFFF"/>
            <w:noWrap w:val="0"/>
            <w:vAlign w:val="center"/>
          </w:tcPr>
          <w:p w14:paraId="73B72022">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eastAsia" w:ascii="宋体" w:hAnsi="宋体" w:eastAsia="宋体" w:cs="宋体"/>
                <w:b/>
                <w:color w:val="auto"/>
                <w:sz w:val="22"/>
                <w:szCs w:val="22"/>
                <w:highlight w:val="none"/>
              </w:rPr>
            </w:pPr>
            <w:r>
              <w:rPr>
                <w:rFonts w:hint="eastAsia" w:ascii="宋体" w:hAnsi="宋体" w:eastAsia="宋体" w:cs="宋体"/>
                <w:b/>
                <w:color w:val="auto"/>
                <w:kern w:val="0"/>
                <w:sz w:val="22"/>
                <w:szCs w:val="22"/>
                <w:highlight w:val="none"/>
              </w:rPr>
              <w:t>评分内容</w:t>
            </w:r>
          </w:p>
        </w:tc>
        <w:tc>
          <w:tcPr>
            <w:tcW w:w="3195" w:type="dxa"/>
            <w:shd w:val="clear" w:color="auto" w:fill="FFFFFF"/>
            <w:noWrap w:val="0"/>
            <w:vAlign w:val="center"/>
          </w:tcPr>
          <w:p w14:paraId="30D83BE4">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评分</w:t>
            </w:r>
            <w:r>
              <w:rPr>
                <w:rFonts w:hint="eastAsia" w:ascii="宋体" w:hAnsi="宋体" w:eastAsia="宋体" w:cs="宋体"/>
                <w:b/>
                <w:color w:val="auto"/>
                <w:kern w:val="0"/>
                <w:sz w:val="22"/>
                <w:szCs w:val="22"/>
                <w:highlight w:val="none"/>
              </w:rPr>
              <w:t>方式</w:t>
            </w:r>
          </w:p>
        </w:tc>
        <w:tc>
          <w:tcPr>
            <w:tcW w:w="1110" w:type="dxa"/>
            <w:shd w:val="clear" w:color="auto" w:fill="FFFFFF"/>
            <w:noWrap w:val="0"/>
            <w:vAlign w:val="center"/>
          </w:tcPr>
          <w:p w14:paraId="30675C82">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eastAsia" w:ascii="宋体" w:hAnsi="宋体" w:eastAsia="宋体" w:cs="宋体"/>
                <w:b/>
                <w:color w:val="auto"/>
                <w:sz w:val="22"/>
                <w:szCs w:val="22"/>
                <w:highlight w:val="none"/>
              </w:rPr>
            </w:pPr>
            <w:r>
              <w:rPr>
                <w:rFonts w:hint="eastAsia" w:ascii="宋体" w:hAnsi="宋体" w:eastAsia="宋体" w:cs="宋体"/>
                <w:b/>
                <w:color w:val="auto"/>
                <w:kern w:val="0"/>
                <w:sz w:val="22"/>
                <w:szCs w:val="22"/>
                <w:highlight w:val="none"/>
              </w:rPr>
              <w:t>分值</w:t>
            </w:r>
          </w:p>
        </w:tc>
        <w:tc>
          <w:tcPr>
            <w:tcW w:w="1046" w:type="dxa"/>
            <w:shd w:val="clear" w:color="auto" w:fill="FFFFFF"/>
            <w:noWrap w:val="0"/>
            <w:vAlign w:val="center"/>
          </w:tcPr>
          <w:p w14:paraId="5C2A5765">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权值</w:t>
            </w:r>
          </w:p>
        </w:tc>
      </w:tr>
      <w:tr w14:paraId="35BBE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10" w:hRule="atLeast"/>
          <w:jc w:val="center"/>
        </w:trPr>
        <w:tc>
          <w:tcPr>
            <w:tcW w:w="840" w:type="dxa"/>
            <w:shd w:val="clear" w:color="auto" w:fill="FFFFFF"/>
            <w:noWrap w:val="0"/>
            <w:vAlign w:val="center"/>
          </w:tcPr>
          <w:p w14:paraId="2C42EFC0">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2850" w:type="dxa"/>
            <w:shd w:val="clear" w:color="auto" w:fill="FFFFFF"/>
            <w:noWrap w:val="0"/>
            <w:vAlign w:val="center"/>
          </w:tcPr>
          <w:p w14:paraId="76B216F3">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大豆油（非转基因）一级</w:t>
            </w:r>
          </w:p>
        </w:tc>
        <w:tc>
          <w:tcPr>
            <w:tcW w:w="3195" w:type="dxa"/>
            <w:vMerge w:val="restart"/>
            <w:shd w:val="clear" w:color="auto" w:fill="FFFFFF"/>
            <w:noWrap w:val="0"/>
            <w:vAlign w:val="center"/>
          </w:tcPr>
          <w:p w14:paraId="6FC006AD">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投标报价得分=</w:t>
            </w:r>
            <w:r>
              <w:rPr>
                <w:rFonts w:hint="eastAsia" w:ascii="宋体" w:hAnsi="宋体" w:eastAsia="宋体" w:cs="宋体"/>
                <w:color w:val="auto"/>
                <w:kern w:val="0"/>
                <w:sz w:val="22"/>
                <w:szCs w:val="22"/>
                <w:highlight w:val="none"/>
                <w:lang w:eastAsia="zh-CN"/>
              </w:rPr>
              <w:t>（</w:t>
            </w:r>
            <w:r>
              <w:rPr>
                <w:rFonts w:hint="eastAsia" w:ascii="宋体" w:hAnsi="宋体" w:eastAsia="宋体" w:cs="宋体"/>
                <w:color w:val="auto"/>
                <w:kern w:val="0"/>
                <w:sz w:val="22"/>
                <w:szCs w:val="22"/>
                <w:highlight w:val="none"/>
              </w:rPr>
              <w:t>评审基准价／投标报价</w:t>
            </w:r>
            <w:r>
              <w:rPr>
                <w:rFonts w:hint="eastAsia" w:ascii="宋体" w:hAnsi="宋体" w:eastAsia="宋体" w:cs="宋体"/>
                <w:color w:val="auto"/>
                <w:kern w:val="0"/>
                <w:sz w:val="22"/>
                <w:szCs w:val="22"/>
                <w:highlight w:val="none"/>
                <w:lang w:eastAsia="zh-CN"/>
              </w:rPr>
              <w:t>）</w:t>
            </w:r>
            <w:r>
              <w:rPr>
                <w:rFonts w:hint="eastAsia" w:ascii="宋体" w:hAnsi="宋体" w:eastAsia="宋体" w:cs="宋体"/>
                <w:color w:val="auto"/>
                <w:kern w:val="0"/>
                <w:sz w:val="22"/>
                <w:szCs w:val="22"/>
                <w:highlight w:val="none"/>
              </w:rPr>
              <w:t>×价格权值%×100</w:t>
            </w:r>
          </w:p>
        </w:tc>
        <w:tc>
          <w:tcPr>
            <w:tcW w:w="1110" w:type="dxa"/>
            <w:shd w:val="clear" w:color="auto" w:fill="FFFFFF"/>
            <w:noWrap w:val="0"/>
            <w:vAlign w:val="center"/>
          </w:tcPr>
          <w:p w14:paraId="12F0D59D">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eastAsia" w:ascii="宋体" w:hAnsi="宋体" w:eastAsia="宋体" w:cs="宋体"/>
                <w:color w:val="auto"/>
                <w:kern w:val="0"/>
                <w:sz w:val="22"/>
                <w:szCs w:val="22"/>
                <w:highlight w:val="none"/>
                <w:lang w:eastAsia="zh-CN"/>
              </w:rPr>
            </w:pPr>
            <w:r>
              <w:rPr>
                <w:rFonts w:hint="eastAsia" w:ascii="宋体" w:hAnsi="宋体" w:cs="宋体"/>
                <w:color w:val="auto"/>
                <w:kern w:val="0"/>
                <w:sz w:val="22"/>
                <w:szCs w:val="22"/>
                <w:highlight w:val="none"/>
                <w:lang w:val="en-US" w:eastAsia="zh-CN"/>
              </w:rPr>
              <w:t>15</w:t>
            </w:r>
            <w:r>
              <w:rPr>
                <w:rFonts w:hint="eastAsia" w:ascii="宋体" w:hAnsi="宋体" w:eastAsia="宋体" w:cs="宋体"/>
                <w:color w:val="auto"/>
                <w:kern w:val="0"/>
                <w:sz w:val="22"/>
                <w:szCs w:val="22"/>
                <w:highlight w:val="none"/>
                <w:lang w:eastAsia="zh-CN"/>
              </w:rPr>
              <w:t>分</w:t>
            </w:r>
          </w:p>
        </w:tc>
        <w:tc>
          <w:tcPr>
            <w:tcW w:w="1046" w:type="dxa"/>
            <w:shd w:val="clear" w:color="auto" w:fill="FFFFFF"/>
            <w:noWrap w:val="0"/>
            <w:vAlign w:val="center"/>
          </w:tcPr>
          <w:p w14:paraId="21AAB100">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eastAsia" w:ascii="宋体" w:hAnsi="宋体" w:eastAsia="宋体" w:cs="宋体"/>
                <w:color w:val="auto"/>
                <w:kern w:val="0"/>
                <w:sz w:val="22"/>
                <w:szCs w:val="22"/>
                <w:highlight w:val="none"/>
                <w:lang w:eastAsia="zh-CN"/>
              </w:rPr>
            </w:pPr>
            <w:r>
              <w:rPr>
                <w:rFonts w:hint="eastAsia" w:ascii="宋体" w:hAnsi="宋体" w:cs="宋体"/>
                <w:color w:val="auto"/>
                <w:kern w:val="0"/>
                <w:sz w:val="22"/>
                <w:szCs w:val="22"/>
                <w:highlight w:val="none"/>
                <w:lang w:val="en-US" w:eastAsia="zh-CN"/>
              </w:rPr>
              <w:t>15</w:t>
            </w:r>
            <w:r>
              <w:rPr>
                <w:rFonts w:hint="eastAsia" w:ascii="宋体" w:hAnsi="宋体" w:eastAsia="宋体" w:cs="宋体"/>
                <w:color w:val="auto"/>
                <w:kern w:val="0"/>
                <w:sz w:val="22"/>
                <w:szCs w:val="22"/>
                <w:highlight w:val="none"/>
                <w:lang w:eastAsia="zh-CN"/>
              </w:rPr>
              <w:t>%</w:t>
            </w:r>
          </w:p>
        </w:tc>
      </w:tr>
      <w:tr w14:paraId="45700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5" w:hRule="atLeast"/>
          <w:jc w:val="center"/>
        </w:trPr>
        <w:tc>
          <w:tcPr>
            <w:tcW w:w="840" w:type="dxa"/>
            <w:shd w:val="clear" w:color="auto" w:fill="auto"/>
            <w:noWrap w:val="0"/>
            <w:vAlign w:val="center"/>
          </w:tcPr>
          <w:p w14:paraId="08C691E3">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w:t>
            </w:r>
          </w:p>
        </w:tc>
        <w:tc>
          <w:tcPr>
            <w:tcW w:w="2850" w:type="dxa"/>
            <w:shd w:val="clear" w:color="auto" w:fill="auto"/>
            <w:noWrap w:val="0"/>
            <w:vAlign w:val="center"/>
          </w:tcPr>
          <w:p w14:paraId="4DD604B1">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菜籽油（非转基因）一级</w:t>
            </w:r>
          </w:p>
        </w:tc>
        <w:tc>
          <w:tcPr>
            <w:tcW w:w="3195" w:type="dxa"/>
            <w:vMerge w:val="continue"/>
            <w:shd w:val="clear" w:color="auto" w:fill="FFFFFF"/>
            <w:noWrap w:val="0"/>
            <w:vAlign w:val="center"/>
          </w:tcPr>
          <w:p w14:paraId="220A23C8">
            <w:pPr>
              <w:keepNext w:val="0"/>
              <w:keepLines w:val="0"/>
              <w:pageBreakBefore w:val="0"/>
              <w:kinsoku/>
              <w:wordWrap/>
              <w:overflowPunct/>
              <w:topLinePunct w:val="0"/>
              <w:autoSpaceDE/>
              <w:autoSpaceDN/>
              <w:bidi w:val="0"/>
              <w:adjustRightInd/>
              <w:snapToGrid/>
              <w:spacing w:line="460" w:lineRule="exact"/>
              <w:jc w:val="center"/>
              <w:rPr>
                <w:rFonts w:hint="eastAsia" w:ascii="宋体" w:hAnsi="宋体" w:eastAsia="宋体" w:cs="宋体"/>
                <w:color w:val="auto"/>
                <w:sz w:val="22"/>
                <w:szCs w:val="22"/>
                <w:highlight w:val="none"/>
              </w:rPr>
            </w:pPr>
          </w:p>
        </w:tc>
        <w:tc>
          <w:tcPr>
            <w:tcW w:w="1110" w:type="dxa"/>
            <w:noWrap w:val="0"/>
            <w:vAlign w:val="center"/>
          </w:tcPr>
          <w:p w14:paraId="0A943802">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eastAsia" w:ascii="宋体" w:hAnsi="宋体" w:eastAsia="宋体" w:cs="宋体"/>
                <w:color w:val="auto"/>
                <w:kern w:val="0"/>
                <w:sz w:val="22"/>
                <w:szCs w:val="22"/>
                <w:highlight w:val="none"/>
                <w:lang w:eastAsia="zh-CN"/>
              </w:rPr>
            </w:pPr>
            <w:r>
              <w:rPr>
                <w:rFonts w:hint="eastAsia" w:ascii="宋体" w:hAnsi="宋体" w:cs="宋体"/>
                <w:color w:val="auto"/>
                <w:kern w:val="0"/>
                <w:sz w:val="22"/>
                <w:szCs w:val="22"/>
                <w:highlight w:val="none"/>
                <w:lang w:val="en-US" w:eastAsia="zh-CN"/>
              </w:rPr>
              <w:t>15</w:t>
            </w:r>
            <w:r>
              <w:rPr>
                <w:rFonts w:hint="eastAsia" w:ascii="宋体" w:hAnsi="宋体" w:eastAsia="宋体" w:cs="宋体"/>
                <w:color w:val="auto"/>
                <w:kern w:val="0"/>
                <w:sz w:val="22"/>
                <w:szCs w:val="22"/>
                <w:highlight w:val="none"/>
                <w:lang w:eastAsia="zh-CN"/>
              </w:rPr>
              <w:t>分</w:t>
            </w:r>
          </w:p>
        </w:tc>
        <w:tc>
          <w:tcPr>
            <w:tcW w:w="1046" w:type="dxa"/>
            <w:noWrap w:val="0"/>
            <w:vAlign w:val="center"/>
          </w:tcPr>
          <w:p w14:paraId="69EC2082">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eastAsia" w:ascii="宋体" w:hAnsi="宋体" w:eastAsia="宋体" w:cs="宋体"/>
                <w:color w:val="auto"/>
                <w:kern w:val="0"/>
                <w:sz w:val="22"/>
                <w:szCs w:val="22"/>
                <w:highlight w:val="none"/>
                <w:lang w:eastAsia="zh-CN"/>
              </w:rPr>
            </w:pPr>
            <w:r>
              <w:rPr>
                <w:rFonts w:hint="eastAsia" w:ascii="宋体" w:hAnsi="宋体" w:cs="宋体"/>
                <w:color w:val="auto"/>
                <w:kern w:val="0"/>
                <w:sz w:val="22"/>
                <w:szCs w:val="22"/>
                <w:highlight w:val="none"/>
                <w:lang w:val="en-US" w:eastAsia="zh-CN"/>
              </w:rPr>
              <w:t>15</w:t>
            </w:r>
            <w:r>
              <w:rPr>
                <w:rFonts w:hint="eastAsia" w:ascii="宋体" w:hAnsi="宋体" w:eastAsia="宋体" w:cs="宋体"/>
                <w:color w:val="auto"/>
                <w:kern w:val="0"/>
                <w:sz w:val="22"/>
                <w:szCs w:val="22"/>
                <w:highlight w:val="none"/>
                <w:lang w:eastAsia="zh-CN"/>
              </w:rPr>
              <w:t>%</w:t>
            </w:r>
          </w:p>
        </w:tc>
      </w:tr>
      <w:tr w14:paraId="6D715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6885" w:type="dxa"/>
            <w:gridSpan w:val="3"/>
            <w:noWrap w:val="0"/>
            <w:vAlign w:val="center"/>
          </w:tcPr>
          <w:p w14:paraId="52C1EF15">
            <w:pPr>
              <w:keepNext w:val="0"/>
              <w:keepLines w:val="0"/>
              <w:pageBreakBefore w:val="0"/>
              <w:kinsoku/>
              <w:wordWrap/>
              <w:overflowPunct/>
              <w:topLinePunct w:val="0"/>
              <w:autoSpaceDE/>
              <w:autoSpaceDN/>
              <w:bidi w:val="0"/>
              <w:adjustRightInd/>
              <w:snapToGrid/>
              <w:spacing w:line="460" w:lineRule="exact"/>
              <w:jc w:val="center"/>
              <w:rPr>
                <w:rFonts w:hint="eastAsia" w:ascii="宋体" w:hAnsi="宋体" w:eastAsia="宋体" w:cs="宋体"/>
                <w:color w:val="auto"/>
                <w:sz w:val="22"/>
                <w:szCs w:val="22"/>
                <w:highlight w:val="none"/>
              </w:rPr>
            </w:pPr>
            <w:r>
              <w:rPr>
                <w:rFonts w:hint="eastAsia" w:ascii="宋体" w:hAnsi="宋体" w:eastAsia="宋体" w:cs="宋体"/>
                <w:b/>
                <w:color w:val="auto"/>
                <w:sz w:val="22"/>
                <w:szCs w:val="22"/>
                <w:highlight w:val="none"/>
              </w:rPr>
              <w:t>商务评分总计：</w:t>
            </w:r>
          </w:p>
        </w:tc>
        <w:tc>
          <w:tcPr>
            <w:tcW w:w="1110" w:type="dxa"/>
            <w:noWrap w:val="0"/>
            <w:vAlign w:val="center"/>
          </w:tcPr>
          <w:p w14:paraId="49CC040F">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eastAsia" w:ascii="宋体" w:hAnsi="宋体" w:eastAsia="宋体" w:cs="宋体"/>
                <w:color w:val="auto"/>
                <w:kern w:val="0"/>
                <w:sz w:val="22"/>
                <w:szCs w:val="22"/>
                <w:highlight w:val="none"/>
                <w:lang w:eastAsia="zh-CN"/>
              </w:rPr>
            </w:pPr>
            <w:r>
              <w:rPr>
                <w:rFonts w:hint="eastAsia" w:ascii="宋体" w:hAnsi="宋体" w:cs="宋体"/>
                <w:color w:val="auto"/>
                <w:kern w:val="0"/>
                <w:sz w:val="22"/>
                <w:szCs w:val="22"/>
                <w:highlight w:val="none"/>
                <w:lang w:val="en-US" w:eastAsia="zh-CN"/>
              </w:rPr>
              <w:t>30</w:t>
            </w:r>
            <w:r>
              <w:rPr>
                <w:rFonts w:hint="eastAsia" w:ascii="宋体" w:hAnsi="宋体" w:eastAsia="宋体" w:cs="宋体"/>
                <w:color w:val="auto"/>
                <w:kern w:val="0"/>
                <w:sz w:val="22"/>
                <w:szCs w:val="22"/>
                <w:highlight w:val="none"/>
                <w:lang w:eastAsia="zh-CN"/>
              </w:rPr>
              <w:t>分</w:t>
            </w:r>
          </w:p>
        </w:tc>
        <w:tc>
          <w:tcPr>
            <w:tcW w:w="1046" w:type="dxa"/>
            <w:noWrap w:val="0"/>
            <w:vAlign w:val="center"/>
          </w:tcPr>
          <w:p w14:paraId="57B0DAA0">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30</w:t>
            </w:r>
            <w:r>
              <w:rPr>
                <w:rFonts w:hint="eastAsia" w:ascii="宋体" w:hAnsi="宋体" w:eastAsia="宋体" w:cs="宋体"/>
                <w:color w:val="auto"/>
                <w:kern w:val="0"/>
                <w:sz w:val="22"/>
                <w:szCs w:val="22"/>
                <w:highlight w:val="none"/>
                <w:lang w:val="en-US" w:eastAsia="zh-CN"/>
              </w:rPr>
              <w:t>%</w:t>
            </w:r>
          </w:p>
        </w:tc>
      </w:tr>
    </w:tbl>
    <w:p w14:paraId="33D224E4">
      <w:pPr>
        <w:spacing w:line="460" w:lineRule="exact"/>
        <w:ind w:firstLine="539" w:firstLineChars="2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3、有效投标人的综合得分为技术分和商务（报价）分的总和。</w:t>
      </w:r>
    </w:p>
    <w:p w14:paraId="79EA6930">
      <w:pPr>
        <w:spacing w:line="460" w:lineRule="exact"/>
        <w:ind w:firstLine="539" w:firstLineChars="245"/>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13B9401">
      <w:pPr>
        <w:spacing w:line="460" w:lineRule="exact"/>
        <w:ind w:firstLine="541" w:firstLineChars="245"/>
        <w:outlineLvl w:val="1"/>
        <w:rPr>
          <w:rFonts w:hint="eastAsia" w:ascii="宋体" w:hAnsi="宋体" w:eastAsia="宋体" w:cs="宋体"/>
          <w:b/>
          <w:bCs/>
          <w:color w:val="auto"/>
          <w:sz w:val="22"/>
          <w:szCs w:val="22"/>
          <w:highlight w:val="none"/>
        </w:rPr>
      </w:pPr>
      <w:bookmarkStart w:id="79" w:name="_Toc4727"/>
      <w:bookmarkStart w:id="80" w:name="_Toc2482"/>
      <w:r>
        <w:rPr>
          <w:rFonts w:hint="eastAsia" w:ascii="宋体" w:hAnsi="宋体" w:eastAsia="宋体" w:cs="宋体"/>
          <w:b/>
          <w:bCs/>
          <w:color w:val="auto"/>
          <w:sz w:val="22"/>
          <w:szCs w:val="22"/>
          <w:highlight w:val="none"/>
        </w:rPr>
        <w:t>六、定标办法</w:t>
      </w:r>
      <w:bookmarkEnd w:id="79"/>
      <w:bookmarkEnd w:id="80"/>
    </w:p>
    <w:p w14:paraId="24C10EE2">
      <w:pPr>
        <w:spacing w:line="460" w:lineRule="exact"/>
        <w:ind w:firstLine="539" w:firstLineChars="245"/>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rPr>
        <w:t>1</w:t>
      </w:r>
      <w:r>
        <w:rPr>
          <w:rFonts w:hint="eastAsia" w:ascii="宋体" w:hAnsi="宋体" w:eastAsia="宋体" w:cs="宋体"/>
          <w:color w:val="auto"/>
          <w:kern w:val="0"/>
          <w:sz w:val="22"/>
          <w:szCs w:val="22"/>
          <w:highlight w:val="none"/>
        </w:rPr>
        <w:t>、</w:t>
      </w:r>
      <w:r>
        <w:rPr>
          <w:rFonts w:hint="eastAsia" w:ascii="宋体" w:hAnsi="宋体" w:eastAsia="宋体" w:cs="宋体"/>
          <w:color w:val="auto"/>
          <w:sz w:val="22"/>
          <w:szCs w:val="22"/>
          <w:highlight w:val="none"/>
        </w:rPr>
        <w:t>确定中标候选人</w:t>
      </w:r>
    </w:p>
    <w:p w14:paraId="29E77FEF">
      <w:pPr>
        <w:spacing w:line="460" w:lineRule="exact"/>
        <w:ind w:firstLine="539" w:firstLineChars="2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1.1由评标委员会确定中标候选人。</w:t>
      </w:r>
    </w:p>
    <w:p w14:paraId="1AD40EDA">
      <w:pPr>
        <w:spacing w:line="460" w:lineRule="exact"/>
        <w:ind w:firstLine="539" w:firstLineChars="2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1.2评标委员会依据法律、法规及招标文件有关规定按评审后得分（即商务技术分与报价得分之和）由高到低顺序排序，</w:t>
      </w:r>
      <w:r>
        <w:rPr>
          <w:rFonts w:hint="eastAsia" w:ascii="宋体" w:hAnsi="宋体" w:eastAsia="宋体" w:cs="宋体"/>
          <w:b/>
          <w:bCs/>
          <w:color w:val="auto"/>
          <w:sz w:val="22"/>
          <w:szCs w:val="22"/>
          <w:highlight w:val="none"/>
        </w:rPr>
        <w:t>得分前</w:t>
      </w:r>
      <w:r>
        <w:rPr>
          <w:rFonts w:hint="eastAsia" w:ascii="宋体" w:hAnsi="宋体" w:cs="宋体"/>
          <w:b/>
          <w:bCs/>
          <w:color w:val="auto"/>
          <w:sz w:val="22"/>
          <w:szCs w:val="22"/>
          <w:highlight w:val="none"/>
          <w:lang w:val="en-US" w:eastAsia="zh-CN"/>
        </w:rPr>
        <w:t>三</w:t>
      </w:r>
      <w:r>
        <w:rPr>
          <w:rFonts w:hint="eastAsia" w:ascii="宋体" w:hAnsi="宋体" w:eastAsia="宋体" w:cs="宋体"/>
          <w:b/>
          <w:bCs/>
          <w:color w:val="auto"/>
          <w:sz w:val="22"/>
          <w:szCs w:val="22"/>
          <w:highlight w:val="none"/>
        </w:rPr>
        <w:t>名的投标人为确定为该项目的第一中标（成交）候选人</w:t>
      </w:r>
      <w:r>
        <w:rPr>
          <w:rFonts w:hint="eastAsia" w:ascii="宋体" w:hAnsi="宋体" w:eastAsia="宋体" w:cs="宋体"/>
          <w:color w:val="auto"/>
          <w:sz w:val="22"/>
          <w:szCs w:val="22"/>
          <w:highlight w:val="none"/>
        </w:rPr>
        <w:t>，其他供应商按排名为依次为第二、第三中标（成交）候选人（得分相同的，按投标报价由低到高顺序排列。得分且投标报价相同的并列）向</w:t>
      </w:r>
      <w:r>
        <w:rPr>
          <w:rFonts w:hint="eastAsia" w:ascii="宋体" w:hAnsi="宋体" w:cs="宋体"/>
          <w:color w:val="auto"/>
          <w:sz w:val="22"/>
          <w:szCs w:val="22"/>
          <w:highlight w:val="none"/>
          <w:lang w:eastAsia="zh-CN"/>
        </w:rPr>
        <w:t>采购人</w:t>
      </w:r>
      <w:r>
        <w:rPr>
          <w:rFonts w:hint="eastAsia" w:ascii="宋体" w:hAnsi="宋体" w:eastAsia="宋体" w:cs="宋体"/>
          <w:color w:val="auto"/>
          <w:sz w:val="22"/>
          <w:szCs w:val="22"/>
          <w:highlight w:val="none"/>
        </w:rPr>
        <w:t>推荐。</w:t>
      </w:r>
    </w:p>
    <w:p w14:paraId="32416A4F">
      <w:pPr>
        <w:spacing w:line="460" w:lineRule="exact"/>
        <w:ind w:firstLine="539" w:firstLineChars="245"/>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2、确定中标人</w:t>
      </w:r>
    </w:p>
    <w:p w14:paraId="411CAF67">
      <w:pPr>
        <w:spacing w:line="460" w:lineRule="exact"/>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 xml:space="preserve">     2.1招标人按照评标报告中推荐的中标候选供应商顺序确定中标人；也可以事先授权评标委员会按照推荐的中标候选供应商顺序直接确定中标人。中标候选人并列的，由评标委员会全体成员记名投票按少数服从多数的原则确定排名。</w:t>
      </w:r>
    </w:p>
    <w:p w14:paraId="14EFA290">
      <w:pPr>
        <w:spacing w:line="460" w:lineRule="exact"/>
        <w:ind w:firstLine="539" w:firstLineChars="2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2.2如中标人放弃中标；或未能在规定时间内与招标人签订合同的；或者经质疑，招标人审查后，确因排名前</w:t>
      </w:r>
      <w:r>
        <w:rPr>
          <w:rFonts w:hint="eastAsia" w:ascii="宋体" w:hAnsi="宋体" w:eastAsia="宋体" w:cs="宋体"/>
          <w:color w:val="auto"/>
          <w:sz w:val="22"/>
          <w:szCs w:val="22"/>
          <w:highlight w:val="none"/>
          <w:lang w:eastAsia="zh-CN"/>
        </w:rPr>
        <w:t>三</w:t>
      </w:r>
      <w:r>
        <w:rPr>
          <w:rFonts w:hint="eastAsia" w:ascii="宋体" w:hAnsi="宋体" w:eastAsia="宋体" w:cs="宋体"/>
          <w:color w:val="auto"/>
          <w:sz w:val="22"/>
          <w:szCs w:val="22"/>
          <w:highlight w:val="none"/>
        </w:rPr>
        <w:t>名的第一中标候选人在本次采购活动中存在违法违规行为或其他原因使质疑成立的，招标人可以</w:t>
      </w:r>
      <w:r>
        <w:rPr>
          <w:rFonts w:hint="eastAsia" w:ascii="宋体" w:hAnsi="宋体" w:cs="宋体"/>
          <w:color w:val="auto"/>
          <w:sz w:val="22"/>
          <w:szCs w:val="22"/>
          <w:highlight w:val="none"/>
          <w:lang w:val="en-US" w:eastAsia="zh-CN"/>
        </w:rPr>
        <w:t>依法</w:t>
      </w:r>
      <w:r>
        <w:rPr>
          <w:rFonts w:hint="eastAsia" w:ascii="宋体" w:hAnsi="宋体" w:eastAsia="宋体" w:cs="宋体"/>
          <w:color w:val="auto"/>
          <w:sz w:val="22"/>
          <w:szCs w:val="22"/>
          <w:highlight w:val="none"/>
        </w:rPr>
        <w:t>视情况直接确定第二</w:t>
      </w:r>
      <w:r>
        <w:rPr>
          <w:rFonts w:hint="eastAsia" w:ascii="宋体" w:hAnsi="宋体" w:cs="宋体"/>
          <w:color w:val="auto"/>
          <w:sz w:val="22"/>
          <w:szCs w:val="22"/>
          <w:highlight w:val="none"/>
          <w:lang w:val="en-US" w:eastAsia="zh-CN"/>
        </w:rPr>
        <w:t>中标</w:t>
      </w:r>
      <w:r>
        <w:rPr>
          <w:rFonts w:hint="eastAsia" w:ascii="宋体" w:hAnsi="宋体" w:eastAsia="宋体" w:cs="宋体"/>
          <w:color w:val="auto"/>
          <w:sz w:val="22"/>
          <w:szCs w:val="22"/>
          <w:highlight w:val="none"/>
        </w:rPr>
        <w:t>候选人为中标人或重新组织招标。</w:t>
      </w:r>
    </w:p>
    <w:p w14:paraId="0E417446">
      <w:pPr>
        <w:spacing w:line="460" w:lineRule="exact"/>
        <w:ind w:firstLine="539" w:firstLineChars="2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r>
        <w:rPr>
          <w:rFonts w:hint="eastAsia" w:ascii="宋体" w:hAnsi="宋体" w:eastAsia="宋体" w:cs="宋体"/>
          <w:color w:val="auto"/>
          <w:kern w:val="0"/>
          <w:sz w:val="22"/>
          <w:szCs w:val="22"/>
          <w:highlight w:val="none"/>
        </w:rPr>
        <w:t>、</w:t>
      </w:r>
      <w:r>
        <w:rPr>
          <w:rFonts w:hint="eastAsia" w:ascii="宋体" w:hAnsi="宋体" w:eastAsia="宋体" w:cs="宋体"/>
          <w:color w:val="auto"/>
          <w:sz w:val="22"/>
          <w:szCs w:val="22"/>
          <w:highlight w:val="none"/>
        </w:rPr>
        <w:t>中标人确定后，招标人将在指定媒体公告中标结果，招标人向中标人发出中标通知书。</w:t>
      </w:r>
    </w:p>
    <w:p w14:paraId="05722E0E">
      <w:pPr>
        <w:spacing w:line="460" w:lineRule="exact"/>
        <w:ind w:firstLine="541" w:firstLineChars="245"/>
        <w:outlineLvl w:val="1"/>
        <w:rPr>
          <w:rFonts w:hint="eastAsia" w:ascii="宋体" w:hAnsi="宋体" w:eastAsia="宋体" w:cs="宋体"/>
          <w:b/>
          <w:color w:val="auto"/>
          <w:sz w:val="22"/>
          <w:szCs w:val="22"/>
          <w:highlight w:val="none"/>
        </w:rPr>
      </w:pPr>
      <w:bookmarkStart w:id="81" w:name="_Toc3629"/>
      <w:bookmarkStart w:id="82" w:name="_Toc17587"/>
      <w:r>
        <w:rPr>
          <w:rFonts w:hint="eastAsia" w:ascii="宋体" w:hAnsi="宋体" w:eastAsia="宋体" w:cs="宋体"/>
          <w:b/>
          <w:color w:val="auto"/>
          <w:sz w:val="22"/>
          <w:szCs w:val="22"/>
          <w:highlight w:val="none"/>
        </w:rPr>
        <w:t>七、投标人义务</w:t>
      </w:r>
      <w:bookmarkEnd w:id="81"/>
      <w:bookmarkEnd w:id="82"/>
    </w:p>
    <w:p w14:paraId="43270A3B">
      <w:pPr>
        <w:spacing w:line="460" w:lineRule="exact"/>
        <w:ind w:firstLine="539" w:firstLineChars="245"/>
        <w:rPr>
          <w:rFonts w:hint="eastAsia" w:ascii="宋体" w:hAnsi="宋体" w:eastAsia="宋体" w:cs="宋体"/>
          <w:color w:val="auto"/>
          <w:highlight w:val="none"/>
        </w:rPr>
      </w:pPr>
      <w:r>
        <w:rPr>
          <w:rFonts w:hint="eastAsia" w:ascii="宋体" w:hAnsi="宋体" w:eastAsia="宋体" w:cs="宋体"/>
          <w:color w:val="auto"/>
          <w:sz w:val="22"/>
          <w:szCs w:val="22"/>
          <w:highlight w:val="none"/>
        </w:rPr>
        <w:t>投标人应随时接受评标委员会的询标，解答包括有关的商务、技术问题等。评标结束，所有评标资料存招标机构备查。</w:t>
      </w:r>
    </w:p>
    <w:sectPr>
      <w:headerReference r:id="rId5" w:type="default"/>
      <w:footerReference r:id="rId6" w:type="default"/>
      <w:pgSz w:w="11906" w:h="16838"/>
      <w:pgMar w:top="1134" w:right="1134" w:bottom="1134" w:left="1134" w:header="850" w:footer="992" w:gutter="0"/>
      <w:cols w:space="720" w:num="1"/>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28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roman"/>
    <w:pitch w:val="default"/>
    <w:sig w:usb0="00000000" w:usb1="00000000" w:usb2="0000003F" w:usb3="00000000" w:csb0="603F01FF" w:csb1="FFFF0000"/>
  </w:font>
  <w:font w:name="Century Gothic">
    <w:panose1 w:val="020B0502020202020204"/>
    <w:charset w:val="00"/>
    <w:family w:val="swiss"/>
    <w:pitch w:val="default"/>
    <w:sig w:usb0="00000287" w:usb1="00000000" w:usb2="00000000" w:usb3="00000000" w:csb0="2000009F" w:csb1="DFD70000"/>
  </w:font>
  <w:font w:name="Helvetica">
    <w:altName w:val="Arial"/>
    <w:panose1 w:val="020B0604020202020204"/>
    <w:charset w:val="00"/>
    <w:family w:val="swiss"/>
    <w:pitch w:val="default"/>
    <w:sig w:usb0="00000000" w:usb1="00000000" w:usb2="00000000" w:usb3="00000000" w:csb0="00000001"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AE342">
    <w:pPr>
      <w:pStyle w:val="34"/>
      <w:framePr w:wrap="around" w:vAnchor="text" w:hAnchor="margin" w:xAlign="center" w:y="1"/>
      <w:rPr>
        <w:rStyle w:val="56"/>
      </w:rPr>
    </w:pPr>
    <w:r>
      <w:fldChar w:fldCharType="begin"/>
    </w:r>
    <w:r>
      <w:rPr>
        <w:rStyle w:val="56"/>
      </w:rPr>
      <w:instrText xml:space="preserve">PAGE  </w:instrText>
    </w:r>
    <w:r>
      <w:fldChar w:fldCharType="separate"/>
    </w:r>
    <w:r>
      <w:rPr>
        <w:rStyle w:val="56"/>
      </w:rPr>
      <w:t>28</w:t>
    </w:r>
    <w:r>
      <w:fldChar w:fldCharType="end"/>
    </w:r>
  </w:p>
  <w:p w14:paraId="63BDE34A">
    <w:pPr>
      <w:pStyle w:val="34"/>
      <w:ind w:right="360" w:firstLine="4500" w:firstLineChars="25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8B5A8">
    <w:pPr>
      <w:pStyle w:val="34"/>
      <w:framePr w:wrap="around" w:vAnchor="text" w:hAnchor="margin" w:xAlign="center" w:y="1"/>
      <w:rPr>
        <w:rStyle w:val="56"/>
      </w:rPr>
    </w:pPr>
    <w:r>
      <w:fldChar w:fldCharType="begin"/>
    </w:r>
    <w:r>
      <w:rPr>
        <w:rStyle w:val="56"/>
      </w:rPr>
      <w:instrText xml:space="preserve">PAGE  </w:instrText>
    </w:r>
    <w:r>
      <w:fldChar w:fldCharType="separate"/>
    </w:r>
    <w:r>
      <w:rPr>
        <w:rStyle w:val="56"/>
      </w:rPr>
      <w:t>72</w:t>
    </w:r>
    <w:r>
      <w:fldChar w:fldCharType="end"/>
    </w:r>
  </w:p>
  <w:p w14:paraId="0160FA93">
    <w:pPr>
      <w:pStyle w:val="34"/>
      <w:ind w:right="360" w:firstLine="4500" w:firstLineChars="25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BEDC0">
    <w:pPr>
      <w:pStyle w:val="35"/>
      <w:pBdr>
        <w:bottom w:val="single" w:color="auto" w:sz="6" w:space="0"/>
      </w:pBdr>
      <w:jc w:val="both"/>
    </w:pPr>
    <w:r>
      <w:rPr>
        <w:rFonts w:hint="eastAsia"/>
        <w:lang w:val="en-US" w:eastAsia="zh-CN"/>
      </w:rPr>
      <w:t>温州市中心医院</w:t>
    </w:r>
    <w:r>
      <w:rPr>
        <w:rFonts w:hint="eastAsia"/>
      </w:rPr>
      <w:t>招标文件                                             项目编号：</w:t>
    </w:r>
    <w:r>
      <w:rPr>
        <w:rFonts w:hint="eastAsia"/>
        <w:lang w:eastAsia="zh-CN"/>
      </w:rPr>
      <w:t xml:space="preserve">WZLCZB（W）-2025-05055 </w:t>
    </w: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70007">
    <w:pPr>
      <w:pStyle w:val="35"/>
      <w:pBdr>
        <w:bottom w:val="single" w:color="auto" w:sz="6" w:space="0"/>
      </w:pBdr>
      <w:jc w:val="both"/>
    </w:pPr>
    <w:r>
      <w:rPr>
        <w:rFonts w:hint="eastAsia"/>
      </w:rPr>
      <w:t>温州市政府（分散）采购招标文件                                             项目编号：</w:t>
    </w:r>
    <w:r>
      <w:rPr>
        <w:rFonts w:hint="eastAsia"/>
        <w:lang w:eastAsia="zh-CN"/>
      </w:rPr>
      <w:t xml:space="preserve">WZLCZB（W）-2025-05055 </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ED2AFC"/>
    <w:multiLevelType w:val="singleLevel"/>
    <w:tmpl w:val="9DED2AFC"/>
    <w:lvl w:ilvl="0" w:tentative="0">
      <w:start w:val="4"/>
      <w:numFmt w:val="chineseCounting"/>
      <w:suff w:val="space"/>
      <w:lvlText w:val="第%1部分"/>
      <w:lvlJc w:val="left"/>
      <w:rPr>
        <w:rFonts w:hint="eastAsia"/>
      </w:rPr>
    </w:lvl>
  </w:abstractNum>
  <w:abstractNum w:abstractNumId="1">
    <w:nsid w:val="A10EEC51"/>
    <w:multiLevelType w:val="singleLevel"/>
    <w:tmpl w:val="A10EEC51"/>
    <w:lvl w:ilvl="0" w:tentative="0">
      <w:start w:val="1"/>
      <w:numFmt w:val="decimal"/>
      <w:suff w:val="nothing"/>
      <w:lvlText w:val="%1、"/>
      <w:lvlJc w:val="left"/>
    </w:lvl>
  </w:abstractNum>
  <w:abstractNum w:abstractNumId="2">
    <w:nsid w:val="AD85F3DE"/>
    <w:multiLevelType w:val="singleLevel"/>
    <w:tmpl w:val="AD85F3DE"/>
    <w:lvl w:ilvl="0" w:tentative="0">
      <w:start w:val="1"/>
      <w:numFmt w:val="chineseCounting"/>
      <w:suff w:val="nothing"/>
      <w:lvlText w:val="%1、"/>
      <w:lvlJc w:val="left"/>
      <w:rPr>
        <w:rFonts w:hint="eastAsia"/>
      </w:rPr>
    </w:lvl>
  </w:abstractNum>
  <w:abstractNum w:abstractNumId="3">
    <w:nsid w:val="B1C0EE6B"/>
    <w:multiLevelType w:val="singleLevel"/>
    <w:tmpl w:val="B1C0EE6B"/>
    <w:lvl w:ilvl="0" w:tentative="0">
      <w:start w:val="5"/>
      <w:numFmt w:val="chineseCounting"/>
      <w:suff w:val="nothing"/>
      <w:lvlText w:val="%1、"/>
      <w:lvlJc w:val="left"/>
      <w:rPr>
        <w:rFonts w:hint="eastAsia"/>
      </w:rPr>
    </w:lvl>
  </w:abstractNum>
  <w:abstractNum w:abstractNumId="4">
    <w:nsid w:val="BAF9EC89"/>
    <w:multiLevelType w:val="singleLevel"/>
    <w:tmpl w:val="BAF9EC89"/>
    <w:lvl w:ilvl="0" w:tentative="0">
      <w:start w:val="1"/>
      <w:numFmt w:val="chineseCounting"/>
      <w:suff w:val="nothing"/>
      <w:lvlText w:val="（%1）"/>
      <w:lvlJc w:val="left"/>
      <w:rPr>
        <w:rFonts w:hint="eastAsia"/>
      </w:rPr>
    </w:lvl>
  </w:abstractNum>
  <w:abstractNum w:abstractNumId="5">
    <w:nsid w:val="52D7A3B6"/>
    <w:multiLevelType w:val="singleLevel"/>
    <w:tmpl w:val="52D7A3B6"/>
    <w:lvl w:ilvl="0" w:tentative="0">
      <w:start w:val="1"/>
      <w:numFmt w:val="decimal"/>
      <w:suff w:val="nothing"/>
      <w:lvlText w:val="（%1）"/>
      <w:lvlJc w:val="left"/>
    </w:lvl>
  </w:abstractNum>
  <w:abstractNum w:abstractNumId="6">
    <w:nsid w:val="59DE7C9A"/>
    <w:multiLevelType w:val="singleLevel"/>
    <w:tmpl w:val="59DE7C9A"/>
    <w:lvl w:ilvl="0" w:tentative="0">
      <w:start w:val="3"/>
      <w:numFmt w:val="chineseCounting"/>
      <w:suff w:val="nothing"/>
      <w:lvlText w:val="%1、"/>
      <w:lvlJc w:val="left"/>
      <w:rPr>
        <w:rFonts w:hint="eastAsia"/>
      </w:rPr>
    </w:lvl>
  </w:abstractNum>
  <w:num w:numId="1">
    <w:abstractNumId w:val="5"/>
  </w:num>
  <w:num w:numId="2">
    <w:abstractNumId w:val="1"/>
  </w:num>
  <w:num w:numId="3">
    <w:abstractNumId w:val="4"/>
  </w:num>
  <w:num w:numId="4">
    <w:abstractNumId w:val="0"/>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forms" w:enforcement="0"/>
  <w:defaultTabStop w:val="420"/>
  <w:drawingGridHorizontalSpacing w:val="210"/>
  <w:drawingGridVerticalSpacing w:val="160"/>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5NjEzODExYjg0YzBhMzhhYjgzNmIyODJmYjYzMWEifQ=="/>
  </w:docVars>
  <w:rsids>
    <w:rsidRoot w:val="00172A27"/>
    <w:rsid w:val="000149E3"/>
    <w:rsid w:val="00020693"/>
    <w:rsid w:val="000217C7"/>
    <w:rsid w:val="00026A46"/>
    <w:rsid w:val="00027D0D"/>
    <w:rsid w:val="00031F49"/>
    <w:rsid w:val="00037B6F"/>
    <w:rsid w:val="000474B4"/>
    <w:rsid w:val="00063600"/>
    <w:rsid w:val="000A6326"/>
    <w:rsid w:val="000B2878"/>
    <w:rsid w:val="0010260A"/>
    <w:rsid w:val="0013451B"/>
    <w:rsid w:val="00146E35"/>
    <w:rsid w:val="00172A27"/>
    <w:rsid w:val="00176791"/>
    <w:rsid w:val="0019644F"/>
    <w:rsid w:val="001B0F17"/>
    <w:rsid w:val="001B2275"/>
    <w:rsid w:val="001D4048"/>
    <w:rsid w:val="001D49A1"/>
    <w:rsid w:val="001E7897"/>
    <w:rsid w:val="001F5D2B"/>
    <w:rsid w:val="002018F6"/>
    <w:rsid w:val="002044B9"/>
    <w:rsid w:val="00212172"/>
    <w:rsid w:val="00223CC1"/>
    <w:rsid w:val="00227214"/>
    <w:rsid w:val="00230913"/>
    <w:rsid w:val="00243D5B"/>
    <w:rsid w:val="002447E7"/>
    <w:rsid w:val="00261F3C"/>
    <w:rsid w:val="00270294"/>
    <w:rsid w:val="00271C2D"/>
    <w:rsid w:val="002843F3"/>
    <w:rsid w:val="00296547"/>
    <w:rsid w:val="002A31D6"/>
    <w:rsid w:val="002A594F"/>
    <w:rsid w:val="002B5782"/>
    <w:rsid w:val="002C08AE"/>
    <w:rsid w:val="002C09AD"/>
    <w:rsid w:val="002D20EE"/>
    <w:rsid w:val="002D2D3D"/>
    <w:rsid w:val="002E7DAB"/>
    <w:rsid w:val="003058EA"/>
    <w:rsid w:val="00327AB8"/>
    <w:rsid w:val="00350DF6"/>
    <w:rsid w:val="00351F86"/>
    <w:rsid w:val="00352124"/>
    <w:rsid w:val="0035435E"/>
    <w:rsid w:val="00357388"/>
    <w:rsid w:val="00357A7B"/>
    <w:rsid w:val="003654EF"/>
    <w:rsid w:val="00372FCF"/>
    <w:rsid w:val="00373BB2"/>
    <w:rsid w:val="00380B23"/>
    <w:rsid w:val="00383F1F"/>
    <w:rsid w:val="003B0A15"/>
    <w:rsid w:val="003B1471"/>
    <w:rsid w:val="003B5050"/>
    <w:rsid w:val="003C713C"/>
    <w:rsid w:val="00405F28"/>
    <w:rsid w:val="0041137E"/>
    <w:rsid w:val="00430AB9"/>
    <w:rsid w:val="00441256"/>
    <w:rsid w:val="0045663E"/>
    <w:rsid w:val="00461389"/>
    <w:rsid w:val="0046542D"/>
    <w:rsid w:val="00481BD3"/>
    <w:rsid w:val="004B66F1"/>
    <w:rsid w:val="004C013A"/>
    <w:rsid w:val="004C7034"/>
    <w:rsid w:val="005001D6"/>
    <w:rsid w:val="00522EF2"/>
    <w:rsid w:val="005238A3"/>
    <w:rsid w:val="00526065"/>
    <w:rsid w:val="00532669"/>
    <w:rsid w:val="00533C40"/>
    <w:rsid w:val="00555FA3"/>
    <w:rsid w:val="00561E5D"/>
    <w:rsid w:val="0056534C"/>
    <w:rsid w:val="00565E01"/>
    <w:rsid w:val="005674BB"/>
    <w:rsid w:val="00572B8A"/>
    <w:rsid w:val="00582AEF"/>
    <w:rsid w:val="00586839"/>
    <w:rsid w:val="00587A14"/>
    <w:rsid w:val="005A1DD3"/>
    <w:rsid w:val="005A3AA2"/>
    <w:rsid w:val="005A65DF"/>
    <w:rsid w:val="005B3595"/>
    <w:rsid w:val="005C388F"/>
    <w:rsid w:val="00607A59"/>
    <w:rsid w:val="006140F3"/>
    <w:rsid w:val="00631E7A"/>
    <w:rsid w:val="0064398C"/>
    <w:rsid w:val="00644CD7"/>
    <w:rsid w:val="00647AB1"/>
    <w:rsid w:val="00654A9F"/>
    <w:rsid w:val="00692D32"/>
    <w:rsid w:val="00696C82"/>
    <w:rsid w:val="006A1CF7"/>
    <w:rsid w:val="006B3E1C"/>
    <w:rsid w:val="006D6C7C"/>
    <w:rsid w:val="006E2672"/>
    <w:rsid w:val="007068AC"/>
    <w:rsid w:val="00722BB3"/>
    <w:rsid w:val="00740E65"/>
    <w:rsid w:val="00753072"/>
    <w:rsid w:val="007546B0"/>
    <w:rsid w:val="007671B7"/>
    <w:rsid w:val="00774E3F"/>
    <w:rsid w:val="00776F48"/>
    <w:rsid w:val="00780CBF"/>
    <w:rsid w:val="00781B95"/>
    <w:rsid w:val="007A21E8"/>
    <w:rsid w:val="007A62BD"/>
    <w:rsid w:val="007B564B"/>
    <w:rsid w:val="007B769B"/>
    <w:rsid w:val="007E29D6"/>
    <w:rsid w:val="007F2164"/>
    <w:rsid w:val="00800A72"/>
    <w:rsid w:val="00804ACD"/>
    <w:rsid w:val="0080543D"/>
    <w:rsid w:val="00817CE2"/>
    <w:rsid w:val="00831C7B"/>
    <w:rsid w:val="00832D9C"/>
    <w:rsid w:val="00836E00"/>
    <w:rsid w:val="00846CC5"/>
    <w:rsid w:val="00850622"/>
    <w:rsid w:val="00870DFA"/>
    <w:rsid w:val="00871EBE"/>
    <w:rsid w:val="00873949"/>
    <w:rsid w:val="00875629"/>
    <w:rsid w:val="00877499"/>
    <w:rsid w:val="00892732"/>
    <w:rsid w:val="00893202"/>
    <w:rsid w:val="0089599B"/>
    <w:rsid w:val="008A127E"/>
    <w:rsid w:val="008B2FA9"/>
    <w:rsid w:val="008C2D7B"/>
    <w:rsid w:val="008C31BC"/>
    <w:rsid w:val="008D62C9"/>
    <w:rsid w:val="008D75C3"/>
    <w:rsid w:val="008E0B76"/>
    <w:rsid w:val="008E26D5"/>
    <w:rsid w:val="008F4E37"/>
    <w:rsid w:val="008F7BE3"/>
    <w:rsid w:val="008F7D27"/>
    <w:rsid w:val="00902AA2"/>
    <w:rsid w:val="009254A6"/>
    <w:rsid w:val="0093089E"/>
    <w:rsid w:val="00933974"/>
    <w:rsid w:val="00936127"/>
    <w:rsid w:val="00945DCB"/>
    <w:rsid w:val="009652E5"/>
    <w:rsid w:val="00973F7A"/>
    <w:rsid w:val="0097671D"/>
    <w:rsid w:val="00977673"/>
    <w:rsid w:val="00987F54"/>
    <w:rsid w:val="00991B38"/>
    <w:rsid w:val="00996305"/>
    <w:rsid w:val="009C748F"/>
    <w:rsid w:val="009E4D45"/>
    <w:rsid w:val="00A24A5C"/>
    <w:rsid w:val="00A42424"/>
    <w:rsid w:val="00A45873"/>
    <w:rsid w:val="00A56219"/>
    <w:rsid w:val="00A61866"/>
    <w:rsid w:val="00A77176"/>
    <w:rsid w:val="00A92B83"/>
    <w:rsid w:val="00A957CF"/>
    <w:rsid w:val="00AA3DA6"/>
    <w:rsid w:val="00AA7C87"/>
    <w:rsid w:val="00AD66E6"/>
    <w:rsid w:val="00AE4B39"/>
    <w:rsid w:val="00AF7BEB"/>
    <w:rsid w:val="00B06E43"/>
    <w:rsid w:val="00B2584A"/>
    <w:rsid w:val="00B41362"/>
    <w:rsid w:val="00B43A9E"/>
    <w:rsid w:val="00B44537"/>
    <w:rsid w:val="00B5466C"/>
    <w:rsid w:val="00B74039"/>
    <w:rsid w:val="00B87E26"/>
    <w:rsid w:val="00B9767A"/>
    <w:rsid w:val="00BA78D1"/>
    <w:rsid w:val="00BC0A13"/>
    <w:rsid w:val="00BC2B54"/>
    <w:rsid w:val="00BC4AC5"/>
    <w:rsid w:val="00BC66D1"/>
    <w:rsid w:val="00BF1399"/>
    <w:rsid w:val="00BF32BD"/>
    <w:rsid w:val="00C12358"/>
    <w:rsid w:val="00C232C8"/>
    <w:rsid w:val="00C468B7"/>
    <w:rsid w:val="00C67C97"/>
    <w:rsid w:val="00C70CE6"/>
    <w:rsid w:val="00C758F7"/>
    <w:rsid w:val="00C816DD"/>
    <w:rsid w:val="00C95163"/>
    <w:rsid w:val="00CB584C"/>
    <w:rsid w:val="00CC06DE"/>
    <w:rsid w:val="00CC3B91"/>
    <w:rsid w:val="00CE590D"/>
    <w:rsid w:val="00CF5C76"/>
    <w:rsid w:val="00D00FFE"/>
    <w:rsid w:val="00D13A1C"/>
    <w:rsid w:val="00D224FF"/>
    <w:rsid w:val="00D27DB2"/>
    <w:rsid w:val="00D3078D"/>
    <w:rsid w:val="00D30E82"/>
    <w:rsid w:val="00D47AC2"/>
    <w:rsid w:val="00D56369"/>
    <w:rsid w:val="00D70EBE"/>
    <w:rsid w:val="00D73718"/>
    <w:rsid w:val="00D7763D"/>
    <w:rsid w:val="00D844F8"/>
    <w:rsid w:val="00DB09B7"/>
    <w:rsid w:val="00DB2DE0"/>
    <w:rsid w:val="00DB41D0"/>
    <w:rsid w:val="00DF073C"/>
    <w:rsid w:val="00DF0B3F"/>
    <w:rsid w:val="00E02244"/>
    <w:rsid w:val="00E05AD1"/>
    <w:rsid w:val="00E11D98"/>
    <w:rsid w:val="00E15CD1"/>
    <w:rsid w:val="00E22045"/>
    <w:rsid w:val="00E248CD"/>
    <w:rsid w:val="00E36483"/>
    <w:rsid w:val="00E53874"/>
    <w:rsid w:val="00E56BD4"/>
    <w:rsid w:val="00E57D1E"/>
    <w:rsid w:val="00E72ABC"/>
    <w:rsid w:val="00E74DBC"/>
    <w:rsid w:val="00E76E5A"/>
    <w:rsid w:val="00EC182D"/>
    <w:rsid w:val="00EC6C26"/>
    <w:rsid w:val="00EC7DF8"/>
    <w:rsid w:val="00ED2873"/>
    <w:rsid w:val="00ED3B24"/>
    <w:rsid w:val="00ED7497"/>
    <w:rsid w:val="00EE45C7"/>
    <w:rsid w:val="00EF4A4C"/>
    <w:rsid w:val="00F03D32"/>
    <w:rsid w:val="00F06ABE"/>
    <w:rsid w:val="00F270F8"/>
    <w:rsid w:val="00F27576"/>
    <w:rsid w:val="00F36312"/>
    <w:rsid w:val="00F5082C"/>
    <w:rsid w:val="00F52CCB"/>
    <w:rsid w:val="00F52CD3"/>
    <w:rsid w:val="00F52E99"/>
    <w:rsid w:val="00F60DCB"/>
    <w:rsid w:val="00F80AAA"/>
    <w:rsid w:val="00F93BBA"/>
    <w:rsid w:val="00F95280"/>
    <w:rsid w:val="00FA662A"/>
    <w:rsid w:val="00FB0E0C"/>
    <w:rsid w:val="00FB1229"/>
    <w:rsid w:val="00FC44CE"/>
    <w:rsid w:val="00FD52B1"/>
    <w:rsid w:val="00FF0FC7"/>
    <w:rsid w:val="00FF3A66"/>
    <w:rsid w:val="00FF6977"/>
    <w:rsid w:val="0116709E"/>
    <w:rsid w:val="01606883"/>
    <w:rsid w:val="020D29B1"/>
    <w:rsid w:val="021F7DAD"/>
    <w:rsid w:val="0224444B"/>
    <w:rsid w:val="022D7429"/>
    <w:rsid w:val="02451328"/>
    <w:rsid w:val="027D25C0"/>
    <w:rsid w:val="02841565"/>
    <w:rsid w:val="02B3222E"/>
    <w:rsid w:val="02F63BA4"/>
    <w:rsid w:val="031D0871"/>
    <w:rsid w:val="03283281"/>
    <w:rsid w:val="03331487"/>
    <w:rsid w:val="034A64CB"/>
    <w:rsid w:val="039714E5"/>
    <w:rsid w:val="03BE392F"/>
    <w:rsid w:val="03E13A1E"/>
    <w:rsid w:val="04156ACE"/>
    <w:rsid w:val="042A5AFC"/>
    <w:rsid w:val="043D6DF1"/>
    <w:rsid w:val="043F2279"/>
    <w:rsid w:val="04417A7E"/>
    <w:rsid w:val="044865A2"/>
    <w:rsid w:val="046917C8"/>
    <w:rsid w:val="048D46D7"/>
    <w:rsid w:val="04A01243"/>
    <w:rsid w:val="04C27070"/>
    <w:rsid w:val="04E23C80"/>
    <w:rsid w:val="04FD6D0A"/>
    <w:rsid w:val="050751FC"/>
    <w:rsid w:val="05166806"/>
    <w:rsid w:val="052120A3"/>
    <w:rsid w:val="0529508C"/>
    <w:rsid w:val="053A30CA"/>
    <w:rsid w:val="057D25F0"/>
    <w:rsid w:val="05936339"/>
    <w:rsid w:val="05D76F02"/>
    <w:rsid w:val="062F7E7F"/>
    <w:rsid w:val="0650016B"/>
    <w:rsid w:val="06695ADA"/>
    <w:rsid w:val="067F52AB"/>
    <w:rsid w:val="068E5B46"/>
    <w:rsid w:val="06C06AFB"/>
    <w:rsid w:val="06E17425"/>
    <w:rsid w:val="06E81491"/>
    <w:rsid w:val="07081502"/>
    <w:rsid w:val="072046E3"/>
    <w:rsid w:val="07373C8C"/>
    <w:rsid w:val="074234A9"/>
    <w:rsid w:val="0747552D"/>
    <w:rsid w:val="07592C30"/>
    <w:rsid w:val="07791E20"/>
    <w:rsid w:val="078177D5"/>
    <w:rsid w:val="07924879"/>
    <w:rsid w:val="079C0E64"/>
    <w:rsid w:val="07D37D83"/>
    <w:rsid w:val="07D60F62"/>
    <w:rsid w:val="08621901"/>
    <w:rsid w:val="08911C02"/>
    <w:rsid w:val="08913549"/>
    <w:rsid w:val="08A302D0"/>
    <w:rsid w:val="08B53A61"/>
    <w:rsid w:val="08E76FD5"/>
    <w:rsid w:val="08FD20E7"/>
    <w:rsid w:val="09101BCD"/>
    <w:rsid w:val="09315C91"/>
    <w:rsid w:val="093D09BC"/>
    <w:rsid w:val="09423355"/>
    <w:rsid w:val="09510BFE"/>
    <w:rsid w:val="097E368B"/>
    <w:rsid w:val="09816EE6"/>
    <w:rsid w:val="099757EE"/>
    <w:rsid w:val="09A34824"/>
    <w:rsid w:val="09B85302"/>
    <w:rsid w:val="09B94936"/>
    <w:rsid w:val="09D26DBF"/>
    <w:rsid w:val="09F65854"/>
    <w:rsid w:val="0A07422F"/>
    <w:rsid w:val="0A1B49C1"/>
    <w:rsid w:val="0A3D0590"/>
    <w:rsid w:val="0A7416D8"/>
    <w:rsid w:val="0A8945EB"/>
    <w:rsid w:val="0B8674DE"/>
    <w:rsid w:val="0B883CE1"/>
    <w:rsid w:val="0BAC1F4C"/>
    <w:rsid w:val="0BBE4F63"/>
    <w:rsid w:val="0BD55995"/>
    <w:rsid w:val="0BDA530A"/>
    <w:rsid w:val="0C0247C0"/>
    <w:rsid w:val="0C3408BA"/>
    <w:rsid w:val="0C353302"/>
    <w:rsid w:val="0C496297"/>
    <w:rsid w:val="0C660E5E"/>
    <w:rsid w:val="0C8755D8"/>
    <w:rsid w:val="0C9A109E"/>
    <w:rsid w:val="0CA74D09"/>
    <w:rsid w:val="0CA9483B"/>
    <w:rsid w:val="0CC51217"/>
    <w:rsid w:val="0CCB1484"/>
    <w:rsid w:val="0D0A01F7"/>
    <w:rsid w:val="0D1F1C9D"/>
    <w:rsid w:val="0D735BCC"/>
    <w:rsid w:val="0D7C2119"/>
    <w:rsid w:val="0D8845A9"/>
    <w:rsid w:val="0D920730"/>
    <w:rsid w:val="0DCC104B"/>
    <w:rsid w:val="0DE33D9A"/>
    <w:rsid w:val="0E022677"/>
    <w:rsid w:val="0E064CB1"/>
    <w:rsid w:val="0E4706D1"/>
    <w:rsid w:val="0E4B6575"/>
    <w:rsid w:val="0E5C2643"/>
    <w:rsid w:val="0E63197E"/>
    <w:rsid w:val="0E6537C4"/>
    <w:rsid w:val="0E701E1B"/>
    <w:rsid w:val="0E750CB0"/>
    <w:rsid w:val="0E8E6882"/>
    <w:rsid w:val="0EE50D43"/>
    <w:rsid w:val="0F0377AE"/>
    <w:rsid w:val="0F0E6EE3"/>
    <w:rsid w:val="0F706416"/>
    <w:rsid w:val="0FCD5779"/>
    <w:rsid w:val="0FD03A0D"/>
    <w:rsid w:val="1030763E"/>
    <w:rsid w:val="10381F40"/>
    <w:rsid w:val="104869BA"/>
    <w:rsid w:val="10575CC4"/>
    <w:rsid w:val="10F47168"/>
    <w:rsid w:val="110264F1"/>
    <w:rsid w:val="1104198D"/>
    <w:rsid w:val="1105049E"/>
    <w:rsid w:val="115434FF"/>
    <w:rsid w:val="115D3896"/>
    <w:rsid w:val="11B62E53"/>
    <w:rsid w:val="12103D4D"/>
    <w:rsid w:val="12345EA5"/>
    <w:rsid w:val="124027F2"/>
    <w:rsid w:val="125A673E"/>
    <w:rsid w:val="12775E6D"/>
    <w:rsid w:val="12A01322"/>
    <w:rsid w:val="12AB0828"/>
    <w:rsid w:val="12B24E77"/>
    <w:rsid w:val="12E05DF5"/>
    <w:rsid w:val="133616DD"/>
    <w:rsid w:val="13582BF6"/>
    <w:rsid w:val="13583E3E"/>
    <w:rsid w:val="138356B4"/>
    <w:rsid w:val="13884680"/>
    <w:rsid w:val="13996DA4"/>
    <w:rsid w:val="13A56966"/>
    <w:rsid w:val="13A97E33"/>
    <w:rsid w:val="13B56A40"/>
    <w:rsid w:val="13D309B3"/>
    <w:rsid w:val="13EC3F05"/>
    <w:rsid w:val="13FF0438"/>
    <w:rsid w:val="14077D57"/>
    <w:rsid w:val="141A2ADF"/>
    <w:rsid w:val="14342819"/>
    <w:rsid w:val="14965811"/>
    <w:rsid w:val="14D92610"/>
    <w:rsid w:val="15001500"/>
    <w:rsid w:val="150115A9"/>
    <w:rsid w:val="154A25D7"/>
    <w:rsid w:val="15525604"/>
    <w:rsid w:val="156E5828"/>
    <w:rsid w:val="15842905"/>
    <w:rsid w:val="15B36E57"/>
    <w:rsid w:val="15B43A33"/>
    <w:rsid w:val="15C02CFA"/>
    <w:rsid w:val="15D02588"/>
    <w:rsid w:val="163004AD"/>
    <w:rsid w:val="164356BB"/>
    <w:rsid w:val="166F777C"/>
    <w:rsid w:val="169C21B8"/>
    <w:rsid w:val="169C6B59"/>
    <w:rsid w:val="16BB60A4"/>
    <w:rsid w:val="16D604C4"/>
    <w:rsid w:val="173A5387"/>
    <w:rsid w:val="17725C57"/>
    <w:rsid w:val="17755246"/>
    <w:rsid w:val="17800AEC"/>
    <w:rsid w:val="17F3464E"/>
    <w:rsid w:val="18245E40"/>
    <w:rsid w:val="182A0E16"/>
    <w:rsid w:val="182F01F9"/>
    <w:rsid w:val="186B461D"/>
    <w:rsid w:val="188B4950"/>
    <w:rsid w:val="18C50468"/>
    <w:rsid w:val="18C7387D"/>
    <w:rsid w:val="18C76564"/>
    <w:rsid w:val="19087A11"/>
    <w:rsid w:val="191B7534"/>
    <w:rsid w:val="196C6250"/>
    <w:rsid w:val="196E2C37"/>
    <w:rsid w:val="1974690A"/>
    <w:rsid w:val="19C072D3"/>
    <w:rsid w:val="1A25720B"/>
    <w:rsid w:val="1A510684"/>
    <w:rsid w:val="1A6171B2"/>
    <w:rsid w:val="1AA65F2A"/>
    <w:rsid w:val="1AA666F2"/>
    <w:rsid w:val="1ADC340E"/>
    <w:rsid w:val="1AED2C78"/>
    <w:rsid w:val="1AEF15D5"/>
    <w:rsid w:val="1B1F6B22"/>
    <w:rsid w:val="1B343FD0"/>
    <w:rsid w:val="1B356551"/>
    <w:rsid w:val="1B377F92"/>
    <w:rsid w:val="1B3E4ABA"/>
    <w:rsid w:val="1B9D2D2C"/>
    <w:rsid w:val="1BAB13EA"/>
    <w:rsid w:val="1BE02644"/>
    <w:rsid w:val="1BF27CE6"/>
    <w:rsid w:val="1BF57F17"/>
    <w:rsid w:val="1C13053F"/>
    <w:rsid w:val="1C162BF5"/>
    <w:rsid w:val="1C212DFA"/>
    <w:rsid w:val="1C3065A1"/>
    <w:rsid w:val="1C32514E"/>
    <w:rsid w:val="1C8449C2"/>
    <w:rsid w:val="1C8676F7"/>
    <w:rsid w:val="1C8B5EF5"/>
    <w:rsid w:val="1C9B7764"/>
    <w:rsid w:val="1C9C37E6"/>
    <w:rsid w:val="1CA3081A"/>
    <w:rsid w:val="1CB81673"/>
    <w:rsid w:val="1CEB7EC5"/>
    <w:rsid w:val="1D0A50BD"/>
    <w:rsid w:val="1D2A3DAB"/>
    <w:rsid w:val="1D46542E"/>
    <w:rsid w:val="1D6359BB"/>
    <w:rsid w:val="1D664936"/>
    <w:rsid w:val="1D71729C"/>
    <w:rsid w:val="1D981331"/>
    <w:rsid w:val="1DAB3C89"/>
    <w:rsid w:val="1DAE7561"/>
    <w:rsid w:val="1DC06E93"/>
    <w:rsid w:val="1DCC77C2"/>
    <w:rsid w:val="1DCF4890"/>
    <w:rsid w:val="1DFB57EB"/>
    <w:rsid w:val="1E0062C5"/>
    <w:rsid w:val="1E4F15C4"/>
    <w:rsid w:val="1E665E93"/>
    <w:rsid w:val="1E6D0B8E"/>
    <w:rsid w:val="1E740910"/>
    <w:rsid w:val="1E8A1B7B"/>
    <w:rsid w:val="1E93532B"/>
    <w:rsid w:val="1ED05FDD"/>
    <w:rsid w:val="1EDA4565"/>
    <w:rsid w:val="1EFD1EFB"/>
    <w:rsid w:val="1F0115E6"/>
    <w:rsid w:val="1F022AED"/>
    <w:rsid w:val="1F8B73B9"/>
    <w:rsid w:val="1F8F25D3"/>
    <w:rsid w:val="1FC0508F"/>
    <w:rsid w:val="1FD17519"/>
    <w:rsid w:val="1FDE37FF"/>
    <w:rsid w:val="1FE87CF6"/>
    <w:rsid w:val="20142293"/>
    <w:rsid w:val="202875D1"/>
    <w:rsid w:val="203B6405"/>
    <w:rsid w:val="204038CD"/>
    <w:rsid w:val="204042C4"/>
    <w:rsid w:val="204434A6"/>
    <w:rsid w:val="208E2CB0"/>
    <w:rsid w:val="20C7192F"/>
    <w:rsid w:val="20C94ACB"/>
    <w:rsid w:val="20CC6F0F"/>
    <w:rsid w:val="20F3606E"/>
    <w:rsid w:val="2117534C"/>
    <w:rsid w:val="213009EF"/>
    <w:rsid w:val="213D75BE"/>
    <w:rsid w:val="213F7AB1"/>
    <w:rsid w:val="217A33A1"/>
    <w:rsid w:val="21872636"/>
    <w:rsid w:val="218F2648"/>
    <w:rsid w:val="21AB5C9B"/>
    <w:rsid w:val="21B427AB"/>
    <w:rsid w:val="21BD46E0"/>
    <w:rsid w:val="220C7264"/>
    <w:rsid w:val="227C0C68"/>
    <w:rsid w:val="227D1F07"/>
    <w:rsid w:val="22AE5DFE"/>
    <w:rsid w:val="23025E80"/>
    <w:rsid w:val="235C31B0"/>
    <w:rsid w:val="23771974"/>
    <w:rsid w:val="23C16FD2"/>
    <w:rsid w:val="242C445B"/>
    <w:rsid w:val="247E04BE"/>
    <w:rsid w:val="248B6BF0"/>
    <w:rsid w:val="24975A35"/>
    <w:rsid w:val="24A451C8"/>
    <w:rsid w:val="24B0777F"/>
    <w:rsid w:val="24B80E3D"/>
    <w:rsid w:val="24BA3A6C"/>
    <w:rsid w:val="24C14262"/>
    <w:rsid w:val="24DB11B1"/>
    <w:rsid w:val="24DB1DC1"/>
    <w:rsid w:val="254579AD"/>
    <w:rsid w:val="25482804"/>
    <w:rsid w:val="25550995"/>
    <w:rsid w:val="25916749"/>
    <w:rsid w:val="25B15AD3"/>
    <w:rsid w:val="25E5097B"/>
    <w:rsid w:val="25ED1CE2"/>
    <w:rsid w:val="260366CA"/>
    <w:rsid w:val="26190B1E"/>
    <w:rsid w:val="261954E5"/>
    <w:rsid w:val="26B25A04"/>
    <w:rsid w:val="26E86A48"/>
    <w:rsid w:val="27101EDB"/>
    <w:rsid w:val="27145F2E"/>
    <w:rsid w:val="27450F96"/>
    <w:rsid w:val="274B7E0A"/>
    <w:rsid w:val="27A03254"/>
    <w:rsid w:val="27A230C5"/>
    <w:rsid w:val="27A851CF"/>
    <w:rsid w:val="27F6755B"/>
    <w:rsid w:val="2835156C"/>
    <w:rsid w:val="285E7742"/>
    <w:rsid w:val="285F589C"/>
    <w:rsid w:val="2860075F"/>
    <w:rsid w:val="288E7537"/>
    <w:rsid w:val="28D51CE9"/>
    <w:rsid w:val="28E0382C"/>
    <w:rsid w:val="28FB2940"/>
    <w:rsid w:val="2935387C"/>
    <w:rsid w:val="295642C7"/>
    <w:rsid w:val="29923BE6"/>
    <w:rsid w:val="29C74D12"/>
    <w:rsid w:val="29D70027"/>
    <w:rsid w:val="29DA51F1"/>
    <w:rsid w:val="29E4565C"/>
    <w:rsid w:val="2A0365EA"/>
    <w:rsid w:val="2A217644"/>
    <w:rsid w:val="2A5522DC"/>
    <w:rsid w:val="2A6D7AE4"/>
    <w:rsid w:val="2A716636"/>
    <w:rsid w:val="2A81126C"/>
    <w:rsid w:val="2A9A509F"/>
    <w:rsid w:val="2ABE75C5"/>
    <w:rsid w:val="2AC54EDF"/>
    <w:rsid w:val="2ACC5FDE"/>
    <w:rsid w:val="2ADE1592"/>
    <w:rsid w:val="2AE72478"/>
    <w:rsid w:val="2AFE6BB2"/>
    <w:rsid w:val="2AFF547A"/>
    <w:rsid w:val="2B0F5BE3"/>
    <w:rsid w:val="2B194010"/>
    <w:rsid w:val="2B1A0A86"/>
    <w:rsid w:val="2B4C581C"/>
    <w:rsid w:val="2B766889"/>
    <w:rsid w:val="2B8F7412"/>
    <w:rsid w:val="2BB62C14"/>
    <w:rsid w:val="2BB82208"/>
    <w:rsid w:val="2BC1544C"/>
    <w:rsid w:val="2BDB26FC"/>
    <w:rsid w:val="2BF25A55"/>
    <w:rsid w:val="2BF83122"/>
    <w:rsid w:val="2C4D4422"/>
    <w:rsid w:val="2C61592A"/>
    <w:rsid w:val="2CBB5258"/>
    <w:rsid w:val="2CF23348"/>
    <w:rsid w:val="2D0212AF"/>
    <w:rsid w:val="2D0721CE"/>
    <w:rsid w:val="2D282275"/>
    <w:rsid w:val="2D2D0FB8"/>
    <w:rsid w:val="2D5369A4"/>
    <w:rsid w:val="2D553E12"/>
    <w:rsid w:val="2D563294"/>
    <w:rsid w:val="2D572DE8"/>
    <w:rsid w:val="2D7657B0"/>
    <w:rsid w:val="2DA92533"/>
    <w:rsid w:val="2DC542FD"/>
    <w:rsid w:val="2E027319"/>
    <w:rsid w:val="2E740C9C"/>
    <w:rsid w:val="2E912614"/>
    <w:rsid w:val="2EB82B9B"/>
    <w:rsid w:val="2EDB211E"/>
    <w:rsid w:val="2EE064C9"/>
    <w:rsid w:val="2FAF734F"/>
    <w:rsid w:val="2FB74538"/>
    <w:rsid w:val="2FC85BC4"/>
    <w:rsid w:val="2FF16930"/>
    <w:rsid w:val="30255652"/>
    <w:rsid w:val="302A5959"/>
    <w:rsid w:val="305B0C4B"/>
    <w:rsid w:val="306F34C7"/>
    <w:rsid w:val="31024AE6"/>
    <w:rsid w:val="31232744"/>
    <w:rsid w:val="313F60CD"/>
    <w:rsid w:val="316C164E"/>
    <w:rsid w:val="31AC33EA"/>
    <w:rsid w:val="31B469D0"/>
    <w:rsid w:val="31D64F96"/>
    <w:rsid w:val="32017181"/>
    <w:rsid w:val="3202578C"/>
    <w:rsid w:val="326D3B31"/>
    <w:rsid w:val="327021FA"/>
    <w:rsid w:val="329C1DF0"/>
    <w:rsid w:val="329E2BA3"/>
    <w:rsid w:val="32AE7A75"/>
    <w:rsid w:val="32E032B1"/>
    <w:rsid w:val="32EF11A3"/>
    <w:rsid w:val="32EF2028"/>
    <w:rsid w:val="33011C41"/>
    <w:rsid w:val="333C6A3D"/>
    <w:rsid w:val="33644CFD"/>
    <w:rsid w:val="33774568"/>
    <w:rsid w:val="33A0028D"/>
    <w:rsid w:val="33A570FA"/>
    <w:rsid w:val="33D32C1C"/>
    <w:rsid w:val="33D92429"/>
    <w:rsid w:val="343B3818"/>
    <w:rsid w:val="343C1893"/>
    <w:rsid w:val="358526AE"/>
    <w:rsid w:val="35B43FF1"/>
    <w:rsid w:val="35B54B22"/>
    <w:rsid w:val="35C857D8"/>
    <w:rsid w:val="35DF0F8E"/>
    <w:rsid w:val="35E83CBD"/>
    <w:rsid w:val="35EF293B"/>
    <w:rsid w:val="35F13A2A"/>
    <w:rsid w:val="360453EB"/>
    <w:rsid w:val="361633A9"/>
    <w:rsid w:val="362C0965"/>
    <w:rsid w:val="36495F37"/>
    <w:rsid w:val="36523501"/>
    <w:rsid w:val="365B2DB7"/>
    <w:rsid w:val="366A6E58"/>
    <w:rsid w:val="37366041"/>
    <w:rsid w:val="373D0F4E"/>
    <w:rsid w:val="375D41E8"/>
    <w:rsid w:val="37625DAE"/>
    <w:rsid w:val="377717B0"/>
    <w:rsid w:val="379D7A74"/>
    <w:rsid w:val="37A03DDA"/>
    <w:rsid w:val="37DC389E"/>
    <w:rsid w:val="37E41DF1"/>
    <w:rsid w:val="37FC364E"/>
    <w:rsid w:val="38463090"/>
    <w:rsid w:val="3882116E"/>
    <w:rsid w:val="388234B9"/>
    <w:rsid w:val="38973473"/>
    <w:rsid w:val="38A56CC9"/>
    <w:rsid w:val="38C05F24"/>
    <w:rsid w:val="38D750B8"/>
    <w:rsid w:val="38EA0422"/>
    <w:rsid w:val="38F2240C"/>
    <w:rsid w:val="39171CC0"/>
    <w:rsid w:val="393F39C1"/>
    <w:rsid w:val="3941283A"/>
    <w:rsid w:val="395212E1"/>
    <w:rsid w:val="39976574"/>
    <w:rsid w:val="39A165F9"/>
    <w:rsid w:val="39A71695"/>
    <w:rsid w:val="39B72706"/>
    <w:rsid w:val="39C84E5A"/>
    <w:rsid w:val="39FA0921"/>
    <w:rsid w:val="3A3457E8"/>
    <w:rsid w:val="3A377697"/>
    <w:rsid w:val="3A3F0320"/>
    <w:rsid w:val="3A536E24"/>
    <w:rsid w:val="3A565A98"/>
    <w:rsid w:val="3A6A31B4"/>
    <w:rsid w:val="3A810ECA"/>
    <w:rsid w:val="3A871F8A"/>
    <w:rsid w:val="3AA31206"/>
    <w:rsid w:val="3AB57780"/>
    <w:rsid w:val="3AC65AD2"/>
    <w:rsid w:val="3ACC19C4"/>
    <w:rsid w:val="3ACF5A26"/>
    <w:rsid w:val="3B1B509F"/>
    <w:rsid w:val="3B3575B2"/>
    <w:rsid w:val="3B4764C1"/>
    <w:rsid w:val="3B54731C"/>
    <w:rsid w:val="3B67428D"/>
    <w:rsid w:val="3B713350"/>
    <w:rsid w:val="3B7A26BE"/>
    <w:rsid w:val="3BE767A5"/>
    <w:rsid w:val="3C1701DB"/>
    <w:rsid w:val="3C2E25AC"/>
    <w:rsid w:val="3C33699A"/>
    <w:rsid w:val="3C362F39"/>
    <w:rsid w:val="3C41291B"/>
    <w:rsid w:val="3C447C27"/>
    <w:rsid w:val="3C4E3440"/>
    <w:rsid w:val="3E225ED0"/>
    <w:rsid w:val="3E246184"/>
    <w:rsid w:val="3E29108F"/>
    <w:rsid w:val="3E763568"/>
    <w:rsid w:val="3EB341AB"/>
    <w:rsid w:val="3EC20226"/>
    <w:rsid w:val="3EC451E1"/>
    <w:rsid w:val="3EC47F80"/>
    <w:rsid w:val="3F1E63B0"/>
    <w:rsid w:val="3F2226EC"/>
    <w:rsid w:val="3F4530CB"/>
    <w:rsid w:val="3F601C75"/>
    <w:rsid w:val="3FAC6CE4"/>
    <w:rsid w:val="3FB04B06"/>
    <w:rsid w:val="3FDA48AC"/>
    <w:rsid w:val="4004626D"/>
    <w:rsid w:val="402A3DD6"/>
    <w:rsid w:val="402E363B"/>
    <w:rsid w:val="403A7A13"/>
    <w:rsid w:val="40883F9A"/>
    <w:rsid w:val="40A6403B"/>
    <w:rsid w:val="40C31767"/>
    <w:rsid w:val="40D11C13"/>
    <w:rsid w:val="40D14228"/>
    <w:rsid w:val="40D74EA2"/>
    <w:rsid w:val="40E32648"/>
    <w:rsid w:val="41344930"/>
    <w:rsid w:val="413F338F"/>
    <w:rsid w:val="415D3A83"/>
    <w:rsid w:val="419659D4"/>
    <w:rsid w:val="419B675D"/>
    <w:rsid w:val="419E7FFC"/>
    <w:rsid w:val="41A50FA5"/>
    <w:rsid w:val="41AF222E"/>
    <w:rsid w:val="41CC07BC"/>
    <w:rsid w:val="41DD5AAF"/>
    <w:rsid w:val="420569A4"/>
    <w:rsid w:val="4246080B"/>
    <w:rsid w:val="42CE24FD"/>
    <w:rsid w:val="42F302DD"/>
    <w:rsid w:val="43260C43"/>
    <w:rsid w:val="438034F8"/>
    <w:rsid w:val="4388321A"/>
    <w:rsid w:val="44114AB5"/>
    <w:rsid w:val="441A31FF"/>
    <w:rsid w:val="443F03D6"/>
    <w:rsid w:val="446A3759"/>
    <w:rsid w:val="446B4961"/>
    <w:rsid w:val="449428DA"/>
    <w:rsid w:val="45132E7E"/>
    <w:rsid w:val="45797DA1"/>
    <w:rsid w:val="45A046DF"/>
    <w:rsid w:val="45AB1A67"/>
    <w:rsid w:val="45B725A0"/>
    <w:rsid w:val="45D33008"/>
    <w:rsid w:val="45D53422"/>
    <w:rsid w:val="462E25CA"/>
    <w:rsid w:val="46303A17"/>
    <w:rsid w:val="465A58CC"/>
    <w:rsid w:val="46931FE6"/>
    <w:rsid w:val="46D637ED"/>
    <w:rsid w:val="46DD3F38"/>
    <w:rsid w:val="46F16F1D"/>
    <w:rsid w:val="46FD2CBF"/>
    <w:rsid w:val="47043456"/>
    <w:rsid w:val="472910BD"/>
    <w:rsid w:val="47553E8E"/>
    <w:rsid w:val="477C293C"/>
    <w:rsid w:val="47CA2F97"/>
    <w:rsid w:val="47D84675"/>
    <w:rsid w:val="47E17B3A"/>
    <w:rsid w:val="481379C4"/>
    <w:rsid w:val="481947FE"/>
    <w:rsid w:val="483B043E"/>
    <w:rsid w:val="486B0826"/>
    <w:rsid w:val="486B1D8E"/>
    <w:rsid w:val="48A93D74"/>
    <w:rsid w:val="48D139F6"/>
    <w:rsid w:val="48F56DD6"/>
    <w:rsid w:val="491916C6"/>
    <w:rsid w:val="49573AC8"/>
    <w:rsid w:val="49AA7971"/>
    <w:rsid w:val="49CF02A5"/>
    <w:rsid w:val="49D02457"/>
    <w:rsid w:val="49DC05BD"/>
    <w:rsid w:val="49FE240E"/>
    <w:rsid w:val="4A141151"/>
    <w:rsid w:val="4A2A25C2"/>
    <w:rsid w:val="4A316318"/>
    <w:rsid w:val="4A5950C6"/>
    <w:rsid w:val="4A643B84"/>
    <w:rsid w:val="4A777A6A"/>
    <w:rsid w:val="4AB663B6"/>
    <w:rsid w:val="4AC9062D"/>
    <w:rsid w:val="4AE52C42"/>
    <w:rsid w:val="4AF2187D"/>
    <w:rsid w:val="4AFC3953"/>
    <w:rsid w:val="4B1E385E"/>
    <w:rsid w:val="4B6870F9"/>
    <w:rsid w:val="4B6C2969"/>
    <w:rsid w:val="4BCF6DCB"/>
    <w:rsid w:val="4BD06B38"/>
    <w:rsid w:val="4BD52321"/>
    <w:rsid w:val="4BDF321A"/>
    <w:rsid w:val="4C0065CE"/>
    <w:rsid w:val="4C18241E"/>
    <w:rsid w:val="4C227943"/>
    <w:rsid w:val="4C4373DD"/>
    <w:rsid w:val="4C472142"/>
    <w:rsid w:val="4C5F22C4"/>
    <w:rsid w:val="4C6B6EBF"/>
    <w:rsid w:val="4C7D6CC5"/>
    <w:rsid w:val="4CDD603C"/>
    <w:rsid w:val="4D491763"/>
    <w:rsid w:val="4DC86CD0"/>
    <w:rsid w:val="4DD62C1F"/>
    <w:rsid w:val="4DF46D27"/>
    <w:rsid w:val="4E2B0DDC"/>
    <w:rsid w:val="4E367509"/>
    <w:rsid w:val="4E5211BA"/>
    <w:rsid w:val="4E90713C"/>
    <w:rsid w:val="4E9D1D1E"/>
    <w:rsid w:val="4EED09FA"/>
    <w:rsid w:val="4F0E0B1D"/>
    <w:rsid w:val="4F42646A"/>
    <w:rsid w:val="4F563CC4"/>
    <w:rsid w:val="4FBD41CA"/>
    <w:rsid w:val="4FD246D2"/>
    <w:rsid w:val="4FD37925"/>
    <w:rsid w:val="4FE15C85"/>
    <w:rsid w:val="50077D56"/>
    <w:rsid w:val="50131451"/>
    <w:rsid w:val="50831BFE"/>
    <w:rsid w:val="50B52FE4"/>
    <w:rsid w:val="50BF2E54"/>
    <w:rsid w:val="511356C3"/>
    <w:rsid w:val="51390BE4"/>
    <w:rsid w:val="51C804DE"/>
    <w:rsid w:val="51CF0D4C"/>
    <w:rsid w:val="51E12FF8"/>
    <w:rsid w:val="51E33826"/>
    <w:rsid w:val="51E71C22"/>
    <w:rsid w:val="520C6B50"/>
    <w:rsid w:val="52131FB2"/>
    <w:rsid w:val="522E62F3"/>
    <w:rsid w:val="52444BF1"/>
    <w:rsid w:val="524A190D"/>
    <w:rsid w:val="52A33960"/>
    <w:rsid w:val="52B476CE"/>
    <w:rsid w:val="52F47A95"/>
    <w:rsid w:val="531645CA"/>
    <w:rsid w:val="531F2A96"/>
    <w:rsid w:val="53262EC9"/>
    <w:rsid w:val="534E7990"/>
    <w:rsid w:val="53734149"/>
    <w:rsid w:val="53932760"/>
    <w:rsid w:val="539873E7"/>
    <w:rsid w:val="53B46D0C"/>
    <w:rsid w:val="53C0793C"/>
    <w:rsid w:val="54087353"/>
    <w:rsid w:val="54375044"/>
    <w:rsid w:val="544232E7"/>
    <w:rsid w:val="54557110"/>
    <w:rsid w:val="549661B6"/>
    <w:rsid w:val="54D24E79"/>
    <w:rsid w:val="5503429F"/>
    <w:rsid w:val="551027C6"/>
    <w:rsid w:val="552F7315"/>
    <w:rsid w:val="554B0FDD"/>
    <w:rsid w:val="55631D2D"/>
    <w:rsid w:val="55BA31FE"/>
    <w:rsid w:val="55BB1E97"/>
    <w:rsid w:val="55C8709D"/>
    <w:rsid w:val="560509A3"/>
    <w:rsid w:val="56050C0A"/>
    <w:rsid w:val="56250237"/>
    <w:rsid w:val="564569EB"/>
    <w:rsid w:val="56AB5944"/>
    <w:rsid w:val="56B37C4E"/>
    <w:rsid w:val="56F645A2"/>
    <w:rsid w:val="57024FAA"/>
    <w:rsid w:val="57214861"/>
    <w:rsid w:val="572B4616"/>
    <w:rsid w:val="57541EAD"/>
    <w:rsid w:val="576D2C98"/>
    <w:rsid w:val="577465D8"/>
    <w:rsid w:val="579062A5"/>
    <w:rsid w:val="57AE5029"/>
    <w:rsid w:val="57C23486"/>
    <w:rsid w:val="57D123D3"/>
    <w:rsid w:val="57FD3876"/>
    <w:rsid w:val="5807247D"/>
    <w:rsid w:val="58117CC1"/>
    <w:rsid w:val="582C3384"/>
    <w:rsid w:val="58624A55"/>
    <w:rsid w:val="58982347"/>
    <w:rsid w:val="59162EF2"/>
    <w:rsid w:val="59216A89"/>
    <w:rsid w:val="59462FFB"/>
    <w:rsid w:val="59A175DF"/>
    <w:rsid w:val="59B819C2"/>
    <w:rsid w:val="59C7668D"/>
    <w:rsid w:val="59F12F67"/>
    <w:rsid w:val="59FC4729"/>
    <w:rsid w:val="59FF697B"/>
    <w:rsid w:val="5A0B75E4"/>
    <w:rsid w:val="5A575BFF"/>
    <w:rsid w:val="5A77586F"/>
    <w:rsid w:val="5AA12CBD"/>
    <w:rsid w:val="5ACA65CD"/>
    <w:rsid w:val="5ACC7A53"/>
    <w:rsid w:val="5AE51758"/>
    <w:rsid w:val="5B462A80"/>
    <w:rsid w:val="5B581F93"/>
    <w:rsid w:val="5B6B529B"/>
    <w:rsid w:val="5BA87F9D"/>
    <w:rsid w:val="5BB250E2"/>
    <w:rsid w:val="5BB3320D"/>
    <w:rsid w:val="5BC31A45"/>
    <w:rsid w:val="5BC772C9"/>
    <w:rsid w:val="5BF50377"/>
    <w:rsid w:val="5C465FA2"/>
    <w:rsid w:val="5C544090"/>
    <w:rsid w:val="5C545A2F"/>
    <w:rsid w:val="5C726BB6"/>
    <w:rsid w:val="5C7322D1"/>
    <w:rsid w:val="5CEF4070"/>
    <w:rsid w:val="5CFC28A8"/>
    <w:rsid w:val="5D246FFC"/>
    <w:rsid w:val="5D36426B"/>
    <w:rsid w:val="5D850B71"/>
    <w:rsid w:val="5DDA696A"/>
    <w:rsid w:val="5E410FFD"/>
    <w:rsid w:val="5E544606"/>
    <w:rsid w:val="5E8E05EA"/>
    <w:rsid w:val="5EDF3CD6"/>
    <w:rsid w:val="5EFB61FA"/>
    <w:rsid w:val="5F2C7D02"/>
    <w:rsid w:val="5F31206E"/>
    <w:rsid w:val="5F7663E9"/>
    <w:rsid w:val="5F8C0D83"/>
    <w:rsid w:val="5FB656F9"/>
    <w:rsid w:val="5FBC2CFA"/>
    <w:rsid w:val="5FC53466"/>
    <w:rsid w:val="5FD13015"/>
    <w:rsid w:val="5FF56DB4"/>
    <w:rsid w:val="60190EE3"/>
    <w:rsid w:val="601D48F2"/>
    <w:rsid w:val="601E31F8"/>
    <w:rsid w:val="602832C7"/>
    <w:rsid w:val="603D1F50"/>
    <w:rsid w:val="603F673E"/>
    <w:rsid w:val="605467C6"/>
    <w:rsid w:val="60D605A1"/>
    <w:rsid w:val="60E92286"/>
    <w:rsid w:val="60EA5239"/>
    <w:rsid w:val="612C537D"/>
    <w:rsid w:val="61464F6C"/>
    <w:rsid w:val="61515A7F"/>
    <w:rsid w:val="61633E93"/>
    <w:rsid w:val="61A4558D"/>
    <w:rsid w:val="61C32B70"/>
    <w:rsid w:val="61D54EA8"/>
    <w:rsid w:val="61E045CD"/>
    <w:rsid w:val="61E23930"/>
    <w:rsid w:val="62016875"/>
    <w:rsid w:val="623E052A"/>
    <w:rsid w:val="628B7263"/>
    <w:rsid w:val="62902D58"/>
    <w:rsid w:val="62AE4BDA"/>
    <w:rsid w:val="62C97640"/>
    <w:rsid w:val="62CA5500"/>
    <w:rsid w:val="62D27C48"/>
    <w:rsid w:val="6307315E"/>
    <w:rsid w:val="63184211"/>
    <w:rsid w:val="631B5AD9"/>
    <w:rsid w:val="635514AC"/>
    <w:rsid w:val="635C575B"/>
    <w:rsid w:val="63672302"/>
    <w:rsid w:val="636863CF"/>
    <w:rsid w:val="63715219"/>
    <w:rsid w:val="63752C12"/>
    <w:rsid w:val="638C1080"/>
    <w:rsid w:val="63981C15"/>
    <w:rsid w:val="63B413CF"/>
    <w:rsid w:val="63D4721A"/>
    <w:rsid w:val="63FF6C27"/>
    <w:rsid w:val="6405263C"/>
    <w:rsid w:val="642454D9"/>
    <w:rsid w:val="6434581E"/>
    <w:rsid w:val="6464336B"/>
    <w:rsid w:val="65360BCA"/>
    <w:rsid w:val="653C5193"/>
    <w:rsid w:val="65501489"/>
    <w:rsid w:val="655C7828"/>
    <w:rsid w:val="65735178"/>
    <w:rsid w:val="658B4967"/>
    <w:rsid w:val="65CB1350"/>
    <w:rsid w:val="66330E7B"/>
    <w:rsid w:val="66351622"/>
    <w:rsid w:val="665A2304"/>
    <w:rsid w:val="66701036"/>
    <w:rsid w:val="669C6349"/>
    <w:rsid w:val="66A80AC6"/>
    <w:rsid w:val="66F81190"/>
    <w:rsid w:val="67144976"/>
    <w:rsid w:val="67202357"/>
    <w:rsid w:val="67603F26"/>
    <w:rsid w:val="67BE7FD4"/>
    <w:rsid w:val="67D3264E"/>
    <w:rsid w:val="67D63720"/>
    <w:rsid w:val="67EC027D"/>
    <w:rsid w:val="68024DD3"/>
    <w:rsid w:val="680F332B"/>
    <w:rsid w:val="6832253F"/>
    <w:rsid w:val="685C3C4D"/>
    <w:rsid w:val="687102AD"/>
    <w:rsid w:val="68724B40"/>
    <w:rsid w:val="68902798"/>
    <w:rsid w:val="69045C63"/>
    <w:rsid w:val="690C7142"/>
    <w:rsid w:val="69412846"/>
    <w:rsid w:val="695907E9"/>
    <w:rsid w:val="6964290E"/>
    <w:rsid w:val="698304CD"/>
    <w:rsid w:val="69932BAE"/>
    <w:rsid w:val="69A16FDB"/>
    <w:rsid w:val="69BA6060"/>
    <w:rsid w:val="69ED5B2B"/>
    <w:rsid w:val="6A223F21"/>
    <w:rsid w:val="6A4771F0"/>
    <w:rsid w:val="6A641277"/>
    <w:rsid w:val="6A985E45"/>
    <w:rsid w:val="6AAD0001"/>
    <w:rsid w:val="6ACC3B62"/>
    <w:rsid w:val="6AE30427"/>
    <w:rsid w:val="6AF92316"/>
    <w:rsid w:val="6B1B05C6"/>
    <w:rsid w:val="6B35684E"/>
    <w:rsid w:val="6B5775BA"/>
    <w:rsid w:val="6B6C1D6A"/>
    <w:rsid w:val="6B706DFD"/>
    <w:rsid w:val="6B735145"/>
    <w:rsid w:val="6B76701F"/>
    <w:rsid w:val="6BA77CA7"/>
    <w:rsid w:val="6BAA63F6"/>
    <w:rsid w:val="6BB64940"/>
    <w:rsid w:val="6BBA5ABD"/>
    <w:rsid w:val="6BC04151"/>
    <w:rsid w:val="6BFF6B53"/>
    <w:rsid w:val="6C161EDD"/>
    <w:rsid w:val="6C17534B"/>
    <w:rsid w:val="6C52384A"/>
    <w:rsid w:val="6C5F577B"/>
    <w:rsid w:val="6C5F6B13"/>
    <w:rsid w:val="6C831486"/>
    <w:rsid w:val="6C8C7141"/>
    <w:rsid w:val="6C903E5F"/>
    <w:rsid w:val="6C92595F"/>
    <w:rsid w:val="6CA31D11"/>
    <w:rsid w:val="6CE513BE"/>
    <w:rsid w:val="6CEE595E"/>
    <w:rsid w:val="6CF82160"/>
    <w:rsid w:val="6D094BFA"/>
    <w:rsid w:val="6D1D7324"/>
    <w:rsid w:val="6D283EB3"/>
    <w:rsid w:val="6D476F5C"/>
    <w:rsid w:val="6D524D35"/>
    <w:rsid w:val="6D631E8B"/>
    <w:rsid w:val="6DA45721"/>
    <w:rsid w:val="6DEF5724"/>
    <w:rsid w:val="6E2D7396"/>
    <w:rsid w:val="6E977E1E"/>
    <w:rsid w:val="6E9A083E"/>
    <w:rsid w:val="6F1013D6"/>
    <w:rsid w:val="6F1830F3"/>
    <w:rsid w:val="6F2C4E6B"/>
    <w:rsid w:val="6F7502BE"/>
    <w:rsid w:val="6F8E346E"/>
    <w:rsid w:val="6F922D77"/>
    <w:rsid w:val="6FA85985"/>
    <w:rsid w:val="6FD7718C"/>
    <w:rsid w:val="6FEA2DEF"/>
    <w:rsid w:val="70231C9D"/>
    <w:rsid w:val="704116AB"/>
    <w:rsid w:val="70411BFE"/>
    <w:rsid w:val="704768DE"/>
    <w:rsid w:val="707B5C7D"/>
    <w:rsid w:val="708C386D"/>
    <w:rsid w:val="7093353E"/>
    <w:rsid w:val="70A25D2A"/>
    <w:rsid w:val="70EC15F1"/>
    <w:rsid w:val="70F606D1"/>
    <w:rsid w:val="70FC4273"/>
    <w:rsid w:val="710C3141"/>
    <w:rsid w:val="71104E62"/>
    <w:rsid w:val="713927A1"/>
    <w:rsid w:val="71426CAF"/>
    <w:rsid w:val="719525E5"/>
    <w:rsid w:val="71C43EDF"/>
    <w:rsid w:val="71D12B7B"/>
    <w:rsid w:val="72047D57"/>
    <w:rsid w:val="72075E88"/>
    <w:rsid w:val="7254510E"/>
    <w:rsid w:val="72563FB1"/>
    <w:rsid w:val="726E28BC"/>
    <w:rsid w:val="729701F7"/>
    <w:rsid w:val="72C13435"/>
    <w:rsid w:val="7332304C"/>
    <w:rsid w:val="733B0345"/>
    <w:rsid w:val="73460DCF"/>
    <w:rsid w:val="736F51CC"/>
    <w:rsid w:val="737547B1"/>
    <w:rsid w:val="73765DF7"/>
    <w:rsid w:val="739C093C"/>
    <w:rsid w:val="739D0315"/>
    <w:rsid w:val="73C42DF2"/>
    <w:rsid w:val="73CE4F10"/>
    <w:rsid w:val="73DE0BF4"/>
    <w:rsid w:val="73EF72A5"/>
    <w:rsid w:val="73F97190"/>
    <w:rsid w:val="740166CA"/>
    <w:rsid w:val="741606DE"/>
    <w:rsid w:val="746B4618"/>
    <w:rsid w:val="746F2FAE"/>
    <w:rsid w:val="748E187D"/>
    <w:rsid w:val="749173C8"/>
    <w:rsid w:val="74F727ED"/>
    <w:rsid w:val="75395A4F"/>
    <w:rsid w:val="75A62599"/>
    <w:rsid w:val="75C718AC"/>
    <w:rsid w:val="75E5168E"/>
    <w:rsid w:val="75E65018"/>
    <w:rsid w:val="75E6534A"/>
    <w:rsid w:val="75FD7923"/>
    <w:rsid w:val="764536B8"/>
    <w:rsid w:val="764C1E95"/>
    <w:rsid w:val="765340BE"/>
    <w:rsid w:val="76600B0B"/>
    <w:rsid w:val="769D4729"/>
    <w:rsid w:val="76EC025F"/>
    <w:rsid w:val="77104195"/>
    <w:rsid w:val="7713446B"/>
    <w:rsid w:val="77532B5B"/>
    <w:rsid w:val="777C610E"/>
    <w:rsid w:val="77A72B49"/>
    <w:rsid w:val="77BA48A1"/>
    <w:rsid w:val="77EA45C3"/>
    <w:rsid w:val="77F3515D"/>
    <w:rsid w:val="77F537AF"/>
    <w:rsid w:val="78427D95"/>
    <w:rsid w:val="789B3619"/>
    <w:rsid w:val="78BC2A26"/>
    <w:rsid w:val="78CE3373"/>
    <w:rsid w:val="78EA06B1"/>
    <w:rsid w:val="79303653"/>
    <w:rsid w:val="79332894"/>
    <w:rsid w:val="79432FDA"/>
    <w:rsid w:val="794E031B"/>
    <w:rsid w:val="796340FE"/>
    <w:rsid w:val="79F651E3"/>
    <w:rsid w:val="7A3D1254"/>
    <w:rsid w:val="7A4A0DFD"/>
    <w:rsid w:val="7A552236"/>
    <w:rsid w:val="7A735659"/>
    <w:rsid w:val="7A7E0068"/>
    <w:rsid w:val="7AB60141"/>
    <w:rsid w:val="7AB7745D"/>
    <w:rsid w:val="7AC17447"/>
    <w:rsid w:val="7AD70C9B"/>
    <w:rsid w:val="7ADA5B3C"/>
    <w:rsid w:val="7B4531F1"/>
    <w:rsid w:val="7B4D07FD"/>
    <w:rsid w:val="7BAB3DF5"/>
    <w:rsid w:val="7BD26364"/>
    <w:rsid w:val="7BDB29F1"/>
    <w:rsid w:val="7C2F53CB"/>
    <w:rsid w:val="7C3A3603"/>
    <w:rsid w:val="7C461D0D"/>
    <w:rsid w:val="7C485C63"/>
    <w:rsid w:val="7CA834CE"/>
    <w:rsid w:val="7CB9036C"/>
    <w:rsid w:val="7D047631"/>
    <w:rsid w:val="7D3475DB"/>
    <w:rsid w:val="7D771F95"/>
    <w:rsid w:val="7D872965"/>
    <w:rsid w:val="7D942460"/>
    <w:rsid w:val="7DBB0F77"/>
    <w:rsid w:val="7DDD5D1F"/>
    <w:rsid w:val="7E0B3754"/>
    <w:rsid w:val="7E3C4D54"/>
    <w:rsid w:val="7E563F68"/>
    <w:rsid w:val="7E7C4C45"/>
    <w:rsid w:val="7EC40A24"/>
    <w:rsid w:val="7F565CF2"/>
    <w:rsid w:val="7F5E434B"/>
    <w:rsid w:val="7F5F072D"/>
    <w:rsid w:val="7F711C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28"/>
    <w:autoRedefine/>
    <w:qFormat/>
    <w:uiPriority w:val="0"/>
    <w:pPr>
      <w:keepNext/>
      <w:jc w:val="center"/>
      <w:outlineLvl w:val="0"/>
    </w:pPr>
    <w:rPr>
      <w:rFonts w:eastAsia="黑体"/>
      <w:b/>
      <w:sz w:val="32"/>
      <w:szCs w:val="20"/>
    </w:rPr>
  </w:style>
  <w:style w:type="paragraph" w:styleId="4">
    <w:name w:val="heading 2"/>
    <w:basedOn w:val="1"/>
    <w:next w:val="1"/>
    <w:link w:val="66"/>
    <w:autoRedefine/>
    <w:qFormat/>
    <w:uiPriority w:val="0"/>
    <w:pPr>
      <w:keepNext/>
      <w:outlineLvl w:val="1"/>
    </w:pPr>
    <w:rPr>
      <w:rFonts w:ascii="仿宋_GB2312"/>
      <w:b/>
      <w:sz w:val="28"/>
      <w:szCs w:val="32"/>
    </w:rPr>
  </w:style>
  <w:style w:type="paragraph" w:styleId="5">
    <w:name w:val="heading 3"/>
    <w:basedOn w:val="1"/>
    <w:next w:val="1"/>
    <w:link w:val="151"/>
    <w:autoRedefine/>
    <w:qFormat/>
    <w:uiPriority w:val="0"/>
    <w:pPr>
      <w:keepNext/>
      <w:keepLines/>
      <w:spacing w:line="540" w:lineRule="atLeast"/>
      <w:outlineLvl w:val="2"/>
    </w:pPr>
    <w:rPr>
      <w:rFonts w:eastAsia="黑体"/>
      <w:b/>
      <w:sz w:val="28"/>
      <w:szCs w:val="20"/>
    </w:rPr>
  </w:style>
  <w:style w:type="paragraph" w:styleId="6">
    <w:name w:val="heading 4"/>
    <w:basedOn w:val="1"/>
    <w:next w:val="1"/>
    <w:link w:val="148"/>
    <w:autoRedefine/>
    <w:qFormat/>
    <w:uiPriority w:val="0"/>
    <w:pPr>
      <w:keepNext/>
      <w:keepLines/>
      <w:spacing w:line="540" w:lineRule="atLeast"/>
      <w:outlineLvl w:val="3"/>
    </w:pPr>
    <w:rPr>
      <w:sz w:val="28"/>
      <w:szCs w:val="28"/>
    </w:rPr>
  </w:style>
  <w:style w:type="paragraph" w:styleId="7">
    <w:name w:val="heading 5"/>
    <w:basedOn w:val="1"/>
    <w:next w:val="1"/>
    <w:link w:val="131"/>
    <w:autoRedefine/>
    <w:qFormat/>
    <w:uiPriority w:val="0"/>
    <w:pPr>
      <w:keepNext/>
      <w:keepLines/>
      <w:spacing w:before="280" w:after="290" w:line="372" w:lineRule="auto"/>
      <w:outlineLvl w:val="4"/>
    </w:pPr>
    <w:rPr>
      <w:b/>
      <w:bCs/>
      <w:kern w:val="0"/>
      <w:sz w:val="28"/>
      <w:szCs w:val="28"/>
    </w:rPr>
  </w:style>
  <w:style w:type="paragraph" w:styleId="8">
    <w:name w:val="heading 6"/>
    <w:basedOn w:val="1"/>
    <w:next w:val="9"/>
    <w:link w:val="172"/>
    <w:autoRedefine/>
    <w:qFormat/>
    <w:uiPriority w:val="0"/>
    <w:pPr>
      <w:keepNext/>
      <w:keepLines/>
      <w:spacing w:before="240" w:after="64" w:line="317" w:lineRule="auto"/>
      <w:outlineLvl w:val="5"/>
    </w:pPr>
    <w:rPr>
      <w:rFonts w:ascii="Arial" w:hAnsi="Arial" w:eastAsia="黑体"/>
      <w:b/>
      <w:sz w:val="24"/>
      <w:szCs w:val="20"/>
    </w:rPr>
  </w:style>
  <w:style w:type="paragraph" w:styleId="10">
    <w:name w:val="heading 7"/>
    <w:basedOn w:val="1"/>
    <w:next w:val="9"/>
    <w:link w:val="69"/>
    <w:autoRedefine/>
    <w:qFormat/>
    <w:uiPriority w:val="0"/>
    <w:pPr>
      <w:keepNext/>
      <w:keepLines/>
      <w:spacing w:before="240" w:after="64" w:line="317" w:lineRule="auto"/>
      <w:outlineLvl w:val="6"/>
    </w:pPr>
    <w:rPr>
      <w:b/>
      <w:sz w:val="24"/>
      <w:szCs w:val="20"/>
    </w:rPr>
  </w:style>
  <w:style w:type="paragraph" w:styleId="11">
    <w:name w:val="heading 8"/>
    <w:basedOn w:val="1"/>
    <w:next w:val="9"/>
    <w:link w:val="175"/>
    <w:autoRedefine/>
    <w:qFormat/>
    <w:uiPriority w:val="0"/>
    <w:pPr>
      <w:keepNext/>
      <w:keepLines/>
      <w:spacing w:before="240" w:after="64" w:line="317" w:lineRule="auto"/>
      <w:outlineLvl w:val="7"/>
    </w:pPr>
    <w:rPr>
      <w:rFonts w:ascii="Arial" w:hAnsi="Arial" w:eastAsia="黑体"/>
      <w:sz w:val="24"/>
      <w:szCs w:val="20"/>
    </w:rPr>
  </w:style>
  <w:style w:type="paragraph" w:styleId="12">
    <w:name w:val="heading 9"/>
    <w:basedOn w:val="1"/>
    <w:next w:val="9"/>
    <w:link w:val="162"/>
    <w:autoRedefine/>
    <w:qFormat/>
    <w:uiPriority w:val="0"/>
    <w:pPr>
      <w:keepNext/>
      <w:keepLines/>
      <w:spacing w:before="240" w:after="64" w:line="317" w:lineRule="auto"/>
      <w:outlineLvl w:val="8"/>
    </w:pPr>
    <w:rPr>
      <w:rFonts w:ascii="Arial" w:hAnsi="Arial" w:eastAsia="黑体"/>
      <w:szCs w:val="20"/>
    </w:rPr>
  </w:style>
  <w:style w:type="character" w:default="1" w:styleId="54">
    <w:name w:val="Default Paragraph Font"/>
    <w:autoRedefine/>
    <w:semiHidden/>
    <w:unhideWhenUsed/>
    <w:qFormat/>
    <w:uiPriority w:val="1"/>
  </w:style>
  <w:style w:type="table" w:default="1" w:styleId="52">
    <w:name w:val="Normal Table"/>
    <w:autoRedefine/>
    <w:semiHidden/>
    <w:unhideWhenUsed/>
    <w:qFormat/>
    <w:uiPriority w:val="99"/>
    <w:tblPr>
      <w:tblCellMar>
        <w:top w:w="0" w:type="dxa"/>
        <w:left w:w="108" w:type="dxa"/>
        <w:bottom w:w="0" w:type="dxa"/>
        <w:right w:w="108" w:type="dxa"/>
      </w:tblCellMar>
    </w:tblPr>
  </w:style>
  <w:style w:type="paragraph" w:styleId="2">
    <w:name w:val="macro"/>
    <w:link w:val="117"/>
    <w:autoRedefine/>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Times New Roman" w:cs="Times New Roman"/>
      <w:kern w:val="2"/>
      <w:sz w:val="24"/>
      <w:szCs w:val="24"/>
      <w:lang w:val="en-US" w:eastAsia="zh-CN" w:bidi="ar-SA"/>
    </w:rPr>
  </w:style>
  <w:style w:type="paragraph" w:styleId="9">
    <w:name w:val="Normal Indent"/>
    <w:basedOn w:val="1"/>
    <w:next w:val="1"/>
    <w:link w:val="104"/>
    <w:autoRedefine/>
    <w:qFormat/>
    <w:uiPriority w:val="0"/>
    <w:pPr>
      <w:adjustRightInd w:val="0"/>
      <w:spacing w:line="312" w:lineRule="atLeast"/>
      <w:ind w:firstLine="420"/>
      <w:textAlignment w:val="baseline"/>
    </w:pPr>
    <w:rPr>
      <w:rFonts w:ascii="仿宋_GB2312"/>
      <w:b/>
      <w:kern w:val="0"/>
      <w:szCs w:val="32"/>
    </w:rPr>
  </w:style>
  <w:style w:type="paragraph" w:styleId="13">
    <w:name w:val="toc 7"/>
    <w:basedOn w:val="1"/>
    <w:next w:val="1"/>
    <w:autoRedefine/>
    <w:qFormat/>
    <w:uiPriority w:val="0"/>
    <w:pPr>
      <w:autoSpaceDE w:val="0"/>
      <w:autoSpaceDN w:val="0"/>
      <w:adjustRightInd w:val="0"/>
      <w:ind w:left="2520" w:leftChars="1200"/>
      <w:jc w:val="left"/>
    </w:pPr>
    <w:rPr>
      <w:kern w:val="0"/>
      <w:sz w:val="20"/>
      <w:szCs w:val="20"/>
    </w:rPr>
  </w:style>
  <w:style w:type="paragraph" w:styleId="14">
    <w:name w:val="List Number"/>
    <w:basedOn w:val="1"/>
    <w:autoRedefine/>
    <w:qFormat/>
    <w:uiPriority w:val="0"/>
    <w:pPr>
      <w:tabs>
        <w:tab w:val="left" w:pos="360"/>
      </w:tabs>
      <w:ind w:left="360" w:hanging="360" w:hangingChars="200"/>
    </w:pPr>
  </w:style>
  <w:style w:type="paragraph" w:styleId="15">
    <w:name w:val="caption"/>
    <w:basedOn w:val="1"/>
    <w:next w:val="1"/>
    <w:autoRedefine/>
    <w:qFormat/>
    <w:uiPriority w:val="0"/>
    <w:pPr>
      <w:autoSpaceDE w:val="0"/>
      <w:autoSpaceDN w:val="0"/>
      <w:adjustRightInd w:val="0"/>
      <w:jc w:val="left"/>
    </w:pPr>
    <w:rPr>
      <w:rFonts w:ascii="Arial" w:hAnsi="Arial" w:eastAsia="黑体" w:cs="Arial"/>
      <w:kern w:val="0"/>
      <w:sz w:val="20"/>
      <w:szCs w:val="20"/>
    </w:rPr>
  </w:style>
  <w:style w:type="paragraph" w:styleId="16">
    <w:name w:val="List Bullet"/>
    <w:basedOn w:val="1"/>
    <w:autoRedefine/>
    <w:qFormat/>
    <w:uiPriority w:val="0"/>
    <w:pPr>
      <w:tabs>
        <w:tab w:val="left" w:pos="360"/>
      </w:tabs>
    </w:pPr>
    <w:rPr>
      <w:rFonts w:ascii="Calibri" w:hAnsi="Calibri"/>
      <w:szCs w:val="22"/>
    </w:rPr>
  </w:style>
  <w:style w:type="paragraph" w:styleId="17">
    <w:name w:val="Document Map"/>
    <w:basedOn w:val="1"/>
    <w:link w:val="130"/>
    <w:autoRedefine/>
    <w:qFormat/>
    <w:uiPriority w:val="0"/>
    <w:pPr>
      <w:shd w:val="clear" w:color="auto" w:fill="000080"/>
    </w:pPr>
  </w:style>
  <w:style w:type="paragraph" w:styleId="18">
    <w:name w:val="annotation text"/>
    <w:basedOn w:val="1"/>
    <w:link w:val="90"/>
    <w:autoRedefine/>
    <w:qFormat/>
    <w:uiPriority w:val="0"/>
    <w:pPr>
      <w:jc w:val="left"/>
    </w:pPr>
  </w:style>
  <w:style w:type="paragraph" w:styleId="19">
    <w:name w:val="Salutation"/>
    <w:basedOn w:val="1"/>
    <w:next w:val="1"/>
    <w:link w:val="78"/>
    <w:autoRedefine/>
    <w:qFormat/>
    <w:uiPriority w:val="0"/>
    <w:pPr>
      <w:tabs>
        <w:tab w:val="left" w:pos="840"/>
      </w:tabs>
      <w:autoSpaceDE w:val="0"/>
      <w:autoSpaceDN w:val="0"/>
      <w:adjustRightInd w:val="0"/>
      <w:jc w:val="left"/>
    </w:pPr>
    <w:rPr>
      <w:rFonts w:ascii="仿宋_GB2312" w:eastAsia="仿宋_GB2312"/>
      <w:b/>
      <w:kern w:val="0"/>
      <w:sz w:val="24"/>
      <w:szCs w:val="32"/>
    </w:rPr>
  </w:style>
  <w:style w:type="paragraph" w:styleId="20">
    <w:name w:val="Body Text 3"/>
    <w:basedOn w:val="1"/>
    <w:link w:val="94"/>
    <w:autoRedefine/>
    <w:qFormat/>
    <w:uiPriority w:val="0"/>
    <w:pPr>
      <w:autoSpaceDE w:val="0"/>
      <w:autoSpaceDN w:val="0"/>
      <w:adjustRightInd w:val="0"/>
      <w:jc w:val="center"/>
    </w:pPr>
  </w:style>
  <w:style w:type="paragraph" w:styleId="21">
    <w:name w:val="Body Text"/>
    <w:basedOn w:val="1"/>
    <w:next w:val="1"/>
    <w:link w:val="163"/>
    <w:autoRedefine/>
    <w:qFormat/>
    <w:uiPriority w:val="0"/>
    <w:pPr>
      <w:spacing w:after="120"/>
    </w:pPr>
    <w:rPr>
      <w:rFonts w:ascii="仿宋_GB2312"/>
      <w:b/>
    </w:rPr>
  </w:style>
  <w:style w:type="paragraph" w:styleId="22">
    <w:name w:val="Body Text Indent"/>
    <w:basedOn w:val="1"/>
    <w:link w:val="143"/>
    <w:autoRedefine/>
    <w:qFormat/>
    <w:uiPriority w:val="0"/>
    <w:pPr>
      <w:ind w:left="480" w:hanging="480" w:hangingChars="200"/>
    </w:pPr>
    <w:rPr>
      <w:sz w:val="24"/>
    </w:rPr>
  </w:style>
  <w:style w:type="paragraph" w:styleId="23">
    <w:name w:val="List Number 3"/>
    <w:basedOn w:val="1"/>
    <w:autoRedefine/>
    <w:qFormat/>
    <w:uiPriority w:val="0"/>
    <w:pPr>
      <w:tabs>
        <w:tab w:val="left" w:pos="1200"/>
      </w:tabs>
      <w:ind w:left="1200" w:leftChars="400" w:hanging="360" w:hangingChars="200"/>
    </w:pPr>
  </w:style>
  <w:style w:type="paragraph" w:styleId="24">
    <w:name w:val="Block Text"/>
    <w:basedOn w:val="1"/>
    <w:autoRedefine/>
    <w:qFormat/>
    <w:uiPriority w:val="0"/>
    <w:pPr>
      <w:spacing w:line="520" w:lineRule="exact"/>
      <w:ind w:left="540" w:leftChars="257" w:right="-514"/>
    </w:pPr>
    <w:rPr>
      <w:rFonts w:ascii="宋体" w:hAnsi="宋体"/>
      <w:sz w:val="24"/>
    </w:rPr>
  </w:style>
  <w:style w:type="paragraph" w:styleId="25">
    <w:name w:val="List Bullet 2"/>
    <w:basedOn w:val="1"/>
    <w:autoRedefine/>
    <w:qFormat/>
    <w:uiPriority w:val="0"/>
    <w:pPr>
      <w:tabs>
        <w:tab w:val="left" w:pos="780"/>
      </w:tabs>
      <w:spacing w:line="360" w:lineRule="auto"/>
      <w:ind w:left="780" w:leftChars="200" w:hanging="360" w:hangingChars="200"/>
    </w:pPr>
  </w:style>
  <w:style w:type="paragraph" w:styleId="26">
    <w:name w:val="toc 5"/>
    <w:basedOn w:val="1"/>
    <w:next w:val="1"/>
    <w:autoRedefine/>
    <w:qFormat/>
    <w:uiPriority w:val="0"/>
    <w:pPr>
      <w:autoSpaceDE w:val="0"/>
      <w:autoSpaceDN w:val="0"/>
      <w:adjustRightInd w:val="0"/>
      <w:ind w:left="1680" w:leftChars="800"/>
      <w:jc w:val="left"/>
    </w:pPr>
    <w:rPr>
      <w:kern w:val="0"/>
      <w:sz w:val="20"/>
      <w:szCs w:val="20"/>
    </w:rPr>
  </w:style>
  <w:style w:type="paragraph" w:styleId="27">
    <w:name w:val="toc 3"/>
    <w:basedOn w:val="1"/>
    <w:next w:val="1"/>
    <w:autoRedefine/>
    <w:qFormat/>
    <w:uiPriority w:val="0"/>
    <w:pPr>
      <w:ind w:left="840" w:leftChars="400"/>
    </w:pPr>
  </w:style>
  <w:style w:type="paragraph" w:styleId="28">
    <w:name w:val="Plain Text"/>
    <w:basedOn w:val="1"/>
    <w:link w:val="191"/>
    <w:autoRedefine/>
    <w:qFormat/>
    <w:uiPriority w:val="0"/>
    <w:pPr>
      <w:widowControl/>
      <w:overflowPunct w:val="0"/>
      <w:autoSpaceDE w:val="0"/>
      <w:autoSpaceDN w:val="0"/>
      <w:adjustRightInd w:val="0"/>
      <w:jc w:val="left"/>
      <w:textAlignment w:val="baseline"/>
    </w:pPr>
    <w:rPr>
      <w:rFonts w:ascii="宋体" w:hAnsi="Courier New"/>
      <w:b/>
      <w:kern w:val="0"/>
      <w:szCs w:val="21"/>
    </w:rPr>
  </w:style>
  <w:style w:type="paragraph" w:styleId="29">
    <w:name w:val="List Number 4"/>
    <w:basedOn w:val="1"/>
    <w:autoRedefine/>
    <w:qFormat/>
    <w:uiPriority w:val="0"/>
    <w:pPr>
      <w:tabs>
        <w:tab w:val="left" w:pos="840"/>
      </w:tabs>
      <w:autoSpaceDE w:val="0"/>
      <w:autoSpaceDN w:val="0"/>
      <w:adjustRightInd w:val="0"/>
      <w:spacing w:line="360" w:lineRule="atLeast"/>
      <w:ind w:left="840" w:hanging="420"/>
      <w:jc w:val="left"/>
    </w:pPr>
    <w:rPr>
      <w:kern w:val="0"/>
      <w:sz w:val="24"/>
      <w:szCs w:val="20"/>
    </w:rPr>
  </w:style>
  <w:style w:type="paragraph" w:styleId="30">
    <w:name w:val="toc 8"/>
    <w:basedOn w:val="1"/>
    <w:next w:val="1"/>
    <w:autoRedefine/>
    <w:qFormat/>
    <w:uiPriority w:val="0"/>
    <w:pPr>
      <w:autoSpaceDE w:val="0"/>
      <w:autoSpaceDN w:val="0"/>
      <w:adjustRightInd w:val="0"/>
      <w:ind w:left="2940" w:leftChars="1400"/>
      <w:jc w:val="left"/>
    </w:pPr>
    <w:rPr>
      <w:kern w:val="0"/>
      <w:sz w:val="20"/>
      <w:szCs w:val="20"/>
    </w:rPr>
  </w:style>
  <w:style w:type="paragraph" w:styleId="31">
    <w:name w:val="Date"/>
    <w:basedOn w:val="1"/>
    <w:next w:val="1"/>
    <w:link w:val="132"/>
    <w:autoRedefine/>
    <w:qFormat/>
    <w:uiPriority w:val="0"/>
    <w:pPr>
      <w:ind w:left="100" w:leftChars="2500"/>
    </w:pPr>
  </w:style>
  <w:style w:type="paragraph" w:styleId="32">
    <w:name w:val="Body Text Indent 2"/>
    <w:basedOn w:val="1"/>
    <w:link w:val="177"/>
    <w:autoRedefine/>
    <w:qFormat/>
    <w:uiPriority w:val="0"/>
    <w:pPr>
      <w:spacing w:line="500" w:lineRule="exact"/>
      <w:ind w:firstLine="511" w:firstLineChars="213"/>
    </w:pPr>
    <w:rPr>
      <w:sz w:val="24"/>
    </w:rPr>
  </w:style>
  <w:style w:type="paragraph" w:styleId="33">
    <w:name w:val="Balloon Text"/>
    <w:basedOn w:val="1"/>
    <w:link w:val="150"/>
    <w:autoRedefine/>
    <w:qFormat/>
    <w:uiPriority w:val="0"/>
    <w:rPr>
      <w:sz w:val="18"/>
      <w:szCs w:val="18"/>
    </w:rPr>
  </w:style>
  <w:style w:type="paragraph" w:styleId="34">
    <w:name w:val="footer"/>
    <w:basedOn w:val="1"/>
    <w:link w:val="119"/>
    <w:autoRedefine/>
    <w:qFormat/>
    <w:uiPriority w:val="0"/>
    <w:pPr>
      <w:tabs>
        <w:tab w:val="center" w:pos="4153"/>
        <w:tab w:val="right" w:pos="8306"/>
      </w:tabs>
      <w:snapToGrid w:val="0"/>
      <w:jc w:val="left"/>
    </w:pPr>
    <w:rPr>
      <w:sz w:val="18"/>
      <w:szCs w:val="18"/>
    </w:rPr>
  </w:style>
  <w:style w:type="paragraph" w:styleId="35">
    <w:name w:val="header"/>
    <w:basedOn w:val="1"/>
    <w:link w:val="134"/>
    <w:autoRedefine/>
    <w:qFormat/>
    <w:uiPriority w:val="0"/>
    <w:pPr>
      <w:pBdr>
        <w:bottom w:val="single" w:color="auto" w:sz="6" w:space="1"/>
      </w:pBdr>
      <w:tabs>
        <w:tab w:val="center" w:pos="4153"/>
        <w:tab w:val="right" w:pos="8306"/>
      </w:tabs>
      <w:snapToGrid w:val="0"/>
      <w:jc w:val="center"/>
    </w:pPr>
    <w:rPr>
      <w:sz w:val="18"/>
      <w:szCs w:val="18"/>
    </w:rPr>
  </w:style>
  <w:style w:type="paragraph" w:styleId="36">
    <w:name w:val="Signature"/>
    <w:basedOn w:val="1"/>
    <w:link w:val="153"/>
    <w:autoRedefine/>
    <w:qFormat/>
    <w:uiPriority w:val="0"/>
    <w:pPr>
      <w:autoSpaceDE w:val="0"/>
      <w:autoSpaceDN w:val="0"/>
      <w:adjustRightInd w:val="0"/>
      <w:spacing w:after="600" w:line="312" w:lineRule="atLeast"/>
      <w:jc w:val="center"/>
      <w:textAlignment w:val="baseline"/>
    </w:pPr>
    <w:rPr>
      <w:rFonts w:ascii="仿宋_GB2312" w:eastAsia="仿宋_GB2312"/>
      <w:b/>
      <w:kern w:val="0"/>
      <w:sz w:val="24"/>
      <w:szCs w:val="32"/>
    </w:rPr>
  </w:style>
  <w:style w:type="paragraph" w:styleId="37">
    <w:name w:val="toc 1"/>
    <w:basedOn w:val="1"/>
    <w:next w:val="1"/>
    <w:autoRedefine/>
    <w:qFormat/>
    <w:uiPriority w:val="0"/>
  </w:style>
  <w:style w:type="paragraph" w:styleId="38">
    <w:name w:val="toc 4"/>
    <w:basedOn w:val="1"/>
    <w:next w:val="1"/>
    <w:autoRedefine/>
    <w:qFormat/>
    <w:uiPriority w:val="0"/>
    <w:pPr>
      <w:autoSpaceDE w:val="0"/>
      <w:autoSpaceDN w:val="0"/>
      <w:adjustRightInd w:val="0"/>
      <w:ind w:left="1260" w:leftChars="600"/>
      <w:jc w:val="left"/>
    </w:pPr>
    <w:rPr>
      <w:kern w:val="0"/>
      <w:sz w:val="20"/>
      <w:szCs w:val="20"/>
    </w:rPr>
  </w:style>
  <w:style w:type="paragraph" w:styleId="39">
    <w:name w:val="Subtitle"/>
    <w:basedOn w:val="1"/>
    <w:next w:val="1"/>
    <w:link w:val="133"/>
    <w:autoRedefine/>
    <w:qFormat/>
    <w:uiPriority w:val="0"/>
    <w:pPr>
      <w:spacing w:before="240" w:after="60" w:line="312" w:lineRule="auto"/>
      <w:jc w:val="center"/>
      <w:outlineLvl w:val="1"/>
    </w:pPr>
    <w:rPr>
      <w:rFonts w:ascii="Cambria" w:hAnsi="Cambria"/>
      <w:b/>
      <w:bCs/>
      <w:kern w:val="28"/>
      <w:sz w:val="32"/>
      <w:szCs w:val="32"/>
    </w:rPr>
  </w:style>
  <w:style w:type="paragraph" w:styleId="40">
    <w:name w:val="List Number 5"/>
    <w:basedOn w:val="1"/>
    <w:autoRedefine/>
    <w:qFormat/>
    <w:uiPriority w:val="0"/>
    <w:pPr>
      <w:tabs>
        <w:tab w:val="left" w:pos="2040"/>
      </w:tabs>
      <w:autoSpaceDE w:val="0"/>
      <w:autoSpaceDN w:val="0"/>
      <w:adjustRightInd w:val="0"/>
      <w:spacing w:line="400" w:lineRule="exact"/>
      <w:ind w:left="2040" w:hanging="360"/>
      <w:jc w:val="left"/>
    </w:pPr>
    <w:rPr>
      <w:kern w:val="0"/>
      <w:sz w:val="24"/>
      <w:szCs w:val="20"/>
    </w:rPr>
  </w:style>
  <w:style w:type="paragraph" w:styleId="41">
    <w:name w:val="List"/>
    <w:basedOn w:val="1"/>
    <w:autoRedefine/>
    <w:qFormat/>
    <w:uiPriority w:val="0"/>
    <w:pPr>
      <w:ind w:left="200" w:hanging="200" w:hangingChars="200"/>
    </w:pPr>
  </w:style>
  <w:style w:type="paragraph" w:styleId="42">
    <w:name w:val="toc 6"/>
    <w:basedOn w:val="1"/>
    <w:next w:val="1"/>
    <w:autoRedefine/>
    <w:qFormat/>
    <w:uiPriority w:val="0"/>
    <w:pPr>
      <w:autoSpaceDE w:val="0"/>
      <w:autoSpaceDN w:val="0"/>
      <w:adjustRightInd w:val="0"/>
      <w:ind w:left="2100" w:leftChars="1000"/>
      <w:jc w:val="left"/>
    </w:pPr>
    <w:rPr>
      <w:kern w:val="0"/>
      <w:sz w:val="20"/>
      <w:szCs w:val="20"/>
    </w:rPr>
  </w:style>
  <w:style w:type="paragraph" w:styleId="43">
    <w:name w:val="Body Text Indent 3"/>
    <w:basedOn w:val="1"/>
    <w:link w:val="145"/>
    <w:autoRedefine/>
    <w:qFormat/>
    <w:uiPriority w:val="0"/>
    <w:pPr>
      <w:spacing w:line="500" w:lineRule="exact"/>
      <w:ind w:left="511" w:hanging="511" w:hangingChars="213"/>
    </w:pPr>
    <w:rPr>
      <w:sz w:val="24"/>
    </w:rPr>
  </w:style>
  <w:style w:type="paragraph" w:styleId="44">
    <w:name w:val="toc 2"/>
    <w:basedOn w:val="1"/>
    <w:next w:val="1"/>
    <w:autoRedefine/>
    <w:qFormat/>
    <w:uiPriority w:val="0"/>
    <w:pPr>
      <w:ind w:left="420" w:leftChars="200"/>
    </w:pPr>
  </w:style>
  <w:style w:type="paragraph" w:styleId="45">
    <w:name w:val="toc 9"/>
    <w:basedOn w:val="1"/>
    <w:next w:val="1"/>
    <w:autoRedefine/>
    <w:qFormat/>
    <w:uiPriority w:val="0"/>
    <w:pPr>
      <w:autoSpaceDE w:val="0"/>
      <w:autoSpaceDN w:val="0"/>
      <w:adjustRightInd w:val="0"/>
      <w:ind w:left="3360" w:leftChars="1600"/>
      <w:jc w:val="left"/>
    </w:pPr>
    <w:rPr>
      <w:kern w:val="0"/>
      <w:sz w:val="20"/>
      <w:szCs w:val="20"/>
    </w:rPr>
  </w:style>
  <w:style w:type="paragraph" w:styleId="46">
    <w:name w:val="Body Text 2"/>
    <w:basedOn w:val="1"/>
    <w:link w:val="197"/>
    <w:autoRedefine/>
    <w:qFormat/>
    <w:uiPriority w:val="0"/>
    <w:pPr>
      <w:autoSpaceDE w:val="0"/>
      <w:autoSpaceDN w:val="0"/>
      <w:adjustRightInd w:val="0"/>
      <w:spacing w:after="120" w:line="480" w:lineRule="auto"/>
      <w:jc w:val="left"/>
    </w:pPr>
  </w:style>
  <w:style w:type="paragraph" w:styleId="47">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8">
    <w:name w:val="Title"/>
    <w:basedOn w:val="1"/>
    <w:next w:val="1"/>
    <w:link w:val="110"/>
    <w:autoRedefine/>
    <w:qFormat/>
    <w:uiPriority w:val="0"/>
    <w:pPr>
      <w:spacing w:before="240" w:after="60"/>
      <w:jc w:val="center"/>
      <w:outlineLvl w:val="0"/>
    </w:pPr>
    <w:rPr>
      <w:rFonts w:ascii="Cambria" w:hAnsi="Cambria"/>
      <w:b/>
      <w:bCs/>
      <w:sz w:val="32"/>
      <w:szCs w:val="32"/>
    </w:rPr>
  </w:style>
  <w:style w:type="paragraph" w:styleId="49">
    <w:name w:val="annotation subject"/>
    <w:basedOn w:val="18"/>
    <w:next w:val="18"/>
    <w:link w:val="95"/>
    <w:autoRedefine/>
    <w:qFormat/>
    <w:uiPriority w:val="0"/>
    <w:rPr>
      <w:b/>
      <w:bCs/>
    </w:rPr>
  </w:style>
  <w:style w:type="paragraph" w:styleId="50">
    <w:name w:val="Body Text First Indent"/>
    <w:basedOn w:val="21"/>
    <w:next w:val="42"/>
    <w:link w:val="195"/>
    <w:autoRedefine/>
    <w:qFormat/>
    <w:uiPriority w:val="0"/>
    <w:pPr>
      <w:autoSpaceDE w:val="0"/>
      <w:autoSpaceDN w:val="0"/>
      <w:adjustRightInd w:val="0"/>
      <w:ind w:firstLine="420" w:firstLineChars="100"/>
      <w:jc w:val="left"/>
    </w:pPr>
    <w:rPr>
      <w:rFonts w:ascii="Times New Roman"/>
      <w:b w:val="0"/>
      <w:kern w:val="0"/>
      <w:sz w:val="20"/>
      <w:szCs w:val="20"/>
    </w:rPr>
  </w:style>
  <w:style w:type="paragraph" w:styleId="51">
    <w:name w:val="Body Text First Indent 2"/>
    <w:basedOn w:val="22"/>
    <w:autoRedefine/>
    <w:qFormat/>
    <w:uiPriority w:val="0"/>
    <w:pPr>
      <w:spacing w:after="120"/>
      <w:ind w:left="420" w:leftChars="200" w:firstLine="420"/>
    </w:pPr>
    <w:rPr>
      <w:rFonts w:cs="宋体"/>
      <w:sz w:val="21"/>
      <w:szCs w:val="21"/>
    </w:rPr>
  </w:style>
  <w:style w:type="table" w:styleId="53">
    <w:name w:val="Table Grid"/>
    <w:basedOn w:val="5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5">
    <w:name w:val="Strong"/>
    <w:basedOn w:val="54"/>
    <w:autoRedefine/>
    <w:qFormat/>
    <w:uiPriority w:val="0"/>
    <w:rPr>
      <w:rFonts w:ascii="仿宋_GB2312" w:eastAsia="仿宋_GB2312"/>
      <w:bCs/>
      <w:sz w:val="32"/>
      <w:szCs w:val="32"/>
    </w:rPr>
  </w:style>
  <w:style w:type="character" w:styleId="56">
    <w:name w:val="page number"/>
    <w:basedOn w:val="54"/>
    <w:autoRedefine/>
    <w:qFormat/>
    <w:uiPriority w:val="0"/>
  </w:style>
  <w:style w:type="character" w:styleId="57">
    <w:name w:val="FollowedHyperlink"/>
    <w:autoRedefine/>
    <w:qFormat/>
    <w:uiPriority w:val="0"/>
    <w:rPr>
      <w:rFonts w:ascii="仿宋_GB2312" w:eastAsia="仿宋_GB2312"/>
      <w:b/>
      <w:color w:val="800080"/>
      <w:sz w:val="32"/>
      <w:szCs w:val="32"/>
      <w:u w:val="none"/>
    </w:rPr>
  </w:style>
  <w:style w:type="character" w:styleId="58">
    <w:name w:val="Emphasis"/>
    <w:autoRedefine/>
    <w:qFormat/>
    <w:uiPriority w:val="0"/>
    <w:rPr>
      <w:i/>
      <w:iCs/>
    </w:rPr>
  </w:style>
  <w:style w:type="character" w:styleId="59">
    <w:name w:val="line number"/>
    <w:basedOn w:val="54"/>
    <w:autoRedefine/>
    <w:qFormat/>
    <w:uiPriority w:val="0"/>
  </w:style>
  <w:style w:type="character" w:styleId="60">
    <w:name w:val="Hyperlink"/>
    <w:basedOn w:val="54"/>
    <w:autoRedefine/>
    <w:qFormat/>
    <w:uiPriority w:val="0"/>
    <w:rPr>
      <w:rFonts w:ascii="仿宋_GB2312" w:eastAsia="仿宋_GB2312"/>
      <w:b/>
      <w:color w:val="0000FF"/>
      <w:sz w:val="32"/>
      <w:szCs w:val="32"/>
      <w:u w:val="none"/>
    </w:rPr>
  </w:style>
  <w:style w:type="character" w:styleId="61">
    <w:name w:val="annotation reference"/>
    <w:autoRedefine/>
    <w:qFormat/>
    <w:uiPriority w:val="0"/>
    <w:rPr>
      <w:sz w:val="21"/>
      <w:szCs w:val="21"/>
    </w:rPr>
  </w:style>
  <w:style w:type="character" w:styleId="62">
    <w:name w:val="HTML Cite"/>
    <w:autoRedefine/>
    <w:qFormat/>
    <w:uiPriority w:val="0"/>
    <w:rPr>
      <w:color w:val="008000"/>
    </w:rPr>
  </w:style>
  <w:style w:type="paragraph" w:customStyle="1" w:styleId="63">
    <w:name w:val="Char3 Char Char Char"/>
    <w:basedOn w:val="1"/>
    <w:autoRedefine/>
    <w:qFormat/>
    <w:uiPriority w:val="0"/>
  </w:style>
  <w:style w:type="character" w:customStyle="1" w:styleId="64">
    <w:name w:val="不明显参考1"/>
    <w:autoRedefine/>
    <w:qFormat/>
    <w:uiPriority w:val="0"/>
    <w:rPr>
      <w:smallCaps/>
      <w:color w:val="C0504D"/>
      <w:u w:val="single"/>
    </w:rPr>
  </w:style>
  <w:style w:type="character" w:customStyle="1" w:styleId="65">
    <w:name w:val="PI Char1"/>
    <w:autoRedefine/>
    <w:qFormat/>
    <w:uiPriority w:val="0"/>
    <w:rPr>
      <w:rFonts w:eastAsia="宋体"/>
      <w:kern w:val="2"/>
      <w:sz w:val="24"/>
      <w:szCs w:val="24"/>
      <w:lang w:val="en-US" w:eastAsia="zh-CN" w:bidi="ar-SA"/>
    </w:rPr>
  </w:style>
  <w:style w:type="character" w:customStyle="1" w:styleId="66">
    <w:name w:val="标题 2 Char"/>
    <w:link w:val="4"/>
    <w:autoRedefine/>
    <w:qFormat/>
    <w:uiPriority w:val="0"/>
    <w:rPr>
      <w:rFonts w:ascii="仿宋_GB2312" w:eastAsia="宋体"/>
      <w:b/>
      <w:kern w:val="2"/>
      <w:sz w:val="28"/>
      <w:szCs w:val="32"/>
      <w:lang w:val="en-US" w:eastAsia="zh-CN" w:bidi="ar-SA"/>
    </w:rPr>
  </w:style>
  <w:style w:type="character" w:customStyle="1" w:styleId="67">
    <w:name w:val="pt141"/>
    <w:autoRedefine/>
    <w:qFormat/>
    <w:uiPriority w:val="0"/>
    <w:rPr>
      <w:color w:val="330066"/>
      <w:spacing w:val="450"/>
      <w:sz w:val="22"/>
      <w:szCs w:val="22"/>
    </w:rPr>
  </w:style>
  <w:style w:type="character" w:customStyle="1" w:styleId="68">
    <w:name w:val="Char Char27"/>
    <w:autoRedefine/>
    <w:qFormat/>
    <w:uiPriority w:val="0"/>
    <w:rPr>
      <w:rFonts w:eastAsia="宋体"/>
      <w:kern w:val="2"/>
      <w:sz w:val="28"/>
      <w:lang w:val="en-US" w:eastAsia="zh-CN" w:bidi="ar-SA"/>
    </w:rPr>
  </w:style>
  <w:style w:type="character" w:customStyle="1" w:styleId="69">
    <w:name w:val="标题 7 Char"/>
    <w:link w:val="10"/>
    <w:autoRedefine/>
    <w:qFormat/>
    <w:uiPriority w:val="0"/>
    <w:rPr>
      <w:rFonts w:eastAsia="宋体"/>
      <w:b/>
      <w:kern w:val="2"/>
      <w:sz w:val="24"/>
      <w:lang w:val="en-US" w:eastAsia="zh-CN" w:bidi="ar-SA"/>
    </w:rPr>
  </w:style>
  <w:style w:type="character" w:customStyle="1" w:styleId="70">
    <w:name w:val="明显参考1"/>
    <w:autoRedefine/>
    <w:qFormat/>
    <w:uiPriority w:val="0"/>
    <w:rPr>
      <w:b/>
      <w:bCs/>
      <w:smallCaps/>
      <w:color w:val="C0504D"/>
      <w:spacing w:val="5"/>
      <w:u w:val="single"/>
    </w:rPr>
  </w:style>
  <w:style w:type="character" w:customStyle="1" w:styleId="71">
    <w:name w:val="书籍标题1"/>
    <w:autoRedefine/>
    <w:qFormat/>
    <w:uiPriority w:val="0"/>
    <w:rPr>
      <w:b/>
      <w:bCs/>
      <w:smallCaps/>
      <w:spacing w:val="5"/>
    </w:rPr>
  </w:style>
  <w:style w:type="character" w:customStyle="1" w:styleId="72">
    <w:name w:val="Char Char61"/>
    <w:autoRedefine/>
    <w:qFormat/>
    <w:uiPriority w:val="0"/>
    <w:rPr>
      <w:rFonts w:ascii="Times New Roman" w:hAnsi="Times New Roman" w:eastAsia="宋体" w:cs="Times New Roman"/>
      <w:szCs w:val="24"/>
    </w:rPr>
  </w:style>
  <w:style w:type="character" w:customStyle="1" w:styleId="73">
    <w:name w:val="Char Char24"/>
    <w:autoRedefine/>
    <w:qFormat/>
    <w:uiPriority w:val="0"/>
    <w:rPr>
      <w:rFonts w:eastAsia="宋体"/>
      <w:b/>
      <w:kern w:val="2"/>
      <w:sz w:val="28"/>
      <w:lang w:val="en-US" w:eastAsia="zh-CN" w:bidi="ar-SA"/>
    </w:rPr>
  </w:style>
  <w:style w:type="character" w:customStyle="1" w:styleId="74">
    <w:name w:val="Style4"/>
    <w:autoRedefine/>
    <w:qFormat/>
    <w:uiPriority w:val="0"/>
    <w:rPr>
      <w:rFonts w:ascii="Calibri" w:hAnsi="宋体" w:eastAsia="宋体" w:cs="Times New Roman"/>
      <w:szCs w:val="22"/>
      <w:lang w:eastAsia="zh-CN"/>
    </w:rPr>
  </w:style>
  <w:style w:type="character" w:customStyle="1" w:styleId="75">
    <w:name w:val="Style1"/>
    <w:autoRedefine/>
    <w:qFormat/>
    <w:uiPriority w:val="0"/>
    <w:rPr>
      <w:rFonts w:ascii="Calibri" w:hAnsi="宋体" w:eastAsia="宋体" w:cs="Times New Roman"/>
      <w:sz w:val="22"/>
      <w:szCs w:val="22"/>
      <w:lang w:eastAsia="zh-CN"/>
    </w:rPr>
  </w:style>
  <w:style w:type="character" w:customStyle="1" w:styleId="76">
    <w:name w:val="heading 1 Char1"/>
    <w:autoRedefine/>
    <w:qFormat/>
    <w:uiPriority w:val="0"/>
    <w:rPr>
      <w:rFonts w:eastAsia="宋体"/>
      <w:b/>
      <w:bCs/>
      <w:kern w:val="44"/>
      <w:sz w:val="44"/>
      <w:szCs w:val="44"/>
      <w:lang w:val="en-US" w:eastAsia="zh-CN" w:bidi="ar-SA"/>
    </w:rPr>
  </w:style>
  <w:style w:type="character" w:customStyle="1" w:styleId="77">
    <w:name w:val="Style5"/>
    <w:autoRedefine/>
    <w:qFormat/>
    <w:uiPriority w:val="0"/>
    <w:rPr>
      <w:rFonts w:ascii="Calibri" w:hAnsi="宋体" w:eastAsia="宋体" w:cs="Times New Roman"/>
      <w:sz w:val="22"/>
      <w:szCs w:val="22"/>
      <w:lang w:eastAsia="zh-CN"/>
    </w:rPr>
  </w:style>
  <w:style w:type="character" w:customStyle="1" w:styleId="78">
    <w:name w:val="称呼 Char"/>
    <w:link w:val="19"/>
    <w:autoRedefine/>
    <w:qFormat/>
    <w:uiPriority w:val="0"/>
    <w:rPr>
      <w:rFonts w:ascii="仿宋_GB2312" w:eastAsia="仿宋_GB2312"/>
      <w:b/>
      <w:sz w:val="24"/>
      <w:szCs w:val="32"/>
    </w:rPr>
  </w:style>
  <w:style w:type="character" w:customStyle="1" w:styleId="79">
    <w:name w:val="Ò³Ã¼ Char Char2"/>
    <w:autoRedefine/>
    <w:qFormat/>
    <w:uiPriority w:val="0"/>
    <w:rPr>
      <w:kern w:val="2"/>
      <w:sz w:val="18"/>
      <w:szCs w:val="18"/>
    </w:rPr>
  </w:style>
  <w:style w:type="character" w:customStyle="1" w:styleId="80">
    <w:name w:val="明显强调1"/>
    <w:autoRedefine/>
    <w:qFormat/>
    <w:uiPriority w:val="0"/>
    <w:rPr>
      <w:b/>
      <w:bCs/>
      <w:i/>
      <w:iCs/>
      <w:color w:val="4F81BD"/>
    </w:rPr>
  </w:style>
  <w:style w:type="character" w:customStyle="1" w:styleId="81">
    <w:name w:val="样式 标题 3 + 黑体 小四 Char Char"/>
    <w:link w:val="82"/>
    <w:autoRedefine/>
    <w:qFormat/>
    <w:uiPriority w:val="0"/>
    <w:rPr>
      <w:rFonts w:ascii="黑体" w:hAnsi="Arial" w:eastAsia="黑体"/>
      <w:bCs/>
      <w:sz w:val="24"/>
      <w:szCs w:val="24"/>
      <w:lang w:bidi="ar-SA"/>
    </w:rPr>
  </w:style>
  <w:style w:type="paragraph" w:customStyle="1" w:styleId="82">
    <w:name w:val="样式 标题 3 + 黑体 小四"/>
    <w:basedOn w:val="5"/>
    <w:link w:val="81"/>
    <w:autoRedefine/>
    <w:qFormat/>
    <w:uiPriority w:val="0"/>
    <w:pPr>
      <w:spacing w:before="260" w:after="260" w:line="413" w:lineRule="auto"/>
    </w:pPr>
    <w:rPr>
      <w:rFonts w:ascii="黑体" w:hAnsi="Arial"/>
      <w:b w:val="0"/>
      <w:bCs/>
      <w:kern w:val="0"/>
      <w:sz w:val="24"/>
      <w:szCs w:val="24"/>
    </w:rPr>
  </w:style>
  <w:style w:type="character" w:customStyle="1" w:styleId="83">
    <w:name w:val="heading 7 Char1"/>
    <w:autoRedefine/>
    <w:qFormat/>
    <w:uiPriority w:val="0"/>
    <w:rPr>
      <w:rFonts w:ascii="Arial" w:hAnsi="Arial" w:eastAsia="黑体"/>
      <w:sz w:val="21"/>
      <w:szCs w:val="21"/>
      <w:lang w:val="en-US" w:eastAsia="zh-CN" w:bidi="ar-SA"/>
    </w:rPr>
  </w:style>
  <w:style w:type="character" w:customStyle="1" w:styleId="84">
    <w:name w:val="Char Char1"/>
    <w:autoRedefine/>
    <w:qFormat/>
    <w:uiPriority w:val="0"/>
    <w:rPr>
      <w:rFonts w:eastAsia="宋体"/>
      <w:sz w:val="21"/>
      <w:lang w:val="en-US" w:eastAsia="zh-CN" w:bidi="ar-SA"/>
    </w:rPr>
  </w:style>
  <w:style w:type="character" w:customStyle="1" w:styleId="85">
    <w:name w:val="Char Char12"/>
    <w:autoRedefine/>
    <w:qFormat/>
    <w:uiPriority w:val="0"/>
    <w:rPr>
      <w:rFonts w:eastAsia="宋体"/>
      <w:kern w:val="2"/>
      <w:sz w:val="21"/>
      <w:szCs w:val="24"/>
      <w:lang w:val="en-US" w:eastAsia="zh-CN" w:bidi="ar-SA"/>
    </w:rPr>
  </w:style>
  <w:style w:type="character" w:customStyle="1" w:styleId="86">
    <w:name w:val="Char Char18"/>
    <w:autoRedefine/>
    <w:qFormat/>
    <w:uiPriority w:val="0"/>
    <w:rPr>
      <w:b/>
      <w:bCs/>
      <w:kern w:val="2"/>
      <w:sz w:val="32"/>
      <w:szCs w:val="32"/>
    </w:rPr>
  </w:style>
  <w:style w:type="character" w:customStyle="1" w:styleId="87">
    <w:name w:val="Char Char4"/>
    <w:autoRedefine/>
    <w:qFormat/>
    <w:uiPriority w:val="0"/>
    <w:rPr>
      <w:rFonts w:ascii="Cambria" w:hAnsi="Cambria" w:eastAsia="宋体"/>
      <w:b/>
      <w:bCs/>
      <w:sz w:val="32"/>
      <w:szCs w:val="32"/>
      <w:lang w:bidi="ar-SA"/>
    </w:rPr>
  </w:style>
  <w:style w:type="character" w:customStyle="1" w:styleId="88">
    <w:name w:val="PI Char"/>
    <w:autoRedefine/>
    <w:qFormat/>
    <w:uiPriority w:val="0"/>
    <w:rPr>
      <w:rFonts w:ascii="宋体" w:hAnsi="宋体"/>
      <w:sz w:val="24"/>
    </w:rPr>
  </w:style>
  <w:style w:type="character" w:customStyle="1" w:styleId="89">
    <w:name w:val="明显参考2"/>
    <w:autoRedefine/>
    <w:qFormat/>
    <w:uiPriority w:val="0"/>
    <w:rPr>
      <w:b/>
      <w:bCs/>
      <w:smallCaps/>
      <w:color w:val="C0504D"/>
      <w:spacing w:val="5"/>
      <w:u w:val="single"/>
    </w:rPr>
  </w:style>
  <w:style w:type="character" w:customStyle="1" w:styleId="90">
    <w:name w:val="批注文字 Char"/>
    <w:link w:val="18"/>
    <w:autoRedefine/>
    <w:qFormat/>
    <w:uiPriority w:val="0"/>
    <w:rPr>
      <w:rFonts w:eastAsia="宋体"/>
      <w:kern w:val="2"/>
      <w:sz w:val="21"/>
      <w:szCs w:val="24"/>
      <w:lang w:val="en-US" w:eastAsia="zh-CN" w:bidi="ar-SA"/>
    </w:rPr>
  </w:style>
  <w:style w:type="character" w:customStyle="1" w:styleId="91">
    <w:name w:val="Style2"/>
    <w:autoRedefine/>
    <w:qFormat/>
    <w:uiPriority w:val="0"/>
    <w:rPr>
      <w:rFonts w:ascii="Calibri" w:hAnsi="宋体" w:eastAsia="宋体" w:cs="Times New Roman"/>
      <w:sz w:val="22"/>
      <w:szCs w:val="22"/>
      <w:lang w:eastAsia="zh-CN"/>
    </w:rPr>
  </w:style>
  <w:style w:type="character" w:customStyle="1" w:styleId="92">
    <w:name w:val="Footer-Even Char1"/>
    <w:autoRedefine/>
    <w:qFormat/>
    <w:uiPriority w:val="0"/>
    <w:rPr>
      <w:rFonts w:eastAsia="宋体"/>
      <w:kern w:val="2"/>
      <w:sz w:val="18"/>
      <w:szCs w:val="18"/>
      <w:lang w:val="en-US" w:eastAsia="zh-CN" w:bidi="ar-SA"/>
    </w:rPr>
  </w:style>
  <w:style w:type="character" w:customStyle="1" w:styleId="93">
    <w:name w:val="heading 4 Char1"/>
    <w:autoRedefine/>
    <w:qFormat/>
    <w:uiPriority w:val="0"/>
    <w:rPr>
      <w:rFonts w:ascii="Cambria" w:hAnsi="Cambria" w:eastAsia="宋体"/>
      <w:b/>
      <w:bCs/>
      <w:kern w:val="2"/>
      <w:sz w:val="28"/>
      <w:szCs w:val="28"/>
      <w:lang w:val="en-US" w:eastAsia="zh-CN" w:bidi="ar-SA"/>
    </w:rPr>
  </w:style>
  <w:style w:type="character" w:customStyle="1" w:styleId="94">
    <w:name w:val="正文文本 3 Char"/>
    <w:basedOn w:val="54"/>
    <w:link w:val="20"/>
    <w:autoRedefine/>
    <w:qFormat/>
    <w:uiPriority w:val="0"/>
  </w:style>
  <w:style w:type="character" w:customStyle="1" w:styleId="95">
    <w:name w:val="批注主题 Char"/>
    <w:link w:val="49"/>
    <w:autoRedefine/>
    <w:qFormat/>
    <w:uiPriority w:val="0"/>
    <w:rPr>
      <w:rFonts w:eastAsia="宋体"/>
      <w:b/>
      <w:bCs/>
      <w:kern w:val="2"/>
      <w:sz w:val="21"/>
      <w:szCs w:val="24"/>
      <w:lang w:val="en-US" w:eastAsia="zh-CN" w:bidi="ar-SA"/>
    </w:rPr>
  </w:style>
  <w:style w:type="character" w:customStyle="1" w:styleId="96">
    <w:name w:val="不明显参考11"/>
    <w:autoRedefine/>
    <w:qFormat/>
    <w:uiPriority w:val="0"/>
    <w:rPr>
      <w:smallCaps/>
      <w:color w:val="C0504D"/>
      <w:u w:val="single"/>
    </w:rPr>
  </w:style>
  <w:style w:type="character" w:customStyle="1" w:styleId="97">
    <w:name w:val="Plain Text Char"/>
    <w:autoRedefine/>
    <w:qFormat/>
    <w:uiPriority w:val="0"/>
    <w:rPr>
      <w:rFonts w:ascii="宋体" w:hAnsi="Courier New" w:eastAsia="宋体" w:cs="Times New Roman"/>
      <w:sz w:val="21"/>
      <w:szCs w:val="21"/>
    </w:rPr>
  </w:style>
  <w:style w:type="character" w:customStyle="1" w:styleId="98">
    <w:name w:val="Char Char111"/>
    <w:autoRedefine/>
    <w:qFormat/>
    <w:uiPriority w:val="0"/>
    <w:rPr>
      <w:rFonts w:ascii="Times New Roman" w:hAnsi="Times New Roman" w:eastAsia="宋体" w:cs="Times New Roman"/>
      <w:sz w:val="18"/>
      <w:szCs w:val="18"/>
    </w:rPr>
  </w:style>
  <w:style w:type="character" w:customStyle="1" w:styleId="99">
    <w:name w:val="无间距字符"/>
    <w:link w:val="100"/>
    <w:autoRedefine/>
    <w:qFormat/>
    <w:uiPriority w:val="0"/>
    <w:rPr>
      <w:rFonts w:eastAsia="Times New Roman"/>
      <w:sz w:val="22"/>
      <w:szCs w:val="22"/>
      <w:lang w:val="en-US" w:eastAsia="zh-CN" w:bidi="ar-SA"/>
    </w:rPr>
  </w:style>
  <w:style w:type="paragraph" w:customStyle="1" w:styleId="100">
    <w:name w:val="无间距"/>
    <w:link w:val="99"/>
    <w:autoRedefine/>
    <w:qFormat/>
    <w:uiPriority w:val="0"/>
    <w:rPr>
      <w:rFonts w:ascii="Times New Roman" w:hAnsi="Times New Roman" w:eastAsia="Times New Roman" w:cs="Times New Roman"/>
      <w:sz w:val="22"/>
      <w:szCs w:val="22"/>
      <w:lang w:val="en-US" w:eastAsia="zh-CN" w:bidi="ar-SA"/>
    </w:rPr>
  </w:style>
  <w:style w:type="character" w:customStyle="1" w:styleId="101">
    <w:name w:val="heading 5 Char2"/>
    <w:autoRedefine/>
    <w:qFormat/>
    <w:uiPriority w:val="0"/>
    <w:rPr>
      <w:b/>
      <w:bCs/>
      <w:kern w:val="2"/>
      <w:sz w:val="28"/>
      <w:szCs w:val="28"/>
    </w:rPr>
  </w:style>
  <w:style w:type="character" w:customStyle="1" w:styleId="102">
    <w:name w:val="样式2 Char Char"/>
    <w:link w:val="103"/>
    <w:autoRedefine/>
    <w:qFormat/>
    <w:uiPriority w:val="0"/>
    <w:rPr>
      <w:rFonts w:ascii="宋体" w:hAnsi="宋体" w:eastAsia="宋体"/>
      <w:bCs/>
      <w:kern w:val="2"/>
      <w:sz w:val="28"/>
      <w:szCs w:val="28"/>
      <w:lang w:val="en-US" w:eastAsia="zh-CN" w:bidi="ar-SA"/>
    </w:rPr>
  </w:style>
  <w:style w:type="paragraph" w:customStyle="1" w:styleId="103">
    <w:name w:val="样式2"/>
    <w:basedOn w:val="4"/>
    <w:link w:val="102"/>
    <w:autoRedefine/>
    <w:qFormat/>
    <w:uiPriority w:val="0"/>
    <w:pPr>
      <w:keepLines/>
      <w:snapToGrid w:val="0"/>
      <w:spacing w:before="260" w:afterLines="50" w:line="480" w:lineRule="exact"/>
      <w:ind w:firstLine="556"/>
    </w:pPr>
    <w:rPr>
      <w:rFonts w:ascii="宋体" w:hAnsi="宋体"/>
      <w:b w:val="0"/>
      <w:bCs/>
      <w:szCs w:val="28"/>
    </w:rPr>
  </w:style>
  <w:style w:type="character" w:customStyle="1" w:styleId="104">
    <w:name w:val="正文缩进 Char"/>
    <w:link w:val="9"/>
    <w:autoRedefine/>
    <w:qFormat/>
    <w:uiPriority w:val="0"/>
    <w:rPr>
      <w:rFonts w:ascii="仿宋_GB2312" w:eastAsia="宋体"/>
      <w:b/>
      <w:sz w:val="21"/>
      <w:szCs w:val="32"/>
      <w:lang w:val="en-US" w:eastAsia="zh-CN" w:bidi="ar-SA"/>
    </w:rPr>
  </w:style>
  <w:style w:type="character" w:customStyle="1" w:styleId="105">
    <w:name w:val="heading 2 Char1"/>
    <w:autoRedefine/>
    <w:qFormat/>
    <w:uiPriority w:val="0"/>
    <w:rPr>
      <w:rFonts w:ascii="Cambria" w:hAnsi="Cambria" w:eastAsia="宋体"/>
      <w:b/>
      <w:bCs/>
      <w:kern w:val="2"/>
      <w:sz w:val="32"/>
      <w:szCs w:val="32"/>
      <w:lang w:val="en-US" w:eastAsia="zh-CN" w:bidi="ar-SA"/>
    </w:rPr>
  </w:style>
  <w:style w:type="character" w:customStyle="1" w:styleId="106">
    <w:name w:val="heading 3 Char1"/>
    <w:autoRedefine/>
    <w:qFormat/>
    <w:uiPriority w:val="0"/>
    <w:rPr>
      <w:rFonts w:eastAsia="宋体"/>
      <w:b/>
      <w:bCs/>
      <w:kern w:val="2"/>
      <w:sz w:val="32"/>
      <w:szCs w:val="32"/>
      <w:lang w:val="en-US" w:eastAsia="zh-CN" w:bidi="ar-SA"/>
    </w:rPr>
  </w:style>
  <w:style w:type="character" w:customStyle="1" w:styleId="107">
    <w:name w:val="Char Char15"/>
    <w:autoRedefine/>
    <w:qFormat/>
    <w:uiPriority w:val="0"/>
    <w:rPr>
      <w:rFonts w:ascii="Arial" w:hAnsi="Arial" w:eastAsia="黑体"/>
      <w:sz w:val="24"/>
      <w:szCs w:val="24"/>
    </w:rPr>
  </w:style>
  <w:style w:type="character" w:customStyle="1" w:styleId="108">
    <w:name w:val="heading 1 Char"/>
    <w:autoRedefine/>
    <w:qFormat/>
    <w:uiPriority w:val="0"/>
    <w:rPr>
      <w:rFonts w:ascii="Arial" w:hAnsi="Arial" w:eastAsia="黑体"/>
      <w:b/>
      <w:sz w:val="36"/>
      <w:szCs w:val="36"/>
    </w:rPr>
  </w:style>
  <w:style w:type="character" w:customStyle="1" w:styleId="109">
    <w:name w:val="ändrad Char"/>
    <w:autoRedefine/>
    <w:qFormat/>
    <w:uiPriority w:val="0"/>
    <w:rPr>
      <w:rFonts w:eastAsia="宋体"/>
      <w:kern w:val="2"/>
      <w:sz w:val="21"/>
      <w:szCs w:val="24"/>
      <w:lang w:val="en-US" w:eastAsia="zh-CN" w:bidi="ar-SA"/>
    </w:rPr>
  </w:style>
  <w:style w:type="character" w:customStyle="1" w:styleId="110">
    <w:name w:val="标题 Char"/>
    <w:link w:val="48"/>
    <w:autoRedefine/>
    <w:qFormat/>
    <w:uiPriority w:val="0"/>
    <w:rPr>
      <w:rFonts w:ascii="Cambria" w:hAnsi="Cambria" w:eastAsia="宋体"/>
      <w:b/>
      <w:bCs/>
      <w:kern w:val="2"/>
      <w:sz w:val="32"/>
      <w:szCs w:val="32"/>
      <w:lang w:val="en-US" w:eastAsia="zh-CN" w:bidi="ar-SA"/>
    </w:rPr>
  </w:style>
  <w:style w:type="character" w:customStyle="1" w:styleId="111">
    <w:name w:val="Char Char22"/>
    <w:autoRedefine/>
    <w:qFormat/>
    <w:uiPriority w:val="0"/>
    <w:rPr>
      <w:rFonts w:ascii="Arial" w:hAnsi="Arial" w:eastAsia="黑体"/>
      <w:b/>
      <w:bCs/>
      <w:kern w:val="44"/>
      <w:sz w:val="30"/>
      <w:szCs w:val="44"/>
      <w:lang w:val="en-US" w:eastAsia="zh-CN" w:bidi="ar-SA"/>
    </w:rPr>
  </w:style>
  <w:style w:type="character" w:customStyle="1" w:styleId="112">
    <w:name w:val="blue1"/>
    <w:basedOn w:val="54"/>
    <w:autoRedefine/>
    <w:qFormat/>
    <w:uiPriority w:val="0"/>
  </w:style>
  <w:style w:type="character" w:customStyle="1" w:styleId="113">
    <w:name w:val="样式 宋体"/>
    <w:autoRedefine/>
    <w:qFormat/>
    <w:uiPriority w:val="0"/>
    <w:rPr>
      <w:rFonts w:ascii="宋体" w:hAnsi="宋体" w:eastAsia="宋体"/>
      <w:sz w:val="24"/>
      <w:szCs w:val="24"/>
    </w:rPr>
  </w:style>
  <w:style w:type="character" w:customStyle="1" w:styleId="114">
    <w:name w:val="dandyren_title1"/>
    <w:autoRedefine/>
    <w:qFormat/>
    <w:uiPriority w:val="0"/>
    <w:rPr>
      <w:b/>
      <w:bCs/>
      <w:color w:val="FF6633"/>
      <w:sz w:val="18"/>
      <w:szCs w:val="18"/>
    </w:rPr>
  </w:style>
  <w:style w:type="character" w:customStyle="1" w:styleId="115">
    <w:name w:val="font21"/>
    <w:basedOn w:val="54"/>
    <w:autoRedefine/>
    <w:qFormat/>
    <w:uiPriority w:val="0"/>
    <w:rPr>
      <w:rFonts w:ascii="Wingdings 2" w:hAnsi="Wingdings 2" w:eastAsia="Wingdings 2" w:cs="Wingdings 2"/>
      <w:b/>
      <w:color w:val="000000"/>
      <w:sz w:val="20"/>
      <w:szCs w:val="20"/>
      <w:u w:val="none"/>
    </w:rPr>
  </w:style>
  <w:style w:type="character" w:customStyle="1" w:styleId="116">
    <w:name w:val="Ò³Ã¼ Char Char1"/>
    <w:autoRedefine/>
    <w:qFormat/>
    <w:uiPriority w:val="0"/>
    <w:rPr>
      <w:rFonts w:eastAsia="宋体"/>
      <w:kern w:val="2"/>
      <w:sz w:val="18"/>
      <w:szCs w:val="18"/>
      <w:lang w:val="en-US" w:eastAsia="zh-CN" w:bidi="ar-SA"/>
    </w:rPr>
  </w:style>
  <w:style w:type="character" w:customStyle="1" w:styleId="117">
    <w:name w:val="宏文本 Char"/>
    <w:link w:val="2"/>
    <w:autoRedefine/>
    <w:qFormat/>
    <w:uiPriority w:val="0"/>
    <w:rPr>
      <w:rFonts w:ascii="Courier New" w:hAnsi="Courier New" w:eastAsia="Times New Roman"/>
      <w:kern w:val="2"/>
      <w:sz w:val="24"/>
      <w:szCs w:val="24"/>
      <w:lang w:val="en-US" w:eastAsia="zh-CN" w:bidi="ar-SA"/>
    </w:rPr>
  </w:style>
  <w:style w:type="character" w:customStyle="1" w:styleId="118">
    <w:name w:val="Footer-Even Char"/>
    <w:autoRedefine/>
    <w:qFormat/>
    <w:uiPriority w:val="0"/>
    <w:rPr>
      <w:sz w:val="18"/>
      <w:szCs w:val="18"/>
    </w:rPr>
  </w:style>
  <w:style w:type="character" w:customStyle="1" w:styleId="119">
    <w:name w:val="页脚 Char"/>
    <w:link w:val="34"/>
    <w:autoRedefine/>
    <w:qFormat/>
    <w:uiPriority w:val="0"/>
    <w:rPr>
      <w:rFonts w:eastAsia="宋体"/>
      <w:kern w:val="2"/>
      <w:sz w:val="18"/>
      <w:szCs w:val="18"/>
      <w:lang w:val="en-US" w:eastAsia="zh-CN" w:bidi="ar-SA"/>
    </w:rPr>
  </w:style>
  <w:style w:type="character" w:customStyle="1" w:styleId="120">
    <w:name w:val="style111"/>
    <w:autoRedefine/>
    <w:qFormat/>
    <w:uiPriority w:val="0"/>
    <w:rPr>
      <w:sz w:val="27"/>
      <w:szCs w:val="27"/>
    </w:rPr>
  </w:style>
  <w:style w:type="character" w:customStyle="1" w:styleId="121">
    <w:name w:val="PI Char2"/>
    <w:autoRedefine/>
    <w:qFormat/>
    <w:uiPriority w:val="0"/>
    <w:rPr>
      <w:kern w:val="2"/>
      <w:sz w:val="24"/>
      <w:szCs w:val="24"/>
    </w:rPr>
  </w:style>
  <w:style w:type="character" w:customStyle="1" w:styleId="122">
    <w:name w:val="gray6"/>
    <w:basedOn w:val="54"/>
    <w:autoRedefine/>
    <w:qFormat/>
    <w:uiPriority w:val="0"/>
  </w:style>
  <w:style w:type="character" w:customStyle="1" w:styleId="123">
    <w:name w:val="Char Char Char1"/>
    <w:autoRedefine/>
    <w:qFormat/>
    <w:uiPriority w:val="0"/>
    <w:rPr>
      <w:rFonts w:ascii="宋体" w:hAnsi="Courier New"/>
      <w:sz w:val="21"/>
      <w:szCs w:val="21"/>
    </w:rPr>
  </w:style>
  <w:style w:type="character" w:customStyle="1" w:styleId="124">
    <w:name w:val="Char Char121"/>
    <w:autoRedefine/>
    <w:qFormat/>
    <w:uiPriority w:val="0"/>
    <w:rPr>
      <w:rFonts w:eastAsia="宋体"/>
      <w:kern w:val="2"/>
      <w:sz w:val="21"/>
      <w:szCs w:val="24"/>
      <w:lang w:val="en-US" w:eastAsia="zh-CN" w:bidi="ar-SA"/>
    </w:rPr>
  </w:style>
  <w:style w:type="character" w:customStyle="1" w:styleId="125">
    <w:name w:val="Char Char Char Char Char Char Char Char Char"/>
    <w:autoRedefine/>
    <w:qFormat/>
    <w:uiPriority w:val="0"/>
    <w:rPr>
      <w:rFonts w:ascii="宋体" w:hAnsi="Courier New" w:eastAsia="宋体"/>
      <w:sz w:val="21"/>
      <w:szCs w:val="21"/>
      <w:lang w:val="en-US" w:eastAsia="zh-CN" w:bidi="ar-SA"/>
    </w:rPr>
  </w:style>
  <w:style w:type="character" w:customStyle="1" w:styleId="126">
    <w:name w:val="heading 4 Char2"/>
    <w:autoRedefine/>
    <w:qFormat/>
    <w:uiPriority w:val="0"/>
    <w:rPr>
      <w:rFonts w:ascii="Cambria" w:hAnsi="Cambria"/>
      <w:b/>
      <w:bCs/>
      <w:kern w:val="2"/>
      <w:sz w:val="28"/>
      <w:szCs w:val="28"/>
    </w:rPr>
  </w:style>
  <w:style w:type="character" w:customStyle="1" w:styleId="127">
    <w:name w:val="heading 3 Char"/>
    <w:autoRedefine/>
    <w:qFormat/>
    <w:uiPriority w:val="0"/>
    <w:rPr>
      <w:rFonts w:ascii="Arial" w:hAnsi="Arial" w:eastAsia="黑体"/>
      <w:sz w:val="28"/>
      <w:szCs w:val="24"/>
    </w:rPr>
  </w:style>
  <w:style w:type="character" w:customStyle="1" w:styleId="128">
    <w:name w:val="标题 1 Char"/>
    <w:link w:val="3"/>
    <w:autoRedefine/>
    <w:qFormat/>
    <w:uiPriority w:val="0"/>
    <w:rPr>
      <w:rFonts w:eastAsia="黑体"/>
      <w:b/>
      <w:kern w:val="2"/>
      <w:sz w:val="32"/>
      <w:lang w:val="en-US" w:eastAsia="zh-CN" w:bidi="ar-SA"/>
    </w:rPr>
  </w:style>
  <w:style w:type="character" w:customStyle="1" w:styleId="129">
    <w:name w:val="Char Char16"/>
    <w:autoRedefine/>
    <w:qFormat/>
    <w:uiPriority w:val="0"/>
    <w:rPr>
      <w:b/>
      <w:bCs/>
      <w:kern w:val="2"/>
      <w:sz w:val="28"/>
      <w:szCs w:val="28"/>
    </w:rPr>
  </w:style>
  <w:style w:type="character" w:customStyle="1" w:styleId="130">
    <w:name w:val="文档结构图 Char"/>
    <w:link w:val="17"/>
    <w:autoRedefine/>
    <w:qFormat/>
    <w:uiPriority w:val="0"/>
    <w:rPr>
      <w:rFonts w:eastAsia="宋体"/>
      <w:kern w:val="2"/>
      <w:sz w:val="21"/>
      <w:szCs w:val="24"/>
      <w:lang w:val="en-US" w:eastAsia="zh-CN" w:bidi="ar-SA"/>
    </w:rPr>
  </w:style>
  <w:style w:type="character" w:customStyle="1" w:styleId="131">
    <w:name w:val="标题 5 Char"/>
    <w:link w:val="7"/>
    <w:autoRedefine/>
    <w:qFormat/>
    <w:uiPriority w:val="0"/>
    <w:rPr>
      <w:rFonts w:eastAsia="宋体"/>
      <w:b/>
      <w:bCs/>
      <w:sz w:val="28"/>
      <w:szCs w:val="28"/>
      <w:lang w:bidi="ar-SA"/>
    </w:rPr>
  </w:style>
  <w:style w:type="character" w:customStyle="1" w:styleId="132">
    <w:name w:val="日期 Char"/>
    <w:link w:val="31"/>
    <w:autoRedefine/>
    <w:qFormat/>
    <w:uiPriority w:val="0"/>
    <w:rPr>
      <w:rFonts w:eastAsia="宋体"/>
      <w:kern w:val="2"/>
      <w:sz w:val="21"/>
      <w:szCs w:val="24"/>
      <w:lang w:val="en-US" w:eastAsia="zh-CN" w:bidi="ar-SA"/>
    </w:rPr>
  </w:style>
  <w:style w:type="character" w:customStyle="1" w:styleId="133">
    <w:name w:val="副标题 Char"/>
    <w:link w:val="39"/>
    <w:autoRedefine/>
    <w:qFormat/>
    <w:uiPriority w:val="0"/>
    <w:rPr>
      <w:rFonts w:ascii="Cambria" w:hAnsi="Cambria" w:eastAsia="宋体"/>
      <w:b/>
      <w:bCs/>
      <w:kern w:val="28"/>
      <w:sz w:val="32"/>
      <w:szCs w:val="32"/>
      <w:lang w:val="en-US" w:eastAsia="zh-CN" w:bidi="ar-SA"/>
    </w:rPr>
  </w:style>
  <w:style w:type="character" w:customStyle="1" w:styleId="134">
    <w:name w:val="页眉 Char"/>
    <w:link w:val="35"/>
    <w:autoRedefine/>
    <w:qFormat/>
    <w:uiPriority w:val="0"/>
    <w:rPr>
      <w:rFonts w:eastAsia="宋体"/>
      <w:kern w:val="2"/>
      <w:sz w:val="18"/>
      <w:szCs w:val="18"/>
      <w:lang w:val="en-US" w:eastAsia="zh-CN" w:bidi="ar-SA"/>
    </w:rPr>
  </w:style>
  <w:style w:type="character" w:customStyle="1" w:styleId="135">
    <w:name w:val="style13"/>
    <w:basedOn w:val="54"/>
    <w:autoRedefine/>
    <w:qFormat/>
    <w:uiPriority w:val="0"/>
  </w:style>
  <w:style w:type="character" w:customStyle="1" w:styleId="136">
    <w:name w:val="textcolor1"/>
    <w:autoRedefine/>
    <w:qFormat/>
    <w:uiPriority w:val="0"/>
    <w:rPr>
      <w:rFonts w:ascii="仿宋_GB2312" w:eastAsia="仿宋_GB2312"/>
      <w:b/>
      <w:color w:val="FF6600"/>
      <w:sz w:val="32"/>
      <w:szCs w:val="32"/>
    </w:rPr>
  </w:style>
  <w:style w:type="character" w:customStyle="1" w:styleId="137">
    <w:name w:val="Table Text Char Char"/>
    <w:link w:val="138"/>
    <w:autoRedefine/>
    <w:qFormat/>
    <w:uiPriority w:val="0"/>
    <w:rPr>
      <w:sz w:val="21"/>
      <w:lang w:val="en-US" w:eastAsia="en-US" w:bidi="ar-SA"/>
    </w:rPr>
  </w:style>
  <w:style w:type="paragraph" w:customStyle="1" w:styleId="138">
    <w:name w:val="Table Text"/>
    <w:basedOn w:val="1"/>
    <w:link w:val="137"/>
    <w:autoRedefine/>
    <w:qFormat/>
    <w:uiPriority w:val="0"/>
    <w:pPr>
      <w:widowControl/>
      <w:tabs>
        <w:tab w:val="decimal" w:pos="0"/>
      </w:tabs>
      <w:overflowPunct w:val="0"/>
      <w:autoSpaceDE w:val="0"/>
      <w:autoSpaceDN w:val="0"/>
      <w:adjustRightInd w:val="0"/>
      <w:jc w:val="left"/>
      <w:textAlignment w:val="baseline"/>
    </w:pPr>
    <w:rPr>
      <w:kern w:val="0"/>
      <w:szCs w:val="20"/>
      <w:lang w:eastAsia="en-US"/>
    </w:rPr>
  </w:style>
  <w:style w:type="character" w:customStyle="1" w:styleId="139">
    <w:name w:val="Ò³Ã¼ Char Char"/>
    <w:autoRedefine/>
    <w:qFormat/>
    <w:uiPriority w:val="0"/>
    <w:rPr>
      <w:sz w:val="18"/>
      <w:szCs w:val="18"/>
    </w:rPr>
  </w:style>
  <w:style w:type="character" w:customStyle="1" w:styleId="140">
    <w:name w:val="heading 2 Char2"/>
    <w:autoRedefine/>
    <w:qFormat/>
    <w:uiPriority w:val="0"/>
    <w:rPr>
      <w:rFonts w:ascii="Cambria" w:hAnsi="Cambria"/>
      <w:b/>
      <w:bCs/>
      <w:kern w:val="2"/>
      <w:sz w:val="32"/>
      <w:szCs w:val="32"/>
    </w:rPr>
  </w:style>
  <w:style w:type="character" w:customStyle="1" w:styleId="141">
    <w:name w:val="书籍标题11"/>
    <w:autoRedefine/>
    <w:qFormat/>
    <w:uiPriority w:val="0"/>
    <w:rPr>
      <w:b/>
      <w:bCs/>
      <w:smallCaps/>
      <w:spacing w:val="5"/>
    </w:rPr>
  </w:style>
  <w:style w:type="character" w:customStyle="1" w:styleId="142">
    <w:name w:val="Char Char21"/>
    <w:autoRedefine/>
    <w:qFormat/>
    <w:uiPriority w:val="0"/>
    <w:rPr>
      <w:rFonts w:ascii="Times New Roman" w:hAnsi="Times New Roman" w:eastAsia="宋体" w:cs="Times New Roman"/>
      <w:b/>
      <w:bCs/>
      <w:kern w:val="44"/>
      <w:sz w:val="44"/>
      <w:szCs w:val="44"/>
    </w:rPr>
  </w:style>
  <w:style w:type="character" w:customStyle="1" w:styleId="143">
    <w:name w:val="正文文本缩进 Char"/>
    <w:link w:val="22"/>
    <w:autoRedefine/>
    <w:qFormat/>
    <w:uiPriority w:val="0"/>
    <w:rPr>
      <w:rFonts w:eastAsia="宋体"/>
      <w:kern w:val="2"/>
      <w:sz w:val="24"/>
      <w:szCs w:val="24"/>
      <w:lang w:val="en-US" w:eastAsia="zh-CN" w:bidi="ar-SA"/>
    </w:rPr>
  </w:style>
  <w:style w:type="character" w:customStyle="1" w:styleId="144">
    <w:name w:val="不明显强调1"/>
    <w:autoRedefine/>
    <w:qFormat/>
    <w:uiPriority w:val="0"/>
    <w:rPr>
      <w:i/>
      <w:iCs/>
      <w:color w:val="808080"/>
    </w:rPr>
  </w:style>
  <w:style w:type="character" w:customStyle="1" w:styleId="145">
    <w:name w:val="正文文本缩进 3 Char"/>
    <w:link w:val="43"/>
    <w:autoRedefine/>
    <w:qFormat/>
    <w:uiPriority w:val="0"/>
    <w:rPr>
      <w:rFonts w:eastAsia="宋体"/>
      <w:kern w:val="2"/>
      <w:sz w:val="24"/>
      <w:szCs w:val="24"/>
      <w:lang w:val="en-US" w:eastAsia="zh-CN" w:bidi="ar-SA"/>
    </w:rPr>
  </w:style>
  <w:style w:type="character" w:customStyle="1" w:styleId="146">
    <w:name w:val="heading 5 Char"/>
    <w:autoRedefine/>
    <w:qFormat/>
    <w:uiPriority w:val="0"/>
    <w:rPr>
      <w:rFonts w:ascii="Arial" w:hAnsi="Arial" w:eastAsia="黑体"/>
      <w:sz w:val="21"/>
      <w:szCs w:val="21"/>
    </w:rPr>
  </w:style>
  <w:style w:type="character" w:customStyle="1" w:styleId="147">
    <w:name w:val="Style3"/>
    <w:autoRedefine/>
    <w:qFormat/>
    <w:uiPriority w:val="0"/>
    <w:rPr>
      <w:rFonts w:ascii="Calibri" w:hAnsi="宋体" w:eastAsia="宋体" w:cs="Times New Roman"/>
      <w:szCs w:val="22"/>
      <w:lang w:eastAsia="zh-CN"/>
    </w:rPr>
  </w:style>
  <w:style w:type="character" w:customStyle="1" w:styleId="148">
    <w:name w:val="标题 4 Char"/>
    <w:link w:val="6"/>
    <w:autoRedefine/>
    <w:qFormat/>
    <w:uiPriority w:val="0"/>
    <w:rPr>
      <w:rFonts w:eastAsia="宋体"/>
      <w:kern w:val="2"/>
      <w:sz w:val="28"/>
      <w:szCs w:val="28"/>
      <w:lang w:val="en-US" w:eastAsia="zh-CN" w:bidi="ar-SA"/>
    </w:rPr>
  </w:style>
  <w:style w:type="character" w:customStyle="1" w:styleId="149">
    <w:name w:val="Char Char241"/>
    <w:autoRedefine/>
    <w:qFormat/>
    <w:uiPriority w:val="0"/>
    <w:rPr>
      <w:rFonts w:eastAsia="宋体"/>
      <w:b/>
      <w:kern w:val="2"/>
      <w:sz w:val="28"/>
      <w:lang w:val="en-US" w:eastAsia="zh-CN" w:bidi="ar-SA"/>
    </w:rPr>
  </w:style>
  <w:style w:type="character" w:customStyle="1" w:styleId="150">
    <w:name w:val="批注框文本 Char"/>
    <w:link w:val="33"/>
    <w:autoRedefine/>
    <w:qFormat/>
    <w:uiPriority w:val="0"/>
    <w:rPr>
      <w:rFonts w:eastAsia="宋体"/>
      <w:kern w:val="2"/>
      <w:sz w:val="18"/>
      <w:szCs w:val="18"/>
      <w:lang w:val="en-US" w:eastAsia="zh-CN" w:bidi="ar-SA"/>
    </w:rPr>
  </w:style>
  <w:style w:type="character" w:customStyle="1" w:styleId="151">
    <w:name w:val="标题 3 Char"/>
    <w:link w:val="5"/>
    <w:autoRedefine/>
    <w:qFormat/>
    <w:uiPriority w:val="0"/>
    <w:rPr>
      <w:rFonts w:eastAsia="黑体"/>
      <w:b/>
      <w:kern w:val="2"/>
      <w:sz w:val="28"/>
      <w:lang w:val="en-US" w:eastAsia="zh-CN" w:bidi="ar-SA"/>
    </w:rPr>
  </w:style>
  <w:style w:type="character" w:customStyle="1" w:styleId="152">
    <w:name w:val="明显强调11"/>
    <w:autoRedefine/>
    <w:qFormat/>
    <w:uiPriority w:val="0"/>
    <w:rPr>
      <w:b/>
      <w:bCs/>
      <w:i/>
      <w:iCs/>
      <w:color w:val="4F81BD"/>
    </w:rPr>
  </w:style>
  <w:style w:type="character" w:customStyle="1" w:styleId="153">
    <w:name w:val="签名 Char"/>
    <w:link w:val="36"/>
    <w:autoRedefine/>
    <w:qFormat/>
    <w:uiPriority w:val="0"/>
    <w:rPr>
      <w:rFonts w:ascii="仿宋_GB2312" w:eastAsia="仿宋_GB2312"/>
      <w:b/>
      <w:sz w:val="24"/>
      <w:szCs w:val="32"/>
    </w:rPr>
  </w:style>
  <w:style w:type="character" w:customStyle="1" w:styleId="154">
    <w:name w:val="heading 3 Char2"/>
    <w:autoRedefine/>
    <w:qFormat/>
    <w:uiPriority w:val="0"/>
    <w:rPr>
      <w:b/>
      <w:bCs/>
      <w:kern w:val="2"/>
      <w:sz w:val="32"/>
      <w:szCs w:val="32"/>
    </w:rPr>
  </w:style>
  <w:style w:type="character" w:customStyle="1" w:styleId="155">
    <w:name w:val="style21"/>
    <w:autoRedefine/>
    <w:qFormat/>
    <w:uiPriority w:val="0"/>
    <w:rPr>
      <w:sz w:val="15"/>
      <w:szCs w:val="15"/>
    </w:rPr>
  </w:style>
  <w:style w:type="character" w:customStyle="1" w:styleId="156">
    <w:name w:val="Char Char271"/>
    <w:autoRedefine/>
    <w:qFormat/>
    <w:uiPriority w:val="0"/>
    <w:rPr>
      <w:rFonts w:eastAsia="宋体"/>
      <w:kern w:val="2"/>
      <w:sz w:val="28"/>
      <w:lang w:val="en-US" w:eastAsia="zh-CN" w:bidi="ar-SA"/>
    </w:rPr>
  </w:style>
  <w:style w:type="character" w:customStyle="1" w:styleId="157">
    <w:name w:val="表格 Char Char"/>
    <w:link w:val="158"/>
    <w:autoRedefine/>
    <w:qFormat/>
    <w:uiPriority w:val="0"/>
    <w:rPr>
      <w:rFonts w:ascii="宋体" w:hAnsi="宋体" w:eastAsia="宋体"/>
      <w:lang w:val="en-US" w:eastAsia="zh-CN" w:bidi="ar-SA"/>
    </w:rPr>
  </w:style>
  <w:style w:type="paragraph" w:customStyle="1" w:styleId="158">
    <w:name w:val="表格"/>
    <w:basedOn w:val="1"/>
    <w:link w:val="157"/>
    <w:autoRedefine/>
    <w:qFormat/>
    <w:uiPriority w:val="0"/>
    <w:pPr>
      <w:autoSpaceDE w:val="0"/>
      <w:autoSpaceDN w:val="0"/>
      <w:adjustRightInd w:val="0"/>
      <w:snapToGrid w:val="0"/>
      <w:ind w:firstLine="42" w:firstLineChars="21"/>
      <w:jc w:val="left"/>
    </w:pPr>
    <w:rPr>
      <w:rFonts w:ascii="宋体" w:hAnsi="宋体"/>
      <w:kern w:val="0"/>
      <w:sz w:val="20"/>
      <w:szCs w:val="20"/>
    </w:rPr>
  </w:style>
  <w:style w:type="character" w:customStyle="1" w:styleId="159">
    <w:name w:val="heading 6 Char1"/>
    <w:autoRedefine/>
    <w:qFormat/>
    <w:uiPriority w:val="0"/>
    <w:rPr>
      <w:rFonts w:ascii="Arial" w:hAnsi="Arial" w:eastAsia="黑体"/>
      <w:kern w:val="2"/>
      <w:sz w:val="24"/>
      <w:szCs w:val="24"/>
      <w:lang w:val="en-US" w:eastAsia="zh-CN" w:bidi="ar-SA"/>
    </w:rPr>
  </w:style>
  <w:style w:type="character" w:customStyle="1" w:styleId="160">
    <w:name w:val="Char Char211"/>
    <w:autoRedefine/>
    <w:qFormat/>
    <w:uiPriority w:val="0"/>
    <w:rPr>
      <w:rFonts w:ascii="Times New Roman" w:hAnsi="Times New Roman" w:eastAsia="宋体" w:cs="Times New Roman"/>
      <w:b/>
      <w:bCs/>
      <w:kern w:val="44"/>
      <w:sz w:val="44"/>
      <w:szCs w:val="44"/>
    </w:rPr>
  </w:style>
  <w:style w:type="character" w:customStyle="1" w:styleId="161">
    <w:name w:val="不明显强调11"/>
    <w:autoRedefine/>
    <w:qFormat/>
    <w:uiPriority w:val="0"/>
    <w:rPr>
      <w:i/>
      <w:iCs/>
      <w:color w:val="808080"/>
    </w:rPr>
  </w:style>
  <w:style w:type="character" w:customStyle="1" w:styleId="162">
    <w:name w:val="标题 9 Char"/>
    <w:link w:val="12"/>
    <w:autoRedefine/>
    <w:qFormat/>
    <w:uiPriority w:val="0"/>
    <w:rPr>
      <w:rFonts w:ascii="Arial" w:hAnsi="Arial" w:eastAsia="黑体"/>
      <w:kern w:val="2"/>
      <w:sz w:val="21"/>
      <w:lang w:val="en-US" w:eastAsia="zh-CN" w:bidi="ar-SA"/>
    </w:rPr>
  </w:style>
  <w:style w:type="character" w:customStyle="1" w:styleId="163">
    <w:name w:val="正文文本 Char"/>
    <w:link w:val="21"/>
    <w:autoRedefine/>
    <w:qFormat/>
    <w:uiPriority w:val="0"/>
    <w:rPr>
      <w:rFonts w:ascii="仿宋_GB2312" w:eastAsia="宋体"/>
      <w:b/>
      <w:kern w:val="2"/>
      <w:sz w:val="21"/>
      <w:szCs w:val="24"/>
      <w:lang w:val="en-US" w:eastAsia="zh-CN" w:bidi="ar-SA"/>
    </w:rPr>
  </w:style>
  <w:style w:type="character" w:customStyle="1" w:styleId="164">
    <w:name w:val="明显引用 Char"/>
    <w:link w:val="165"/>
    <w:autoRedefine/>
    <w:qFormat/>
    <w:uiPriority w:val="0"/>
    <w:rPr>
      <w:rFonts w:ascii="Calibri" w:hAnsi="Calibri" w:eastAsia="宋体"/>
      <w:b/>
      <w:bCs/>
      <w:i/>
      <w:iCs/>
      <w:color w:val="4F81BD"/>
      <w:lang w:val="en-US" w:eastAsia="zh-CN" w:bidi="ar-SA"/>
    </w:rPr>
  </w:style>
  <w:style w:type="paragraph" w:styleId="165">
    <w:name w:val="Intense Quote"/>
    <w:basedOn w:val="1"/>
    <w:next w:val="1"/>
    <w:link w:val="164"/>
    <w:autoRedefine/>
    <w:qFormat/>
    <w:uiPriority w:val="0"/>
    <w:pPr>
      <w:pBdr>
        <w:bottom w:val="single" w:color="4F81BD" w:sz="4" w:space="4"/>
      </w:pBdr>
      <w:spacing w:before="200" w:after="280"/>
      <w:ind w:left="936" w:right="936"/>
    </w:pPr>
    <w:rPr>
      <w:rFonts w:ascii="Calibri" w:hAnsi="Calibri"/>
      <w:b/>
      <w:bCs/>
      <w:i/>
      <w:iCs/>
      <w:color w:val="4F81BD"/>
      <w:kern w:val="0"/>
      <w:sz w:val="20"/>
      <w:szCs w:val="20"/>
    </w:rPr>
  </w:style>
  <w:style w:type="character" w:customStyle="1" w:styleId="166">
    <w:name w:val="heading 5 Char1"/>
    <w:autoRedefine/>
    <w:qFormat/>
    <w:uiPriority w:val="0"/>
    <w:rPr>
      <w:rFonts w:eastAsia="宋体"/>
      <w:b/>
      <w:bCs/>
      <w:kern w:val="2"/>
      <w:sz w:val="28"/>
      <w:szCs w:val="28"/>
      <w:lang w:val="en-US" w:eastAsia="zh-CN" w:bidi="ar-SA"/>
    </w:rPr>
  </w:style>
  <w:style w:type="character" w:customStyle="1" w:styleId="167">
    <w:name w:val="Texte Char Char"/>
    <w:autoRedefine/>
    <w:qFormat/>
    <w:uiPriority w:val="0"/>
    <w:rPr>
      <w:rFonts w:ascii="宋体" w:hAnsi="Courier New" w:eastAsia="宋体"/>
      <w:sz w:val="21"/>
      <w:szCs w:val="21"/>
      <w:lang w:val="en-US" w:eastAsia="zh-CN" w:bidi="ar-SA"/>
    </w:rPr>
  </w:style>
  <w:style w:type="character" w:customStyle="1" w:styleId="168">
    <w:name w:val="正文1 Char Char"/>
    <w:link w:val="169"/>
    <w:autoRedefine/>
    <w:qFormat/>
    <w:uiPriority w:val="0"/>
    <w:rPr>
      <w:rFonts w:ascii="宋体" w:hAnsi="宋体" w:eastAsia="宋体" w:cs="宋体"/>
      <w:sz w:val="21"/>
      <w:lang w:val="en-US" w:eastAsia="zh-CN" w:bidi="ar-SA"/>
    </w:rPr>
  </w:style>
  <w:style w:type="paragraph" w:customStyle="1" w:styleId="169">
    <w:name w:val="正文1"/>
    <w:basedOn w:val="1"/>
    <w:link w:val="168"/>
    <w:autoRedefine/>
    <w:qFormat/>
    <w:uiPriority w:val="0"/>
    <w:pPr>
      <w:widowControl/>
      <w:spacing w:line="360" w:lineRule="auto"/>
      <w:ind w:left="360" w:firstLine="420"/>
      <w:jc w:val="left"/>
    </w:pPr>
    <w:rPr>
      <w:rFonts w:ascii="宋体" w:hAnsi="宋体" w:cs="宋体"/>
      <w:kern w:val="0"/>
      <w:szCs w:val="20"/>
    </w:rPr>
  </w:style>
  <w:style w:type="character" w:customStyle="1" w:styleId="170">
    <w:name w:val="heading 8 Char1"/>
    <w:autoRedefine/>
    <w:qFormat/>
    <w:uiPriority w:val="0"/>
    <w:rPr>
      <w:rFonts w:ascii="Arial" w:hAnsi="Arial" w:eastAsia="黑体"/>
      <w:sz w:val="24"/>
      <w:lang w:val="en-US" w:eastAsia="zh-CN" w:bidi="ar-SA"/>
    </w:rPr>
  </w:style>
  <w:style w:type="character" w:customStyle="1" w:styleId="171">
    <w:name w:val="heading 9 Char1"/>
    <w:autoRedefine/>
    <w:qFormat/>
    <w:uiPriority w:val="0"/>
    <w:rPr>
      <w:rFonts w:ascii="Arial" w:hAnsi="Arial" w:eastAsia="黑体"/>
      <w:sz w:val="21"/>
      <w:lang w:val="en-US" w:eastAsia="zh-CN" w:bidi="ar-SA"/>
    </w:rPr>
  </w:style>
  <w:style w:type="character" w:customStyle="1" w:styleId="172">
    <w:name w:val="标题 6 Char"/>
    <w:link w:val="8"/>
    <w:autoRedefine/>
    <w:qFormat/>
    <w:uiPriority w:val="0"/>
    <w:rPr>
      <w:rFonts w:ascii="Arial" w:hAnsi="Arial" w:eastAsia="黑体"/>
      <w:b/>
      <w:kern w:val="2"/>
      <w:sz w:val="24"/>
      <w:lang w:val="en-US" w:eastAsia="zh-CN" w:bidi="ar-SA"/>
    </w:rPr>
  </w:style>
  <w:style w:type="character" w:customStyle="1" w:styleId="173">
    <w:name w:val="ändrad Char1"/>
    <w:autoRedefine/>
    <w:qFormat/>
    <w:uiPriority w:val="0"/>
    <w:rPr>
      <w:rFonts w:ascii="仿宋_GB2312" w:eastAsia="宋体"/>
      <w:b/>
      <w:kern w:val="2"/>
      <w:sz w:val="21"/>
      <w:szCs w:val="24"/>
      <w:lang w:val="en-US" w:eastAsia="zh-CN" w:bidi="ar-SA"/>
    </w:rPr>
  </w:style>
  <w:style w:type="character" w:customStyle="1" w:styleId="174">
    <w:name w:val="Char Char41"/>
    <w:autoRedefine/>
    <w:qFormat/>
    <w:uiPriority w:val="0"/>
    <w:rPr>
      <w:rFonts w:ascii="Cambria" w:hAnsi="Cambria" w:eastAsia="宋体"/>
      <w:b/>
      <w:bCs/>
      <w:sz w:val="32"/>
      <w:szCs w:val="32"/>
      <w:lang w:bidi="ar-SA"/>
    </w:rPr>
  </w:style>
  <w:style w:type="character" w:customStyle="1" w:styleId="175">
    <w:name w:val="标题 8 Char"/>
    <w:link w:val="11"/>
    <w:autoRedefine/>
    <w:qFormat/>
    <w:uiPriority w:val="0"/>
    <w:rPr>
      <w:rFonts w:ascii="Arial" w:hAnsi="Arial" w:eastAsia="黑体"/>
      <w:kern w:val="2"/>
      <w:sz w:val="24"/>
      <w:lang w:val="en-US" w:eastAsia="zh-CN" w:bidi="ar-SA"/>
    </w:rPr>
  </w:style>
  <w:style w:type="character" w:customStyle="1" w:styleId="176">
    <w:name w:val="Char Char11"/>
    <w:autoRedefine/>
    <w:qFormat/>
    <w:uiPriority w:val="0"/>
    <w:rPr>
      <w:rFonts w:ascii="Times New Roman" w:hAnsi="Times New Roman" w:eastAsia="宋体" w:cs="Times New Roman"/>
      <w:sz w:val="18"/>
      <w:szCs w:val="18"/>
    </w:rPr>
  </w:style>
  <w:style w:type="character" w:customStyle="1" w:styleId="177">
    <w:name w:val="正文文本缩进 2 Char"/>
    <w:link w:val="32"/>
    <w:autoRedefine/>
    <w:qFormat/>
    <w:uiPriority w:val="0"/>
    <w:rPr>
      <w:rFonts w:eastAsia="宋体"/>
      <w:kern w:val="2"/>
      <w:sz w:val="24"/>
      <w:szCs w:val="24"/>
      <w:lang w:val="en-US" w:eastAsia="zh-CN" w:bidi="ar-SA"/>
    </w:rPr>
  </w:style>
  <w:style w:type="character" w:customStyle="1" w:styleId="178">
    <w:name w:val="Char Char6"/>
    <w:autoRedefine/>
    <w:qFormat/>
    <w:uiPriority w:val="0"/>
    <w:rPr>
      <w:rFonts w:ascii="Times New Roman" w:hAnsi="Times New Roman" w:eastAsia="宋体" w:cs="Times New Roman"/>
      <w:szCs w:val="24"/>
    </w:rPr>
  </w:style>
  <w:style w:type="character" w:customStyle="1" w:styleId="179">
    <w:name w:val="Char Char Char"/>
    <w:autoRedefine/>
    <w:qFormat/>
    <w:uiPriority w:val="0"/>
    <w:rPr>
      <w:rFonts w:ascii="宋体" w:hAnsi="Courier New" w:eastAsia="宋体"/>
      <w:b/>
      <w:sz w:val="21"/>
      <w:szCs w:val="21"/>
      <w:lang w:val="en-US" w:eastAsia="zh-CN" w:bidi="ar-SA"/>
    </w:rPr>
  </w:style>
  <w:style w:type="character" w:customStyle="1" w:styleId="180">
    <w:name w:val="heading 2 Char"/>
    <w:autoRedefine/>
    <w:qFormat/>
    <w:uiPriority w:val="0"/>
    <w:rPr>
      <w:rFonts w:ascii="Arial" w:hAnsi="Arial" w:eastAsia="黑体" w:cs="Times New Roman"/>
      <w:sz w:val="30"/>
      <w:szCs w:val="24"/>
    </w:rPr>
  </w:style>
  <w:style w:type="character" w:customStyle="1" w:styleId="181">
    <w:name w:val="Char Char2"/>
    <w:autoRedefine/>
    <w:qFormat/>
    <w:uiPriority w:val="0"/>
    <w:rPr>
      <w:rFonts w:ascii="Arial" w:hAnsi="Arial" w:eastAsia="黑体"/>
      <w:b/>
      <w:bCs/>
      <w:kern w:val="44"/>
      <w:sz w:val="30"/>
      <w:szCs w:val="44"/>
      <w:lang w:val="en-US" w:eastAsia="zh-CN" w:bidi="ar-SA"/>
    </w:rPr>
  </w:style>
  <w:style w:type="character" w:customStyle="1" w:styleId="182">
    <w:name w:val="Footer-Even Char2"/>
    <w:autoRedefine/>
    <w:qFormat/>
    <w:uiPriority w:val="0"/>
    <w:rPr>
      <w:kern w:val="2"/>
      <w:sz w:val="18"/>
      <w:szCs w:val="18"/>
    </w:rPr>
  </w:style>
  <w:style w:type="character" w:customStyle="1" w:styleId="183">
    <w:name w:val="Char Char17"/>
    <w:autoRedefine/>
    <w:qFormat/>
    <w:uiPriority w:val="0"/>
    <w:rPr>
      <w:rFonts w:ascii="Cambria" w:hAnsi="Cambria"/>
      <w:b/>
      <w:bCs/>
      <w:kern w:val="2"/>
      <w:sz w:val="28"/>
      <w:szCs w:val="28"/>
    </w:rPr>
  </w:style>
  <w:style w:type="character" w:customStyle="1" w:styleId="184">
    <w:name w:val="heading 4 Char"/>
    <w:autoRedefine/>
    <w:qFormat/>
    <w:uiPriority w:val="0"/>
    <w:rPr>
      <w:rFonts w:ascii="Arial" w:hAnsi="Arial" w:eastAsia="黑体" w:cs="Times New Roman"/>
      <w:sz w:val="21"/>
      <w:szCs w:val="21"/>
    </w:rPr>
  </w:style>
  <w:style w:type="character" w:customStyle="1" w:styleId="185">
    <w:name w:val="Char Char20"/>
    <w:autoRedefine/>
    <w:qFormat/>
    <w:uiPriority w:val="0"/>
    <w:rPr>
      <w:b/>
      <w:bCs/>
      <w:kern w:val="44"/>
      <w:sz w:val="44"/>
      <w:szCs w:val="44"/>
    </w:rPr>
  </w:style>
  <w:style w:type="character" w:customStyle="1" w:styleId="186">
    <w:name w:val="heading 1 Char2"/>
    <w:autoRedefine/>
    <w:qFormat/>
    <w:uiPriority w:val="0"/>
    <w:rPr>
      <w:b/>
      <w:bCs/>
      <w:kern w:val="44"/>
      <w:sz w:val="44"/>
      <w:szCs w:val="44"/>
    </w:rPr>
  </w:style>
  <w:style w:type="character" w:customStyle="1" w:styleId="187">
    <w:name w:val="font11"/>
    <w:autoRedefine/>
    <w:qFormat/>
    <w:uiPriority w:val="0"/>
    <w:rPr>
      <w:rFonts w:hint="eastAsia" w:ascii="宋体" w:hAnsi="宋体" w:eastAsia="宋体" w:cs="宋体"/>
      <w:b/>
      <w:color w:val="000000"/>
      <w:sz w:val="20"/>
      <w:szCs w:val="20"/>
      <w:u w:val="none"/>
    </w:rPr>
  </w:style>
  <w:style w:type="character" w:customStyle="1" w:styleId="188">
    <w:name w:val="表正文 Char2"/>
    <w:autoRedefine/>
    <w:qFormat/>
    <w:uiPriority w:val="0"/>
    <w:rPr>
      <w:rFonts w:ascii="Times New Roman" w:hAnsi="Times New Roman" w:eastAsia="宋体" w:cs="Times New Roman"/>
      <w:szCs w:val="24"/>
    </w:rPr>
  </w:style>
  <w:style w:type="character" w:customStyle="1" w:styleId="189">
    <w:name w:val="引用 Char"/>
    <w:link w:val="190"/>
    <w:autoRedefine/>
    <w:qFormat/>
    <w:uiPriority w:val="0"/>
    <w:rPr>
      <w:rFonts w:ascii="Calibri" w:hAnsi="Calibri" w:eastAsia="宋体"/>
      <w:i/>
      <w:iCs/>
      <w:color w:val="000000"/>
      <w:lang w:val="en-US" w:eastAsia="zh-CN" w:bidi="ar-SA"/>
    </w:rPr>
  </w:style>
  <w:style w:type="paragraph" w:styleId="190">
    <w:name w:val="Quote"/>
    <w:basedOn w:val="1"/>
    <w:next w:val="1"/>
    <w:link w:val="189"/>
    <w:autoRedefine/>
    <w:qFormat/>
    <w:uiPriority w:val="0"/>
    <w:rPr>
      <w:rFonts w:ascii="Calibri" w:hAnsi="Calibri"/>
      <w:i/>
      <w:iCs/>
      <w:color w:val="000000"/>
      <w:kern w:val="0"/>
      <w:sz w:val="20"/>
      <w:szCs w:val="20"/>
    </w:rPr>
  </w:style>
  <w:style w:type="character" w:customStyle="1" w:styleId="191">
    <w:name w:val="纯文本 Char"/>
    <w:link w:val="28"/>
    <w:autoRedefine/>
    <w:qFormat/>
    <w:uiPriority w:val="0"/>
    <w:rPr>
      <w:rFonts w:ascii="宋体" w:hAnsi="Courier New" w:eastAsia="宋体"/>
      <w:b/>
      <w:sz w:val="21"/>
      <w:szCs w:val="21"/>
      <w:lang w:val="en-US" w:eastAsia="zh-CN" w:bidi="ar-SA"/>
    </w:rPr>
  </w:style>
  <w:style w:type="character" w:customStyle="1" w:styleId="192">
    <w:name w:val="Char Char19"/>
    <w:autoRedefine/>
    <w:qFormat/>
    <w:uiPriority w:val="0"/>
    <w:rPr>
      <w:rFonts w:ascii="Cambria" w:hAnsi="Cambria"/>
      <w:b/>
      <w:bCs/>
      <w:kern w:val="2"/>
      <w:sz w:val="32"/>
      <w:szCs w:val="32"/>
    </w:rPr>
  </w:style>
  <w:style w:type="character" w:customStyle="1" w:styleId="193">
    <w:name w:val="style41"/>
    <w:autoRedefine/>
    <w:qFormat/>
    <w:uiPriority w:val="0"/>
    <w:rPr>
      <w:color w:val="auto"/>
    </w:rPr>
  </w:style>
  <w:style w:type="character" w:customStyle="1" w:styleId="194">
    <w:name w:val="Char Char201"/>
    <w:autoRedefine/>
    <w:qFormat/>
    <w:uiPriority w:val="0"/>
    <w:rPr>
      <w:rFonts w:ascii="Cambria" w:hAnsi="Cambria" w:eastAsia="宋体" w:cs="Times New Roman"/>
      <w:b/>
      <w:bCs/>
      <w:sz w:val="32"/>
      <w:szCs w:val="32"/>
    </w:rPr>
  </w:style>
  <w:style w:type="character" w:customStyle="1" w:styleId="195">
    <w:name w:val="正文首行缩进 Char"/>
    <w:link w:val="50"/>
    <w:autoRedefine/>
    <w:qFormat/>
    <w:uiPriority w:val="0"/>
    <w:rPr>
      <w:rFonts w:eastAsia="宋体"/>
      <w:lang w:val="en-US" w:eastAsia="zh-CN" w:bidi="ar-SA"/>
    </w:rPr>
  </w:style>
  <w:style w:type="character" w:customStyle="1" w:styleId="196">
    <w:name w:val="smalltxt1"/>
    <w:autoRedefine/>
    <w:qFormat/>
    <w:uiPriority w:val="0"/>
    <w:rPr>
      <w:rFonts w:hint="default" w:ascii="ˎ̥" w:hAnsi="ˎ̥"/>
      <w:sz w:val="24"/>
      <w:szCs w:val="24"/>
    </w:rPr>
  </w:style>
  <w:style w:type="character" w:customStyle="1" w:styleId="197">
    <w:name w:val="正文文本 2 Char"/>
    <w:basedOn w:val="54"/>
    <w:link w:val="46"/>
    <w:autoRedefine/>
    <w:qFormat/>
    <w:uiPriority w:val="0"/>
  </w:style>
  <w:style w:type="paragraph" w:customStyle="1" w:styleId="198">
    <w:name w:val="标书正文格式"/>
    <w:autoRedefine/>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99">
    <w:name w:val="Char Char Char Char"/>
    <w:basedOn w:val="1"/>
    <w:autoRedefine/>
    <w:qFormat/>
    <w:uiPriority w:val="0"/>
    <w:pPr>
      <w:autoSpaceDE w:val="0"/>
      <w:autoSpaceDN w:val="0"/>
      <w:adjustRightInd w:val="0"/>
      <w:jc w:val="left"/>
    </w:pPr>
    <w:rPr>
      <w:rFonts w:ascii="Tahoma" w:hAnsi="Tahoma"/>
      <w:kern w:val="0"/>
      <w:sz w:val="24"/>
      <w:szCs w:val="20"/>
    </w:rPr>
  </w:style>
  <w:style w:type="paragraph" w:customStyle="1" w:styleId="200">
    <w:name w:val="表内文字"/>
    <w:basedOn w:val="1"/>
    <w:autoRedefine/>
    <w:qFormat/>
    <w:uiPriority w:val="0"/>
    <w:pPr>
      <w:spacing w:line="240" w:lineRule="atLeast"/>
      <w:jc w:val="center"/>
    </w:pPr>
    <w:rPr>
      <w:rFonts w:ascii="Arial" w:hAnsi="Arial" w:cs="Arial"/>
      <w:b/>
      <w:bCs/>
    </w:rPr>
  </w:style>
  <w:style w:type="paragraph" w:customStyle="1" w:styleId="201">
    <w:name w:val="列项——（一级）"/>
    <w:autoRedefine/>
    <w:qFormat/>
    <w:uiPriority w:val="0"/>
    <w:pPr>
      <w:widowControl w:val="0"/>
      <w:tabs>
        <w:tab w:val="left" w:pos="854"/>
        <w:tab w:val="left" w:pos="1260"/>
      </w:tabs>
      <w:ind w:left="1260" w:hanging="420"/>
      <w:jc w:val="both"/>
    </w:pPr>
    <w:rPr>
      <w:rFonts w:ascii="宋体" w:hAnsi="Times New Roman" w:eastAsia="宋体" w:cs="Times New Roman"/>
      <w:sz w:val="21"/>
      <w:lang w:val="en-US" w:eastAsia="zh-CN" w:bidi="ar-SA"/>
    </w:rPr>
  </w:style>
  <w:style w:type="paragraph" w:customStyle="1" w:styleId="202">
    <w:name w:val="Char Char Char Char Char Char Char"/>
    <w:basedOn w:val="1"/>
    <w:autoRedefine/>
    <w:qFormat/>
    <w:uiPriority w:val="0"/>
    <w:rPr>
      <w:rFonts w:ascii="仿宋_GB2312" w:eastAsia="仿宋_GB2312"/>
      <w:b/>
      <w:sz w:val="32"/>
      <w:szCs w:val="32"/>
    </w:rPr>
  </w:style>
  <w:style w:type="paragraph" w:customStyle="1" w:styleId="203">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04">
    <w:name w:val="列出段落1"/>
    <w:basedOn w:val="1"/>
    <w:autoRedefine/>
    <w:qFormat/>
    <w:uiPriority w:val="0"/>
    <w:pPr>
      <w:ind w:firstLine="420" w:firstLineChars="200"/>
    </w:pPr>
    <w:rPr>
      <w:szCs w:val="20"/>
    </w:rPr>
  </w:style>
  <w:style w:type="paragraph" w:customStyle="1" w:styleId="205">
    <w:name w:val="一级条标题"/>
    <w:next w:val="1"/>
    <w:autoRedefine/>
    <w:qFormat/>
    <w:uiPriority w:val="0"/>
    <w:pPr>
      <w:tabs>
        <w:tab w:val="left" w:pos="3889"/>
      </w:tabs>
      <w:ind w:left="3889" w:hanging="420"/>
      <w:outlineLvl w:val="2"/>
    </w:pPr>
    <w:rPr>
      <w:rFonts w:ascii="Times New Roman" w:hAnsi="Times New Roman" w:eastAsia="黑体" w:cs="Times New Roman"/>
      <w:sz w:val="21"/>
      <w:lang w:val="en-US" w:eastAsia="zh-CN" w:bidi="ar-SA"/>
    </w:rPr>
  </w:style>
  <w:style w:type="paragraph" w:customStyle="1" w:styleId="206">
    <w:name w:val="xl7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color w:val="000000"/>
      <w:kern w:val="0"/>
      <w:sz w:val="24"/>
    </w:rPr>
  </w:style>
  <w:style w:type="paragraph" w:customStyle="1" w:styleId="207">
    <w:name w:val="技术报告正文"/>
    <w:basedOn w:val="1"/>
    <w:autoRedefine/>
    <w:qFormat/>
    <w:uiPriority w:val="0"/>
    <w:pPr>
      <w:autoSpaceDE w:val="0"/>
      <w:autoSpaceDN w:val="0"/>
      <w:adjustRightInd w:val="0"/>
      <w:spacing w:beforeLines="50" w:line="440" w:lineRule="exact"/>
      <w:ind w:firstLine="538" w:firstLineChars="192"/>
      <w:jc w:val="left"/>
    </w:pPr>
    <w:rPr>
      <w:rFonts w:cs="Arial"/>
      <w:bCs/>
      <w:kern w:val="0"/>
      <w:sz w:val="28"/>
      <w:szCs w:val="20"/>
    </w:rPr>
  </w:style>
  <w:style w:type="paragraph" w:customStyle="1" w:styleId="208">
    <w:name w:val="xl84"/>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color w:val="000000"/>
      <w:kern w:val="0"/>
      <w:sz w:val="24"/>
    </w:rPr>
  </w:style>
  <w:style w:type="paragraph" w:customStyle="1" w:styleId="209">
    <w:name w:val="xl7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新宋体" w:hAnsi="新宋体" w:eastAsia="新宋体" w:cs="宋体"/>
      <w:color w:val="000000"/>
      <w:kern w:val="0"/>
      <w:sz w:val="24"/>
    </w:rPr>
  </w:style>
  <w:style w:type="paragraph" w:customStyle="1" w:styleId="210">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11">
    <w:name w:val="NICMAN Body Text"/>
    <w:basedOn w:val="1"/>
    <w:next w:val="21"/>
    <w:autoRedefine/>
    <w:qFormat/>
    <w:uiPriority w:val="0"/>
    <w:pPr>
      <w:autoSpaceDE w:val="0"/>
      <w:autoSpaceDN w:val="0"/>
      <w:adjustRightInd w:val="0"/>
      <w:spacing w:after="120"/>
      <w:jc w:val="left"/>
    </w:pPr>
    <w:rPr>
      <w:kern w:val="0"/>
      <w:sz w:val="20"/>
      <w:szCs w:val="20"/>
    </w:rPr>
  </w:style>
  <w:style w:type="paragraph" w:customStyle="1" w:styleId="212">
    <w:name w:val="Char Char Char Char Char Char Char Char Char Char Char Char Char"/>
    <w:basedOn w:val="1"/>
    <w:autoRedefine/>
    <w:qFormat/>
    <w:uiPriority w:val="0"/>
    <w:rPr>
      <w:rFonts w:ascii="Tahoma" w:hAnsi="Tahoma"/>
      <w:sz w:val="24"/>
      <w:szCs w:val="20"/>
    </w:rPr>
  </w:style>
  <w:style w:type="paragraph" w:customStyle="1" w:styleId="213">
    <w:name w:val="xl8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jc w:val="center"/>
    </w:pPr>
    <w:rPr>
      <w:rFonts w:ascii="新宋体" w:hAnsi="新宋体" w:eastAsia="新宋体" w:cs="宋体"/>
      <w:b/>
      <w:bCs/>
      <w:color w:val="000000"/>
      <w:kern w:val="0"/>
      <w:sz w:val="24"/>
    </w:rPr>
  </w:style>
  <w:style w:type="paragraph" w:customStyle="1" w:styleId="214">
    <w:name w:val="正文缩进1"/>
    <w:basedOn w:val="1"/>
    <w:next w:val="22"/>
    <w:autoRedefine/>
    <w:qFormat/>
    <w:uiPriority w:val="0"/>
    <w:pPr>
      <w:autoSpaceDE w:val="0"/>
      <w:autoSpaceDN w:val="0"/>
      <w:adjustRightInd w:val="0"/>
      <w:snapToGrid w:val="0"/>
      <w:spacing w:after="120" w:line="360" w:lineRule="auto"/>
      <w:ind w:left="420" w:leftChars="200" w:firstLine="480" w:firstLineChars="200"/>
      <w:jc w:val="left"/>
    </w:pPr>
    <w:rPr>
      <w:kern w:val="0"/>
      <w:sz w:val="24"/>
      <w:szCs w:val="21"/>
    </w:rPr>
  </w:style>
  <w:style w:type="paragraph" w:customStyle="1" w:styleId="215">
    <w:name w:val="Table Heading"/>
    <w:autoRedefine/>
    <w:qFormat/>
    <w:uiPriority w:val="0"/>
    <w:pPr>
      <w:keepNext/>
      <w:snapToGrid w:val="0"/>
      <w:spacing w:before="80" w:after="80"/>
      <w:jc w:val="center"/>
    </w:pPr>
    <w:rPr>
      <w:rFonts w:ascii="Times New Roman" w:hAnsi="Times New Roman" w:eastAsia="黑体" w:cs="Arial"/>
      <w:kern w:val="2"/>
      <w:sz w:val="18"/>
      <w:szCs w:val="18"/>
      <w:lang w:val="en-US" w:eastAsia="zh-CN" w:bidi="ar-SA"/>
    </w:rPr>
  </w:style>
  <w:style w:type="paragraph" w:customStyle="1" w:styleId="216">
    <w:name w:val="Char Char Char Char1"/>
    <w:basedOn w:val="17"/>
    <w:autoRedefine/>
    <w:qFormat/>
    <w:uiPriority w:val="0"/>
    <w:rPr>
      <w:rFonts w:ascii="Tahoma" w:hAnsi="Tahoma"/>
      <w:sz w:val="24"/>
    </w:rPr>
  </w:style>
  <w:style w:type="paragraph" w:customStyle="1" w:styleId="217">
    <w:name w:val="正文 首行缩进:  2 字符 Char"/>
    <w:basedOn w:val="1"/>
    <w:autoRedefine/>
    <w:qFormat/>
    <w:uiPriority w:val="0"/>
    <w:pPr>
      <w:spacing w:line="360" w:lineRule="auto"/>
      <w:ind w:firstLine="480"/>
    </w:pPr>
    <w:rPr>
      <w:rFonts w:cs="宋体"/>
      <w:sz w:val="24"/>
      <w:szCs w:val="20"/>
    </w:rPr>
  </w:style>
  <w:style w:type="paragraph" w:customStyle="1" w:styleId="218">
    <w:name w:val="样式1"/>
    <w:basedOn w:val="1"/>
    <w:autoRedefine/>
    <w:qFormat/>
    <w:uiPriority w:val="0"/>
    <w:pPr>
      <w:autoSpaceDE w:val="0"/>
      <w:autoSpaceDN w:val="0"/>
      <w:adjustRightInd w:val="0"/>
      <w:spacing w:line="400" w:lineRule="exact"/>
    </w:pPr>
    <w:rPr>
      <w:rFonts w:ascii="宋体" w:cs="宋体"/>
      <w:kern w:val="0"/>
    </w:rPr>
  </w:style>
  <w:style w:type="paragraph" w:customStyle="1" w:styleId="219">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20">
    <w:name w:val="小标题"/>
    <w:basedOn w:val="1"/>
    <w:autoRedefine/>
    <w:qFormat/>
    <w:uiPriority w:val="0"/>
    <w:pPr>
      <w:autoSpaceDE w:val="0"/>
      <w:autoSpaceDN w:val="0"/>
      <w:adjustRightInd w:val="0"/>
      <w:spacing w:before="120" w:line="360" w:lineRule="atLeast"/>
      <w:ind w:left="1134"/>
      <w:jc w:val="left"/>
      <w:textAlignment w:val="baseline"/>
    </w:pPr>
    <w:rPr>
      <w:rFonts w:eastAsia="黑体"/>
      <w:kern w:val="0"/>
      <w:sz w:val="20"/>
      <w:szCs w:val="20"/>
    </w:rPr>
  </w:style>
  <w:style w:type="paragraph" w:customStyle="1" w:styleId="221">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222">
    <w:name w:val="Char Char Char Char Char Char Char Char Char Char"/>
    <w:basedOn w:val="1"/>
    <w:autoRedefine/>
    <w:qFormat/>
    <w:uiPriority w:val="0"/>
    <w:pPr>
      <w:autoSpaceDE w:val="0"/>
      <w:autoSpaceDN w:val="0"/>
      <w:adjustRightInd w:val="0"/>
      <w:jc w:val="left"/>
    </w:pPr>
    <w:rPr>
      <w:rFonts w:ascii="仿宋_GB2312" w:eastAsia="仿宋_GB2312"/>
      <w:b/>
      <w:kern w:val="0"/>
      <w:sz w:val="32"/>
      <w:szCs w:val="32"/>
    </w:rPr>
  </w:style>
  <w:style w:type="paragraph" w:customStyle="1" w:styleId="223">
    <w:name w:val="样式"/>
    <w:basedOn w:val="1"/>
    <w:autoRedefine/>
    <w:qFormat/>
    <w:uiPriority w:val="0"/>
    <w:pPr>
      <w:autoSpaceDE w:val="0"/>
      <w:autoSpaceDN w:val="0"/>
      <w:adjustRightInd w:val="0"/>
      <w:snapToGrid w:val="0"/>
      <w:spacing w:before="120" w:after="120" w:line="360" w:lineRule="auto"/>
      <w:jc w:val="left"/>
    </w:pPr>
    <w:rPr>
      <w:rFonts w:ascii="宋体"/>
      <w:kern w:val="0"/>
      <w:sz w:val="24"/>
      <w:szCs w:val="20"/>
    </w:rPr>
  </w:style>
  <w:style w:type="paragraph" w:customStyle="1" w:styleId="224">
    <w:name w:val="二级条标题"/>
    <w:basedOn w:val="205"/>
    <w:next w:val="1"/>
    <w:autoRedefine/>
    <w:qFormat/>
    <w:uiPriority w:val="0"/>
    <w:pPr>
      <w:tabs>
        <w:tab w:val="left" w:pos="4309"/>
        <w:tab w:val="clear" w:pos="3889"/>
      </w:tabs>
      <w:ind w:left="4309"/>
      <w:outlineLvl w:val="3"/>
    </w:pPr>
  </w:style>
  <w:style w:type="paragraph" w:customStyle="1" w:styleId="225">
    <w:name w:val="正文－恩普"/>
    <w:basedOn w:val="9"/>
    <w:autoRedefine/>
    <w:qFormat/>
    <w:uiPriority w:val="0"/>
    <w:pPr>
      <w:adjustRightInd/>
      <w:spacing w:line="360" w:lineRule="auto"/>
      <w:ind w:firstLine="200" w:firstLineChars="200"/>
      <w:textAlignment w:val="auto"/>
    </w:pPr>
    <w:rPr>
      <w:kern w:val="2"/>
      <w:sz w:val="24"/>
      <w:szCs w:val="24"/>
    </w:rPr>
  </w:style>
  <w:style w:type="paragraph" w:customStyle="1" w:styleId="226">
    <w:name w:val="列表内容"/>
    <w:basedOn w:val="1"/>
    <w:next w:val="1"/>
    <w:autoRedefine/>
    <w:qFormat/>
    <w:uiPriority w:val="0"/>
    <w:pPr>
      <w:widowControl/>
      <w:autoSpaceDE w:val="0"/>
      <w:autoSpaceDN w:val="0"/>
      <w:adjustRightInd w:val="0"/>
      <w:ind w:firstLine="200"/>
      <w:jc w:val="left"/>
    </w:pPr>
    <w:rPr>
      <w:kern w:val="0"/>
      <w:sz w:val="18"/>
      <w:szCs w:val="20"/>
    </w:rPr>
  </w:style>
  <w:style w:type="paragraph" w:customStyle="1" w:styleId="227">
    <w:name w:val="正文（首行缩进）"/>
    <w:basedOn w:val="22"/>
    <w:autoRedefine/>
    <w:qFormat/>
    <w:uiPriority w:val="0"/>
    <w:pPr>
      <w:widowControl/>
      <w:overflowPunct w:val="0"/>
      <w:autoSpaceDE w:val="0"/>
      <w:autoSpaceDN w:val="0"/>
      <w:adjustRightInd w:val="0"/>
      <w:spacing w:beforeLines="50" w:after="120" w:line="400" w:lineRule="exact"/>
      <w:ind w:left="200" w:leftChars="200" w:firstLine="200" w:firstLineChars="200"/>
      <w:jc w:val="left"/>
      <w:textAlignment w:val="baseline"/>
    </w:pPr>
    <w:rPr>
      <w:spacing w:val="10"/>
      <w:kern w:val="0"/>
      <w:szCs w:val="20"/>
    </w:rPr>
  </w:style>
  <w:style w:type="paragraph" w:customStyle="1" w:styleId="228">
    <w:name w:val="xl80"/>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新宋体" w:hAnsi="新宋体" w:eastAsia="新宋体" w:cs="宋体"/>
      <w:color w:val="000000"/>
      <w:kern w:val="0"/>
      <w:sz w:val="24"/>
    </w:rPr>
  </w:style>
  <w:style w:type="paragraph" w:customStyle="1" w:styleId="229">
    <w:name w:val="文字"/>
    <w:basedOn w:val="1"/>
    <w:autoRedefine/>
    <w:qFormat/>
    <w:uiPriority w:val="0"/>
    <w:pPr>
      <w:tabs>
        <w:tab w:val="left" w:pos="8520"/>
      </w:tabs>
      <w:spacing w:line="312" w:lineRule="auto"/>
      <w:ind w:right="-210" w:firstLine="556"/>
    </w:pPr>
    <w:rPr>
      <w:rFonts w:ascii="宋体"/>
      <w:sz w:val="28"/>
      <w:szCs w:val="20"/>
    </w:rPr>
  </w:style>
  <w:style w:type="paragraph" w:customStyle="1" w:styleId="230">
    <w:name w:val="xl8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jc w:val="center"/>
    </w:pPr>
    <w:rPr>
      <w:rFonts w:ascii="新宋体" w:hAnsi="新宋体" w:eastAsia="新宋体" w:cs="宋体"/>
      <w:b/>
      <w:bCs/>
      <w:color w:val="000000"/>
      <w:kern w:val="0"/>
      <w:sz w:val="24"/>
    </w:rPr>
  </w:style>
  <w:style w:type="paragraph" w:customStyle="1" w:styleId="231">
    <w:name w:val="xl82"/>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新宋体" w:hAnsi="新宋体" w:eastAsia="新宋体" w:cs="宋体"/>
      <w:color w:val="000000"/>
      <w:kern w:val="0"/>
      <w:sz w:val="24"/>
    </w:rPr>
  </w:style>
  <w:style w:type="paragraph" w:customStyle="1" w:styleId="232">
    <w:name w:val="标准段落"/>
    <w:basedOn w:val="1"/>
    <w:autoRedefine/>
    <w:qFormat/>
    <w:uiPriority w:val="0"/>
    <w:pPr>
      <w:spacing w:after="120" w:line="360" w:lineRule="auto"/>
      <w:ind w:firstLine="420"/>
    </w:pPr>
    <w:rPr>
      <w:rFonts w:ascii="黑体" w:hAnsi="宋体" w:eastAsia="黑体"/>
      <w:b/>
      <w:spacing w:val="6"/>
      <w:szCs w:val="22"/>
    </w:rPr>
  </w:style>
  <w:style w:type="paragraph" w:customStyle="1" w:styleId="233">
    <w:name w:val="三级条标题"/>
    <w:basedOn w:val="224"/>
    <w:next w:val="1"/>
    <w:autoRedefine/>
    <w:qFormat/>
    <w:uiPriority w:val="0"/>
    <w:pPr>
      <w:tabs>
        <w:tab w:val="left" w:pos="4729"/>
        <w:tab w:val="clear" w:pos="4309"/>
      </w:tabs>
      <w:ind w:left="4729"/>
      <w:outlineLvl w:val="4"/>
    </w:pPr>
  </w:style>
  <w:style w:type="paragraph" w:customStyle="1" w:styleId="234">
    <w:name w:val="Test2"/>
    <w:basedOn w:val="4"/>
    <w:autoRedefine/>
    <w:qFormat/>
    <w:uiPriority w:val="0"/>
    <w:pPr>
      <w:keepNext w:val="0"/>
      <w:widowControl/>
      <w:tabs>
        <w:tab w:val="left" w:pos="774"/>
      </w:tabs>
      <w:autoSpaceDE w:val="0"/>
      <w:autoSpaceDN w:val="0"/>
      <w:adjustRightInd w:val="0"/>
      <w:snapToGrid w:val="0"/>
      <w:spacing w:before="360" w:after="360" w:line="240" w:lineRule="atLeast"/>
      <w:ind w:left="774" w:hanging="576"/>
      <w:jc w:val="left"/>
    </w:pPr>
    <w:rPr>
      <w:rFonts w:ascii="宋体" w:hAnsi="Arial"/>
      <w:snapToGrid w:val="0"/>
      <w:kern w:val="0"/>
    </w:rPr>
  </w:style>
  <w:style w:type="paragraph" w:customStyle="1" w:styleId="235">
    <w:name w:val="默认段落字体 Para Char Char Char Char Char Char Char"/>
    <w:basedOn w:val="1"/>
    <w:autoRedefine/>
    <w:qFormat/>
    <w:uiPriority w:val="0"/>
  </w:style>
  <w:style w:type="paragraph" w:customStyle="1" w:styleId="236">
    <w:name w:val="标准小四"/>
    <w:basedOn w:val="1"/>
    <w:autoRedefine/>
    <w:qFormat/>
    <w:uiPriority w:val="0"/>
    <w:pPr>
      <w:autoSpaceDE w:val="0"/>
      <w:autoSpaceDN w:val="0"/>
      <w:adjustRightInd w:val="0"/>
      <w:spacing w:line="360" w:lineRule="auto"/>
      <w:ind w:firstLine="480" w:firstLineChars="200"/>
      <w:jc w:val="left"/>
    </w:pPr>
    <w:rPr>
      <w:rFonts w:ascii="Arial" w:hAnsi="Arial"/>
      <w:kern w:val="0"/>
      <w:sz w:val="24"/>
      <w:szCs w:val="21"/>
    </w:rPr>
  </w:style>
  <w:style w:type="paragraph" w:customStyle="1" w:styleId="237">
    <w:name w:val="xl6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color w:val="000000"/>
      <w:kern w:val="0"/>
      <w:sz w:val="24"/>
    </w:rPr>
  </w:style>
  <w:style w:type="paragraph" w:customStyle="1" w:styleId="238">
    <w:name w:val="Char13"/>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39">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jc w:val="center"/>
    </w:pPr>
    <w:rPr>
      <w:rFonts w:ascii="宋体" w:hAnsi="宋体" w:cs="宋体"/>
      <w:b/>
      <w:bCs/>
      <w:color w:val="000000"/>
      <w:kern w:val="0"/>
      <w:sz w:val="24"/>
    </w:rPr>
  </w:style>
  <w:style w:type="paragraph" w:customStyle="1" w:styleId="240">
    <w:name w:val="样式 样式 正文文本缩进 + 仿宋_GB2312 小四 首行缩进:  0 厘米 行距: 1.5 倍行距 + (中文) 仿宋_GB... Char Char"/>
    <w:basedOn w:val="1"/>
    <w:autoRedefine/>
    <w:qFormat/>
    <w:uiPriority w:val="0"/>
    <w:pPr>
      <w:autoSpaceDE w:val="0"/>
      <w:autoSpaceDN w:val="0"/>
      <w:adjustRightInd w:val="0"/>
      <w:spacing w:line="360" w:lineRule="auto"/>
      <w:ind w:firstLine="480" w:firstLineChars="200"/>
      <w:jc w:val="left"/>
    </w:pPr>
    <w:rPr>
      <w:rFonts w:ascii="仿宋_GB2312" w:eastAsia="新宋体"/>
      <w:kern w:val="0"/>
      <w:sz w:val="24"/>
      <w:szCs w:val="20"/>
    </w:rPr>
  </w:style>
  <w:style w:type="paragraph" w:customStyle="1" w:styleId="241">
    <w:name w:val="列表段落"/>
    <w:basedOn w:val="1"/>
    <w:autoRedefine/>
    <w:qFormat/>
    <w:uiPriority w:val="0"/>
    <w:pPr>
      <w:ind w:firstLine="420" w:firstLineChars="200"/>
    </w:pPr>
    <w:rPr>
      <w:rFonts w:ascii="Calibri" w:hAnsi="Calibri"/>
      <w:szCs w:val="22"/>
    </w:rPr>
  </w:style>
  <w:style w:type="paragraph" w:customStyle="1" w:styleId="242">
    <w:name w:val="五级条标题"/>
    <w:basedOn w:val="243"/>
    <w:next w:val="1"/>
    <w:autoRedefine/>
    <w:qFormat/>
    <w:uiPriority w:val="0"/>
    <w:pPr>
      <w:tabs>
        <w:tab w:val="left" w:pos="5149"/>
        <w:tab w:val="left" w:pos="5569"/>
      </w:tabs>
      <w:ind w:left="5569"/>
      <w:outlineLvl w:val="6"/>
    </w:pPr>
  </w:style>
  <w:style w:type="paragraph" w:customStyle="1" w:styleId="243">
    <w:name w:val="四级条标题"/>
    <w:basedOn w:val="233"/>
    <w:next w:val="1"/>
    <w:autoRedefine/>
    <w:qFormat/>
    <w:uiPriority w:val="0"/>
    <w:pPr>
      <w:tabs>
        <w:tab w:val="left" w:pos="5149"/>
        <w:tab w:val="clear" w:pos="4729"/>
      </w:tabs>
      <w:ind w:left="5149"/>
      <w:outlineLvl w:val="5"/>
    </w:pPr>
  </w:style>
  <w:style w:type="paragraph" w:customStyle="1" w:styleId="244">
    <w:name w:val="正文-宋体四号"/>
    <w:basedOn w:val="1"/>
    <w:autoRedefine/>
    <w:qFormat/>
    <w:uiPriority w:val="0"/>
    <w:pPr>
      <w:spacing w:line="360" w:lineRule="auto"/>
      <w:ind w:firstLine="560" w:firstLineChars="200"/>
    </w:pPr>
    <w:rPr>
      <w:rFonts w:cs="宋体"/>
      <w:sz w:val="28"/>
      <w:szCs w:val="20"/>
    </w:rPr>
  </w:style>
  <w:style w:type="paragraph" w:customStyle="1" w:styleId="245">
    <w:name w:val="纯文本1"/>
    <w:basedOn w:val="1"/>
    <w:autoRedefine/>
    <w:qFormat/>
    <w:uiPriority w:val="0"/>
    <w:pPr>
      <w:adjustRightInd w:val="0"/>
      <w:textAlignment w:val="baseline"/>
    </w:pPr>
    <w:rPr>
      <w:rFonts w:ascii="宋体" w:hAnsi="Courier New" w:eastAsia="楷体_GB2312"/>
      <w:sz w:val="28"/>
      <w:szCs w:val="20"/>
    </w:rPr>
  </w:style>
  <w:style w:type="paragraph" w:customStyle="1" w:styleId="246">
    <w:name w:val="Char2"/>
    <w:basedOn w:val="1"/>
    <w:autoRedefine/>
    <w:qFormat/>
    <w:uiPriority w:val="0"/>
  </w:style>
  <w:style w:type="paragraph" w:customStyle="1" w:styleId="247">
    <w:name w:val="Char Char Char Char Char Char Char Char Char Char Char Char Char Char Char Char Char Char Char"/>
    <w:basedOn w:val="1"/>
    <w:autoRedefine/>
    <w:qFormat/>
    <w:uiPriority w:val="0"/>
    <w:rPr>
      <w:rFonts w:ascii="仿宋_GB2312" w:eastAsia="仿宋_GB2312"/>
      <w:b/>
      <w:sz w:val="32"/>
      <w:szCs w:val="32"/>
    </w:rPr>
  </w:style>
  <w:style w:type="paragraph" w:customStyle="1" w:styleId="248">
    <w:name w:val="样式5"/>
    <w:basedOn w:val="9"/>
    <w:autoRedefine/>
    <w:qFormat/>
    <w:uiPriority w:val="0"/>
    <w:pPr>
      <w:adjustRightInd/>
      <w:spacing w:line="360" w:lineRule="auto"/>
      <w:ind w:firstLine="200" w:firstLineChars="200"/>
      <w:textAlignment w:val="auto"/>
    </w:pPr>
    <w:rPr>
      <w:sz w:val="28"/>
      <w:szCs w:val="21"/>
    </w:rPr>
  </w:style>
  <w:style w:type="paragraph" w:customStyle="1" w:styleId="249">
    <w:name w:val="14"/>
    <w:basedOn w:val="1"/>
    <w:autoRedefine/>
    <w:qFormat/>
    <w:uiPriority w:val="0"/>
    <w:pPr>
      <w:snapToGrid w:val="0"/>
      <w:spacing w:beforeLines="30" w:line="288" w:lineRule="auto"/>
      <w:ind w:left="852" w:leftChars="355" w:firstLine="420" w:firstLineChars="175"/>
    </w:pPr>
    <w:rPr>
      <w:rFonts w:ascii="新宋体" w:hAnsi="新宋体"/>
      <w:sz w:val="24"/>
      <w:szCs w:val="20"/>
    </w:rPr>
  </w:style>
  <w:style w:type="paragraph" w:customStyle="1" w:styleId="250">
    <w:name w:val="Char Char Char Char Char Char Char Char Char Char Char Char Char1"/>
    <w:basedOn w:val="1"/>
    <w:autoRedefine/>
    <w:qFormat/>
    <w:uiPriority w:val="0"/>
  </w:style>
  <w:style w:type="paragraph" w:customStyle="1" w:styleId="251">
    <w:name w:val="样式 标题 1Level 1Level 11h1II+IHeading1H1-Heading 1Header 1..."/>
    <w:basedOn w:val="3"/>
    <w:autoRedefine/>
    <w:qFormat/>
    <w:uiPriority w:val="0"/>
    <w:pPr>
      <w:keepLines/>
      <w:pageBreakBefore/>
      <w:spacing w:before="100" w:after="100" w:line="360" w:lineRule="auto"/>
      <w:ind w:left="1680" w:hanging="420"/>
      <w:jc w:val="left"/>
    </w:pPr>
    <w:rPr>
      <w:rFonts w:ascii="Arial" w:hAnsi="Arial" w:cs="宋体"/>
      <w:bCs/>
      <w:kern w:val="44"/>
      <w:sz w:val="44"/>
    </w:rPr>
  </w:style>
  <w:style w:type="paragraph" w:customStyle="1" w:styleId="252">
    <w:name w:val="样式 标题 3 + 黑色 段前: 5 磅 段后: 5 磅 行距: 1.5 倍行距"/>
    <w:basedOn w:val="1"/>
    <w:autoRedefine/>
    <w:qFormat/>
    <w:uiPriority w:val="0"/>
    <w:pPr>
      <w:ind w:left="855" w:hanging="855"/>
    </w:pPr>
    <w:rPr>
      <w:sz w:val="24"/>
      <w:szCs w:val="20"/>
    </w:rPr>
  </w:style>
  <w:style w:type="paragraph" w:customStyle="1" w:styleId="253">
    <w:name w:val="button"/>
    <w:basedOn w:val="1"/>
    <w:autoRedefine/>
    <w:qFormat/>
    <w:uiPriority w:val="0"/>
    <w:pPr>
      <w:widowControl/>
      <w:autoSpaceDE w:val="0"/>
      <w:autoSpaceDN w:val="0"/>
      <w:adjustRightInd w:val="0"/>
      <w:spacing w:before="100" w:beforeAutospacing="1" w:after="100" w:afterAutospacing="1"/>
      <w:jc w:val="left"/>
    </w:pPr>
    <w:rPr>
      <w:rFonts w:ascii="Arial Unicode MS" w:hAnsi="Arial Unicode MS"/>
      <w:color w:val="000000"/>
      <w:kern w:val="0"/>
      <w:sz w:val="24"/>
      <w:szCs w:val="20"/>
    </w:rPr>
  </w:style>
  <w:style w:type="paragraph" w:customStyle="1" w:styleId="254">
    <w:name w:val="ÕýÎÄÊ×ÐÐËõ½ø"/>
    <w:basedOn w:val="1"/>
    <w:autoRedefine/>
    <w:qFormat/>
    <w:uiPriority w:val="0"/>
    <w:pPr>
      <w:widowControl/>
      <w:overflowPunct w:val="0"/>
      <w:autoSpaceDE w:val="0"/>
      <w:autoSpaceDN w:val="0"/>
      <w:adjustRightInd w:val="0"/>
      <w:spacing w:line="360" w:lineRule="auto"/>
      <w:ind w:left="1134"/>
      <w:jc w:val="left"/>
      <w:textAlignment w:val="baseline"/>
    </w:pPr>
    <w:rPr>
      <w:rFonts w:eastAsia="Times New Roman"/>
      <w:kern w:val="0"/>
      <w:sz w:val="20"/>
      <w:szCs w:val="20"/>
    </w:rPr>
  </w:style>
  <w:style w:type="paragraph" w:customStyle="1" w:styleId="255">
    <w:name w:val="xl8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56">
    <w:name w:val="xl90"/>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color w:val="000000"/>
      <w:kern w:val="0"/>
      <w:sz w:val="24"/>
    </w:rPr>
  </w:style>
  <w:style w:type="paragraph" w:customStyle="1" w:styleId="257">
    <w:name w:val="标书正文带编号"/>
    <w:basedOn w:val="1"/>
    <w:autoRedefine/>
    <w:qFormat/>
    <w:uiPriority w:val="0"/>
    <w:pPr>
      <w:tabs>
        <w:tab w:val="left" w:pos="397"/>
      </w:tabs>
      <w:autoSpaceDE w:val="0"/>
      <w:autoSpaceDN w:val="0"/>
      <w:adjustRightInd w:val="0"/>
      <w:ind w:firstLine="397"/>
      <w:jc w:val="left"/>
    </w:pPr>
    <w:rPr>
      <w:rFonts w:cs="宋体"/>
      <w:kern w:val="0"/>
      <w:sz w:val="20"/>
      <w:szCs w:val="21"/>
    </w:rPr>
  </w:style>
  <w:style w:type="paragraph" w:customStyle="1" w:styleId="258">
    <w:name w:val="表格文字（大）"/>
    <w:basedOn w:val="1"/>
    <w:autoRedefine/>
    <w:qFormat/>
    <w:uiPriority w:val="0"/>
    <w:pPr>
      <w:autoSpaceDE w:val="0"/>
      <w:autoSpaceDN w:val="0"/>
      <w:adjustRightInd w:val="0"/>
      <w:spacing w:before="20" w:after="20"/>
      <w:jc w:val="left"/>
    </w:pPr>
    <w:rPr>
      <w:rFonts w:ascii="Century Gothic" w:hAnsi="Century Gothic" w:cs="Century Gothic"/>
      <w:kern w:val="0"/>
      <w:sz w:val="24"/>
      <w:szCs w:val="20"/>
    </w:rPr>
  </w:style>
  <w:style w:type="paragraph" w:customStyle="1" w:styleId="259">
    <w:name w:val="排列"/>
    <w:basedOn w:val="1"/>
    <w:autoRedefine/>
    <w:qFormat/>
    <w:uiPriority w:val="0"/>
    <w:pPr>
      <w:widowControl/>
      <w:autoSpaceDE w:val="0"/>
      <w:autoSpaceDN w:val="0"/>
      <w:adjustRightInd w:val="0"/>
      <w:spacing w:line="360" w:lineRule="auto"/>
      <w:jc w:val="left"/>
    </w:pPr>
    <w:rPr>
      <w:rFonts w:ascii="宋体" w:hAnsi="宋体"/>
      <w:kern w:val="0"/>
      <w:sz w:val="20"/>
      <w:szCs w:val="20"/>
      <w:lang w:val="zh-CN"/>
    </w:rPr>
  </w:style>
  <w:style w:type="paragraph" w:customStyle="1" w:styleId="260">
    <w:name w:val="Char Char1 Char Char Char Char Char Char Char Char Char Char Char Char Char Char"/>
    <w:basedOn w:val="1"/>
    <w:autoRedefine/>
    <w:qFormat/>
    <w:uiPriority w:val="0"/>
    <w:pPr>
      <w:widowControl/>
      <w:autoSpaceDE w:val="0"/>
      <w:autoSpaceDN w:val="0"/>
      <w:adjustRightInd w:val="0"/>
      <w:spacing w:after="160" w:line="240" w:lineRule="exact"/>
      <w:jc w:val="left"/>
    </w:pPr>
    <w:rPr>
      <w:kern w:val="0"/>
      <w:sz w:val="20"/>
      <w:szCs w:val="20"/>
    </w:rPr>
  </w:style>
  <w:style w:type="paragraph" w:customStyle="1" w:styleId="261">
    <w:name w:val="xl7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新宋体" w:hAnsi="新宋体" w:eastAsia="新宋体" w:cs="宋体"/>
      <w:color w:val="000000"/>
      <w:kern w:val="0"/>
      <w:sz w:val="24"/>
    </w:rPr>
  </w:style>
  <w:style w:type="paragraph" w:customStyle="1" w:styleId="262">
    <w:name w:val="xl7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63">
    <w:name w:val="xl6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color w:val="000000"/>
      <w:kern w:val="0"/>
      <w:sz w:val="24"/>
    </w:rPr>
  </w:style>
  <w:style w:type="paragraph" w:customStyle="1" w:styleId="264">
    <w:name w:val="tabletext"/>
    <w:basedOn w:val="1"/>
    <w:autoRedefine/>
    <w:qFormat/>
    <w:uiPriority w:val="0"/>
    <w:pPr>
      <w:widowControl/>
      <w:spacing w:line="300" w:lineRule="atLeast"/>
      <w:jc w:val="left"/>
    </w:pPr>
    <w:rPr>
      <w:rFonts w:ascii="宋体" w:hAnsi="宋体" w:cs="宋体"/>
      <w:kern w:val="0"/>
      <w:sz w:val="18"/>
      <w:szCs w:val="18"/>
    </w:rPr>
  </w:style>
  <w:style w:type="paragraph" w:customStyle="1" w:styleId="265">
    <w:name w:val="1.1.1"/>
    <w:basedOn w:val="1"/>
    <w:autoRedefine/>
    <w:qFormat/>
    <w:uiPriority w:val="0"/>
    <w:pPr>
      <w:tabs>
        <w:tab w:val="left" w:pos="0"/>
        <w:tab w:val="left" w:pos="1134"/>
        <w:tab w:val="left" w:pos="8505"/>
      </w:tabs>
      <w:autoSpaceDE w:val="0"/>
      <w:autoSpaceDN w:val="0"/>
      <w:adjustRightInd w:val="0"/>
      <w:spacing w:before="240" w:after="60" w:line="360" w:lineRule="atLeast"/>
    </w:pPr>
    <w:rPr>
      <w:rFonts w:ascii="宋体"/>
      <w:b/>
      <w:kern w:val="0"/>
      <w:sz w:val="24"/>
      <w:szCs w:val="20"/>
    </w:rPr>
  </w:style>
  <w:style w:type="paragraph" w:customStyle="1" w:styleId="266">
    <w:name w:val="TOC 标题1"/>
    <w:basedOn w:val="3"/>
    <w:next w:val="1"/>
    <w:autoRedefine/>
    <w:unhideWhenUsed/>
    <w:qFormat/>
    <w:uiPriority w:val="39"/>
    <w:pPr>
      <w:widowControl/>
      <w:spacing w:before="480" w:line="276" w:lineRule="auto"/>
      <w:jc w:val="left"/>
      <w:outlineLvl w:val="9"/>
    </w:pPr>
    <w:rPr>
      <w:rFonts w:ascii="Cambria" w:hAnsi="Cambria" w:eastAsia="宋体"/>
      <w:color w:val="366091"/>
      <w:kern w:val="0"/>
      <w:sz w:val="28"/>
      <w:szCs w:val="28"/>
    </w:rPr>
  </w:style>
  <w:style w:type="paragraph" w:customStyle="1" w:styleId="267">
    <w:name w:val="xl55"/>
    <w:basedOn w:val="1"/>
    <w:autoRedefine/>
    <w:qFormat/>
    <w:uiPriority w:val="0"/>
    <w:pPr>
      <w:widowControl/>
      <w:spacing w:before="100" w:beforeAutospacing="1" w:after="100" w:afterAutospacing="1"/>
      <w:jc w:val="center"/>
      <w:textAlignment w:val="center"/>
    </w:pPr>
    <w:rPr>
      <w:rFonts w:ascii="Arial Unicode MS" w:hAnsi="Arial Unicode MS"/>
      <w:kern w:val="0"/>
      <w:sz w:val="24"/>
    </w:rPr>
  </w:style>
  <w:style w:type="paragraph" w:customStyle="1" w:styleId="268">
    <w:name w:val="xl89"/>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69">
    <w:name w:val="WW-正文文字缩进 2"/>
    <w:basedOn w:val="1"/>
    <w:autoRedefine/>
    <w:qFormat/>
    <w:uiPriority w:val="0"/>
    <w:pPr>
      <w:suppressAutoHyphens/>
      <w:autoSpaceDE w:val="0"/>
      <w:autoSpaceDN w:val="0"/>
      <w:adjustRightInd w:val="0"/>
      <w:ind w:firstLine="420"/>
      <w:jc w:val="left"/>
    </w:pPr>
    <w:rPr>
      <w:kern w:val="1"/>
      <w:sz w:val="20"/>
      <w:szCs w:val="20"/>
    </w:rPr>
  </w:style>
  <w:style w:type="paragraph" w:customStyle="1" w:styleId="270">
    <w:name w:val="xl6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jc w:val="center"/>
    </w:pPr>
    <w:rPr>
      <w:rFonts w:ascii="宋体" w:hAnsi="宋体" w:cs="宋体"/>
      <w:b/>
      <w:bCs/>
      <w:color w:val="000000"/>
      <w:kern w:val="0"/>
      <w:sz w:val="24"/>
    </w:rPr>
  </w:style>
  <w:style w:type="paragraph" w:customStyle="1" w:styleId="271">
    <w:name w:val="正文样式 首行缩进:  0.74 厘米"/>
    <w:basedOn w:val="1"/>
    <w:autoRedefine/>
    <w:qFormat/>
    <w:uiPriority w:val="0"/>
    <w:pPr>
      <w:autoSpaceDE w:val="0"/>
      <w:autoSpaceDN w:val="0"/>
      <w:adjustRightInd w:val="0"/>
      <w:spacing w:beforeLines="50" w:line="360" w:lineRule="auto"/>
      <w:ind w:firstLine="420"/>
      <w:jc w:val="left"/>
    </w:pPr>
    <w:rPr>
      <w:rFonts w:cs="宋体"/>
      <w:kern w:val="0"/>
      <w:sz w:val="24"/>
      <w:szCs w:val="20"/>
    </w:rPr>
  </w:style>
  <w:style w:type="paragraph" w:customStyle="1" w:styleId="272">
    <w:name w:val="简单回函地址"/>
    <w:basedOn w:val="1"/>
    <w:autoRedefine/>
    <w:qFormat/>
    <w:uiPriority w:val="0"/>
  </w:style>
  <w:style w:type="paragraph" w:customStyle="1" w:styleId="273">
    <w:name w:val="前言、引言标题"/>
    <w:next w:val="1"/>
    <w:autoRedefine/>
    <w:qFormat/>
    <w:uiPriority w:val="0"/>
    <w:pPr>
      <w:shd w:val="clear" w:color="FFFFFF" w:fill="FFFFFF"/>
      <w:tabs>
        <w:tab w:val="left" w:pos="3349"/>
      </w:tabs>
      <w:spacing w:before="640" w:after="560"/>
      <w:ind w:left="3349" w:hanging="720"/>
      <w:jc w:val="center"/>
      <w:outlineLvl w:val="0"/>
    </w:pPr>
    <w:rPr>
      <w:rFonts w:ascii="黑体" w:hAnsi="Times New Roman" w:eastAsia="黑体" w:cs="Times New Roman"/>
      <w:sz w:val="32"/>
      <w:lang w:val="en-US" w:eastAsia="zh-CN" w:bidi="ar-SA"/>
    </w:rPr>
  </w:style>
  <w:style w:type="paragraph" w:customStyle="1" w:styleId="274">
    <w:name w:val="正文_0"/>
    <w:autoRedefine/>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275">
    <w:name w:val="部分1"/>
    <w:basedOn w:val="1"/>
    <w:autoRedefine/>
    <w:qFormat/>
    <w:uiPriority w:val="0"/>
    <w:pPr>
      <w:keepNext/>
      <w:pageBreakBefore/>
      <w:tabs>
        <w:tab w:val="left" w:pos="720"/>
      </w:tabs>
      <w:autoSpaceDE w:val="0"/>
      <w:autoSpaceDN w:val="0"/>
      <w:adjustRightInd w:val="0"/>
      <w:spacing w:line="360" w:lineRule="auto"/>
      <w:jc w:val="center"/>
      <w:outlineLvl w:val="0"/>
    </w:pPr>
    <w:rPr>
      <w:rFonts w:eastAsia="黑体"/>
      <w:b/>
      <w:kern w:val="44"/>
      <w:sz w:val="36"/>
      <w:szCs w:val="20"/>
    </w:rPr>
  </w:style>
  <w:style w:type="paragraph" w:customStyle="1" w:styleId="276">
    <w:name w:val="1 Char"/>
    <w:basedOn w:val="9"/>
    <w:autoRedefine/>
    <w:qFormat/>
    <w:uiPriority w:val="0"/>
    <w:pPr>
      <w:adjustRightInd/>
      <w:spacing w:line="360" w:lineRule="auto"/>
      <w:ind w:firstLine="200" w:firstLineChars="200"/>
      <w:textAlignment w:val="auto"/>
    </w:pPr>
    <w:rPr>
      <w:kern w:val="2"/>
    </w:rPr>
  </w:style>
  <w:style w:type="paragraph" w:customStyle="1" w:styleId="277">
    <w:name w:val="正文文本 21"/>
    <w:basedOn w:val="1"/>
    <w:autoRedefine/>
    <w:qFormat/>
    <w:uiPriority w:val="0"/>
    <w:pPr>
      <w:widowControl/>
      <w:overflowPunct w:val="0"/>
      <w:autoSpaceDE w:val="0"/>
      <w:autoSpaceDN w:val="0"/>
      <w:adjustRightInd w:val="0"/>
      <w:ind w:left="720" w:hanging="720"/>
      <w:jc w:val="left"/>
      <w:textAlignment w:val="baseline"/>
    </w:pPr>
    <w:rPr>
      <w:kern w:val="0"/>
      <w:sz w:val="24"/>
      <w:szCs w:val="20"/>
      <w:lang w:val="en-GB"/>
    </w:rPr>
  </w:style>
  <w:style w:type="paragraph" w:customStyle="1" w:styleId="278">
    <w:name w:val="TOC 标题2"/>
    <w:basedOn w:val="3"/>
    <w:next w:val="1"/>
    <w:autoRedefine/>
    <w:qFormat/>
    <w:uiPriority w:val="0"/>
    <w:pPr>
      <w:keepLines/>
      <w:widowControl/>
      <w:spacing w:before="480" w:line="276" w:lineRule="auto"/>
      <w:jc w:val="left"/>
      <w:outlineLvl w:val="9"/>
    </w:pPr>
    <w:rPr>
      <w:rFonts w:ascii="Cambria" w:hAnsi="Cambria" w:eastAsia="宋体"/>
      <w:bCs/>
      <w:color w:val="365F91"/>
      <w:kern w:val="0"/>
      <w:sz w:val="28"/>
      <w:szCs w:val="28"/>
    </w:rPr>
  </w:style>
  <w:style w:type="paragraph" w:customStyle="1" w:styleId="279">
    <w:name w:val="Char Char"/>
    <w:basedOn w:val="1"/>
    <w:autoRedefine/>
    <w:qFormat/>
    <w:uiPriority w:val="0"/>
    <w:rPr>
      <w:rFonts w:ascii="仿宋_GB2312" w:eastAsia="仿宋_GB2312"/>
      <w:b/>
      <w:sz w:val="32"/>
      <w:szCs w:val="32"/>
    </w:rPr>
  </w:style>
  <w:style w:type="paragraph" w:customStyle="1" w:styleId="280">
    <w:name w:val="l正文"/>
    <w:basedOn w:val="1"/>
    <w:autoRedefine/>
    <w:qFormat/>
    <w:uiPriority w:val="0"/>
    <w:pPr>
      <w:spacing w:line="360" w:lineRule="auto"/>
      <w:ind w:firstLine="200" w:firstLineChars="200"/>
    </w:pPr>
    <w:rPr>
      <w:rFonts w:ascii="宋体" w:hAnsi="宋体"/>
      <w:sz w:val="24"/>
    </w:rPr>
  </w:style>
  <w:style w:type="paragraph" w:customStyle="1" w:styleId="281">
    <w:name w:val="xl78"/>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新宋体" w:hAnsi="新宋体" w:eastAsia="新宋体" w:cs="宋体"/>
      <w:b/>
      <w:bCs/>
      <w:color w:val="FF0000"/>
      <w:kern w:val="0"/>
      <w:sz w:val="24"/>
    </w:rPr>
  </w:style>
  <w:style w:type="paragraph" w:customStyle="1" w:styleId="282">
    <w:name w:val="xl6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color w:val="000000"/>
      <w:kern w:val="0"/>
      <w:sz w:val="24"/>
    </w:rPr>
  </w:style>
  <w:style w:type="paragraph" w:customStyle="1" w:styleId="283">
    <w:name w:val="Item List in Table"/>
    <w:autoRedefine/>
    <w:qFormat/>
    <w:uiPriority w:val="0"/>
    <w:pPr>
      <w:tabs>
        <w:tab w:val="left" w:pos="284"/>
        <w:tab w:val="left" w:pos="720"/>
      </w:tabs>
      <w:spacing w:before="40" w:after="40"/>
      <w:ind w:left="720" w:hanging="720"/>
      <w:jc w:val="both"/>
    </w:pPr>
    <w:rPr>
      <w:rFonts w:ascii="Times New Roman" w:hAnsi="Times New Roman" w:eastAsia="宋体" w:cs="Arial"/>
      <w:kern w:val="2"/>
      <w:sz w:val="18"/>
      <w:szCs w:val="18"/>
      <w:lang w:val="en-US" w:eastAsia="zh-CN" w:bidi="ar-SA"/>
    </w:rPr>
  </w:style>
  <w:style w:type="paragraph" w:customStyle="1" w:styleId="284">
    <w:name w:val="Char Char Char Char Char Char Char Char Char Char Char Char Char Char Char Char Char Char Char1"/>
    <w:basedOn w:val="1"/>
    <w:autoRedefine/>
    <w:qFormat/>
    <w:uiPriority w:val="0"/>
    <w:rPr>
      <w:rFonts w:ascii="仿宋_GB2312" w:eastAsia="仿宋_GB2312"/>
      <w:b/>
      <w:sz w:val="32"/>
      <w:szCs w:val="32"/>
    </w:rPr>
  </w:style>
  <w:style w:type="paragraph" w:customStyle="1" w:styleId="285">
    <w:name w:val="xl29"/>
    <w:basedOn w:val="1"/>
    <w:autoRedefine/>
    <w:qFormat/>
    <w:uiPriority w:val="0"/>
    <w:pPr>
      <w:widowControl/>
      <w:autoSpaceDE w:val="0"/>
      <w:autoSpaceDN w:val="0"/>
      <w:adjustRightInd w:val="0"/>
      <w:spacing w:before="100" w:beforeAutospacing="1" w:after="100" w:afterAutospacing="1"/>
      <w:jc w:val="center"/>
    </w:pPr>
    <w:rPr>
      <w:rFonts w:ascii="Arial Unicode MS" w:hAnsi="Arial Unicode MS" w:eastAsia="Arial Unicode MS"/>
      <w:kern w:val="0"/>
      <w:sz w:val="24"/>
      <w:szCs w:val="20"/>
    </w:rPr>
  </w:style>
  <w:style w:type="paragraph" w:customStyle="1" w:styleId="286">
    <w:name w:val="Char Char Char Char Char Char Char1"/>
    <w:basedOn w:val="1"/>
    <w:autoRedefine/>
    <w:qFormat/>
    <w:uiPriority w:val="0"/>
    <w:rPr>
      <w:rFonts w:ascii="仿宋_GB2312" w:eastAsia="仿宋_GB2312"/>
      <w:b/>
      <w:sz w:val="32"/>
      <w:szCs w:val="32"/>
    </w:rPr>
  </w:style>
  <w:style w:type="paragraph" w:customStyle="1" w:styleId="287">
    <w:name w:val="xl92"/>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新宋体" w:hAnsi="新宋体" w:eastAsia="新宋体" w:cs="宋体"/>
      <w:color w:val="000000"/>
      <w:kern w:val="0"/>
      <w:sz w:val="24"/>
    </w:rPr>
  </w:style>
  <w:style w:type="paragraph" w:customStyle="1" w:styleId="288">
    <w:name w:val="xl81"/>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新宋体" w:hAnsi="新宋体" w:eastAsia="新宋体" w:cs="宋体"/>
      <w:color w:val="000000"/>
      <w:kern w:val="0"/>
      <w:sz w:val="24"/>
    </w:rPr>
  </w:style>
  <w:style w:type="paragraph" w:customStyle="1" w:styleId="289">
    <w:name w:val="标题2"/>
    <w:basedOn w:val="4"/>
    <w:autoRedefine/>
    <w:qFormat/>
    <w:uiPriority w:val="0"/>
    <w:pPr>
      <w:tabs>
        <w:tab w:val="left" w:pos="709"/>
      </w:tabs>
    </w:pPr>
    <w:rPr>
      <w:rFonts w:ascii="宋体" w:hAnsi="宋体"/>
      <w:sz w:val="36"/>
      <w:szCs w:val="36"/>
    </w:rPr>
  </w:style>
  <w:style w:type="paragraph" w:customStyle="1" w:styleId="290">
    <w:name w:val="xl91"/>
    <w:basedOn w:val="1"/>
    <w:autoRedefine/>
    <w:qFormat/>
    <w:uiPriority w:val="0"/>
    <w:pPr>
      <w:widowControl/>
      <w:pBdr>
        <w:left w:val="single" w:color="auto" w:sz="4" w:space="0"/>
        <w:right w:val="single" w:color="auto" w:sz="4" w:space="0"/>
      </w:pBdr>
      <w:spacing w:before="100" w:beforeAutospacing="1" w:after="100" w:afterAutospacing="1"/>
      <w:jc w:val="center"/>
    </w:pPr>
    <w:rPr>
      <w:rFonts w:ascii="新宋体" w:hAnsi="新宋体" w:eastAsia="新宋体" w:cs="宋体"/>
      <w:color w:val="000000"/>
      <w:kern w:val="0"/>
      <w:sz w:val="24"/>
    </w:rPr>
  </w:style>
  <w:style w:type="paragraph" w:customStyle="1" w:styleId="291">
    <w:name w:val="xl7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rPr>
  </w:style>
  <w:style w:type="paragraph" w:customStyle="1" w:styleId="292">
    <w:name w:val="Char1"/>
    <w:basedOn w:val="1"/>
    <w:autoRedefine/>
    <w:qFormat/>
    <w:uiPriority w:val="0"/>
    <w:rPr>
      <w:rFonts w:ascii="仿宋_GB2312" w:eastAsia="仿宋_GB2312"/>
      <w:b/>
      <w:sz w:val="32"/>
      <w:szCs w:val="32"/>
    </w:rPr>
  </w:style>
  <w:style w:type="paragraph" w:customStyle="1" w:styleId="293">
    <w:name w:val="正文字缩2字"/>
    <w:basedOn w:val="1"/>
    <w:autoRedefine/>
    <w:qFormat/>
    <w:uiPriority w:val="0"/>
    <w:pPr>
      <w:spacing w:before="60" w:after="60" w:line="360" w:lineRule="auto"/>
      <w:ind w:left="200" w:leftChars="200" w:firstLine="200" w:firstLineChars="200"/>
    </w:pPr>
    <w:rPr>
      <w:sz w:val="24"/>
    </w:rPr>
  </w:style>
  <w:style w:type="paragraph" w:customStyle="1" w:styleId="294">
    <w:name w:val="正文2"/>
    <w:basedOn w:val="1"/>
    <w:autoRedefine/>
    <w:qFormat/>
    <w:uiPriority w:val="0"/>
    <w:pPr>
      <w:autoSpaceDE w:val="0"/>
      <w:autoSpaceDN w:val="0"/>
      <w:adjustRightInd w:val="0"/>
      <w:spacing w:before="156" w:line="360" w:lineRule="auto"/>
      <w:ind w:firstLine="510" w:firstLineChars="200"/>
      <w:jc w:val="left"/>
    </w:pPr>
    <w:rPr>
      <w:kern w:val="0"/>
      <w:sz w:val="24"/>
      <w:szCs w:val="20"/>
    </w:rPr>
  </w:style>
  <w:style w:type="paragraph" w:customStyle="1" w:styleId="295">
    <w:name w:val="保留正文"/>
    <w:basedOn w:val="21"/>
    <w:autoRedefine/>
    <w:qFormat/>
    <w:uiPriority w:val="0"/>
    <w:pPr>
      <w:keepNext/>
      <w:spacing w:after="160"/>
    </w:pPr>
    <w:rPr>
      <w:szCs w:val="20"/>
    </w:rPr>
  </w:style>
  <w:style w:type="paragraph" w:customStyle="1" w:styleId="296">
    <w:name w:val="xl76"/>
    <w:basedOn w:val="1"/>
    <w:autoRedefine/>
    <w:qFormat/>
    <w:uiPriority w:val="0"/>
    <w:pPr>
      <w:widowControl/>
      <w:pBdr>
        <w:top w:val="single" w:color="auto" w:sz="4" w:space="0"/>
        <w:bottom w:val="single" w:color="auto" w:sz="4" w:space="0"/>
      </w:pBdr>
      <w:spacing w:before="100" w:beforeAutospacing="1" w:after="100" w:afterAutospacing="1"/>
      <w:jc w:val="left"/>
    </w:pPr>
    <w:rPr>
      <w:rFonts w:ascii="新宋体" w:hAnsi="新宋体" w:eastAsia="新宋体" w:cs="宋体"/>
      <w:color w:val="000000"/>
      <w:kern w:val="0"/>
      <w:sz w:val="24"/>
    </w:rPr>
  </w:style>
  <w:style w:type="paragraph" w:customStyle="1" w:styleId="297">
    <w:name w:val="xl7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新宋体" w:hAnsi="新宋体" w:eastAsia="新宋体" w:cs="宋体"/>
      <w:color w:val="000000"/>
      <w:kern w:val="0"/>
      <w:sz w:val="24"/>
    </w:rPr>
  </w:style>
  <w:style w:type="paragraph" w:customStyle="1" w:styleId="298">
    <w:name w:val="xl7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99">
    <w:name w:val="Char"/>
    <w:basedOn w:val="1"/>
    <w:autoRedefine/>
    <w:qFormat/>
    <w:uiPriority w:val="0"/>
    <w:rPr>
      <w:rFonts w:ascii="仿宋_GB2312" w:eastAsia="仿宋_GB2312"/>
      <w:b/>
      <w:sz w:val="32"/>
      <w:szCs w:val="32"/>
    </w:rPr>
  </w:style>
  <w:style w:type="paragraph" w:customStyle="1" w:styleId="300">
    <w:name w:val="Char21"/>
    <w:basedOn w:val="1"/>
    <w:autoRedefine/>
    <w:qFormat/>
    <w:uiPriority w:val="0"/>
    <w:pPr>
      <w:autoSpaceDE w:val="0"/>
      <w:autoSpaceDN w:val="0"/>
      <w:adjustRightInd w:val="0"/>
      <w:jc w:val="left"/>
    </w:pPr>
    <w:rPr>
      <w:rFonts w:ascii="仿宋_GB2312" w:eastAsia="仿宋_GB2312"/>
      <w:b/>
      <w:kern w:val="0"/>
      <w:sz w:val="32"/>
      <w:szCs w:val="32"/>
    </w:rPr>
  </w:style>
  <w:style w:type="paragraph" w:customStyle="1" w:styleId="301">
    <w:name w:val="正文文字表格居中"/>
    <w:basedOn w:val="1"/>
    <w:next w:val="46"/>
    <w:autoRedefine/>
    <w:qFormat/>
    <w:uiPriority w:val="0"/>
    <w:pPr>
      <w:autoSpaceDE w:val="0"/>
      <w:autoSpaceDN w:val="0"/>
      <w:adjustRightInd w:val="0"/>
      <w:snapToGrid w:val="0"/>
      <w:spacing w:line="360" w:lineRule="auto"/>
      <w:jc w:val="left"/>
    </w:pPr>
    <w:rPr>
      <w:rFonts w:ascii="宋体"/>
      <w:b/>
      <w:kern w:val="0"/>
      <w:sz w:val="24"/>
      <w:szCs w:val="20"/>
    </w:rPr>
  </w:style>
  <w:style w:type="paragraph" w:customStyle="1" w:styleId="302">
    <w:name w:val="Table Contents"/>
    <w:basedOn w:val="1"/>
    <w:autoRedefine/>
    <w:qFormat/>
    <w:uiPriority w:val="0"/>
    <w:pPr>
      <w:suppressAutoHyphens/>
      <w:autoSpaceDE w:val="0"/>
      <w:autoSpaceDN w:val="0"/>
      <w:adjustRightInd w:val="0"/>
      <w:spacing w:after="120"/>
      <w:jc w:val="left"/>
    </w:pPr>
    <w:rPr>
      <w:rFonts w:ascii="Helvetica" w:hAnsi="Helvetica"/>
      <w:kern w:val="1"/>
      <w:sz w:val="20"/>
      <w:szCs w:val="20"/>
    </w:rPr>
  </w:style>
  <w:style w:type="paragraph" w:customStyle="1" w:styleId="303">
    <w:name w:val="Char1 Char Char Char Char Char Char"/>
    <w:basedOn w:val="1"/>
    <w:autoRedefine/>
    <w:qFormat/>
    <w:uiPriority w:val="0"/>
    <w:rPr>
      <w:rFonts w:ascii="宋体" w:hAnsi="宋体"/>
      <w:color w:val="000000"/>
      <w:sz w:val="24"/>
    </w:rPr>
  </w:style>
  <w:style w:type="paragraph" w:customStyle="1" w:styleId="304">
    <w:name w:val="此正文"/>
    <w:basedOn w:val="1"/>
    <w:autoRedefine/>
    <w:qFormat/>
    <w:uiPriority w:val="0"/>
    <w:pPr>
      <w:autoSpaceDE w:val="0"/>
      <w:autoSpaceDN w:val="0"/>
      <w:adjustRightInd w:val="0"/>
      <w:spacing w:line="360" w:lineRule="auto"/>
      <w:ind w:firstLine="200" w:firstLineChars="200"/>
      <w:jc w:val="left"/>
    </w:pPr>
    <w:rPr>
      <w:kern w:val="0"/>
      <w:sz w:val="24"/>
      <w:szCs w:val="20"/>
    </w:rPr>
  </w:style>
  <w:style w:type="paragraph" w:customStyle="1" w:styleId="305">
    <w:name w:val="Char11"/>
    <w:basedOn w:val="1"/>
    <w:autoRedefine/>
    <w:qFormat/>
    <w:uiPriority w:val="0"/>
    <w:pPr>
      <w:autoSpaceDE w:val="0"/>
      <w:autoSpaceDN w:val="0"/>
      <w:adjustRightInd w:val="0"/>
      <w:jc w:val="left"/>
    </w:pPr>
    <w:rPr>
      <w:rFonts w:ascii="仿宋_GB2312" w:eastAsia="仿宋_GB2312"/>
      <w:b/>
      <w:kern w:val="0"/>
      <w:sz w:val="32"/>
      <w:szCs w:val="32"/>
    </w:rPr>
  </w:style>
  <w:style w:type="paragraph" w:customStyle="1" w:styleId="306">
    <w:name w:val="xl35"/>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eastAsia="Arial Unicode MS"/>
      <w:kern w:val="0"/>
      <w:szCs w:val="22"/>
    </w:rPr>
  </w:style>
  <w:style w:type="paragraph" w:customStyle="1" w:styleId="307">
    <w:name w:val="a"/>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08">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lang w:val="zh-CN"/>
    </w:rPr>
  </w:style>
  <w:style w:type="paragraph" w:customStyle="1" w:styleId="309">
    <w:name w:val="xl83"/>
    <w:basedOn w:val="1"/>
    <w:autoRedefine/>
    <w:qFormat/>
    <w:uiPriority w:val="0"/>
    <w:pPr>
      <w:widowControl/>
      <w:pBdr>
        <w:left w:val="single" w:color="auto" w:sz="4" w:space="0"/>
        <w:right w:val="single" w:color="auto" w:sz="4" w:space="0"/>
      </w:pBdr>
      <w:spacing w:before="100" w:beforeAutospacing="1" w:after="100" w:afterAutospacing="1"/>
      <w:jc w:val="left"/>
    </w:pPr>
    <w:rPr>
      <w:rFonts w:ascii="新宋体" w:hAnsi="新宋体" w:eastAsia="新宋体" w:cs="宋体"/>
      <w:color w:val="000000"/>
      <w:kern w:val="0"/>
      <w:sz w:val="24"/>
    </w:rPr>
  </w:style>
  <w:style w:type="paragraph" w:customStyle="1" w:styleId="310">
    <w:name w:val="Char Char13"/>
    <w:basedOn w:val="1"/>
    <w:autoRedefine/>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311">
    <w:name w:val="aspnumfaautoadjustrightr"/>
    <w:autoRedefine/>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312">
    <w:name w:val="features1"/>
    <w:basedOn w:val="1"/>
    <w:autoRedefine/>
    <w:qFormat/>
    <w:uiPriority w:val="0"/>
    <w:pPr>
      <w:widowControl/>
      <w:spacing w:before="100" w:beforeAutospacing="1" w:after="100" w:afterAutospacing="1"/>
      <w:jc w:val="left"/>
    </w:pPr>
    <w:rPr>
      <w:rFonts w:ascii="宋体" w:hAnsi="宋体" w:cs="宋体"/>
      <w:b/>
      <w:bCs/>
      <w:kern w:val="0"/>
      <w:sz w:val="18"/>
      <w:szCs w:val="18"/>
    </w:rPr>
  </w:style>
  <w:style w:type="paragraph" w:customStyle="1" w:styleId="313">
    <w:name w:val="xl25"/>
    <w:basedOn w:val="1"/>
    <w:autoRedefine/>
    <w:qFormat/>
    <w:uiPriority w:val="0"/>
    <w:pPr>
      <w:widowControl/>
      <w:autoSpaceDE w:val="0"/>
      <w:autoSpaceDN w:val="0"/>
      <w:adjustRightInd w:val="0"/>
      <w:spacing w:before="100" w:beforeAutospacing="1" w:after="100" w:afterAutospacing="1"/>
      <w:jc w:val="center"/>
      <w:textAlignment w:val="center"/>
    </w:pPr>
    <w:rPr>
      <w:rFonts w:hint="eastAsia" w:ascii="楷体_GB2312" w:hAnsi="宋体" w:eastAsia="楷体_GB2312"/>
      <w:kern w:val="0"/>
      <w:sz w:val="24"/>
      <w:szCs w:val="20"/>
    </w:rPr>
  </w:style>
  <w:style w:type="paragraph" w:customStyle="1" w:styleId="314">
    <w:name w:val="章标题"/>
    <w:next w:val="1"/>
    <w:autoRedefine/>
    <w:qFormat/>
    <w:uiPriority w:val="0"/>
    <w:pPr>
      <w:tabs>
        <w:tab w:val="left" w:pos="3469"/>
      </w:tabs>
      <w:spacing w:beforeLines="50" w:afterLines="50"/>
      <w:ind w:left="3469" w:hanging="420"/>
      <w:jc w:val="both"/>
      <w:outlineLvl w:val="1"/>
    </w:pPr>
    <w:rPr>
      <w:rFonts w:ascii="黑体" w:hAnsi="Times New Roman" w:eastAsia="黑体" w:cs="Times New Roman"/>
      <w:sz w:val="21"/>
      <w:lang w:val="en-US" w:eastAsia="zh-CN" w:bidi="ar-SA"/>
    </w:rPr>
  </w:style>
  <w:style w:type="paragraph" w:customStyle="1" w:styleId="315">
    <w:name w:val="样式 标题 3 + 黑体 小四 非加粗"/>
    <w:basedOn w:val="5"/>
    <w:autoRedefine/>
    <w:qFormat/>
    <w:uiPriority w:val="0"/>
    <w:pPr>
      <w:spacing w:before="260" w:after="260" w:line="413" w:lineRule="auto"/>
    </w:pPr>
    <w:rPr>
      <w:rFonts w:ascii="黑体" w:hAnsi="黑体"/>
      <w:b w:val="0"/>
      <w:kern w:val="0"/>
      <w:sz w:val="24"/>
      <w:szCs w:val="32"/>
    </w:rPr>
  </w:style>
  <w:style w:type="paragraph" w:customStyle="1" w:styleId="316">
    <w:name w:val="正文_0_0"/>
    <w:autoRedefine/>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317">
    <w:name w:val="xl7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b/>
      <w:bCs/>
      <w:kern w:val="0"/>
      <w:sz w:val="28"/>
      <w:szCs w:val="28"/>
    </w:rPr>
  </w:style>
  <w:style w:type="paragraph" w:customStyle="1" w:styleId="318">
    <w:name w:val="样式 左侧:  0.85 厘米 首行缩进:  0.85 厘米"/>
    <w:basedOn w:val="1"/>
    <w:autoRedefine/>
    <w:qFormat/>
    <w:uiPriority w:val="0"/>
    <w:pPr>
      <w:autoSpaceDE w:val="0"/>
      <w:autoSpaceDN w:val="0"/>
      <w:adjustRightInd w:val="0"/>
      <w:spacing w:line="360" w:lineRule="auto"/>
      <w:ind w:firstLine="482"/>
      <w:jc w:val="left"/>
    </w:pPr>
    <w:rPr>
      <w:rFonts w:cs="宋体"/>
      <w:kern w:val="0"/>
      <w:sz w:val="24"/>
      <w:szCs w:val="20"/>
    </w:rPr>
  </w:style>
  <w:style w:type="paragraph" w:customStyle="1" w:styleId="319">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20">
    <w:name w:val="VIT-Text"/>
    <w:basedOn w:val="1"/>
    <w:autoRedefine/>
    <w:qFormat/>
    <w:uiPriority w:val="0"/>
    <w:pPr>
      <w:widowControl/>
      <w:tabs>
        <w:tab w:val="left" w:pos="709"/>
        <w:tab w:val="left" w:pos="3402"/>
        <w:tab w:val="left" w:pos="4536"/>
        <w:tab w:val="left" w:pos="5670"/>
        <w:tab w:val="decimal" w:pos="6804"/>
        <w:tab w:val="right" w:pos="9072"/>
      </w:tabs>
      <w:jc w:val="left"/>
    </w:pPr>
    <w:rPr>
      <w:rFonts w:ascii="Arial" w:hAnsi="Arial" w:eastAsia="PMingLiU"/>
      <w:kern w:val="0"/>
      <w:sz w:val="22"/>
      <w:szCs w:val="20"/>
      <w:lang w:val="de-DE" w:eastAsia="zh-TW"/>
    </w:rPr>
  </w:style>
  <w:style w:type="paragraph" w:customStyle="1" w:styleId="321">
    <w:name w:val="文档正文"/>
    <w:basedOn w:val="1"/>
    <w:autoRedefine/>
    <w:qFormat/>
    <w:uiPriority w:val="0"/>
    <w:pPr>
      <w:adjustRightInd w:val="0"/>
      <w:spacing w:line="300" w:lineRule="auto"/>
      <w:ind w:firstLine="567"/>
      <w:textAlignment w:val="baseline"/>
    </w:pPr>
    <w:rPr>
      <w:kern w:val="0"/>
      <w:sz w:val="24"/>
      <w:szCs w:val="20"/>
    </w:rPr>
  </w:style>
  <w:style w:type="paragraph" w:customStyle="1" w:styleId="322">
    <w:name w:val="列出段落2"/>
    <w:basedOn w:val="1"/>
    <w:autoRedefine/>
    <w:qFormat/>
    <w:uiPriority w:val="0"/>
    <w:pPr>
      <w:ind w:firstLine="420" w:firstLineChars="200"/>
    </w:pPr>
  </w:style>
  <w:style w:type="paragraph" w:customStyle="1" w:styleId="323">
    <w:name w:val="标题五"/>
    <w:basedOn w:val="1"/>
    <w:autoRedefine/>
    <w:qFormat/>
    <w:uiPriority w:val="0"/>
    <w:pPr>
      <w:tabs>
        <w:tab w:val="left" w:pos="1440"/>
      </w:tabs>
      <w:autoSpaceDE w:val="0"/>
      <w:autoSpaceDN w:val="0"/>
      <w:adjustRightInd w:val="0"/>
      <w:spacing w:beforeLines="50" w:line="360" w:lineRule="auto"/>
      <w:ind w:left="1440" w:hanging="420"/>
      <w:jc w:val="left"/>
    </w:pPr>
    <w:rPr>
      <w:b/>
      <w:kern w:val="0"/>
      <w:sz w:val="24"/>
      <w:szCs w:val="20"/>
    </w:rPr>
  </w:style>
  <w:style w:type="paragraph" w:customStyle="1" w:styleId="324">
    <w:name w:val="È±Ê¡ÎÄ±¾ Char"/>
    <w:basedOn w:val="1"/>
    <w:autoRedefine/>
    <w:qFormat/>
    <w:uiPriority w:val="0"/>
    <w:pPr>
      <w:widowControl/>
      <w:overflowPunct w:val="0"/>
      <w:autoSpaceDE w:val="0"/>
      <w:autoSpaceDN w:val="0"/>
      <w:adjustRightInd w:val="0"/>
      <w:textAlignment w:val="baseline"/>
    </w:pPr>
    <w:rPr>
      <w:szCs w:val="21"/>
      <w:lang w:val="zh-CN"/>
    </w:rPr>
  </w:style>
  <w:style w:type="paragraph" w:customStyle="1" w:styleId="325">
    <w:name w:val="p0"/>
    <w:basedOn w:val="1"/>
    <w:autoRedefine/>
    <w:qFormat/>
    <w:uiPriority w:val="0"/>
    <w:pPr>
      <w:widowControl/>
    </w:pPr>
    <w:rPr>
      <w:kern w:val="0"/>
      <w:szCs w:val="21"/>
    </w:rPr>
  </w:style>
  <w:style w:type="paragraph" w:customStyle="1" w:styleId="326">
    <w:name w:val="xl88"/>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color w:val="000000"/>
      <w:kern w:val="0"/>
      <w:sz w:val="24"/>
    </w:rPr>
  </w:style>
  <w:style w:type="table" w:customStyle="1" w:styleId="327">
    <w:name w:val="TableGrid"/>
    <w:autoRedefine/>
    <w:qFormat/>
    <w:uiPriority w:val="0"/>
    <w:tblPr>
      <w:tblCellMar>
        <w:top w:w="0" w:type="dxa"/>
        <w:left w:w="0" w:type="dxa"/>
        <w:bottom w:w="0" w:type="dxa"/>
        <w:right w:w="0" w:type="dxa"/>
      </w:tblCellMar>
    </w:tblPr>
  </w:style>
  <w:style w:type="paragraph" w:styleId="328">
    <w:name w:val="List Paragraph"/>
    <w:basedOn w:val="1"/>
    <w:autoRedefine/>
    <w:qFormat/>
    <w:uiPriority w:val="99"/>
    <w:pPr>
      <w:ind w:firstLine="420" w:firstLineChars="200"/>
    </w:pPr>
  </w:style>
  <w:style w:type="paragraph" w:customStyle="1" w:styleId="329">
    <w:name w:val="正文段"/>
    <w:basedOn w:val="1"/>
    <w:autoRedefine/>
    <w:qFormat/>
    <w:uiPriority w:val="0"/>
    <w:pPr>
      <w:widowControl/>
      <w:snapToGrid w:val="0"/>
      <w:spacing w:afterLines="50"/>
      <w:ind w:firstLine="200" w:firstLineChars="200"/>
    </w:pPr>
    <w:rPr>
      <w:sz w:val="24"/>
      <w:szCs w:val="20"/>
    </w:rPr>
  </w:style>
  <w:style w:type="paragraph" w:customStyle="1" w:styleId="330">
    <w:name w:val="_Style 3"/>
    <w:basedOn w:val="1"/>
    <w:next w:val="1"/>
    <w:autoRedefine/>
    <w:qFormat/>
    <w:uiPriority w:val="34"/>
    <w:pPr>
      <w:spacing w:line="360" w:lineRule="auto"/>
      <w:ind w:firstLine="420" w:firstLineChars="200"/>
    </w:pPr>
  </w:style>
  <w:style w:type="paragraph" w:customStyle="1" w:styleId="331">
    <w:name w:val="_Style 2"/>
    <w:basedOn w:val="1"/>
    <w:next w:val="1"/>
    <w:autoRedefine/>
    <w:qFormat/>
    <w:uiPriority w:val="0"/>
    <w:pPr>
      <w:pBdr>
        <w:bottom w:val="single" w:color="auto" w:sz="6" w:space="1"/>
      </w:pBdr>
      <w:jc w:val="center"/>
    </w:pPr>
    <w:rPr>
      <w:rFonts w:ascii="Arial"/>
      <w:vanish/>
      <w:sz w:val="16"/>
    </w:rPr>
  </w:style>
  <w:style w:type="character" w:customStyle="1" w:styleId="332">
    <w:name w:val="font31"/>
    <w:basedOn w:val="54"/>
    <w:autoRedefine/>
    <w:qFormat/>
    <w:uiPriority w:val="0"/>
    <w:rPr>
      <w:rFonts w:hint="eastAsia" w:ascii="宋体" w:hAnsi="宋体" w:eastAsia="宋体" w:cs="宋体"/>
      <w:color w:val="000000"/>
      <w:sz w:val="24"/>
      <w:szCs w:val="24"/>
      <w:u w:val="single"/>
    </w:rPr>
  </w:style>
  <w:style w:type="paragraph" w:customStyle="1" w:styleId="333">
    <w:name w:val="表格文字"/>
    <w:basedOn w:val="1"/>
    <w:next w:val="21"/>
    <w:autoRedefine/>
    <w:qFormat/>
    <w:uiPriority w:val="0"/>
    <w:pPr>
      <w:adjustRightInd w:val="0"/>
      <w:spacing w:line="420" w:lineRule="atLeast"/>
      <w:jc w:val="left"/>
      <w:textAlignment w:val="baseline"/>
    </w:pPr>
    <w:rPr>
      <w:kern w:val="0"/>
    </w:rPr>
  </w:style>
  <w:style w:type="character" w:customStyle="1" w:styleId="334">
    <w:name w:val="font01"/>
    <w:basedOn w:val="54"/>
    <w:autoRedefine/>
    <w:qFormat/>
    <w:uiPriority w:val="0"/>
    <w:rPr>
      <w:rFonts w:ascii="Arial" w:hAnsi="Arial" w:cs="Arial"/>
      <w:color w:val="000000"/>
      <w:sz w:val="18"/>
      <w:szCs w:val="18"/>
      <w:u w:val="none"/>
    </w:rPr>
  </w:style>
  <w:style w:type="paragraph" w:customStyle="1" w:styleId="335">
    <w:name w:val="列出段落3"/>
    <w:basedOn w:val="1"/>
    <w:autoRedefine/>
    <w:qFormat/>
    <w:uiPriority w:val="34"/>
    <w:pPr>
      <w:adjustRightInd w:val="0"/>
      <w:snapToGrid w:val="0"/>
      <w:spacing w:after="200"/>
      <w:ind w:firstLine="420" w:firstLineChars="200"/>
    </w:pPr>
    <w:rPr>
      <w:rFonts w:ascii="Tahoma" w:hAnsi="Tahoma" w:eastAsia="微软雅黑"/>
      <w:sz w:val="22"/>
    </w:rPr>
  </w:style>
  <w:style w:type="paragraph" w:customStyle="1" w:styleId="336">
    <w:name w:val="标题3 附件1"/>
    <w:basedOn w:val="1"/>
    <w:autoRedefine/>
    <w:qFormat/>
    <w:uiPriority w:val="0"/>
    <w:pPr>
      <w:keepNext/>
      <w:keepLines/>
      <w:spacing w:before="340" w:after="330" w:line="360" w:lineRule="exact"/>
      <w:jc w:val="left"/>
      <w:outlineLvl w:val="2"/>
    </w:pPr>
    <w:rPr>
      <w:b/>
      <w:bCs/>
      <w:kern w:val="44"/>
      <w:szCs w:val="21"/>
    </w:rPr>
  </w:style>
  <w:style w:type="character" w:customStyle="1" w:styleId="337">
    <w:name w:val="font61"/>
    <w:basedOn w:val="54"/>
    <w:autoRedefine/>
    <w:qFormat/>
    <w:uiPriority w:val="0"/>
    <w:rPr>
      <w:rFonts w:hint="eastAsia" w:ascii="宋体" w:hAnsi="宋体" w:eastAsia="宋体" w:cs="宋体"/>
      <w:color w:val="000000"/>
      <w:sz w:val="20"/>
      <w:szCs w:val="20"/>
      <w:u w:val="none"/>
    </w:rPr>
  </w:style>
  <w:style w:type="character" w:customStyle="1" w:styleId="338">
    <w:name w:val="font81"/>
    <w:basedOn w:val="54"/>
    <w:autoRedefine/>
    <w:qFormat/>
    <w:uiPriority w:val="0"/>
    <w:rPr>
      <w:rFonts w:ascii="Calibri" w:hAnsi="Calibri" w:cs="Calibri"/>
      <w:color w:val="000000"/>
      <w:sz w:val="20"/>
      <w:szCs w:val="20"/>
      <w:u w:val="none"/>
    </w:rPr>
  </w:style>
  <w:style w:type="character" w:customStyle="1" w:styleId="339">
    <w:name w:val="font71"/>
    <w:basedOn w:val="54"/>
    <w:autoRedefine/>
    <w:qFormat/>
    <w:uiPriority w:val="0"/>
    <w:rPr>
      <w:rFonts w:hint="eastAsia" w:ascii="宋体" w:hAnsi="宋体" w:eastAsia="宋体" w:cs="宋体"/>
      <w:color w:val="000000"/>
      <w:sz w:val="22"/>
      <w:szCs w:val="22"/>
      <w:u w:val="none"/>
    </w:rPr>
  </w:style>
  <w:style w:type="paragraph" w:customStyle="1" w:styleId="340">
    <w:name w:val="01 正文-首行缩进2字符"/>
    <w:basedOn w:val="1"/>
    <w:autoRedefine/>
    <w:qFormat/>
    <w:uiPriority w:val="0"/>
    <w:pPr>
      <w:spacing w:before="50" w:beforeLines="50" w:after="50" w:afterLines="50"/>
      <w:ind w:firstLine="200" w:firstLineChars="200"/>
    </w:pPr>
    <w:rPr>
      <w:rFonts w:ascii="Arial" w:hAnsi="Arial"/>
      <w:color w:val="00000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中国远东国际贸易总公司</Company>
  <Pages>54</Pages>
  <Words>20685</Words>
  <Characters>21849</Characters>
  <Lines>322</Lines>
  <Paragraphs>90</Paragraphs>
  <TotalTime>8</TotalTime>
  <ScaleCrop>false</ScaleCrop>
  <LinksUpToDate>false</LinksUpToDate>
  <CharactersWithSpaces>23465</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2020-10-13T06:50:00Z</dcterms:created>
  <dc:creator>zyq</dc:creator>
  <cp:lastModifiedBy>历程招标</cp:lastModifiedBy>
  <cp:lastPrinted>2021-03-22T07:00:00Z</cp:lastPrinted>
  <dcterms:modified xsi:type="dcterms:W3CDTF">2025-05-30T08:49:04Z</dcterms:modified>
  <dc:title>招标文件目录</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BC1BA64C697642BF92F420CC9F67FF35</vt:lpwstr>
  </property>
  <property fmtid="{D5CDD505-2E9C-101B-9397-08002B2CF9AE}" pid="4" name="KSOTemplateDocerSaveRecord">
    <vt:lpwstr>eyJoZGlkIjoiNTg3NGFkZWM5NThlZmRiMDI3MjA2Y2MyZGFiOGJhYTAiLCJ1c2VySWQiOiIxNDgxMzEyODcxIn0=</vt:lpwstr>
  </property>
</Properties>
</file>