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spacing w:before="120" w:after="120"/>
        <w:ind w:right="-20"/>
        <w:jc w:val="both"/>
        <w:rPr>
          <w:rFonts w:ascii="Arial Unicode MS" w:eastAsia="Arial Unicode MS" w:cs="Arial Unicode MS"/>
          <w:b/>
          <w:color w:val="auto"/>
          <w:spacing w:val="2"/>
          <w:w w:val="99"/>
          <w:sz w:val="52"/>
          <w:szCs w:val="52"/>
          <w:highlight w:val="none"/>
        </w:rPr>
      </w:pPr>
      <w:r>
        <w:rPr>
          <w:rFonts w:ascii="Arial Unicode MS" w:eastAsia="Arial Unicode MS" w:cs="Arial Unicode MS"/>
          <w:b/>
          <w:color w:val="auto"/>
          <w:spacing w:val="2"/>
          <w:w w:val="99"/>
          <w:sz w:val="52"/>
          <w:szCs w:val="52"/>
          <w:highlight w:val="none"/>
          <w:lang w:eastAsia="zh-CN"/>
        </w:rPr>
        <w:drawing>
          <wp:anchor distT="0" distB="0" distL="114300" distR="114300" simplePos="0" relativeHeight="251659264" behindDoc="1" locked="0" layoutInCell="1" allowOverlap="1">
            <wp:simplePos x="0" y="0"/>
            <wp:positionH relativeFrom="margin">
              <wp:posOffset>2183765</wp:posOffset>
            </wp:positionH>
            <wp:positionV relativeFrom="paragraph">
              <wp:posOffset>85090</wp:posOffset>
            </wp:positionV>
            <wp:extent cx="1205230" cy="1085850"/>
            <wp:effectExtent l="0" t="0" r="13970" b="0"/>
            <wp:wrapTight wrapText="bothSides">
              <wp:wrapPolygon>
                <wp:start x="7170" y="0"/>
                <wp:lineTo x="683" y="6063"/>
                <wp:lineTo x="0" y="8337"/>
                <wp:lineTo x="0" y="15158"/>
                <wp:lineTo x="1024" y="18568"/>
                <wp:lineTo x="4780" y="21221"/>
                <wp:lineTo x="5121" y="21221"/>
                <wp:lineTo x="11608" y="21221"/>
                <wp:lineTo x="11949" y="21221"/>
                <wp:lineTo x="15705" y="18568"/>
                <wp:lineTo x="15705" y="18189"/>
                <wp:lineTo x="18095" y="13642"/>
                <wp:lineTo x="21168" y="12126"/>
                <wp:lineTo x="21168" y="8337"/>
                <wp:lineTo x="16046" y="6063"/>
                <wp:lineTo x="10925" y="758"/>
                <wp:lineTo x="9901" y="0"/>
                <wp:lineTo x="7170" y="0"/>
              </wp:wrapPolygon>
            </wp:wrapTigh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05230" cy="1085850"/>
                    </a:xfrm>
                    <a:prstGeom prst="rect">
                      <a:avLst/>
                    </a:prstGeom>
                  </pic:spPr>
                </pic:pic>
              </a:graphicData>
            </a:graphic>
          </wp:anchor>
        </w:drawing>
      </w:r>
    </w:p>
    <w:p>
      <w:pPr>
        <w:autoSpaceDE w:val="0"/>
        <w:autoSpaceDN w:val="0"/>
        <w:spacing w:line="360" w:lineRule="auto"/>
        <w:ind w:right="-20"/>
        <w:jc w:val="center"/>
        <w:rPr>
          <w:rFonts w:ascii="微软雅黑" w:hAnsi="微软雅黑" w:eastAsia="微软雅黑" w:cs="Arial Unicode MS"/>
          <w:color w:val="auto"/>
          <w:spacing w:val="2"/>
          <w:w w:val="99"/>
          <w:sz w:val="52"/>
          <w:szCs w:val="52"/>
          <w:highlight w:val="none"/>
        </w:rPr>
      </w:pPr>
      <w:r>
        <w:rPr>
          <w:rFonts w:hint="eastAsia" w:ascii="宋体" w:hAnsi="宋体" w:cs="微软雅黑"/>
          <w:color w:val="auto"/>
          <w:sz w:val="24"/>
          <w:highlight w:val="none"/>
        </w:rPr>
        <w:t xml:space="preserve"> </w:t>
      </w:r>
    </w:p>
    <w:p>
      <w:pPr>
        <w:spacing w:line="360" w:lineRule="auto"/>
        <w:jc w:val="center"/>
        <w:outlineLvl w:val="0"/>
        <w:rPr>
          <w:rFonts w:ascii="微软雅黑" w:hAnsi="微软雅黑" w:eastAsia="微软雅黑" w:cs="Arial Unicode MS"/>
          <w:color w:val="auto"/>
          <w:spacing w:val="2"/>
          <w:w w:val="99"/>
          <w:sz w:val="52"/>
          <w:szCs w:val="52"/>
          <w:highlight w:val="none"/>
          <w:lang w:eastAsia="zh-CN"/>
        </w:rPr>
      </w:pPr>
      <w:r>
        <w:rPr>
          <w:rFonts w:hint="eastAsia" w:ascii="微软雅黑" w:hAnsi="微软雅黑" w:eastAsia="微软雅黑" w:cs="Arial Unicode MS"/>
          <w:color w:val="auto"/>
          <w:spacing w:val="2"/>
          <w:w w:val="99"/>
          <w:sz w:val="52"/>
          <w:szCs w:val="52"/>
          <w:highlight w:val="none"/>
          <w:lang w:eastAsia="zh-CN"/>
        </w:rPr>
        <w:t>中海油能源发展股份有限公司</w:t>
      </w:r>
    </w:p>
    <w:p>
      <w:pPr>
        <w:jc w:val="center"/>
        <w:rPr>
          <w:rFonts w:hint="eastAsia" w:ascii="微软雅黑" w:hAnsi="微软雅黑" w:eastAsia="微软雅黑" w:cs="Arial Unicode MS"/>
          <w:color w:val="auto"/>
          <w:spacing w:val="2"/>
          <w:w w:val="99"/>
          <w:sz w:val="32"/>
          <w:szCs w:val="32"/>
          <w:highlight w:val="none"/>
          <w:u w:val="single"/>
          <w:lang w:val="en-US" w:eastAsia="zh-CN"/>
        </w:rPr>
      </w:pPr>
    </w:p>
    <w:p>
      <w:pPr>
        <w:jc w:val="center"/>
        <w:rPr>
          <w:rFonts w:hint="eastAsia" w:ascii="微软雅黑" w:hAnsi="微软雅黑" w:eastAsia="微软雅黑" w:cs="微软雅黑"/>
          <w:b w:val="0"/>
          <w:bCs w:val="0"/>
          <w:color w:val="000000"/>
          <w:spacing w:val="2"/>
          <w:w w:val="99"/>
          <w:kern w:val="0"/>
          <w:sz w:val="36"/>
          <w:szCs w:val="36"/>
          <w:highlight w:val="none"/>
          <w:u w:val="single"/>
          <w:lang w:val="en-US" w:eastAsia="zh-CN"/>
        </w:rPr>
      </w:pPr>
      <w:r>
        <w:rPr>
          <w:rFonts w:hint="eastAsia" w:ascii="微软雅黑" w:hAnsi="微软雅黑" w:eastAsia="微软雅黑" w:cs="微软雅黑"/>
          <w:b w:val="0"/>
          <w:bCs w:val="0"/>
          <w:color w:val="000000"/>
          <w:spacing w:val="2"/>
          <w:w w:val="99"/>
          <w:kern w:val="0"/>
          <w:sz w:val="36"/>
          <w:szCs w:val="36"/>
          <w:highlight w:val="none"/>
          <w:u w:val="single"/>
          <w:lang w:val="en-US" w:eastAsia="zh-CN"/>
        </w:rPr>
        <w:t>蓬莱19-3油田CEPB平台原油流程降压项目施工总包服务（24023）</w:t>
      </w:r>
    </w:p>
    <w:p>
      <w:pPr>
        <w:pStyle w:val="2"/>
        <w:rPr>
          <w:rFonts w:hint="eastAsia"/>
          <w:lang w:val="en-US" w:eastAsia="zh-CN"/>
        </w:rPr>
      </w:pPr>
    </w:p>
    <w:p>
      <w:pPr>
        <w:pStyle w:val="4"/>
        <w:jc w:val="center"/>
        <w:rPr>
          <w:rFonts w:hint="default" w:ascii="微软雅黑" w:hAnsi="微软雅黑" w:eastAsia="微软雅黑" w:cs="Arial Unicode MS"/>
          <w:color w:val="000000"/>
          <w:spacing w:val="2"/>
          <w:w w:val="99"/>
          <w:kern w:val="0"/>
          <w:sz w:val="36"/>
          <w:szCs w:val="36"/>
          <w:lang w:val="en-US" w:eastAsia="zh-CN"/>
        </w:rPr>
      </w:pPr>
      <w:r>
        <w:rPr>
          <w:rFonts w:hint="eastAsia" w:ascii="微软雅黑" w:hAnsi="微软雅黑" w:eastAsia="微软雅黑" w:cs="Arial Unicode MS"/>
          <w:color w:val="000000"/>
          <w:spacing w:val="2"/>
          <w:w w:val="99"/>
          <w:kern w:val="0"/>
          <w:sz w:val="36"/>
          <w:szCs w:val="36"/>
          <w:u w:val="single"/>
          <w:lang w:val="en-US" w:eastAsia="zh-CN"/>
        </w:rPr>
        <w:t>探头标定装置等设备</w:t>
      </w:r>
    </w:p>
    <w:p>
      <w:pPr>
        <w:jc w:val="center"/>
        <w:rPr>
          <w:rFonts w:hint="default" w:ascii="微软雅黑" w:hAnsi="微软雅黑" w:eastAsia="微软雅黑" w:cs="Arial Unicode MS"/>
          <w:color w:val="auto"/>
          <w:spacing w:val="2"/>
          <w:w w:val="99"/>
          <w:sz w:val="32"/>
          <w:szCs w:val="32"/>
          <w:highlight w:val="none"/>
          <w:u w:val="single"/>
          <w:lang w:val="en-US" w:eastAsia="zh-CN"/>
        </w:rPr>
      </w:pPr>
    </w:p>
    <w:p>
      <w:pPr>
        <w:spacing w:line="360" w:lineRule="auto"/>
        <w:jc w:val="center"/>
        <w:outlineLvl w:val="0"/>
        <w:rPr>
          <w:rFonts w:hint="eastAsia" w:ascii="微软雅黑" w:hAnsi="微软雅黑" w:eastAsia="微软雅黑" w:cs="Arial Unicode MS"/>
          <w:b/>
          <w:color w:val="auto"/>
          <w:spacing w:val="2"/>
          <w:w w:val="99"/>
          <w:sz w:val="52"/>
          <w:szCs w:val="52"/>
          <w:highlight w:val="none"/>
          <w:lang w:eastAsia="zh-CN"/>
        </w:rPr>
      </w:pPr>
      <w:r>
        <w:rPr>
          <w:rFonts w:hint="eastAsia" w:ascii="微软雅黑" w:hAnsi="微软雅黑" w:eastAsia="微软雅黑" w:cs="Arial Unicode MS"/>
          <w:b/>
          <w:color w:val="auto"/>
          <w:spacing w:val="2"/>
          <w:w w:val="99"/>
          <w:sz w:val="52"/>
          <w:szCs w:val="52"/>
          <w:highlight w:val="none"/>
          <w:lang w:eastAsia="zh-CN"/>
        </w:rPr>
        <w:t>采购技术要求书</w:t>
      </w:r>
    </w:p>
    <w:p>
      <w:pPr>
        <w:pStyle w:val="5"/>
        <w:rPr>
          <w:rFonts w:hint="eastAsia" w:ascii="微软雅黑" w:hAnsi="微软雅黑" w:eastAsia="微软雅黑" w:cs="Arial Unicode MS"/>
          <w:b/>
          <w:color w:val="auto"/>
          <w:spacing w:val="2"/>
          <w:w w:val="99"/>
          <w:sz w:val="52"/>
          <w:szCs w:val="52"/>
          <w:highlight w:val="none"/>
          <w:lang w:eastAsia="zh-CN"/>
        </w:rPr>
      </w:pPr>
    </w:p>
    <w:p>
      <w:pPr>
        <w:pStyle w:val="11"/>
        <w:keepNext w:val="0"/>
        <w:keepLines w:val="0"/>
        <w:widowControl/>
        <w:suppressLineNumbers w:val="0"/>
        <w:spacing w:before="0" w:beforeAutospacing="0" w:after="0" w:afterAutospacing="0"/>
        <w:ind w:right="0" w:firstLine="640" w:firstLineChars="200"/>
        <w:rPr>
          <w:rFonts w:hint="default" w:ascii="Arial Unicode MS" w:eastAsia="Arial Unicode MS" w:cs="Arial Unicode MS"/>
          <w:color w:val="auto"/>
          <w:spacing w:val="2"/>
          <w:w w:val="99"/>
          <w:sz w:val="32"/>
          <w:szCs w:val="32"/>
          <w:highlight w:val="none"/>
          <w:lang w:val="en-US" w:eastAsia="zh-CN"/>
        </w:rPr>
      </w:pPr>
      <w:r>
        <w:rPr>
          <w:rFonts w:hint="eastAsia" w:ascii="Arial Unicode MS" w:eastAsia="Arial Unicode MS" w:cs="Arial Unicode MS"/>
          <w:color w:val="auto"/>
          <w:spacing w:val="2"/>
          <w:w w:val="99"/>
          <w:sz w:val="32"/>
          <w:szCs w:val="32"/>
          <w:highlight w:val="none"/>
          <w:lang w:val="en-US" w:eastAsia="zh-CN"/>
        </w:rPr>
        <w:t>引用技术标准编号：</w:t>
      </w:r>
      <w:r>
        <w:rPr>
          <w:rFonts w:hint="eastAsia" w:ascii="Arial Unicode MS" w:eastAsia="Arial Unicode MS" w:cs="Arial Unicode MS" w:hAnsiTheme="minorHAnsi"/>
          <w:color w:val="auto"/>
          <w:spacing w:val="2"/>
          <w:w w:val="99"/>
          <w:kern w:val="0"/>
          <w:sz w:val="32"/>
          <w:szCs w:val="32"/>
          <w:highlight w:val="none"/>
          <w:lang w:val="en-US" w:eastAsia="zh-CN" w:bidi="ar-SA"/>
        </w:rPr>
        <w:t>CGBZ</w:t>
      </w:r>
      <w:r>
        <w:rPr>
          <w:rFonts w:hint="eastAsia" w:ascii="Arial Unicode MS" w:eastAsia="Arial Unicode MS" w:cs="Arial Unicode MS"/>
          <w:color w:val="auto"/>
          <w:spacing w:val="2"/>
          <w:w w:val="99"/>
          <w:kern w:val="0"/>
          <w:sz w:val="32"/>
          <w:szCs w:val="32"/>
          <w:highlight w:val="none"/>
          <w:lang w:val="en-US" w:eastAsia="zh-CN" w:bidi="ar-SA"/>
        </w:rPr>
        <w:t>151</w:t>
      </w:r>
      <w:r>
        <w:rPr>
          <w:rFonts w:hint="eastAsia" w:ascii="Arial Unicode MS" w:eastAsia="Arial Unicode MS" w:cs="Arial Unicode MS" w:hAnsiTheme="minorHAnsi"/>
          <w:color w:val="auto"/>
          <w:spacing w:val="2"/>
          <w:w w:val="99"/>
          <w:kern w:val="0"/>
          <w:sz w:val="32"/>
          <w:szCs w:val="32"/>
          <w:highlight w:val="none"/>
          <w:lang w:val="en-US" w:eastAsia="zh-CN" w:bidi="ar-SA"/>
        </w:rPr>
        <w:t>-202</w:t>
      </w:r>
      <w:r>
        <w:rPr>
          <w:rFonts w:hint="eastAsia" w:ascii="Arial Unicode MS" w:eastAsia="Arial Unicode MS" w:cs="Arial Unicode MS"/>
          <w:color w:val="auto"/>
          <w:spacing w:val="2"/>
          <w:w w:val="99"/>
          <w:kern w:val="0"/>
          <w:sz w:val="32"/>
          <w:szCs w:val="32"/>
          <w:highlight w:val="none"/>
          <w:lang w:val="en-US" w:eastAsia="zh-CN" w:bidi="ar-SA"/>
        </w:rPr>
        <w:t>2</w:t>
      </w:r>
      <w:r>
        <w:rPr>
          <w:rFonts w:hint="eastAsia" w:ascii="Arial Unicode MS" w:eastAsia="Arial Unicode MS" w:cs="Arial Unicode MS"/>
          <w:color w:val="auto"/>
          <w:spacing w:val="2"/>
          <w:w w:val="99"/>
          <w:sz w:val="32"/>
          <w:szCs w:val="32"/>
          <w:highlight w:val="none"/>
          <w:lang w:val="en-US" w:eastAsia="zh-CN"/>
        </w:rPr>
        <w:t xml:space="preserve">  </w:t>
      </w:r>
      <w:r>
        <w:rPr>
          <w:rFonts w:hint="eastAsia" w:ascii="Arial Unicode MS" w:eastAsia="Arial Unicode MS" w:cs="Arial Unicode MS"/>
          <w:color w:val="auto"/>
          <w:spacing w:val="2"/>
          <w:w w:val="99"/>
          <w:sz w:val="32"/>
          <w:szCs w:val="32"/>
          <w:highlight w:val="none"/>
          <w:lang w:eastAsia="zh-CN"/>
        </w:rPr>
        <w:t xml:space="preserve">     </w:t>
      </w:r>
      <w:r>
        <w:rPr>
          <w:rFonts w:hint="eastAsia" w:ascii="Arial Unicode MS" w:eastAsia="Arial Unicode MS" w:cs="Arial Unicode MS"/>
          <w:color w:val="auto"/>
          <w:spacing w:val="2"/>
          <w:w w:val="99"/>
          <w:sz w:val="32"/>
          <w:szCs w:val="32"/>
          <w:highlight w:val="none"/>
          <w:lang w:val="en-US" w:eastAsia="zh-CN"/>
        </w:rPr>
        <w:t xml:space="preserve">  </w:t>
      </w:r>
    </w:p>
    <w:p>
      <w:pPr>
        <w:autoSpaceDE w:val="0"/>
        <w:autoSpaceDN w:val="0"/>
        <w:spacing w:before="120" w:after="120" w:line="720" w:lineRule="auto"/>
        <w:ind w:right="-20"/>
        <w:rPr>
          <w:rFonts w:hint="eastAsia" w:ascii="Arial Unicode MS" w:eastAsia="Arial Unicode MS" w:cs="Arial Unicode MS"/>
          <w:color w:val="auto"/>
          <w:spacing w:val="2"/>
          <w:w w:val="99"/>
          <w:sz w:val="32"/>
          <w:szCs w:val="32"/>
          <w:highlight w:val="none"/>
          <w:lang w:eastAsia="zh-CN"/>
        </w:rPr>
      </w:pPr>
      <w:r>
        <w:rPr>
          <w:rFonts w:hint="eastAsia" w:ascii="Arial Unicode MS" w:eastAsia="Arial Unicode MS" w:cs="Arial Unicode MS"/>
          <w:color w:val="auto"/>
          <w:spacing w:val="2"/>
          <w:w w:val="99"/>
          <w:sz w:val="32"/>
          <w:szCs w:val="32"/>
          <w:highlight w:val="none"/>
          <w:lang w:eastAsia="zh-CN"/>
        </w:rPr>
        <w:t xml:space="preserve">    编</w:t>
      </w:r>
      <w:r>
        <w:rPr>
          <w:rFonts w:hint="eastAsia" w:ascii="Arial Unicode MS" w:eastAsia="Arial Unicode MS" w:cs="Arial Unicode MS"/>
          <w:color w:val="auto"/>
          <w:spacing w:val="2"/>
          <w:w w:val="99"/>
          <w:sz w:val="32"/>
          <w:szCs w:val="32"/>
          <w:highlight w:val="none"/>
          <w:lang w:val="en-US" w:eastAsia="zh-CN"/>
        </w:rPr>
        <w:t xml:space="preserve">  </w:t>
      </w:r>
      <w:r>
        <w:rPr>
          <w:rFonts w:hint="eastAsia" w:ascii="Arial Unicode MS" w:eastAsia="Arial Unicode MS" w:cs="Arial Unicode MS"/>
          <w:color w:val="auto"/>
          <w:spacing w:val="2"/>
          <w:w w:val="99"/>
          <w:sz w:val="32"/>
          <w:szCs w:val="32"/>
          <w:highlight w:val="none"/>
          <w:lang w:eastAsia="zh-CN"/>
        </w:rPr>
        <w:t>制</w:t>
      </w:r>
      <w:r>
        <w:rPr>
          <w:rFonts w:hint="eastAsia" w:ascii="Arial Unicode MS" w:eastAsia="Arial Unicode MS" w:cs="Arial Unicode MS"/>
          <w:color w:val="auto"/>
          <w:spacing w:val="2"/>
          <w:w w:val="99"/>
          <w:sz w:val="32"/>
          <w:szCs w:val="32"/>
          <w:highlight w:val="none"/>
          <w:lang w:val="en-US" w:eastAsia="zh-CN"/>
        </w:rPr>
        <w:t xml:space="preserve">  人</w:t>
      </w:r>
      <w:r>
        <w:rPr>
          <w:rFonts w:hint="eastAsia" w:ascii="Arial Unicode MS" w:eastAsia="Arial Unicode MS" w:cs="Arial Unicode MS"/>
          <w:color w:val="auto"/>
          <w:spacing w:val="2"/>
          <w:w w:val="99"/>
          <w:sz w:val="32"/>
          <w:szCs w:val="32"/>
          <w:highlight w:val="none"/>
          <w:lang w:eastAsia="zh-CN"/>
        </w:rPr>
        <w:t>：</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u w:val="single"/>
          <w:lang w:val="en-US" w:eastAsia="zh-CN"/>
        </w:rPr>
        <w:t xml:space="preserve">        </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lang w:eastAsia="zh-CN"/>
        </w:rPr>
        <w:t xml:space="preserve">       </w:t>
      </w:r>
      <w:r>
        <w:rPr>
          <w:rFonts w:hint="eastAsia" w:ascii="Arial Unicode MS" w:eastAsia="Arial Unicode MS" w:cs="Arial Unicode MS"/>
          <w:color w:val="auto"/>
          <w:spacing w:val="2"/>
          <w:w w:val="99"/>
          <w:sz w:val="32"/>
          <w:szCs w:val="32"/>
          <w:highlight w:val="none"/>
          <w:lang w:val="en-US" w:eastAsia="zh-CN"/>
        </w:rPr>
        <w:t xml:space="preserve">          </w:t>
      </w:r>
      <w:r>
        <w:rPr>
          <w:rFonts w:hint="eastAsia" w:ascii="Arial Unicode MS" w:eastAsia="Arial Unicode MS" w:cs="Arial Unicode MS"/>
          <w:color w:val="auto"/>
          <w:spacing w:val="2"/>
          <w:w w:val="99"/>
          <w:sz w:val="32"/>
          <w:szCs w:val="32"/>
          <w:highlight w:val="none"/>
          <w:lang w:eastAsia="zh-CN"/>
        </w:rPr>
        <w:t xml:space="preserve">      </w:t>
      </w:r>
    </w:p>
    <w:p>
      <w:pPr>
        <w:autoSpaceDE w:val="0"/>
        <w:autoSpaceDN w:val="0"/>
        <w:spacing w:before="120" w:after="120" w:line="720" w:lineRule="auto"/>
        <w:ind w:right="-20"/>
        <w:rPr>
          <w:rFonts w:ascii="Arial Unicode MS" w:eastAsia="Arial Unicode MS" w:cs="Arial Unicode MS"/>
          <w:color w:val="auto"/>
          <w:spacing w:val="2"/>
          <w:w w:val="99"/>
          <w:sz w:val="32"/>
          <w:szCs w:val="32"/>
          <w:highlight w:val="none"/>
          <w:lang w:eastAsia="zh-CN"/>
        </w:rPr>
      </w:pPr>
      <w:r>
        <w:rPr>
          <w:rFonts w:hint="eastAsia" w:ascii="Arial Unicode MS" w:eastAsia="Arial Unicode MS" w:cs="Arial Unicode MS"/>
          <w:color w:val="auto"/>
          <w:spacing w:val="2"/>
          <w:w w:val="99"/>
          <w:sz w:val="32"/>
          <w:szCs w:val="32"/>
          <w:highlight w:val="none"/>
          <w:lang w:eastAsia="zh-CN"/>
        </w:rPr>
        <w:t xml:space="preserve">    </w:t>
      </w:r>
      <w:r>
        <w:rPr>
          <w:rFonts w:hint="eastAsia" w:ascii="Arial Unicode MS" w:eastAsia="Arial Unicode MS" w:cs="Arial Unicode MS"/>
          <w:color w:val="auto"/>
          <w:spacing w:val="2"/>
          <w:w w:val="99"/>
          <w:sz w:val="32"/>
          <w:szCs w:val="32"/>
          <w:highlight w:val="none"/>
          <w:lang w:val="en-US" w:eastAsia="zh-CN"/>
        </w:rPr>
        <w:t>作业部负责人</w:t>
      </w:r>
      <w:r>
        <w:rPr>
          <w:rFonts w:hint="eastAsia" w:ascii="Arial Unicode MS" w:eastAsia="Arial Unicode MS" w:cs="Arial Unicode MS"/>
          <w:color w:val="auto"/>
          <w:spacing w:val="2"/>
          <w:w w:val="99"/>
          <w:sz w:val="32"/>
          <w:szCs w:val="32"/>
          <w:highlight w:val="none"/>
          <w:lang w:eastAsia="zh-CN"/>
        </w:rPr>
        <w:t>：</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u w:val="single"/>
          <w:lang w:val="en-US" w:eastAsia="zh-CN"/>
        </w:rPr>
        <w:t xml:space="preserve">        </w:t>
      </w:r>
      <w:r>
        <w:rPr>
          <w:rFonts w:hint="eastAsia" w:ascii="Arial Unicode MS" w:eastAsia="Arial Unicode MS" w:cs="Arial Unicode MS"/>
          <w:color w:val="auto"/>
          <w:spacing w:val="2"/>
          <w:w w:val="99"/>
          <w:sz w:val="32"/>
          <w:szCs w:val="32"/>
          <w:highlight w:val="none"/>
          <w:u w:val="single"/>
          <w:lang w:eastAsia="zh-CN"/>
        </w:rPr>
        <w:t xml:space="preserve">  </w:t>
      </w:r>
    </w:p>
    <w:p>
      <w:pPr>
        <w:autoSpaceDE w:val="0"/>
        <w:autoSpaceDN w:val="0"/>
        <w:spacing w:before="120" w:after="120" w:line="720" w:lineRule="auto"/>
        <w:ind w:right="-20"/>
        <w:rPr>
          <w:rFonts w:ascii="Arial Unicode MS" w:eastAsia="Arial Unicode MS" w:cs="Arial Unicode MS"/>
          <w:color w:val="auto"/>
          <w:spacing w:val="2"/>
          <w:w w:val="99"/>
          <w:sz w:val="32"/>
          <w:szCs w:val="32"/>
          <w:highlight w:val="none"/>
          <w:lang w:eastAsia="zh-CN"/>
        </w:rPr>
      </w:pPr>
      <w:r>
        <w:rPr>
          <w:rFonts w:hint="eastAsia" w:ascii="Arial Unicode MS" w:eastAsia="Arial Unicode MS" w:cs="Arial Unicode MS"/>
          <w:color w:val="auto"/>
          <w:spacing w:val="2"/>
          <w:w w:val="99"/>
          <w:sz w:val="32"/>
          <w:szCs w:val="32"/>
          <w:highlight w:val="none"/>
          <w:lang w:eastAsia="zh-CN"/>
        </w:rPr>
        <w:t xml:space="preserve">    </w:t>
      </w:r>
      <w:r>
        <w:rPr>
          <w:rFonts w:hint="eastAsia" w:ascii="Arial Unicode MS" w:eastAsia="Arial Unicode MS" w:cs="Arial Unicode MS"/>
          <w:color w:val="auto"/>
          <w:spacing w:val="2"/>
          <w:w w:val="99"/>
          <w:sz w:val="32"/>
          <w:szCs w:val="32"/>
          <w:highlight w:val="none"/>
          <w:lang w:val="en-US" w:eastAsia="zh-CN"/>
        </w:rPr>
        <w:t>技术中心负责人</w:t>
      </w:r>
      <w:r>
        <w:rPr>
          <w:rFonts w:hint="eastAsia" w:ascii="Arial Unicode MS" w:eastAsia="Arial Unicode MS" w:cs="Arial Unicode MS"/>
          <w:color w:val="auto"/>
          <w:spacing w:val="2"/>
          <w:w w:val="99"/>
          <w:sz w:val="32"/>
          <w:szCs w:val="32"/>
          <w:highlight w:val="none"/>
          <w:lang w:eastAsia="zh-CN"/>
        </w:rPr>
        <w:t>：</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u w:val="single"/>
          <w:lang w:val="en-US" w:eastAsia="zh-CN"/>
        </w:rPr>
        <w:t xml:space="preserve">      </w:t>
      </w:r>
      <w:r>
        <w:rPr>
          <w:rFonts w:hint="eastAsia" w:ascii="Arial Unicode MS" w:eastAsia="Arial Unicode MS" w:cs="Arial Unicode MS"/>
          <w:color w:val="auto"/>
          <w:spacing w:val="2"/>
          <w:w w:val="99"/>
          <w:sz w:val="32"/>
          <w:szCs w:val="32"/>
          <w:highlight w:val="none"/>
          <w:u w:val="single"/>
          <w:lang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120" w:after="120" w:line="15" w:lineRule="auto"/>
        <w:ind w:right="-23" w:firstLine="640" w:firstLineChars="200"/>
        <w:textAlignment w:val="auto"/>
        <w:rPr>
          <w:rFonts w:hint="eastAsia" w:ascii="Arial Unicode MS" w:eastAsia="Arial Unicode MS" w:cs="Arial Unicode MS"/>
          <w:color w:val="auto"/>
          <w:spacing w:val="2"/>
          <w:w w:val="99"/>
          <w:sz w:val="36"/>
          <w:szCs w:val="36"/>
          <w:highlight w:val="none"/>
          <w:lang w:val="en-US" w:eastAsia="zh-CN"/>
        </w:rPr>
      </w:pPr>
      <w:r>
        <w:rPr>
          <w:rFonts w:hint="eastAsia" w:ascii="Arial Unicode MS" w:eastAsia="Arial Unicode MS" w:cs="Arial Unicode MS"/>
          <w:color w:val="auto"/>
          <w:spacing w:val="2"/>
          <w:w w:val="99"/>
          <w:sz w:val="32"/>
          <w:szCs w:val="32"/>
          <w:highlight w:val="none"/>
          <w:lang w:val="en-US" w:eastAsia="zh-CN"/>
        </w:rPr>
        <w:t>总工/技术主管领导：</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u w:val="single"/>
          <w:lang w:val="en-US" w:eastAsia="zh-CN"/>
        </w:rPr>
        <w:t xml:space="preserve">      </w:t>
      </w:r>
      <w:r>
        <w:rPr>
          <w:rFonts w:hint="eastAsia" w:ascii="Arial Unicode MS" w:eastAsia="Arial Unicode MS" w:cs="Arial Unicode MS"/>
          <w:color w:val="auto"/>
          <w:spacing w:val="2"/>
          <w:w w:val="99"/>
          <w:sz w:val="32"/>
          <w:szCs w:val="32"/>
          <w:highlight w:val="none"/>
          <w:u w:val="single"/>
          <w:lang w:eastAsia="zh-CN"/>
        </w:rPr>
        <w:t xml:space="preserve"> </w:t>
      </w:r>
      <w:r>
        <w:rPr>
          <w:rFonts w:hint="eastAsia" w:ascii="Arial Unicode MS" w:eastAsia="Arial Unicode MS" w:cs="Arial Unicode MS"/>
          <w:color w:val="auto"/>
          <w:spacing w:val="2"/>
          <w:w w:val="99"/>
          <w:sz w:val="32"/>
          <w:szCs w:val="32"/>
          <w:highlight w:val="none"/>
          <w:lang w:val="en-US" w:eastAsia="zh-CN"/>
        </w:rPr>
        <w:t xml:space="preserve">  </w:t>
      </w:r>
      <w:r>
        <w:rPr>
          <w:rFonts w:hint="eastAsia" w:ascii="Arial Unicode MS" w:eastAsia="Arial Unicode MS" w:cs="Arial Unicode MS"/>
          <w:color w:val="auto"/>
          <w:spacing w:val="2"/>
          <w:w w:val="99"/>
          <w:sz w:val="36"/>
          <w:szCs w:val="36"/>
          <w:highlight w:val="none"/>
          <w:lang w:val="en-US" w:eastAsia="zh-CN"/>
        </w:rPr>
        <w:t xml:space="preserve"> </w:t>
      </w:r>
    </w:p>
    <w:p>
      <w:pPr>
        <w:keepNext w:val="0"/>
        <w:keepLines w:val="0"/>
        <w:pageBreakBefore w:val="0"/>
        <w:widowControl w:val="0"/>
        <w:kinsoku/>
        <w:wordWrap/>
        <w:overflowPunct/>
        <w:topLinePunct w:val="0"/>
        <w:autoSpaceDE w:val="0"/>
        <w:autoSpaceDN w:val="0"/>
        <w:bidi w:val="0"/>
        <w:adjustRightInd/>
        <w:snapToGrid/>
        <w:spacing w:before="120" w:after="120" w:line="15" w:lineRule="auto"/>
        <w:ind w:right="-23" w:firstLine="562" w:firstLineChars="200"/>
        <w:textAlignment w:val="auto"/>
        <w:rPr>
          <w:rFonts w:hint="eastAsia" w:ascii="Arial Unicode MS" w:eastAsia="Arial Unicode MS" w:cs="Arial Unicode MS"/>
          <w:spacing w:val="2"/>
          <w:w w:val="99"/>
          <w:sz w:val="28"/>
          <w:szCs w:val="28"/>
          <w:lang w:val="en-US" w:eastAsia="zh-CN"/>
        </w:rPr>
      </w:pPr>
      <w:r>
        <w:rPr>
          <w:rFonts w:hint="eastAsia" w:ascii="Arial Unicode MS" w:eastAsia="Arial Unicode MS" w:cs="Arial Unicode MS"/>
          <w:spacing w:val="2"/>
          <w:w w:val="99"/>
          <w:sz w:val="28"/>
          <w:szCs w:val="28"/>
          <w:lang w:val="en-US" w:eastAsia="zh-CN"/>
        </w:rPr>
        <w:t>（协议/预算100万元以上单项次）</w:t>
      </w:r>
    </w:p>
    <w:p>
      <w:pPr>
        <w:pStyle w:val="12"/>
        <w:rPr>
          <w:rFonts w:hint="eastAsia"/>
          <w:lang w:val="en-US" w:eastAsia="zh-CN"/>
        </w:rPr>
      </w:pPr>
    </w:p>
    <w:p>
      <w:pPr>
        <w:pStyle w:val="22"/>
        <w:numPr>
          <w:ilvl w:val="0"/>
          <w:numId w:val="1"/>
        </w:numPr>
        <w:spacing w:before="120" w:after="120"/>
        <w:ind w:left="425" w:leftChars="0" w:hanging="425" w:firstLineChars="0"/>
        <w:outlineLvl w:val="0"/>
        <w:rPr>
          <w:rFonts w:ascii="微软雅黑" w:hAnsi="微软雅黑" w:eastAsia="微软雅黑" w:cs="Times New Roman"/>
          <w:b/>
          <w:bCs w:val="0"/>
          <w:color w:val="auto"/>
          <w:sz w:val="32"/>
          <w:szCs w:val="32"/>
          <w:highlight w:val="none"/>
        </w:rPr>
      </w:pPr>
      <w:bookmarkStart w:id="0" w:name="_Toc13248927"/>
      <w:bookmarkStart w:id="1" w:name="_Toc13249324"/>
      <w:r>
        <w:rPr>
          <w:rFonts w:hint="eastAsia" w:ascii="微软雅黑" w:hAnsi="微软雅黑" w:eastAsia="微软雅黑" w:cs="Times New Roman"/>
          <w:b/>
          <w:bCs w:val="0"/>
          <w:color w:val="auto"/>
          <w:sz w:val="28"/>
          <w:szCs w:val="28"/>
          <w:highlight w:val="none"/>
          <w:lang w:val="en-US" w:eastAsia="zh-CN"/>
        </w:rPr>
        <w:t>需求</w:t>
      </w:r>
      <w:r>
        <w:rPr>
          <w:rFonts w:ascii="微软雅黑" w:hAnsi="微软雅黑" w:eastAsia="微软雅黑" w:cs="Times New Roman"/>
          <w:b/>
          <w:bCs w:val="0"/>
          <w:color w:val="auto"/>
          <w:sz w:val="28"/>
          <w:szCs w:val="28"/>
          <w:highlight w:val="none"/>
        </w:rPr>
        <w:t>概况</w:t>
      </w:r>
      <w:bookmarkEnd w:id="0"/>
      <w:bookmarkEnd w:id="1"/>
    </w:p>
    <w:p>
      <w:pPr>
        <w:spacing w:before="2" w:line="100" w:lineRule="exact"/>
        <w:rPr>
          <w:rFonts w:ascii="微软雅黑" w:hAnsi="微软雅黑" w:eastAsia="微软雅黑"/>
          <w:color w:val="auto"/>
          <w:sz w:val="10"/>
          <w:szCs w:val="10"/>
          <w:highlight w:val="none"/>
          <w:lang w:eastAsia="zh-CN"/>
        </w:rPr>
      </w:pPr>
    </w:p>
    <w:p>
      <w:pPr>
        <w:pStyle w:val="6"/>
        <w:spacing w:line="360" w:lineRule="auto"/>
        <w:ind w:left="220" w:right="122" w:firstLine="42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蓬莱19-3油田CEPB平台原油流程降压项目施工总包服务项目，新增探头未配备相应的标定装置及测试工具，无法完成探头的调试工作，现需要采购标定装置及测试工具等完成相应的调试工作。</w:t>
      </w:r>
    </w:p>
    <w:p>
      <w:pPr>
        <w:spacing w:line="360" w:lineRule="auto"/>
        <w:ind w:left="220" w:leftChars="100" w:firstLine="440" w:firstLineChars="200"/>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val="en-US" w:eastAsia="zh-CN" w:bidi="ar-SA"/>
        </w:rPr>
        <w:t>标准应用情况概述：探头标定装置等设备应用CGBZ151-2022采购标准（无补充应用）。</w:t>
      </w:r>
    </w:p>
    <w:p>
      <w:pPr>
        <w:pStyle w:val="22"/>
        <w:numPr>
          <w:ilvl w:val="0"/>
          <w:numId w:val="1"/>
        </w:numPr>
        <w:spacing w:before="120" w:after="120" w:line="240" w:lineRule="auto"/>
        <w:ind w:left="425" w:leftChars="0" w:hanging="425" w:firstLineChars="0"/>
        <w:outlineLvl w:val="0"/>
        <w:rPr>
          <w:rFonts w:ascii="微软雅黑" w:hAnsi="微软雅黑" w:eastAsia="微软雅黑" w:cs="Times New Roman"/>
          <w:b/>
          <w:bCs w:val="0"/>
          <w:color w:val="auto"/>
          <w:sz w:val="28"/>
          <w:szCs w:val="28"/>
          <w:highlight w:val="none"/>
        </w:rPr>
      </w:pPr>
      <w:bookmarkStart w:id="2" w:name="_Toc13248928"/>
      <w:bookmarkStart w:id="3" w:name="_Toc13249325"/>
      <w:r>
        <w:rPr>
          <w:rFonts w:ascii="微软雅黑" w:hAnsi="微软雅黑" w:eastAsia="微软雅黑" w:cs="Times New Roman"/>
          <w:b/>
          <w:bCs w:val="0"/>
          <w:color w:val="auto"/>
          <w:sz w:val="28"/>
          <w:szCs w:val="28"/>
          <w:highlight w:val="none"/>
        </w:rPr>
        <w:t>需求一览表</w:t>
      </w:r>
      <w:bookmarkEnd w:id="2"/>
      <w:bookmarkEnd w:id="3"/>
    </w:p>
    <w:tbl>
      <w:tblPr>
        <w:tblStyle w:val="1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6"/>
        <w:gridCol w:w="1128"/>
        <w:gridCol w:w="2810"/>
        <w:gridCol w:w="908"/>
        <w:gridCol w:w="1096"/>
        <w:gridCol w:w="820"/>
        <w:gridCol w:w="1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32" w:type="pct"/>
            <w:vAlign w:val="center"/>
          </w:tcPr>
          <w:p>
            <w:pPr>
              <w:widowControl/>
              <w:jc w:val="center"/>
              <w:textAlignment w:val="center"/>
              <w:rPr>
                <w:rFonts w:hint="eastAsia" w:ascii="宋体" w:hAnsi="宋体" w:eastAsia="宋体" w:cs="宋体"/>
                <w:b w:val="0"/>
                <w:bCs w:val="0"/>
                <w:color w:val="auto"/>
                <w:sz w:val="21"/>
                <w:szCs w:val="21"/>
                <w:highlight w:val="none"/>
                <w:lang w:val="en-US" w:eastAsia="en-US" w:bidi="ar-SA"/>
              </w:rPr>
            </w:pPr>
            <w:r>
              <w:rPr>
                <w:rFonts w:hint="eastAsia" w:ascii="宋体" w:hAnsi="宋体" w:eastAsia="宋体" w:cs="宋体"/>
                <w:b w:val="0"/>
                <w:bCs w:val="0"/>
                <w:color w:val="auto"/>
                <w:sz w:val="21"/>
                <w:szCs w:val="21"/>
                <w:highlight w:val="none"/>
                <w:lang w:eastAsia="zh-CN" w:bidi="ar"/>
              </w:rPr>
              <w:t>序号</w:t>
            </w:r>
          </w:p>
        </w:tc>
        <w:tc>
          <w:tcPr>
            <w:tcW w:w="662" w:type="pct"/>
            <w:vAlign w:val="center"/>
          </w:tcPr>
          <w:p>
            <w:pPr>
              <w:widowControl/>
              <w:jc w:val="center"/>
              <w:textAlignment w:val="center"/>
              <w:rPr>
                <w:rFonts w:hint="eastAsia" w:ascii="宋体" w:hAnsi="宋体" w:eastAsia="宋体" w:cs="宋体"/>
                <w:b w:val="0"/>
                <w:bCs w:val="0"/>
                <w:color w:val="auto"/>
                <w:sz w:val="21"/>
                <w:szCs w:val="21"/>
                <w:highlight w:val="none"/>
                <w:lang w:val="en-US" w:eastAsia="zh-CN" w:bidi="ar-SA"/>
              </w:rPr>
            </w:pPr>
            <w:r>
              <w:rPr>
                <w:rFonts w:hint="eastAsia" w:ascii="宋体" w:hAnsi="宋体" w:eastAsia="宋体" w:cs="宋体"/>
                <w:b w:val="0"/>
                <w:bCs w:val="0"/>
                <w:color w:val="auto"/>
                <w:sz w:val="21"/>
                <w:szCs w:val="21"/>
                <w:highlight w:val="none"/>
                <w:lang w:eastAsia="zh-CN"/>
              </w:rPr>
              <w:t>物资名称</w:t>
            </w:r>
          </w:p>
        </w:tc>
        <w:tc>
          <w:tcPr>
            <w:tcW w:w="1649" w:type="pct"/>
            <w:vAlign w:val="center"/>
          </w:tcPr>
          <w:p>
            <w:pPr>
              <w:widowControl/>
              <w:jc w:val="center"/>
              <w:textAlignment w:val="center"/>
              <w:rPr>
                <w:rFonts w:hint="default" w:ascii="宋体" w:hAnsi="宋体" w:eastAsia="宋体" w:cs="宋体"/>
                <w:b w:val="0"/>
                <w:bCs w:val="0"/>
                <w:color w:val="auto"/>
                <w:sz w:val="21"/>
                <w:szCs w:val="21"/>
                <w:highlight w:val="none"/>
                <w:lang w:val="en-US" w:eastAsia="zh-CN" w:bidi="ar"/>
              </w:rPr>
            </w:pPr>
            <w:r>
              <w:rPr>
                <w:rFonts w:hint="eastAsia" w:ascii="宋体" w:hAnsi="宋体" w:eastAsia="宋体" w:cs="宋体"/>
                <w:b w:val="0"/>
                <w:bCs w:val="0"/>
                <w:color w:val="auto"/>
                <w:sz w:val="21"/>
                <w:szCs w:val="21"/>
                <w:highlight w:val="none"/>
                <w:lang w:val="en-US" w:eastAsia="zh-CN" w:bidi="ar"/>
              </w:rPr>
              <w:t>规格型号</w:t>
            </w:r>
          </w:p>
        </w:tc>
        <w:tc>
          <w:tcPr>
            <w:tcW w:w="533" w:type="pct"/>
            <w:vAlign w:val="center"/>
          </w:tcPr>
          <w:p>
            <w:pPr>
              <w:widowControl/>
              <w:jc w:val="center"/>
              <w:textAlignment w:val="center"/>
              <w:rPr>
                <w:rFonts w:hint="eastAsia" w:ascii="宋体" w:hAnsi="宋体" w:eastAsia="宋体" w:cs="宋体"/>
                <w:b w:val="0"/>
                <w:bCs w:val="0"/>
                <w:color w:val="auto"/>
                <w:sz w:val="21"/>
                <w:szCs w:val="21"/>
                <w:highlight w:val="none"/>
                <w:lang w:val="en-US" w:eastAsia="en-US" w:bidi="ar-SA"/>
              </w:rPr>
            </w:pPr>
            <w:r>
              <w:rPr>
                <w:rFonts w:hint="eastAsia" w:ascii="宋体" w:hAnsi="宋体" w:eastAsia="宋体" w:cs="宋体"/>
                <w:b w:val="0"/>
                <w:bCs w:val="0"/>
                <w:color w:val="auto"/>
                <w:sz w:val="21"/>
                <w:szCs w:val="21"/>
                <w:highlight w:val="none"/>
                <w:lang w:val="en-US" w:eastAsia="zh-CN" w:bidi="ar"/>
              </w:rPr>
              <w:t>数量及</w:t>
            </w:r>
            <w:r>
              <w:rPr>
                <w:rFonts w:hint="eastAsia" w:ascii="宋体" w:hAnsi="宋体" w:eastAsia="宋体" w:cs="宋体"/>
                <w:b w:val="0"/>
                <w:bCs w:val="0"/>
                <w:color w:val="auto"/>
                <w:sz w:val="21"/>
                <w:szCs w:val="21"/>
                <w:highlight w:val="none"/>
                <w:lang w:eastAsia="zh-CN" w:bidi="ar"/>
              </w:rPr>
              <w:t>单位</w:t>
            </w:r>
          </w:p>
        </w:tc>
        <w:tc>
          <w:tcPr>
            <w:tcW w:w="643" w:type="pct"/>
            <w:vAlign w:val="center"/>
          </w:tcPr>
          <w:p>
            <w:pPr>
              <w:widowControl/>
              <w:jc w:val="center"/>
              <w:textAlignment w:val="center"/>
              <w:rPr>
                <w:rFonts w:hint="eastAsia" w:ascii="宋体" w:hAnsi="宋体" w:eastAsia="宋体" w:cs="宋体"/>
                <w:b w:val="0"/>
                <w:bCs w:val="0"/>
                <w:color w:val="auto"/>
                <w:sz w:val="21"/>
                <w:szCs w:val="21"/>
                <w:highlight w:val="none"/>
                <w:lang w:val="en-US" w:eastAsia="en-US" w:bidi="ar-SA"/>
              </w:rPr>
            </w:pPr>
            <w:r>
              <w:rPr>
                <w:rFonts w:hint="eastAsia" w:ascii="宋体" w:hAnsi="宋体" w:eastAsia="宋体" w:cs="宋体"/>
                <w:b w:val="0"/>
                <w:bCs w:val="0"/>
                <w:color w:val="auto"/>
                <w:sz w:val="21"/>
                <w:szCs w:val="21"/>
                <w:highlight w:val="none"/>
                <w:lang w:eastAsia="zh-CN" w:bidi="ar"/>
              </w:rPr>
              <w:t>交货期</w:t>
            </w:r>
          </w:p>
        </w:tc>
        <w:tc>
          <w:tcPr>
            <w:tcW w:w="481" w:type="pct"/>
            <w:vAlign w:val="center"/>
          </w:tcPr>
          <w:p>
            <w:pPr>
              <w:widowControl/>
              <w:jc w:val="center"/>
              <w:textAlignment w:val="center"/>
              <w:rPr>
                <w:rFonts w:hint="eastAsia" w:ascii="宋体" w:hAnsi="宋体" w:eastAsia="宋体" w:cs="宋体"/>
                <w:b w:val="0"/>
                <w:bCs w:val="0"/>
                <w:color w:val="auto"/>
                <w:sz w:val="21"/>
                <w:szCs w:val="21"/>
                <w:highlight w:val="none"/>
                <w:vertAlign w:val="baseline"/>
              </w:rPr>
            </w:pPr>
            <w:r>
              <w:rPr>
                <w:rFonts w:hint="eastAsia" w:ascii="宋体" w:hAnsi="宋体" w:eastAsia="宋体" w:cs="宋体"/>
                <w:b w:val="0"/>
                <w:bCs w:val="0"/>
                <w:color w:val="auto"/>
                <w:sz w:val="21"/>
                <w:szCs w:val="21"/>
                <w:highlight w:val="none"/>
                <w:lang w:val="en-US" w:eastAsia="zh-CN" w:bidi="ar"/>
              </w:rPr>
              <w:t>交货地点</w:t>
            </w:r>
          </w:p>
        </w:tc>
        <w:tc>
          <w:tcPr>
            <w:tcW w:w="598" w:type="pct"/>
            <w:vAlign w:val="center"/>
          </w:tcPr>
          <w:p>
            <w:pPr>
              <w:widowControl/>
              <w:jc w:val="center"/>
              <w:textAlignment w:val="center"/>
              <w:rPr>
                <w:rFonts w:hint="default" w:ascii="宋体" w:hAnsi="宋体" w:eastAsia="宋体" w:cs="宋体"/>
                <w:b w:val="0"/>
                <w:bCs w:val="0"/>
                <w:color w:val="auto"/>
                <w:sz w:val="21"/>
                <w:szCs w:val="21"/>
                <w:highlight w:val="none"/>
                <w:lang w:val="en-US" w:eastAsia="zh-CN" w:bidi="ar"/>
              </w:rPr>
            </w:pPr>
            <w:r>
              <w:rPr>
                <w:rFonts w:hint="eastAsia" w:ascii="宋体" w:hAnsi="宋体" w:eastAsia="宋体" w:cs="宋体"/>
                <w:b w:val="0"/>
                <w:bCs w:val="0"/>
                <w:color w:val="auto"/>
                <w:sz w:val="21"/>
                <w:szCs w:val="21"/>
                <w:highlight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432"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p>
        </w:tc>
        <w:tc>
          <w:tcPr>
            <w:tcW w:w="662"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rPr>
            </w:pPr>
            <w:r>
              <w:rPr>
                <w:rFonts w:hint="eastAsia" w:ascii="宋体" w:hAnsi="宋体" w:eastAsia="宋体" w:cs="宋体"/>
                <w:sz w:val="21"/>
                <w:szCs w:val="21"/>
              </w:rPr>
              <w:t>探头标定装置</w:t>
            </w:r>
          </w:p>
        </w:tc>
        <w:tc>
          <w:tcPr>
            <w:tcW w:w="1649"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探头标定装置\用于primaX IR Pro点型红外可燃气探测器及DF8500硫化氢气体探测器标定</w:t>
            </w:r>
          </w:p>
        </w:tc>
        <w:tc>
          <w:tcPr>
            <w:tcW w:w="533" w:type="pct"/>
            <w:vAlign w:val="center"/>
          </w:tcPr>
          <w:p>
            <w:pPr>
              <w:pStyle w:val="22"/>
              <w:numPr>
                <w:ilvl w:val="0"/>
                <w:numId w:val="0"/>
              </w:numPr>
              <w:spacing w:before="120" w:after="120" w:line="240" w:lineRule="auto"/>
              <w:jc w:val="center"/>
              <w:outlineLvl w:val="0"/>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r>
              <w:rPr>
                <w:rFonts w:hint="eastAsia" w:hAnsi="宋体" w:cs="宋体"/>
                <w:b w:val="0"/>
                <w:bCs w:val="0"/>
                <w:color w:val="auto"/>
                <w:sz w:val="21"/>
                <w:szCs w:val="21"/>
                <w:highlight w:val="none"/>
                <w:vertAlign w:val="baseline"/>
                <w:lang w:val="en-US" w:eastAsia="zh-CN"/>
              </w:rPr>
              <w:t xml:space="preserve"> </w:t>
            </w:r>
            <w:r>
              <w:rPr>
                <w:rFonts w:hint="eastAsia" w:hAnsi="宋体" w:cs="宋体"/>
                <w:b w:val="0"/>
                <w:bCs w:val="0"/>
                <w:color w:val="auto"/>
                <w:sz w:val="21"/>
                <w:szCs w:val="21"/>
                <w:highlight w:val="yellow"/>
                <w:vertAlign w:val="baseline"/>
                <w:lang w:val="en-US" w:eastAsia="zh-CN"/>
              </w:rPr>
              <w:t>EA</w:t>
            </w:r>
          </w:p>
        </w:tc>
        <w:tc>
          <w:tcPr>
            <w:tcW w:w="643"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合同签订后45天</w:t>
            </w:r>
          </w:p>
        </w:tc>
        <w:tc>
          <w:tcPr>
            <w:tcW w:w="481"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3号码头</w:t>
            </w:r>
          </w:p>
        </w:tc>
        <w:tc>
          <w:tcPr>
            <w:tcW w:w="598"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432"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2</w:t>
            </w:r>
          </w:p>
        </w:tc>
        <w:tc>
          <w:tcPr>
            <w:tcW w:w="662"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rPr>
            </w:pPr>
            <w:r>
              <w:rPr>
                <w:rFonts w:hint="eastAsia" w:ascii="宋体" w:hAnsi="宋体" w:eastAsia="宋体" w:cs="宋体"/>
                <w:sz w:val="21"/>
                <w:szCs w:val="21"/>
              </w:rPr>
              <w:t>火焰模拟测试工具</w:t>
            </w:r>
          </w:p>
        </w:tc>
        <w:tc>
          <w:tcPr>
            <w:tcW w:w="1649"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火焰模拟测试工具\用于FlameGard 5 MSIR火焰探测器模拟测试</w:t>
            </w:r>
          </w:p>
        </w:tc>
        <w:tc>
          <w:tcPr>
            <w:tcW w:w="533" w:type="pct"/>
            <w:vAlign w:val="center"/>
          </w:tcPr>
          <w:p>
            <w:pPr>
              <w:pStyle w:val="22"/>
              <w:numPr>
                <w:ilvl w:val="0"/>
                <w:numId w:val="0"/>
              </w:numPr>
              <w:spacing w:before="120" w:after="120" w:line="240" w:lineRule="auto"/>
              <w:jc w:val="center"/>
              <w:outlineLvl w:val="0"/>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1</w:t>
            </w:r>
            <w:r>
              <w:rPr>
                <w:rFonts w:hint="eastAsia" w:hAnsi="宋体" w:cs="宋体"/>
                <w:b w:val="0"/>
                <w:bCs w:val="0"/>
                <w:color w:val="auto"/>
                <w:sz w:val="21"/>
                <w:szCs w:val="21"/>
                <w:highlight w:val="none"/>
                <w:vertAlign w:val="baseline"/>
                <w:lang w:val="en-US" w:eastAsia="zh-CN"/>
              </w:rPr>
              <w:t xml:space="preserve"> </w:t>
            </w:r>
            <w:r>
              <w:rPr>
                <w:rFonts w:hint="eastAsia" w:hAnsi="宋体" w:cs="宋体"/>
                <w:b w:val="0"/>
                <w:bCs w:val="0"/>
                <w:color w:val="auto"/>
                <w:sz w:val="21"/>
                <w:szCs w:val="21"/>
                <w:highlight w:val="yellow"/>
                <w:vertAlign w:val="baseline"/>
                <w:lang w:val="en-US" w:eastAsia="zh-CN"/>
              </w:rPr>
              <w:t>EA</w:t>
            </w:r>
          </w:p>
        </w:tc>
        <w:tc>
          <w:tcPr>
            <w:tcW w:w="643"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rPr>
            </w:pPr>
            <w:r>
              <w:rPr>
                <w:rFonts w:hint="eastAsia" w:ascii="宋体" w:hAnsi="宋体" w:eastAsia="宋体" w:cs="宋体"/>
                <w:b w:val="0"/>
                <w:bCs w:val="0"/>
                <w:color w:val="auto"/>
                <w:sz w:val="21"/>
                <w:szCs w:val="21"/>
                <w:highlight w:val="none"/>
                <w:vertAlign w:val="baseline"/>
                <w:lang w:val="en-US" w:eastAsia="zh-CN"/>
              </w:rPr>
              <w:t>合同签订后45天</w:t>
            </w:r>
          </w:p>
        </w:tc>
        <w:tc>
          <w:tcPr>
            <w:tcW w:w="481"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rPr>
            </w:pPr>
            <w:r>
              <w:rPr>
                <w:rFonts w:hint="eastAsia" w:ascii="宋体" w:hAnsi="宋体" w:eastAsia="宋体" w:cs="宋体"/>
                <w:b w:val="0"/>
                <w:bCs w:val="0"/>
                <w:color w:val="auto"/>
                <w:sz w:val="21"/>
                <w:szCs w:val="21"/>
                <w:highlight w:val="none"/>
                <w:vertAlign w:val="baseline"/>
                <w:lang w:val="en-US" w:eastAsia="zh-CN"/>
              </w:rPr>
              <w:t>3号码头</w:t>
            </w:r>
          </w:p>
        </w:tc>
        <w:tc>
          <w:tcPr>
            <w:tcW w:w="598"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2"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3</w:t>
            </w:r>
          </w:p>
        </w:tc>
        <w:tc>
          <w:tcPr>
            <w:tcW w:w="662"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rPr>
            </w:pPr>
            <w:r>
              <w:rPr>
                <w:rFonts w:hint="eastAsia" w:ascii="宋体" w:hAnsi="宋体" w:eastAsia="宋体" w:cs="宋体"/>
                <w:sz w:val="21"/>
                <w:szCs w:val="21"/>
              </w:rPr>
              <w:t>硫化氢气体探测器传感器</w:t>
            </w:r>
          </w:p>
        </w:tc>
        <w:tc>
          <w:tcPr>
            <w:tcW w:w="1649"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硫化氢气体探测器传感器\与DF8500探测器变送器相匹配</w:t>
            </w:r>
          </w:p>
        </w:tc>
        <w:tc>
          <w:tcPr>
            <w:tcW w:w="533" w:type="pct"/>
            <w:vAlign w:val="center"/>
          </w:tcPr>
          <w:p>
            <w:pPr>
              <w:pStyle w:val="22"/>
              <w:numPr>
                <w:ilvl w:val="0"/>
                <w:numId w:val="0"/>
              </w:numPr>
              <w:spacing w:before="120" w:after="120" w:line="240" w:lineRule="auto"/>
              <w:jc w:val="center"/>
              <w:outlineLvl w:val="0"/>
              <w:rPr>
                <w:rFonts w:hint="default" w:ascii="宋体" w:hAnsi="宋体" w:eastAsia="宋体" w:cs="宋体"/>
                <w:b w:val="0"/>
                <w:bCs w:val="0"/>
                <w:color w:val="auto"/>
                <w:sz w:val="21"/>
                <w:szCs w:val="21"/>
                <w:highlight w:val="none"/>
                <w:vertAlign w:val="baseline"/>
                <w:lang w:val="en-US" w:eastAsia="zh-CN"/>
              </w:rPr>
            </w:pPr>
            <w:r>
              <w:rPr>
                <w:rFonts w:hint="eastAsia" w:ascii="宋体" w:hAnsi="宋体" w:eastAsia="宋体" w:cs="宋体"/>
                <w:b w:val="0"/>
                <w:bCs w:val="0"/>
                <w:color w:val="auto"/>
                <w:sz w:val="21"/>
                <w:szCs w:val="21"/>
                <w:highlight w:val="none"/>
                <w:vertAlign w:val="baseline"/>
                <w:lang w:val="en-US" w:eastAsia="zh-CN"/>
              </w:rPr>
              <w:t>4</w:t>
            </w:r>
            <w:r>
              <w:rPr>
                <w:rFonts w:hint="eastAsia" w:hAnsi="宋体" w:cs="宋体"/>
                <w:b w:val="0"/>
                <w:bCs w:val="0"/>
                <w:color w:val="auto"/>
                <w:sz w:val="21"/>
                <w:szCs w:val="21"/>
                <w:highlight w:val="none"/>
                <w:vertAlign w:val="baseline"/>
                <w:lang w:val="en-US" w:eastAsia="zh-CN"/>
              </w:rPr>
              <w:t xml:space="preserve"> </w:t>
            </w:r>
            <w:r>
              <w:rPr>
                <w:rFonts w:hint="eastAsia" w:hAnsi="宋体" w:cs="宋体"/>
                <w:b w:val="0"/>
                <w:bCs w:val="0"/>
                <w:color w:val="auto"/>
                <w:sz w:val="21"/>
                <w:szCs w:val="21"/>
                <w:highlight w:val="yellow"/>
                <w:vertAlign w:val="baseline"/>
                <w:lang w:val="en-US" w:eastAsia="zh-CN"/>
              </w:rPr>
              <w:t>EA</w:t>
            </w:r>
          </w:p>
        </w:tc>
        <w:tc>
          <w:tcPr>
            <w:tcW w:w="643"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rPr>
            </w:pPr>
            <w:r>
              <w:rPr>
                <w:rFonts w:hint="eastAsia" w:ascii="宋体" w:hAnsi="宋体" w:eastAsia="宋体" w:cs="宋体"/>
                <w:b w:val="0"/>
                <w:bCs w:val="0"/>
                <w:color w:val="auto"/>
                <w:sz w:val="21"/>
                <w:szCs w:val="21"/>
                <w:highlight w:val="none"/>
                <w:vertAlign w:val="baseline"/>
                <w:lang w:val="en-US" w:eastAsia="zh-CN"/>
              </w:rPr>
              <w:t>合同签订后45天</w:t>
            </w:r>
          </w:p>
        </w:tc>
        <w:tc>
          <w:tcPr>
            <w:tcW w:w="481"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rPr>
            </w:pPr>
            <w:r>
              <w:rPr>
                <w:rFonts w:hint="eastAsia" w:ascii="宋体" w:hAnsi="宋体" w:eastAsia="宋体" w:cs="宋体"/>
                <w:b w:val="0"/>
                <w:bCs w:val="0"/>
                <w:color w:val="auto"/>
                <w:sz w:val="21"/>
                <w:szCs w:val="21"/>
                <w:highlight w:val="none"/>
                <w:vertAlign w:val="baseline"/>
                <w:lang w:val="en-US" w:eastAsia="zh-CN"/>
              </w:rPr>
              <w:t>3号码头</w:t>
            </w:r>
          </w:p>
        </w:tc>
        <w:tc>
          <w:tcPr>
            <w:tcW w:w="598" w:type="pct"/>
            <w:vAlign w:val="center"/>
          </w:tcPr>
          <w:p>
            <w:pPr>
              <w:pStyle w:val="22"/>
              <w:numPr>
                <w:ilvl w:val="0"/>
                <w:numId w:val="0"/>
              </w:numPr>
              <w:spacing w:before="120" w:after="120" w:line="240" w:lineRule="auto"/>
              <w:jc w:val="center"/>
              <w:outlineLvl w:val="0"/>
              <w:rPr>
                <w:rFonts w:hint="eastAsia" w:ascii="宋体" w:hAnsi="宋体" w:eastAsia="宋体" w:cs="宋体"/>
                <w:b w:val="0"/>
                <w:bCs w:val="0"/>
                <w:color w:val="auto"/>
                <w:sz w:val="21"/>
                <w:szCs w:val="21"/>
                <w:highlight w:val="none"/>
                <w:vertAlign w:val="baseline"/>
                <w:lang w:val="en-US" w:eastAsia="zh-CN"/>
              </w:rPr>
            </w:pPr>
          </w:p>
        </w:tc>
      </w:tr>
    </w:tbl>
    <w:p>
      <w:pPr>
        <w:pStyle w:val="22"/>
        <w:numPr>
          <w:ilvl w:val="0"/>
          <w:numId w:val="0"/>
        </w:numPr>
        <w:spacing w:before="120" w:after="120"/>
        <w:ind w:leftChars="0"/>
        <w:outlineLvl w:val="0"/>
        <w:rPr>
          <w:rFonts w:hint="default" w:asciiTheme="minorEastAsia" w:hAnsiTheme="minorEastAsia" w:eastAsiaTheme="minorEastAsia" w:cstheme="minorEastAsia"/>
          <w:b w:val="0"/>
          <w:bCs/>
          <w:color w:val="auto"/>
          <w:sz w:val="24"/>
          <w:szCs w:val="24"/>
          <w:highlight w:val="none"/>
          <w:lang w:val="en-US" w:eastAsia="zh-CN"/>
        </w:rPr>
      </w:pPr>
    </w:p>
    <w:p>
      <w:pPr>
        <w:pStyle w:val="22"/>
        <w:numPr>
          <w:ilvl w:val="0"/>
          <w:numId w:val="1"/>
        </w:numPr>
        <w:spacing w:before="120" w:after="120"/>
        <w:ind w:left="425" w:leftChars="0" w:hanging="425" w:firstLineChars="0"/>
        <w:outlineLvl w:val="0"/>
        <w:rPr>
          <w:rFonts w:hint="eastAsia" w:ascii="微软雅黑" w:hAnsi="微软雅黑" w:eastAsia="微软雅黑" w:cs="Times New Roman"/>
          <w:b/>
          <w:bCs w:val="0"/>
          <w:color w:val="auto"/>
          <w:sz w:val="28"/>
          <w:szCs w:val="28"/>
          <w:highlight w:val="none"/>
          <w:lang w:val="en-US" w:eastAsia="zh-CN"/>
        </w:rPr>
      </w:pPr>
      <w:r>
        <w:rPr>
          <w:rFonts w:hint="eastAsia" w:ascii="微软雅黑" w:hAnsi="微软雅黑" w:eastAsia="微软雅黑" w:cs="Times New Roman"/>
          <w:b/>
          <w:bCs w:val="0"/>
          <w:color w:val="auto"/>
          <w:sz w:val="28"/>
          <w:szCs w:val="28"/>
          <w:highlight w:val="none"/>
        </w:rPr>
        <w:t>设计/使用条件</w:t>
      </w:r>
    </w:p>
    <w:p>
      <w:pPr>
        <w:pStyle w:val="22"/>
        <w:numPr>
          <w:ilvl w:val="0"/>
          <w:numId w:val="2"/>
        </w:numPr>
        <w:spacing w:before="120" w:after="120" w:line="120" w:lineRule="atLeast"/>
        <w:ind w:left="425" w:leftChars="0" w:hanging="425" w:firstLineChars="0"/>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val="en-US" w:eastAsia="zh-CN" w:bidi="ar-SA"/>
        </w:rPr>
        <w:t>安装地点：蓬莱19-3油田CEPB平台；</w:t>
      </w:r>
    </w:p>
    <w:p>
      <w:pPr>
        <w:pStyle w:val="22"/>
        <w:numPr>
          <w:ilvl w:val="0"/>
          <w:numId w:val="2"/>
        </w:numPr>
        <w:spacing w:before="120" w:after="120" w:line="120" w:lineRule="atLeast"/>
        <w:ind w:left="425" w:leftChars="0" w:hanging="425" w:firstLine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bidi="ar-SA"/>
        </w:rPr>
        <w:t>作业环境要求：潮湿、含盐的腐蚀性环境；有凝露、油雾、盐雾和霉菌的影响；有平台作业时所产生的振动和晃动。</w:t>
      </w:r>
    </w:p>
    <w:p>
      <w:pPr>
        <w:pStyle w:val="22"/>
        <w:numPr>
          <w:ilvl w:val="0"/>
          <w:numId w:val="1"/>
        </w:numPr>
        <w:spacing w:before="120" w:after="120"/>
        <w:ind w:left="425" w:leftChars="0" w:hanging="425" w:firstLineChars="0"/>
        <w:outlineLvl w:val="0"/>
        <w:rPr>
          <w:rFonts w:ascii="微软雅黑" w:hAnsi="微软雅黑" w:eastAsia="微软雅黑" w:cs="Times New Roman"/>
          <w:b/>
          <w:bCs w:val="0"/>
          <w:color w:val="auto"/>
          <w:sz w:val="28"/>
          <w:szCs w:val="28"/>
          <w:highlight w:val="none"/>
        </w:rPr>
      </w:pPr>
      <w:r>
        <w:rPr>
          <w:rFonts w:hint="eastAsia" w:ascii="微软雅黑" w:hAnsi="微软雅黑" w:eastAsia="微软雅黑" w:cs="Times New Roman"/>
          <w:b/>
          <w:bCs w:val="0"/>
          <w:color w:val="auto"/>
          <w:sz w:val="28"/>
          <w:szCs w:val="28"/>
          <w:highlight w:val="none"/>
        </w:rPr>
        <w:t>技术要求</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1、</w:t>
      </w:r>
      <w:r>
        <w:rPr>
          <w:rFonts w:hint="eastAsia" w:ascii="宋体" w:hAnsi="宋体" w:eastAsia="宋体" w:cs="宋体"/>
          <w:sz w:val="22"/>
          <w:szCs w:val="22"/>
        </w:rPr>
        <w:t>探头标定装置</w:t>
      </w:r>
    </w:p>
    <w:p>
      <w:pPr>
        <w:keepNext w:val="0"/>
        <w:keepLines w:val="0"/>
        <w:pageBreakBefore w:val="0"/>
        <w:widowControl w:val="0"/>
        <w:kinsoku/>
        <w:wordWrap/>
        <w:overflowPunct/>
        <w:topLinePunct w:val="0"/>
        <w:autoSpaceDE/>
        <w:autoSpaceDN/>
        <w:bidi w:val="0"/>
        <w:adjustRightIn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内含标定软管、恒流阀、箱体，遥控器与标定气体配套使用，需能用于primaX IR Pro点型红外可燃气探测器及DF8500硫化氢气体探测器标定。遥控器能用于量程的调节</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2、</w:t>
      </w:r>
      <w:r>
        <w:rPr>
          <w:rFonts w:hint="eastAsia" w:ascii="宋体" w:hAnsi="宋体" w:eastAsia="宋体" w:cs="宋体"/>
          <w:sz w:val="22"/>
          <w:szCs w:val="22"/>
        </w:rPr>
        <w:t>火焰模拟测试工具</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输出频谱：紫外、可见光和红外光谱中的宽带发射</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充电时间：最多3.5小时，充满电后可连续工作至少45分钟，</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充电器输入：110-240伏交流电, 50/60 赫兹, 1.5安培</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充电器输出：24伏直流电， 2.1安培</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分类：I类，I区，T4(110°C) 隔爆型 llB+ H2 防爆等级</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工作温度范围：-15摄氏度至50摄氏度（5华氏度至122华氏度）</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认证：CSA、ATEX、IECEX、CE标志</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标准配置：包含电源适配器</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一体成型防爆铸铝外壳，可更换电池。通过旋转开关可选择多种闪烁测试图案，需能用于FlameGard 5 MSIR火焰探测器模拟测试。</w:t>
      </w:r>
    </w:p>
    <w:p>
      <w:pPr>
        <w:pStyle w:val="2"/>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color w:val="auto"/>
          <w:sz w:val="22"/>
          <w:szCs w:val="22"/>
          <w:highlight w:val="none"/>
          <w:lang w:val="en-US" w:eastAsia="zh-CN"/>
        </w:rPr>
      </w:pP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3、</w:t>
      </w:r>
      <w:r>
        <w:rPr>
          <w:rFonts w:hint="eastAsia" w:ascii="宋体" w:hAnsi="宋体" w:eastAsia="宋体" w:cs="宋体"/>
          <w:sz w:val="22"/>
          <w:szCs w:val="22"/>
        </w:rPr>
        <w:t>硫化氢气体探测器传感器</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检测气体：硫化氢</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相应时间：T90≤25S</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信号传输：4-20mA</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测量范围：0-50PPM</w:t>
      </w:r>
    </w:p>
    <w:p>
      <w:pPr>
        <w:keepNext w:val="0"/>
        <w:keepLines w:val="0"/>
        <w:pageBreakBefore w:val="0"/>
        <w:widowControl w:val="0"/>
        <w:kinsoku/>
        <w:wordWrap/>
        <w:overflowPunct/>
        <w:topLinePunct w:val="0"/>
        <w:autoSpaceDE/>
        <w:autoSpaceDN/>
        <w:bidi w:val="0"/>
        <w:adjustRightIn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不锈钢外壳用于与DF8500探测器变送器相匹配。</w:t>
      </w:r>
    </w:p>
    <w:p>
      <w:pPr>
        <w:pStyle w:val="2"/>
        <w:rPr>
          <w:rFonts w:hint="default"/>
          <w:color w:val="auto"/>
          <w:highlight w:val="none"/>
          <w:lang w:val="en-US" w:eastAsia="zh-CN"/>
        </w:rPr>
      </w:pPr>
    </w:p>
    <w:p>
      <w:pPr>
        <w:widowControl/>
        <w:numPr>
          <w:ilvl w:val="0"/>
          <w:numId w:val="0"/>
        </w:numPr>
        <w:autoSpaceDE w:val="0"/>
        <w:autoSpaceDN w:val="0"/>
        <w:adjustRightInd w:val="0"/>
        <w:spacing w:line="360" w:lineRule="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4、</w:t>
      </w:r>
      <w:r>
        <w:rPr>
          <w:rFonts w:hint="eastAsia" w:ascii="宋体" w:hAnsi="宋体" w:eastAsia="宋体" w:cs="宋体"/>
          <w:color w:val="auto"/>
          <w:sz w:val="22"/>
          <w:szCs w:val="22"/>
          <w:highlight w:val="none"/>
          <w:lang w:eastAsia="zh-CN"/>
        </w:rPr>
        <w:t>★ 证书要求：投标人需委托BV、DNV-GL、ABS、CCS任一船级社对所有批次交付的产品进行检验并获得海上固定平台安全规则19.3.3章节规定的B类设备取证（批次认证），所有费用包含在合同范围内；</w:t>
      </w:r>
    </w:p>
    <w:p>
      <w:pPr>
        <w:widowControl/>
        <w:numPr>
          <w:ilvl w:val="0"/>
          <w:numId w:val="0"/>
        </w:numPr>
        <w:autoSpaceDE w:val="0"/>
        <w:autoSpaceDN w:val="0"/>
        <w:adjustRightInd w:val="0"/>
        <w:spacing w:line="360" w:lineRule="auto"/>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5、</w:t>
      </w:r>
      <w:r>
        <w:rPr>
          <w:rFonts w:hint="eastAsia" w:ascii="宋体" w:hAnsi="宋体" w:eastAsia="宋体" w:cs="宋体"/>
          <w:color w:val="auto"/>
          <w:sz w:val="22"/>
          <w:szCs w:val="22"/>
          <w:highlight w:val="none"/>
          <w:lang w:eastAsia="zh-CN"/>
        </w:rPr>
        <w:t>★</w:t>
      </w:r>
      <w:r>
        <w:rPr>
          <w:rFonts w:hint="eastAsia" w:ascii="宋体" w:hAnsi="宋体" w:eastAsia="宋体" w:cs="宋体"/>
          <w:color w:val="auto"/>
          <w:sz w:val="22"/>
          <w:szCs w:val="22"/>
          <w:highlight w:val="none"/>
          <w:lang w:val="en-US" w:eastAsia="zh-CN"/>
        </w:rPr>
        <w:t>交货期：合同签订后45天内。</w:t>
      </w:r>
    </w:p>
    <w:p>
      <w:pPr>
        <w:widowControl/>
        <w:numPr>
          <w:ilvl w:val="0"/>
          <w:numId w:val="0"/>
        </w:numPr>
        <w:autoSpaceDE w:val="0"/>
        <w:autoSpaceDN w:val="0"/>
        <w:adjustRightInd w:val="0"/>
        <w:spacing w:line="360" w:lineRule="auto"/>
        <w:ind w:left="0" w:leftChars="0" w:firstLine="0" w:firstLineChars="0"/>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lang w:val="en-US" w:eastAsia="zh-CN"/>
        </w:rPr>
        <w:t>6、★贸易商投标时需提供所投产品生产厂家出具的有效可溯源的质量保证书或正品承诺书，如未提供则按照不合格废标处理。（提供证明文件中需有出具厂家联系人电话，可现场核实）</w:t>
      </w:r>
    </w:p>
    <w:p>
      <w:pPr>
        <w:pStyle w:val="2"/>
        <w:rPr>
          <w:rFonts w:hint="default"/>
          <w:lang w:val="en-US" w:eastAsia="zh-CN"/>
        </w:rPr>
      </w:pPr>
    </w:p>
    <w:p>
      <w:pPr>
        <w:pStyle w:val="22"/>
        <w:numPr>
          <w:ilvl w:val="0"/>
          <w:numId w:val="1"/>
        </w:numPr>
        <w:spacing w:before="120" w:after="120"/>
        <w:ind w:left="425" w:leftChars="0" w:hanging="425" w:firstLineChars="0"/>
        <w:outlineLvl w:val="0"/>
        <w:rPr>
          <w:rFonts w:ascii="微软雅黑" w:hAnsi="微软雅黑" w:eastAsia="微软雅黑" w:cs="Times New Roman"/>
          <w:b/>
          <w:bCs w:val="0"/>
          <w:color w:val="auto"/>
          <w:sz w:val="28"/>
          <w:szCs w:val="28"/>
          <w:highlight w:val="none"/>
        </w:rPr>
      </w:pPr>
      <w:r>
        <w:rPr>
          <w:rFonts w:hint="eastAsia" w:ascii="微软雅黑" w:hAnsi="微软雅黑" w:eastAsia="微软雅黑" w:cs="Times New Roman"/>
          <w:b/>
          <w:bCs w:val="0"/>
          <w:color w:val="auto"/>
          <w:sz w:val="28"/>
          <w:szCs w:val="28"/>
          <w:highlight w:val="none"/>
        </w:rPr>
        <w:t>检测和试验</w:t>
      </w:r>
    </w:p>
    <w:p>
      <w:pPr>
        <w:widowControl/>
        <w:numPr>
          <w:ilvl w:val="0"/>
          <w:numId w:val="3"/>
        </w:numPr>
        <w:autoSpaceDE w:val="0"/>
        <w:autoSpaceDN w:val="0"/>
        <w:adjustRightInd w:val="0"/>
        <w:spacing w:line="360" w:lineRule="auto"/>
        <w:ind w:left="454" w:leftChars="0" w:hanging="454" w:firstLineChars="0"/>
        <w:rPr>
          <w:rFonts w:hint="eastAsia" w:ascii="Arial" w:hAnsi="Arial" w:cs="Arial"/>
          <w:color w:val="auto"/>
          <w:szCs w:val="21"/>
          <w:highlight w:val="none"/>
          <w:lang w:eastAsia="zh-CN"/>
        </w:rPr>
      </w:pPr>
      <w:r>
        <w:rPr>
          <w:rFonts w:hint="eastAsia" w:ascii="Arial" w:hAnsi="Arial" w:cs="Arial"/>
          <w:color w:val="auto"/>
          <w:szCs w:val="21"/>
          <w:highlight w:val="none"/>
          <w:lang w:val="en-US" w:eastAsia="zh-CN"/>
        </w:rPr>
        <w:t>提供</w:t>
      </w:r>
      <w:r>
        <w:rPr>
          <w:rFonts w:hint="eastAsia" w:ascii="Arial" w:hAnsi="Arial" w:cs="Arial"/>
          <w:color w:val="auto"/>
          <w:szCs w:val="21"/>
          <w:highlight w:val="none"/>
          <w:lang w:eastAsia="zh-CN"/>
        </w:rPr>
        <w:t>出厂检验报告、合格证；</w:t>
      </w:r>
    </w:p>
    <w:p>
      <w:pPr>
        <w:widowControl/>
        <w:numPr>
          <w:ilvl w:val="0"/>
          <w:numId w:val="3"/>
        </w:numPr>
        <w:autoSpaceDE w:val="0"/>
        <w:autoSpaceDN w:val="0"/>
        <w:adjustRightInd w:val="0"/>
        <w:spacing w:line="360" w:lineRule="auto"/>
        <w:ind w:left="454" w:leftChars="0" w:hanging="454" w:firstLineChars="0"/>
        <w:rPr>
          <w:rFonts w:hint="eastAsia" w:ascii="Arial" w:hAnsi="Arial" w:cs="Arial"/>
          <w:color w:val="auto"/>
          <w:szCs w:val="21"/>
          <w:highlight w:val="none"/>
          <w:lang w:eastAsia="zh-CN"/>
        </w:rPr>
      </w:pPr>
      <w:r>
        <w:rPr>
          <w:rFonts w:hint="eastAsia" w:ascii="Arial" w:hAnsi="Arial" w:cs="Arial"/>
          <w:color w:val="auto"/>
          <w:szCs w:val="21"/>
          <w:highlight w:val="none"/>
          <w:lang w:val="en-US" w:eastAsia="zh-CN"/>
        </w:rPr>
        <w:t>提供</w:t>
      </w:r>
      <w:r>
        <w:rPr>
          <w:rFonts w:hint="eastAsia" w:ascii="Arial" w:hAnsi="Arial" w:cs="Arial"/>
          <w:color w:val="auto"/>
          <w:szCs w:val="21"/>
          <w:highlight w:val="none"/>
          <w:lang w:eastAsia="zh-CN"/>
        </w:rPr>
        <w:t>防爆证书、CCC证书、</w:t>
      </w:r>
      <w:r>
        <w:rPr>
          <w:rFonts w:hint="eastAsia" w:ascii="Arial" w:hAnsi="Arial" w:cs="Arial"/>
          <w:color w:val="auto"/>
          <w:szCs w:val="21"/>
          <w:highlight w:val="none"/>
          <w:lang w:val="en-US" w:eastAsia="zh-CN"/>
        </w:rPr>
        <w:t>单批次</w:t>
      </w:r>
      <w:r>
        <w:rPr>
          <w:rFonts w:hint="eastAsia" w:ascii="Arial" w:hAnsi="Arial" w:cs="Arial"/>
          <w:color w:val="auto"/>
          <w:szCs w:val="21"/>
          <w:highlight w:val="none"/>
          <w:lang w:eastAsia="zh-CN"/>
        </w:rPr>
        <w:t>船级社证书；</w:t>
      </w:r>
    </w:p>
    <w:p>
      <w:pPr>
        <w:pStyle w:val="22"/>
        <w:numPr>
          <w:ilvl w:val="0"/>
          <w:numId w:val="1"/>
        </w:numPr>
        <w:spacing w:before="120" w:after="120"/>
        <w:ind w:left="425" w:leftChars="0" w:hanging="425" w:firstLineChars="0"/>
        <w:outlineLvl w:val="0"/>
        <w:rPr>
          <w:rFonts w:ascii="微软雅黑" w:hAnsi="微软雅黑" w:eastAsia="微软雅黑" w:cs="Times New Roman"/>
          <w:b/>
          <w:bCs w:val="0"/>
          <w:color w:val="auto"/>
          <w:sz w:val="28"/>
          <w:szCs w:val="28"/>
          <w:highlight w:val="none"/>
        </w:rPr>
      </w:pPr>
      <w:r>
        <w:rPr>
          <w:rFonts w:hint="eastAsia" w:ascii="微软雅黑" w:hAnsi="微软雅黑" w:eastAsia="微软雅黑" w:cs="Times New Roman"/>
          <w:b/>
          <w:bCs w:val="0"/>
          <w:color w:val="auto"/>
          <w:sz w:val="28"/>
          <w:szCs w:val="28"/>
          <w:highlight w:val="none"/>
        </w:rPr>
        <w:t>标识、包装、运输和存储</w:t>
      </w:r>
    </w:p>
    <w:p>
      <w:pPr>
        <w:widowControl/>
        <w:autoSpaceDE w:val="0"/>
        <w:autoSpaceDN w:val="0"/>
        <w:adjustRightIn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1、产品标识</w:t>
      </w:r>
    </w:p>
    <w:p>
      <w:pPr>
        <w:widowControl/>
        <w:autoSpaceDE w:val="0"/>
        <w:autoSpaceDN w:val="0"/>
        <w:adjustRightIn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产品标志/标签要求：产品名称、规格型号、生产批号、生产日期、生产商名称、生产地址；</w:t>
      </w:r>
    </w:p>
    <w:p>
      <w:pPr>
        <w:widowControl/>
        <w:autoSpaceDE w:val="0"/>
        <w:autoSpaceDN w:val="0"/>
        <w:adjustRightInd w:val="0"/>
        <w:spacing w:line="360" w:lineRule="auto"/>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设备铭牌：设备编号、名称、型号、制造日期等内容以及主要参数，材质。</w:t>
      </w:r>
    </w:p>
    <w:p>
      <w:pPr>
        <w:pStyle w:val="22"/>
        <w:numPr>
          <w:ilvl w:val="0"/>
          <w:numId w:val="1"/>
        </w:numPr>
        <w:spacing w:before="120" w:after="120"/>
        <w:ind w:left="425" w:leftChars="0" w:hanging="425" w:firstLineChars="0"/>
        <w:outlineLvl w:val="0"/>
        <w:rPr>
          <w:rFonts w:ascii="微软雅黑" w:hAnsi="微软雅黑" w:eastAsia="微软雅黑" w:cs="Times New Roman"/>
          <w:b/>
          <w:bCs w:val="0"/>
          <w:color w:val="auto"/>
          <w:sz w:val="28"/>
          <w:szCs w:val="28"/>
          <w:highlight w:val="none"/>
        </w:rPr>
      </w:pPr>
      <w:r>
        <w:rPr>
          <w:rFonts w:hint="eastAsia" w:ascii="微软雅黑" w:hAnsi="微软雅黑" w:eastAsia="微软雅黑" w:cs="Times New Roman"/>
          <w:b/>
          <w:bCs w:val="0"/>
          <w:color w:val="auto"/>
          <w:sz w:val="28"/>
          <w:szCs w:val="28"/>
          <w:highlight w:val="none"/>
          <w:lang w:val="en-US" w:eastAsia="zh-CN"/>
        </w:rPr>
        <w:t>质量保证</w:t>
      </w:r>
      <w:r>
        <w:rPr>
          <w:rFonts w:hint="eastAsia" w:ascii="微软雅黑" w:hAnsi="微软雅黑" w:eastAsia="微软雅黑" w:cs="Times New Roman"/>
          <w:b/>
          <w:bCs w:val="0"/>
          <w:color w:val="auto"/>
          <w:sz w:val="28"/>
          <w:szCs w:val="28"/>
          <w:highlight w:val="none"/>
        </w:rPr>
        <w:t>与售后服务</w:t>
      </w:r>
    </w:p>
    <w:p>
      <w:pPr>
        <w:widowControl/>
        <w:numPr>
          <w:ilvl w:val="0"/>
          <w:numId w:val="4"/>
        </w:numPr>
        <w:autoSpaceDE w:val="0"/>
        <w:autoSpaceDN w:val="0"/>
        <w:adjustRightInd w:val="0"/>
        <w:spacing w:line="360" w:lineRule="auto"/>
        <w:ind w:left="0" w:leftChars="0" w:firstLine="397"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质保期为验收后18个月；</w:t>
      </w:r>
    </w:p>
    <w:p>
      <w:pPr>
        <w:widowControl/>
        <w:numPr>
          <w:ilvl w:val="0"/>
          <w:numId w:val="4"/>
        </w:numPr>
        <w:autoSpaceDE w:val="0"/>
        <w:autoSpaceDN w:val="0"/>
        <w:adjustRightInd w:val="0"/>
        <w:spacing w:line="360" w:lineRule="auto"/>
        <w:ind w:left="0" w:leftChars="0" w:firstLine="397" w:firstLineChars="0"/>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在产品质保期内，如有产品质量问题，供应商需及时免费更换或维修，如在使用过程中同类质量问题发生3次以上，我司有权终止合同，并有权就由此带来的损失对供应商进行索赔；</w:t>
      </w:r>
    </w:p>
    <w:p>
      <w:pPr>
        <w:pStyle w:val="22"/>
        <w:numPr>
          <w:ilvl w:val="0"/>
          <w:numId w:val="1"/>
        </w:numPr>
        <w:spacing w:before="120" w:after="120"/>
        <w:ind w:left="425" w:leftChars="0" w:hanging="425" w:firstLineChars="0"/>
        <w:outlineLvl w:val="0"/>
        <w:rPr>
          <w:rFonts w:ascii="微软雅黑" w:hAnsi="微软雅黑" w:eastAsia="微软雅黑" w:cs="Times New Roman"/>
          <w:b/>
          <w:bCs w:val="0"/>
          <w:color w:val="auto"/>
          <w:sz w:val="28"/>
          <w:szCs w:val="28"/>
          <w:highlight w:val="none"/>
        </w:rPr>
      </w:pPr>
      <w:r>
        <w:rPr>
          <w:rFonts w:hint="eastAsia" w:ascii="微软雅黑" w:hAnsi="微软雅黑" w:eastAsia="微软雅黑" w:cs="Times New Roman"/>
          <w:b/>
          <w:bCs w:val="0"/>
          <w:color w:val="auto"/>
          <w:sz w:val="28"/>
          <w:szCs w:val="28"/>
          <w:highlight w:val="none"/>
          <w:lang w:val="en-US" w:eastAsia="zh-CN"/>
        </w:rPr>
        <w:t>交货地点</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122" w:rightChars="0" w:firstLine="440" w:firstLineChars="200"/>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val="en-US" w:eastAsia="zh-CN" w:bidi="ar-SA"/>
        </w:rPr>
        <w:t>天津市塘沽区渤港北一路与东五路交叉口设施中心3号码头</w:t>
      </w:r>
    </w:p>
    <w:p>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right="122" w:rightChars="0" w:firstLine="440" w:firstLineChars="200"/>
        <w:textAlignment w:val="auto"/>
        <w:rPr>
          <w:rFonts w:hint="eastAsia" w:ascii="宋体" w:hAnsi="宋体" w:eastAsia="宋体" w:cs="宋体"/>
          <w:color w:val="auto"/>
          <w:sz w:val="22"/>
          <w:szCs w:val="22"/>
          <w:highlight w:val="none"/>
          <w:lang w:val="en-US" w:eastAsia="zh-CN" w:bidi="ar-SA"/>
        </w:rPr>
      </w:pPr>
      <w:r>
        <w:rPr>
          <w:rFonts w:hint="eastAsia" w:ascii="宋体" w:hAnsi="宋体" w:eastAsia="宋体" w:cs="宋体"/>
          <w:color w:val="auto"/>
          <w:sz w:val="22"/>
          <w:szCs w:val="22"/>
          <w:highlight w:val="none"/>
          <w:lang w:val="en-US" w:eastAsia="zh-CN" w:bidi="ar-SA"/>
        </w:rPr>
        <w:t>收货人：杜方舟/18722012329</w:t>
      </w:r>
    </w:p>
    <w:p>
      <w:pPr>
        <w:rPr>
          <w:rFonts w:hint="default"/>
          <w:lang w:val="en-US" w:eastAsia="zh-CN"/>
        </w:rPr>
      </w:pPr>
      <w:r>
        <w:rPr>
          <w:rFonts w:hint="eastAsia" w:ascii="宋体" w:hAnsi="宋体" w:eastAsia="宋体" w:cs="宋体"/>
          <w:color w:val="auto"/>
          <w:sz w:val="22"/>
          <w:szCs w:val="22"/>
          <w:highlight w:val="none"/>
          <w:lang w:val="en-US" w:eastAsia="zh-CN" w:bidi="ar-S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Arial Unicode MS">
    <w:altName w:val="Malgun Gothic Semilight"/>
    <w:panose1 w:val="020B0604020202020204"/>
    <w:charset w:val="86"/>
    <w:family w:val="swiss"/>
    <w:pitch w:val="default"/>
    <w:sig w:usb0="00000000" w:usb1="00000000" w:usb2="0000003F" w:usb3="00000000" w:csb0="003F01FF" w:csb1="00000000"/>
  </w:font>
  <w:font w:name="微软雅黑">
    <w:panose1 w:val="020B0503020204020204"/>
    <w:charset w:val="86"/>
    <w:family w:val="swiss"/>
    <w:pitch w:val="default"/>
    <w:sig w:usb0="80000287" w:usb1="2ACF3C50" w:usb2="00000016" w:usb3="00000000" w:csb0="0004001F" w:csb1="00000000"/>
  </w:font>
  <w:font w:name="Malgun Gothic Semilight">
    <w:panose1 w:val="020B0502040204020203"/>
    <w:charset w:val="86"/>
    <w:family w:val="auto"/>
    <w:pitch w:val="default"/>
    <w:sig w:usb0="900002AF" w:usb1="01D77CFB" w:usb2="00000012" w:usb3="00000000" w:csb0="203E01BD" w:csb1="D7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46ADE1"/>
    <w:multiLevelType w:val="singleLevel"/>
    <w:tmpl w:val="AD46ADE1"/>
    <w:lvl w:ilvl="0" w:tentative="0">
      <w:start w:val="1"/>
      <w:numFmt w:val="chineseCounting"/>
      <w:lvlText w:val="%1、"/>
      <w:lvlJc w:val="left"/>
      <w:pPr>
        <w:tabs>
          <w:tab w:val="left" w:pos="420"/>
        </w:tabs>
        <w:ind w:left="425" w:leftChars="0" w:hanging="425" w:firstLineChars="0"/>
      </w:pPr>
      <w:rPr>
        <w:rFonts w:hint="eastAsia"/>
        <w:b/>
        <w:bCs/>
      </w:rPr>
    </w:lvl>
  </w:abstractNum>
  <w:abstractNum w:abstractNumId="1">
    <w:nsid w:val="BA7BE6F2"/>
    <w:multiLevelType w:val="singleLevel"/>
    <w:tmpl w:val="BA7BE6F2"/>
    <w:lvl w:ilvl="0" w:tentative="0">
      <w:start w:val="1"/>
      <w:numFmt w:val="decimal"/>
      <w:lvlText w:val="%1、"/>
      <w:lvlJc w:val="left"/>
      <w:pPr>
        <w:tabs>
          <w:tab w:val="left" w:pos="420"/>
        </w:tabs>
        <w:ind w:left="425" w:leftChars="0" w:hanging="425" w:firstLineChars="0"/>
      </w:pPr>
      <w:rPr>
        <w:rFonts w:hint="default" w:ascii="宋体" w:hAnsi="宋体" w:eastAsia="宋体" w:cs="宋体"/>
        <w:sz w:val="22"/>
        <w:szCs w:val="22"/>
      </w:rPr>
    </w:lvl>
  </w:abstractNum>
  <w:abstractNum w:abstractNumId="2">
    <w:nsid w:val="1E84CF67"/>
    <w:multiLevelType w:val="singleLevel"/>
    <w:tmpl w:val="1E84CF67"/>
    <w:lvl w:ilvl="0" w:tentative="0">
      <w:start w:val="1"/>
      <w:numFmt w:val="decimal"/>
      <w:suff w:val="nothing"/>
      <w:lvlText w:val="%1、"/>
      <w:lvlJc w:val="left"/>
      <w:pPr>
        <w:ind w:left="0" w:firstLine="397"/>
      </w:pPr>
      <w:rPr>
        <w:rFonts w:hint="default"/>
      </w:rPr>
    </w:lvl>
  </w:abstractNum>
  <w:abstractNum w:abstractNumId="3">
    <w:nsid w:val="2B783E28"/>
    <w:multiLevelType w:val="singleLevel"/>
    <w:tmpl w:val="2B783E28"/>
    <w:lvl w:ilvl="0" w:tentative="0">
      <w:start w:val="1"/>
      <w:numFmt w:val="decimal"/>
      <w:lvlText w:val="%1、"/>
      <w:lvlJc w:val="left"/>
      <w:pPr>
        <w:tabs>
          <w:tab w:val="left" w:pos="397"/>
        </w:tabs>
        <w:ind w:left="454" w:leftChars="0" w:hanging="454" w:firstLineChars="0"/>
      </w:pPr>
      <w:rPr>
        <w:rFont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4"/>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1644CF"/>
    <w:rsid w:val="0000572C"/>
    <w:rsid w:val="00015CC7"/>
    <w:rsid w:val="00024F25"/>
    <w:rsid w:val="00046BC6"/>
    <w:rsid w:val="00055FDF"/>
    <w:rsid w:val="0009050D"/>
    <w:rsid w:val="0009502B"/>
    <w:rsid w:val="0009587F"/>
    <w:rsid w:val="000B4C3D"/>
    <w:rsid w:val="000E7DCA"/>
    <w:rsid w:val="00117B8C"/>
    <w:rsid w:val="001323F9"/>
    <w:rsid w:val="00150E5B"/>
    <w:rsid w:val="001644CF"/>
    <w:rsid w:val="001B3054"/>
    <w:rsid w:val="001C0975"/>
    <w:rsid w:val="001C3F34"/>
    <w:rsid w:val="001D0814"/>
    <w:rsid w:val="001E522B"/>
    <w:rsid w:val="001E7128"/>
    <w:rsid w:val="00204C8C"/>
    <w:rsid w:val="00207EA2"/>
    <w:rsid w:val="0022328F"/>
    <w:rsid w:val="00223923"/>
    <w:rsid w:val="002264A1"/>
    <w:rsid w:val="002459CA"/>
    <w:rsid w:val="00254459"/>
    <w:rsid w:val="00255671"/>
    <w:rsid w:val="00266190"/>
    <w:rsid w:val="00266981"/>
    <w:rsid w:val="002759C7"/>
    <w:rsid w:val="00281F05"/>
    <w:rsid w:val="00291732"/>
    <w:rsid w:val="00291AC4"/>
    <w:rsid w:val="00296D9D"/>
    <w:rsid w:val="002A2EAC"/>
    <w:rsid w:val="002B756F"/>
    <w:rsid w:val="002D753E"/>
    <w:rsid w:val="002E2797"/>
    <w:rsid w:val="003007DD"/>
    <w:rsid w:val="00316452"/>
    <w:rsid w:val="00332413"/>
    <w:rsid w:val="00335848"/>
    <w:rsid w:val="003359EC"/>
    <w:rsid w:val="0034619B"/>
    <w:rsid w:val="00367E0B"/>
    <w:rsid w:val="0037391E"/>
    <w:rsid w:val="003911DA"/>
    <w:rsid w:val="00397269"/>
    <w:rsid w:val="003B1F83"/>
    <w:rsid w:val="003B28F4"/>
    <w:rsid w:val="003F58A2"/>
    <w:rsid w:val="004020A3"/>
    <w:rsid w:val="004077E1"/>
    <w:rsid w:val="0042054D"/>
    <w:rsid w:val="004236F4"/>
    <w:rsid w:val="00430BB2"/>
    <w:rsid w:val="00437C54"/>
    <w:rsid w:val="0045093D"/>
    <w:rsid w:val="00467507"/>
    <w:rsid w:val="004679F5"/>
    <w:rsid w:val="004D2468"/>
    <w:rsid w:val="004D6C0D"/>
    <w:rsid w:val="004E3AA9"/>
    <w:rsid w:val="004F713E"/>
    <w:rsid w:val="00514504"/>
    <w:rsid w:val="005702FE"/>
    <w:rsid w:val="005A28BF"/>
    <w:rsid w:val="005B032C"/>
    <w:rsid w:val="005C1CC9"/>
    <w:rsid w:val="005C441F"/>
    <w:rsid w:val="005C6578"/>
    <w:rsid w:val="005D090F"/>
    <w:rsid w:val="0060078E"/>
    <w:rsid w:val="00601727"/>
    <w:rsid w:val="00615C8E"/>
    <w:rsid w:val="006452FE"/>
    <w:rsid w:val="0067070D"/>
    <w:rsid w:val="0068715F"/>
    <w:rsid w:val="0069154A"/>
    <w:rsid w:val="006A2F8A"/>
    <w:rsid w:val="006B59FB"/>
    <w:rsid w:val="006D5366"/>
    <w:rsid w:val="00706FF6"/>
    <w:rsid w:val="00723A5A"/>
    <w:rsid w:val="00753CBD"/>
    <w:rsid w:val="0076111A"/>
    <w:rsid w:val="00767FC6"/>
    <w:rsid w:val="0078770E"/>
    <w:rsid w:val="007D5C23"/>
    <w:rsid w:val="0080289C"/>
    <w:rsid w:val="00830990"/>
    <w:rsid w:val="008324A2"/>
    <w:rsid w:val="008325EA"/>
    <w:rsid w:val="00834BD4"/>
    <w:rsid w:val="008515D6"/>
    <w:rsid w:val="00852B10"/>
    <w:rsid w:val="00857686"/>
    <w:rsid w:val="00883354"/>
    <w:rsid w:val="008A30AE"/>
    <w:rsid w:val="008B0DC1"/>
    <w:rsid w:val="008B214C"/>
    <w:rsid w:val="008D107A"/>
    <w:rsid w:val="008F1C83"/>
    <w:rsid w:val="00914019"/>
    <w:rsid w:val="0091552E"/>
    <w:rsid w:val="0094520D"/>
    <w:rsid w:val="009521E5"/>
    <w:rsid w:val="00957754"/>
    <w:rsid w:val="00973397"/>
    <w:rsid w:val="009824EA"/>
    <w:rsid w:val="009A16D8"/>
    <w:rsid w:val="009A2B37"/>
    <w:rsid w:val="009B54BE"/>
    <w:rsid w:val="009B6603"/>
    <w:rsid w:val="009C2FD5"/>
    <w:rsid w:val="009C57C1"/>
    <w:rsid w:val="009D2864"/>
    <w:rsid w:val="00A1312A"/>
    <w:rsid w:val="00A2514C"/>
    <w:rsid w:val="00A560C2"/>
    <w:rsid w:val="00A71A58"/>
    <w:rsid w:val="00A7781B"/>
    <w:rsid w:val="00A8052C"/>
    <w:rsid w:val="00A82B45"/>
    <w:rsid w:val="00AB3C65"/>
    <w:rsid w:val="00AC3097"/>
    <w:rsid w:val="00AC7DF2"/>
    <w:rsid w:val="00AF5B72"/>
    <w:rsid w:val="00B0183B"/>
    <w:rsid w:val="00B01E6A"/>
    <w:rsid w:val="00B10F50"/>
    <w:rsid w:val="00B15418"/>
    <w:rsid w:val="00B15C63"/>
    <w:rsid w:val="00B324F3"/>
    <w:rsid w:val="00B55D74"/>
    <w:rsid w:val="00B56245"/>
    <w:rsid w:val="00B56A52"/>
    <w:rsid w:val="00B7284D"/>
    <w:rsid w:val="00B909BE"/>
    <w:rsid w:val="00BC426F"/>
    <w:rsid w:val="00BE3C84"/>
    <w:rsid w:val="00BE5C91"/>
    <w:rsid w:val="00C01B21"/>
    <w:rsid w:val="00C12732"/>
    <w:rsid w:val="00C33F7D"/>
    <w:rsid w:val="00C55808"/>
    <w:rsid w:val="00C61D0B"/>
    <w:rsid w:val="00C61DB8"/>
    <w:rsid w:val="00C74A9D"/>
    <w:rsid w:val="00CE0986"/>
    <w:rsid w:val="00CE1FC9"/>
    <w:rsid w:val="00CE2C1E"/>
    <w:rsid w:val="00CF0B2A"/>
    <w:rsid w:val="00CF5864"/>
    <w:rsid w:val="00CF77F7"/>
    <w:rsid w:val="00D14AF7"/>
    <w:rsid w:val="00D15CB5"/>
    <w:rsid w:val="00D47AE4"/>
    <w:rsid w:val="00D50E01"/>
    <w:rsid w:val="00D60B59"/>
    <w:rsid w:val="00D71F6F"/>
    <w:rsid w:val="00DC0F9B"/>
    <w:rsid w:val="00DD22D6"/>
    <w:rsid w:val="00DD3368"/>
    <w:rsid w:val="00DE24DD"/>
    <w:rsid w:val="00DF5733"/>
    <w:rsid w:val="00E03083"/>
    <w:rsid w:val="00E30386"/>
    <w:rsid w:val="00E53CCA"/>
    <w:rsid w:val="00E57B4B"/>
    <w:rsid w:val="00E75841"/>
    <w:rsid w:val="00E77605"/>
    <w:rsid w:val="00E8384C"/>
    <w:rsid w:val="00E85208"/>
    <w:rsid w:val="00E87CFE"/>
    <w:rsid w:val="00EC1A17"/>
    <w:rsid w:val="00ED1455"/>
    <w:rsid w:val="00EF142B"/>
    <w:rsid w:val="00F22A9E"/>
    <w:rsid w:val="00F25DEE"/>
    <w:rsid w:val="00FB41B7"/>
    <w:rsid w:val="00FB6F4F"/>
    <w:rsid w:val="00FC291D"/>
    <w:rsid w:val="00FC3893"/>
    <w:rsid w:val="00FD2EA2"/>
    <w:rsid w:val="00FF6593"/>
    <w:rsid w:val="019A46A6"/>
    <w:rsid w:val="01BA0F2F"/>
    <w:rsid w:val="024261A6"/>
    <w:rsid w:val="02B751B4"/>
    <w:rsid w:val="02C27522"/>
    <w:rsid w:val="030E74FA"/>
    <w:rsid w:val="03524420"/>
    <w:rsid w:val="035C6B10"/>
    <w:rsid w:val="03893CCB"/>
    <w:rsid w:val="03B67434"/>
    <w:rsid w:val="03C7488A"/>
    <w:rsid w:val="044E0E32"/>
    <w:rsid w:val="047D30BD"/>
    <w:rsid w:val="04882B3D"/>
    <w:rsid w:val="05045075"/>
    <w:rsid w:val="05137986"/>
    <w:rsid w:val="05852C55"/>
    <w:rsid w:val="065202E3"/>
    <w:rsid w:val="06F04422"/>
    <w:rsid w:val="07195727"/>
    <w:rsid w:val="07230354"/>
    <w:rsid w:val="07397EBA"/>
    <w:rsid w:val="07581195"/>
    <w:rsid w:val="07E84369"/>
    <w:rsid w:val="07E87914"/>
    <w:rsid w:val="08883881"/>
    <w:rsid w:val="08AE00F1"/>
    <w:rsid w:val="08B845E3"/>
    <w:rsid w:val="09067414"/>
    <w:rsid w:val="091A2A5F"/>
    <w:rsid w:val="097B123F"/>
    <w:rsid w:val="09910718"/>
    <w:rsid w:val="0BA23437"/>
    <w:rsid w:val="0BE77114"/>
    <w:rsid w:val="0BFF1314"/>
    <w:rsid w:val="0C9B5F4E"/>
    <w:rsid w:val="0DC60229"/>
    <w:rsid w:val="0DFB2A58"/>
    <w:rsid w:val="0E077AA0"/>
    <w:rsid w:val="0E2E4F52"/>
    <w:rsid w:val="0E5A3C94"/>
    <w:rsid w:val="0E5C4A57"/>
    <w:rsid w:val="0E625367"/>
    <w:rsid w:val="0E9E1CF2"/>
    <w:rsid w:val="0EF44384"/>
    <w:rsid w:val="0F68396B"/>
    <w:rsid w:val="0F9F69E6"/>
    <w:rsid w:val="0FCA0D2F"/>
    <w:rsid w:val="107A14E4"/>
    <w:rsid w:val="10F1613A"/>
    <w:rsid w:val="11317B11"/>
    <w:rsid w:val="11811F3B"/>
    <w:rsid w:val="12315E72"/>
    <w:rsid w:val="139E5ABC"/>
    <w:rsid w:val="146975C2"/>
    <w:rsid w:val="14777F31"/>
    <w:rsid w:val="14FA3FBF"/>
    <w:rsid w:val="15CC30E8"/>
    <w:rsid w:val="15EC1502"/>
    <w:rsid w:val="160B6079"/>
    <w:rsid w:val="163B0142"/>
    <w:rsid w:val="16A94C89"/>
    <w:rsid w:val="16F057FE"/>
    <w:rsid w:val="18575039"/>
    <w:rsid w:val="190E112B"/>
    <w:rsid w:val="19494911"/>
    <w:rsid w:val="1979219B"/>
    <w:rsid w:val="198473EF"/>
    <w:rsid w:val="19947825"/>
    <w:rsid w:val="19A339DE"/>
    <w:rsid w:val="1A0D25FA"/>
    <w:rsid w:val="1AF63C0A"/>
    <w:rsid w:val="1BC7388F"/>
    <w:rsid w:val="1C647633"/>
    <w:rsid w:val="1D81611C"/>
    <w:rsid w:val="1DB11859"/>
    <w:rsid w:val="1DDA6E3B"/>
    <w:rsid w:val="1E0A1332"/>
    <w:rsid w:val="1E5157E5"/>
    <w:rsid w:val="1E524C3D"/>
    <w:rsid w:val="1EA73B15"/>
    <w:rsid w:val="1EB30414"/>
    <w:rsid w:val="1EE45016"/>
    <w:rsid w:val="1EE906CC"/>
    <w:rsid w:val="1F156902"/>
    <w:rsid w:val="1F212787"/>
    <w:rsid w:val="1FD91E47"/>
    <w:rsid w:val="20165FC4"/>
    <w:rsid w:val="20AE0F1A"/>
    <w:rsid w:val="20C5632B"/>
    <w:rsid w:val="21967523"/>
    <w:rsid w:val="21D824DF"/>
    <w:rsid w:val="220E4ED9"/>
    <w:rsid w:val="221174E4"/>
    <w:rsid w:val="225E34DC"/>
    <w:rsid w:val="22E6394F"/>
    <w:rsid w:val="23FE3D9E"/>
    <w:rsid w:val="24A4635E"/>
    <w:rsid w:val="24CA4E4E"/>
    <w:rsid w:val="24F247FA"/>
    <w:rsid w:val="251C722A"/>
    <w:rsid w:val="25936D7F"/>
    <w:rsid w:val="25BC39F6"/>
    <w:rsid w:val="25F95B58"/>
    <w:rsid w:val="26BE573C"/>
    <w:rsid w:val="26C12482"/>
    <w:rsid w:val="270869F4"/>
    <w:rsid w:val="277044D7"/>
    <w:rsid w:val="27B060A8"/>
    <w:rsid w:val="27B74D47"/>
    <w:rsid w:val="28FF652D"/>
    <w:rsid w:val="293A69DE"/>
    <w:rsid w:val="29DA6E2C"/>
    <w:rsid w:val="2A975F2A"/>
    <w:rsid w:val="2AC749E7"/>
    <w:rsid w:val="2ACA308F"/>
    <w:rsid w:val="2ADD1696"/>
    <w:rsid w:val="2BB845A7"/>
    <w:rsid w:val="2C482CB1"/>
    <w:rsid w:val="2D535011"/>
    <w:rsid w:val="2DD025AE"/>
    <w:rsid w:val="2EE23095"/>
    <w:rsid w:val="2F237CAB"/>
    <w:rsid w:val="2F72149E"/>
    <w:rsid w:val="2F863D8B"/>
    <w:rsid w:val="2FC40266"/>
    <w:rsid w:val="2FC859BE"/>
    <w:rsid w:val="2FCA0B66"/>
    <w:rsid w:val="306F7EB6"/>
    <w:rsid w:val="30745309"/>
    <w:rsid w:val="31725D55"/>
    <w:rsid w:val="317831D1"/>
    <w:rsid w:val="31A85F5A"/>
    <w:rsid w:val="31E53F12"/>
    <w:rsid w:val="322A36D0"/>
    <w:rsid w:val="32DC0DE2"/>
    <w:rsid w:val="32ED4E23"/>
    <w:rsid w:val="33725FE9"/>
    <w:rsid w:val="338F0C3E"/>
    <w:rsid w:val="33A46C9F"/>
    <w:rsid w:val="34AE43E4"/>
    <w:rsid w:val="34BB4F1A"/>
    <w:rsid w:val="34F4262F"/>
    <w:rsid w:val="3574184C"/>
    <w:rsid w:val="35BB5033"/>
    <w:rsid w:val="35DD3126"/>
    <w:rsid w:val="36270691"/>
    <w:rsid w:val="36987597"/>
    <w:rsid w:val="36CA03D1"/>
    <w:rsid w:val="373416E2"/>
    <w:rsid w:val="37412CED"/>
    <w:rsid w:val="37CF6032"/>
    <w:rsid w:val="383E3255"/>
    <w:rsid w:val="385C593E"/>
    <w:rsid w:val="38B049E7"/>
    <w:rsid w:val="38BA46C0"/>
    <w:rsid w:val="39C05C04"/>
    <w:rsid w:val="3B4B54D3"/>
    <w:rsid w:val="3B697122"/>
    <w:rsid w:val="3B8E70DA"/>
    <w:rsid w:val="3E0C06EA"/>
    <w:rsid w:val="3F3F6F4C"/>
    <w:rsid w:val="3F9B3F34"/>
    <w:rsid w:val="3FC951DB"/>
    <w:rsid w:val="404A6B64"/>
    <w:rsid w:val="41235B1F"/>
    <w:rsid w:val="41364281"/>
    <w:rsid w:val="41730341"/>
    <w:rsid w:val="425A348E"/>
    <w:rsid w:val="426108A7"/>
    <w:rsid w:val="43321266"/>
    <w:rsid w:val="439A2C6F"/>
    <w:rsid w:val="43BD22AD"/>
    <w:rsid w:val="43F32ECD"/>
    <w:rsid w:val="44220155"/>
    <w:rsid w:val="44667084"/>
    <w:rsid w:val="459E607C"/>
    <w:rsid w:val="45A32154"/>
    <w:rsid w:val="45F45B22"/>
    <w:rsid w:val="4718595B"/>
    <w:rsid w:val="479D6407"/>
    <w:rsid w:val="485A4F93"/>
    <w:rsid w:val="48852A57"/>
    <w:rsid w:val="48D45579"/>
    <w:rsid w:val="498B4A74"/>
    <w:rsid w:val="49D1125F"/>
    <w:rsid w:val="49FF703A"/>
    <w:rsid w:val="4A250A8B"/>
    <w:rsid w:val="4A280F86"/>
    <w:rsid w:val="4A596D00"/>
    <w:rsid w:val="4A757BB4"/>
    <w:rsid w:val="4AEA6D3B"/>
    <w:rsid w:val="4B100E76"/>
    <w:rsid w:val="4B466E62"/>
    <w:rsid w:val="4B6517E1"/>
    <w:rsid w:val="4BAA17DF"/>
    <w:rsid w:val="4BB01AEB"/>
    <w:rsid w:val="4BD22589"/>
    <w:rsid w:val="4C0C3C06"/>
    <w:rsid w:val="4C1B4C75"/>
    <w:rsid w:val="4C262A49"/>
    <w:rsid w:val="4CC02650"/>
    <w:rsid w:val="4D3416F7"/>
    <w:rsid w:val="4D461C73"/>
    <w:rsid w:val="4D7F6780"/>
    <w:rsid w:val="4DE8622D"/>
    <w:rsid w:val="4DF23F92"/>
    <w:rsid w:val="4E076812"/>
    <w:rsid w:val="4F2E65BA"/>
    <w:rsid w:val="4F3335F1"/>
    <w:rsid w:val="4FD24B4E"/>
    <w:rsid w:val="509176A9"/>
    <w:rsid w:val="50E61711"/>
    <w:rsid w:val="513158F9"/>
    <w:rsid w:val="516E3410"/>
    <w:rsid w:val="518260BE"/>
    <w:rsid w:val="524A7733"/>
    <w:rsid w:val="5266163F"/>
    <w:rsid w:val="52970371"/>
    <w:rsid w:val="52BB68BA"/>
    <w:rsid w:val="52C113A5"/>
    <w:rsid w:val="52F0168B"/>
    <w:rsid w:val="53145D78"/>
    <w:rsid w:val="53A772F1"/>
    <w:rsid w:val="53DC60F6"/>
    <w:rsid w:val="54035DF6"/>
    <w:rsid w:val="547745C7"/>
    <w:rsid w:val="54992741"/>
    <w:rsid w:val="54F74EFB"/>
    <w:rsid w:val="552A762D"/>
    <w:rsid w:val="556755C7"/>
    <w:rsid w:val="55B554F1"/>
    <w:rsid w:val="55C4208C"/>
    <w:rsid w:val="55E8197C"/>
    <w:rsid w:val="55EF5DF9"/>
    <w:rsid w:val="564649C6"/>
    <w:rsid w:val="567279C6"/>
    <w:rsid w:val="56B620A4"/>
    <w:rsid w:val="56CC33B5"/>
    <w:rsid w:val="57541800"/>
    <w:rsid w:val="5763229A"/>
    <w:rsid w:val="58B6011C"/>
    <w:rsid w:val="5905367F"/>
    <w:rsid w:val="59252305"/>
    <w:rsid w:val="5B177805"/>
    <w:rsid w:val="5B3B6DEF"/>
    <w:rsid w:val="5B571023"/>
    <w:rsid w:val="5B763AEB"/>
    <w:rsid w:val="5BCC1E8D"/>
    <w:rsid w:val="5C216F9B"/>
    <w:rsid w:val="5C22534A"/>
    <w:rsid w:val="5C4F5633"/>
    <w:rsid w:val="5D0702DF"/>
    <w:rsid w:val="5D126086"/>
    <w:rsid w:val="5E15672C"/>
    <w:rsid w:val="5E98054A"/>
    <w:rsid w:val="5E9B5B97"/>
    <w:rsid w:val="5F292F91"/>
    <w:rsid w:val="5F436961"/>
    <w:rsid w:val="5F837763"/>
    <w:rsid w:val="5FB6542A"/>
    <w:rsid w:val="5FB775B5"/>
    <w:rsid w:val="60375EFA"/>
    <w:rsid w:val="604633FC"/>
    <w:rsid w:val="627103EA"/>
    <w:rsid w:val="638C4A5F"/>
    <w:rsid w:val="648615BD"/>
    <w:rsid w:val="6521617A"/>
    <w:rsid w:val="659E4C86"/>
    <w:rsid w:val="65DA06A2"/>
    <w:rsid w:val="66214BD4"/>
    <w:rsid w:val="66773C0D"/>
    <w:rsid w:val="66D86617"/>
    <w:rsid w:val="67782FB7"/>
    <w:rsid w:val="681A11DA"/>
    <w:rsid w:val="68E27A9F"/>
    <w:rsid w:val="68F17DCA"/>
    <w:rsid w:val="69052C64"/>
    <w:rsid w:val="69122899"/>
    <w:rsid w:val="6A4946F9"/>
    <w:rsid w:val="6A4D3165"/>
    <w:rsid w:val="6A6258EC"/>
    <w:rsid w:val="6AD864E6"/>
    <w:rsid w:val="6AE74553"/>
    <w:rsid w:val="6AEA26CC"/>
    <w:rsid w:val="6BA4238C"/>
    <w:rsid w:val="6C047141"/>
    <w:rsid w:val="6C120F5B"/>
    <w:rsid w:val="6CDB08EC"/>
    <w:rsid w:val="6D605F1B"/>
    <w:rsid w:val="6D631F76"/>
    <w:rsid w:val="6D940482"/>
    <w:rsid w:val="6D9A0C9A"/>
    <w:rsid w:val="6DA944F5"/>
    <w:rsid w:val="6E4A3802"/>
    <w:rsid w:val="6E691599"/>
    <w:rsid w:val="6E961684"/>
    <w:rsid w:val="6F360909"/>
    <w:rsid w:val="6F451CCF"/>
    <w:rsid w:val="6FAA231B"/>
    <w:rsid w:val="703C2866"/>
    <w:rsid w:val="70DE0D7D"/>
    <w:rsid w:val="70E84B73"/>
    <w:rsid w:val="70E9381B"/>
    <w:rsid w:val="711549FE"/>
    <w:rsid w:val="71AA00F0"/>
    <w:rsid w:val="72D12C2B"/>
    <w:rsid w:val="73131A58"/>
    <w:rsid w:val="73740FCE"/>
    <w:rsid w:val="74344FD2"/>
    <w:rsid w:val="754A0172"/>
    <w:rsid w:val="75830A89"/>
    <w:rsid w:val="762E7FFF"/>
    <w:rsid w:val="763F54FE"/>
    <w:rsid w:val="76C375E1"/>
    <w:rsid w:val="76EB54CB"/>
    <w:rsid w:val="776A0042"/>
    <w:rsid w:val="776E1C43"/>
    <w:rsid w:val="77A44F6B"/>
    <w:rsid w:val="77D14878"/>
    <w:rsid w:val="77E84061"/>
    <w:rsid w:val="78593330"/>
    <w:rsid w:val="785D35F1"/>
    <w:rsid w:val="788D0B1B"/>
    <w:rsid w:val="78B03138"/>
    <w:rsid w:val="79647616"/>
    <w:rsid w:val="79BC351E"/>
    <w:rsid w:val="79C378F8"/>
    <w:rsid w:val="7A0C3F36"/>
    <w:rsid w:val="7A546F2E"/>
    <w:rsid w:val="7A687345"/>
    <w:rsid w:val="7AF31F44"/>
    <w:rsid w:val="7B92018B"/>
    <w:rsid w:val="7BA8437E"/>
    <w:rsid w:val="7C1F1DC9"/>
    <w:rsid w:val="7C3D0C61"/>
    <w:rsid w:val="7C863540"/>
    <w:rsid w:val="7C9A0B2D"/>
    <w:rsid w:val="7E322B53"/>
    <w:rsid w:val="7E5228CA"/>
    <w:rsid w:val="7EC1051C"/>
    <w:rsid w:val="7F017B35"/>
    <w:rsid w:val="7F0D2FCD"/>
    <w:rsid w:val="7F5A6286"/>
    <w:rsid w:val="7F6F7C26"/>
    <w:rsid w:val="7F9C72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1"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pPr>
    <w:rPr>
      <w:rFonts w:asciiTheme="minorHAnsi" w:hAnsiTheme="minorHAnsi" w:eastAsiaTheme="minorEastAsia" w:cstheme="minorBidi"/>
      <w:sz w:val="22"/>
      <w:szCs w:val="22"/>
      <w:lang w:val="en-US" w:eastAsia="en-US" w:bidi="ar-SA"/>
    </w:rPr>
  </w:style>
  <w:style w:type="paragraph" w:styleId="3">
    <w:name w:val="heading 1"/>
    <w:basedOn w:val="1"/>
    <w:next w:val="1"/>
    <w:link w:val="23"/>
    <w:qFormat/>
    <w:uiPriority w:val="0"/>
    <w:pPr>
      <w:keepNext/>
      <w:keepLines/>
      <w:spacing w:before="340" w:after="330" w:line="578" w:lineRule="auto"/>
      <w:jc w:val="both"/>
      <w:outlineLvl w:val="0"/>
    </w:pPr>
    <w:rPr>
      <w:rFonts w:ascii="Times New Roman" w:hAnsi="Times New Roman" w:eastAsia="宋体" w:cs="Times New Roman"/>
      <w:b/>
      <w:bCs/>
      <w:kern w:val="44"/>
      <w:sz w:val="44"/>
      <w:szCs w:val="44"/>
      <w:lang w:val="zh-CN" w:eastAsia="zh-CN"/>
    </w:rPr>
  </w:style>
  <w:style w:type="paragraph" w:styleId="4">
    <w:name w:val="heading 2"/>
    <w:basedOn w:val="1"/>
    <w:next w:val="1"/>
    <w:link w:val="17"/>
    <w:qFormat/>
    <w:uiPriority w:val="1"/>
    <w:pPr>
      <w:spacing w:line="479" w:lineRule="exact"/>
      <w:outlineLvl w:val="1"/>
    </w:pPr>
    <w:rPr>
      <w:rFonts w:ascii="Microsoft YaHei UI" w:hAnsi="Microsoft YaHei UI" w:eastAsia="Microsoft YaHei UI"/>
      <w:spacing w:val="2"/>
      <w:sz w:val="32"/>
      <w:szCs w:val="32"/>
      <w:lang w:eastAsia="zh-CN"/>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8"/>
    <w:unhideWhenUsed/>
    <w:qFormat/>
    <w:uiPriority w:val="99"/>
    <w:pPr>
      <w:tabs>
        <w:tab w:val="center" w:pos="4153"/>
        <w:tab w:val="right" w:pos="8306"/>
      </w:tabs>
      <w:snapToGrid w:val="0"/>
    </w:pPr>
    <w:rPr>
      <w:sz w:val="18"/>
      <w:szCs w:val="18"/>
    </w:rPr>
  </w:style>
  <w:style w:type="paragraph" w:styleId="5">
    <w:name w:val="Normal Indent"/>
    <w:basedOn w:val="1"/>
    <w:unhideWhenUsed/>
    <w:qFormat/>
    <w:uiPriority w:val="99"/>
    <w:pPr>
      <w:ind w:firstLine="420" w:firstLineChars="200"/>
    </w:pPr>
  </w:style>
  <w:style w:type="paragraph" w:styleId="6">
    <w:name w:val="Body Text"/>
    <w:basedOn w:val="1"/>
    <w:next w:val="1"/>
    <w:link w:val="19"/>
    <w:qFormat/>
    <w:uiPriority w:val="1"/>
    <w:pPr>
      <w:ind w:firstLine="200" w:firstLineChars="200"/>
      <w:jc w:val="both"/>
    </w:pPr>
    <w:rPr>
      <w:rFonts w:ascii="Microsoft YaHei UI" w:hAnsi="Microsoft YaHei UI" w:eastAsia="Microsoft YaHei UI"/>
      <w:sz w:val="21"/>
      <w:szCs w:val="21"/>
    </w:rPr>
  </w:style>
  <w:style w:type="paragraph" w:styleId="7">
    <w:name w:val="toc 3"/>
    <w:basedOn w:val="1"/>
    <w:next w:val="1"/>
    <w:unhideWhenUsed/>
    <w:qFormat/>
    <w:uiPriority w:val="39"/>
    <w:pPr>
      <w:widowControl/>
      <w:spacing w:after="100" w:line="259" w:lineRule="auto"/>
      <w:ind w:left="440"/>
    </w:pPr>
    <w:rPr>
      <w:rFonts w:cs="Times New Roman"/>
      <w:lang w:eastAsia="zh-CN"/>
    </w:rPr>
  </w:style>
  <w:style w:type="paragraph" w:styleId="8">
    <w:name w:val="Balloon Text"/>
    <w:basedOn w:val="1"/>
    <w:link w:val="29"/>
    <w:semiHidden/>
    <w:unhideWhenUsed/>
    <w:qFormat/>
    <w:uiPriority w:val="99"/>
    <w:rPr>
      <w:sz w:val="18"/>
      <w:szCs w:val="18"/>
    </w:rPr>
  </w:style>
  <w:style w:type="paragraph" w:styleId="9">
    <w:name w:val="header"/>
    <w:basedOn w:val="1"/>
    <w:link w:val="2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59" w:lineRule="auto"/>
    </w:pPr>
    <w:rPr>
      <w:rFonts w:cs="Times New Roman"/>
      <w:lang w:eastAsia="zh-CN"/>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2">
    <w:name w:val="Body Text First Indent"/>
    <w:basedOn w:val="6"/>
    <w:qFormat/>
    <w:uiPriority w:val="99"/>
    <w:pPr>
      <w:widowControl/>
      <w:adjustRightInd w:val="0"/>
      <w:snapToGrid w:val="0"/>
      <w:ind w:firstLine="420" w:firstLineChars="100"/>
      <w:jc w:val="left"/>
    </w:pPr>
    <w:rPr>
      <w:sz w:val="22"/>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Hyperlink"/>
    <w:basedOn w:val="15"/>
    <w:semiHidden/>
    <w:unhideWhenUsed/>
    <w:qFormat/>
    <w:uiPriority w:val="99"/>
    <w:rPr>
      <w:color w:val="0000FF"/>
      <w:u w:val="single"/>
    </w:rPr>
  </w:style>
  <w:style w:type="character" w:customStyle="1" w:styleId="17">
    <w:name w:val="标题 2 字符"/>
    <w:basedOn w:val="15"/>
    <w:link w:val="4"/>
    <w:qFormat/>
    <w:uiPriority w:val="1"/>
    <w:rPr>
      <w:rFonts w:ascii="Microsoft YaHei UI" w:hAnsi="Microsoft YaHei UI" w:eastAsia="Microsoft YaHei UI"/>
      <w:spacing w:val="2"/>
      <w:kern w:val="0"/>
      <w:sz w:val="32"/>
      <w:szCs w:val="32"/>
    </w:rPr>
  </w:style>
  <w:style w:type="table" w:customStyle="1" w:styleId="18">
    <w:name w:val="Table Normal"/>
    <w:semiHidden/>
    <w:unhideWhenUsed/>
    <w:qFormat/>
    <w:uiPriority w:val="2"/>
    <w:pPr>
      <w:widowControl w:val="0"/>
    </w:pPr>
    <w:rPr>
      <w:sz w:val="22"/>
      <w:lang w:eastAsia="en-US"/>
    </w:rPr>
    <w:tblPr>
      <w:tblCellMar>
        <w:top w:w="0" w:type="dxa"/>
        <w:left w:w="0" w:type="dxa"/>
        <w:bottom w:w="0" w:type="dxa"/>
        <w:right w:w="0" w:type="dxa"/>
      </w:tblCellMar>
    </w:tblPr>
  </w:style>
  <w:style w:type="character" w:customStyle="1" w:styleId="19">
    <w:name w:val="正文文本 字符"/>
    <w:basedOn w:val="15"/>
    <w:link w:val="6"/>
    <w:qFormat/>
    <w:uiPriority w:val="1"/>
    <w:rPr>
      <w:rFonts w:ascii="Microsoft YaHei UI" w:hAnsi="Microsoft YaHei UI" w:eastAsia="Microsoft YaHei UI"/>
      <w:kern w:val="0"/>
      <w:szCs w:val="21"/>
      <w:lang w:eastAsia="en-US"/>
    </w:rPr>
  </w:style>
  <w:style w:type="paragraph" w:customStyle="1" w:styleId="20">
    <w:name w:val="正文_0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21">
    <w:name w:val="Table Paragraph"/>
    <w:basedOn w:val="1"/>
    <w:qFormat/>
    <w:uiPriority w:val="1"/>
  </w:style>
  <w:style w:type="paragraph" w:customStyle="1" w:styleId="22">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3">
    <w:name w:val="标题 1 字符"/>
    <w:basedOn w:val="15"/>
    <w:link w:val="3"/>
    <w:qFormat/>
    <w:uiPriority w:val="0"/>
    <w:rPr>
      <w:rFonts w:ascii="Times New Roman" w:hAnsi="Times New Roman" w:eastAsia="宋体" w:cs="Times New Roman"/>
      <w:b/>
      <w:bCs/>
      <w:kern w:val="44"/>
      <w:sz w:val="44"/>
      <w:szCs w:val="44"/>
      <w:lang w:val="zh-CN" w:eastAsia="zh-CN"/>
    </w:rPr>
  </w:style>
  <w:style w:type="paragraph" w:styleId="24">
    <w:name w:val="List Paragraph"/>
    <w:basedOn w:val="1"/>
    <w:qFormat/>
    <w:uiPriority w:val="34"/>
    <w:pPr>
      <w:ind w:firstLine="420" w:firstLineChars="200"/>
    </w:pPr>
  </w:style>
  <w:style w:type="paragraph" w:customStyle="1" w:styleId="25">
    <w:name w:val="列出段落1"/>
    <w:basedOn w:val="1"/>
    <w:qFormat/>
    <w:uiPriority w:val="34"/>
    <w:pPr>
      <w:ind w:firstLine="420" w:firstLineChars="200"/>
      <w:jc w:val="both"/>
    </w:pPr>
    <w:rPr>
      <w:rFonts w:ascii="Calibri" w:hAnsi="Calibri" w:eastAsia="宋体" w:cs="Times New Roman"/>
      <w:kern w:val="2"/>
      <w:sz w:val="21"/>
      <w:lang w:eastAsia="zh-CN"/>
    </w:rPr>
  </w:style>
  <w:style w:type="paragraph" w:customStyle="1" w:styleId="26">
    <w:name w:val="设计正文2"/>
    <w:basedOn w:val="1"/>
    <w:qFormat/>
    <w:uiPriority w:val="0"/>
    <w:pPr>
      <w:snapToGrid w:val="0"/>
      <w:spacing w:before="160" w:line="320" w:lineRule="atLeast"/>
      <w:jc w:val="both"/>
    </w:pPr>
    <w:rPr>
      <w:rFonts w:ascii="Times New Roman" w:hAnsi="Times New Roman" w:eastAsia="宋体" w:cs="Times New Roman"/>
      <w:kern w:val="2"/>
      <w:sz w:val="24"/>
      <w:szCs w:val="20"/>
      <w:lang w:eastAsia="zh-CN"/>
    </w:rPr>
  </w:style>
  <w:style w:type="character" w:customStyle="1" w:styleId="27">
    <w:name w:val="页眉 字符"/>
    <w:basedOn w:val="15"/>
    <w:link w:val="9"/>
    <w:qFormat/>
    <w:uiPriority w:val="99"/>
    <w:rPr>
      <w:kern w:val="0"/>
      <w:sz w:val="18"/>
      <w:szCs w:val="18"/>
      <w:lang w:eastAsia="en-US"/>
    </w:rPr>
  </w:style>
  <w:style w:type="character" w:customStyle="1" w:styleId="28">
    <w:name w:val="页脚 字符"/>
    <w:basedOn w:val="15"/>
    <w:link w:val="2"/>
    <w:qFormat/>
    <w:uiPriority w:val="99"/>
    <w:rPr>
      <w:kern w:val="0"/>
      <w:sz w:val="18"/>
      <w:szCs w:val="18"/>
      <w:lang w:eastAsia="en-US"/>
    </w:rPr>
  </w:style>
  <w:style w:type="character" w:customStyle="1" w:styleId="29">
    <w:name w:val="批注框文本 字符"/>
    <w:basedOn w:val="15"/>
    <w:link w:val="8"/>
    <w:semiHidden/>
    <w:qFormat/>
    <w:uiPriority w:val="99"/>
    <w:rPr>
      <w:kern w:val="0"/>
      <w:sz w:val="18"/>
      <w:szCs w:val="18"/>
      <w:lang w:eastAsia="en-US"/>
    </w:rPr>
  </w:style>
  <w:style w:type="character" w:customStyle="1" w:styleId="30">
    <w:name w:val="font41"/>
    <w:basedOn w:val="15"/>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4824</Words>
  <Characters>5298</Characters>
  <Lines>13</Lines>
  <Paragraphs>3</Paragraphs>
  <TotalTime>39</TotalTime>
  <ScaleCrop>false</ScaleCrop>
  <LinksUpToDate>false</LinksUpToDate>
  <CharactersWithSpaces>5490</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2019-08-21T07:58:00Z</dcterms:created>
  <dc:creator>ex_WANGDP</dc:creator>
  <cp:lastModifiedBy>ex_WANGDP</cp:lastModifiedBy>
  <cp:lastPrinted>2025-05-26T08:46:00Z</cp:lastPrinted>
  <dcterms:modified xsi:type="dcterms:W3CDTF">2025-06-17T08:15:12Z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7309199AE81343309A6A8D90E202A530</vt:lpwstr>
  </property>
  <property fmtid="{D5CDD505-2E9C-101B-9397-08002B2CF9AE}" pid="4" name="KSOTemplateDocerSaveRecord">
    <vt:lpwstr>eyJoZGlkIjoiMzEwNTM5NzYwMDRjMzkwZTVkZjY2ODkwMGIxNGU0OTUiLCJ1c2VySWQiOiIzMjc3MzE2MjkifQ==</vt:lpwstr>
  </property>
</Properties>
</file>