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CD" w:rsidRDefault="0028236B">
      <w:pPr>
        <w:pStyle w:val="1"/>
        <w:jc w:val="center"/>
      </w:pPr>
      <w:r>
        <w:t xml:space="preserve">KKSG </w:t>
      </w:r>
      <w:r>
        <w:t>矿用一般型干式变压器技术要求</w:t>
      </w:r>
    </w:p>
    <w:tbl>
      <w:tblPr>
        <w:tblW w:w="0" w:type="auto"/>
        <w:tblInd w:w="45" w:type="dxa"/>
        <w:tblLook w:val="04A0" w:firstRow="1" w:lastRow="0" w:firstColumn="1" w:lastColumn="0" w:noHBand="0" w:noVBand="1"/>
      </w:tblPr>
      <w:tblGrid>
        <w:gridCol w:w="578"/>
        <w:gridCol w:w="1085"/>
        <w:gridCol w:w="1129"/>
        <w:gridCol w:w="1917"/>
        <w:gridCol w:w="1482"/>
        <w:gridCol w:w="1221"/>
        <w:gridCol w:w="1043"/>
        <w:gridCol w:w="516"/>
      </w:tblGrid>
      <w:tr w:rsidR="00CF68CD">
        <w:trPr>
          <w:trHeight w:val="7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68CD" w:rsidRDefault="0028236B">
            <w:pPr>
              <w:pStyle w:val="3"/>
            </w:pPr>
            <w:r>
              <w:rPr>
                <w:rFonts w:ascii="等线" w:hAnsi="等线"/>
              </w:rPr>
              <w:t>产品规格明细</w:t>
            </w:r>
          </w:p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48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序号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产品名称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型号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输入输出电压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外形形状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规格类型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额定容量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备注</w:t>
            </w: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 xml:space="preserve">KKSG 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矿用一般型干式变压器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5kVA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AC380V/220V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5kVA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2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AC380V/36V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5kVA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AC220V/36V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5kVA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4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10kVA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AC380V/220V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方形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两相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10kVA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5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AC380V/36V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方形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两相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10kVA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6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AC220V/36V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10kVA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7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15kVA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AC380V/220V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15kVA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8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AC380V/36V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15kVA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9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AC220V/36V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15kVA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10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30kVA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AC1140V/380V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30kVA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11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AC380V/220V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 xml:space="preserve"> / </w:t>
            </w: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方形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 xml:space="preserve"> / </w:t>
            </w: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两相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30kVA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12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AC380V/36V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30kVA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  <w:tr w:rsidR="00CF68CD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13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8CD" w:rsidRDefault="00CF68CD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AC220V/36V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圆形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三相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Pr="0028236B" w:rsidRDefault="0028236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28236B">
              <w:rPr>
                <w:rFonts w:ascii="宋体" w:eastAsia="宋体" w:hAnsi="宋体" w:cs="宋体" w:hint="eastAsia"/>
                <w:color w:val="000000"/>
                <w:sz w:val="21"/>
              </w:rPr>
              <w:t>30kVA</w:t>
            </w:r>
            <w:bookmarkStart w:id="0" w:name="_GoBack"/>
            <w:bookmarkEnd w:id="0"/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68CD" w:rsidRDefault="00CF68C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</w:tr>
    </w:tbl>
    <w:p w:rsidR="00CF68CD" w:rsidRDefault="0028236B">
      <w:pPr>
        <w:pStyle w:val="2"/>
      </w:pPr>
      <w:r>
        <w:t>一、总则</w:t>
      </w:r>
    </w:p>
    <w:p w:rsidR="00CF68CD" w:rsidRDefault="0028236B">
      <w:pPr>
        <w:pStyle w:val="20"/>
      </w:pPr>
      <w:r>
        <w:t>本技术要求适用于矿井无甲烷、无煤尘爆炸性环境中使用的</w:t>
      </w:r>
      <w:r>
        <w:t xml:space="preserve"> KKSG </w:t>
      </w:r>
      <w:r>
        <w:t>矿用一般型干式变压器（以下简称</w:t>
      </w:r>
      <w:r>
        <w:t xml:space="preserve"> “</w:t>
      </w:r>
      <w:r>
        <w:t>变压器</w:t>
      </w:r>
      <w:r>
        <w:t>”</w:t>
      </w:r>
      <w:r>
        <w:t>），设备须符合以下国家标准（包括但不限于）：</w:t>
      </w:r>
    </w:p>
    <w:p w:rsidR="00CF68CD" w:rsidRDefault="0028236B">
      <w:pPr>
        <w:pStyle w:val="20"/>
        <w:numPr>
          <w:ilvl w:val="0"/>
          <w:numId w:val="1"/>
        </w:numPr>
      </w:pPr>
      <w:r>
        <w:t>GB/T 12173-2008</w:t>
      </w:r>
      <w:r>
        <w:t>《矿用一般型电气设备》</w:t>
      </w:r>
    </w:p>
    <w:p w:rsidR="00CF68CD" w:rsidRDefault="0028236B">
      <w:pPr>
        <w:pStyle w:val="20"/>
        <w:numPr>
          <w:ilvl w:val="0"/>
          <w:numId w:val="1"/>
        </w:numPr>
      </w:pPr>
      <w:r>
        <w:t>GB 1094.11-2007</w:t>
      </w:r>
      <w:r>
        <w:t>《干式电力变压器》</w:t>
      </w:r>
    </w:p>
    <w:p w:rsidR="00CF68CD" w:rsidRDefault="0028236B">
      <w:pPr>
        <w:pStyle w:val="20"/>
        <w:numPr>
          <w:ilvl w:val="0"/>
          <w:numId w:val="1"/>
        </w:numPr>
      </w:pPr>
      <w:r>
        <w:t>GB/T 10228-2015</w:t>
      </w:r>
      <w:r>
        <w:t>《干式电力变压器技术参数和要求》</w:t>
      </w:r>
    </w:p>
    <w:p w:rsidR="00CF68CD" w:rsidRDefault="0028236B">
      <w:pPr>
        <w:pStyle w:val="20"/>
        <w:numPr>
          <w:ilvl w:val="0"/>
          <w:numId w:val="1"/>
        </w:numPr>
      </w:pPr>
      <w:r>
        <w:t>GB 1094.1-2013</w:t>
      </w:r>
      <w:r>
        <w:t>《电力变压器</w:t>
      </w:r>
      <w:r>
        <w:t xml:space="preserve"> </w:t>
      </w:r>
      <w:r>
        <w:t>第</w:t>
      </w:r>
      <w:r>
        <w:t xml:space="preserve"> 1 </w:t>
      </w:r>
      <w:r>
        <w:t>部分：总则》</w:t>
      </w:r>
    </w:p>
    <w:p w:rsidR="00CF68CD" w:rsidRDefault="0028236B">
      <w:pPr>
        <w:pStyle w:val="20"/>
        <w:numPr>
          <w:ilvl w:val="0"/>
          <w:numId w:val="1"/>
        </w:numPr>
      </w:pPr>
      <w:r>
        <w:t>GB 1094.5-2016</w:t>
      </w:r>
      <w:r>
        <w:t>《电力变压器</w:t>
      </w:r>
      <w:r>
        <w:t xml:space="preserve"> </w:t>
      </w:r>
      <w:r>
        <w:t>第</w:t>
      </w:r>
      <w:r>
        <w:t xml:space="preserve"> 5 </w:t>
      </w:r>
      <w:r>
        <w:t>部分：承受短路的能力》</w:t>
      </w:r>
    </w:p>
    <w:p w:rsidR="00CF68CD" w:rsidRDefault="0028236B">
      <w:pPr>
        <w:pStyle w:val="20"/>
        <w:numPr>
          <w:ilvl w:val="0"/>
          <w:numId w:val="1"/>
        </w:numPr>
      </w:pPr>
      <w:r>
        <w:t xml:space="preserve">GB </w:t>
      </w:r>
      <w:r>
        <w:t>3836.1-2010</w:t>
      </w:r>
      <w:r>
        <w:t>《爆炸性环境</w:t>
      </w:r>
      <w:r>
        <w:t xml:space="preserve"> </w:t>
      </w:r>
      <w:r>
        <w:t>第</w:t>
      </w:r>
      <w:r>
        <w:t xml:space="preserve"> 1 </w:t>
      </w:r>
      <w:r>
        <w:t>部分：设备</w:t>
      </w:r>
      <w:r>
        <w:t xml:space="preserve"> </w:t>
      </w:r>
      <w:r>
        <w:t>通用要求》</w:t>
      </w:r>
    </w:p>
    <w:p w:rsidR="00CF68CD" w:rsidRDefault="0028236B">
      <w:pPr>
        <w:pStyle w:val="2"/>
      </w:pPr>
      <w:r>
        <w:lastRenderedPageBreak/>
        <w:t>二、使用条件要求</w:t>
      </w:r>
    </w:p>
    <w:p w:rsidR="00CF68CD" w:rsidRDefault="0028236B">
      <w:pPr>
        <w:pStyle w:val="20"/>
        <w:numPr>
          <w:ilvl w:val="0"/>
          <w:numId w:val="2"/>
        </w:numPr>
      </w:pPr>
      <w:r>
        <w:rPr>
          <w:b/>
          <w:bCs/>
        </w:rPr>
        <w:t>海拔与绝缘修正</w:t>
      </w:r>
      <w:r>
        <w:t>：正常使用海拔</w:t>
      </w:r>
      <w:r>
        <w:t>≤1000m</w:t>
      </w:r>
      <w:r>
        <w:t>；若使用地点海拔</w:t>
      </w:r>
      <w:r>
        <w:t xml:space="preserve"> 1000~3000m</w:t>
      </w:r>
      <w:r>
        <w:t>，需按</w:t>
      </w:r>
      <w:r>
        <w:t xml:space="preserve"> “</w:t>
      </w:r>
      <w:r>
        <w:t>每超</w:t>
      </w:r>
      <w:r>
        <w:t xml:space="preserve"> 500m</w:t>
      </w:r>
      <w:r>
        <w:t>，额定短时工频耐受电压增加</w:t>
      </w:r>
      <w:r>
        <w:t xml:space="preserve"> 6.25%” </w:t>
      </w:r>
      <w:r>
        <w:t>修正绝缘强度，确保运行安全。</w:t>
      </w:r>
    </w:p>
    <w:p w:rsidR="00CF68CD" w:rsidRDefault="0028236B">
      <w:pPr>
        <w:pStyle w:val="20"/>
        <w:numPr>
          <w:ilvl w:val="0"/>
          <w:numId w:val="2"/>
        </w:numPr>
      </w:pPr>
      <w:r>
        <w:rPr>
          <w:b/>
          <w:bCs/>
        </w:rPr>
        <w:t>环境温度</w:t>
      </w:r>
      <w:r>
        <w:t>：工作环境温度</w:t>
      </w:r>
      <w:r>
        <w:t xml:space="preserve"> - 20℃~+40℃</w:t>
      </w:r>
      <w:r>
        <w:t>，且</w:t>
      </w:r>
      <w:r>
        <w:t xml:space="preserve"> 24h </w:t>
      </w:r>
      <w:r>
        <w:t>平均温度</w:t>
      </w:r>
      <w:r>
        <w:t>≤+35℃</w:t>
      </w:r>
      <w:r>
        <w:t>，无极端温度骤变。</w:t>
      </w:r>
    </w:p>
    <w:p w:rsidR="00CF68CD" w:rsidRDefault="0028236B">
      <w:pPr>
        <w:pStyle w:val="20"/>
        <w:numPr>
          <w:ilvl w:val="0"/>
          <w:numId w:val="2"/>
        </w:numPr>
      </w:pPr>
      <w:r>
        <w:rPr>
          <w:b/>
          <w:bCs/>
        </w:rPr>
        <w:t>湿度与凝露</w:t>
      </w:r>
      <w:r>
        <w:t>：空气相对湿度</w:t>
      </w:r>
      <w:r>
        <w:t>≤95%</w:t>
      </w:r>
      <w:r>
        <w:t>（</w:t>
      </w:r>
      <w:r>
        <w:t>+25℃</w:t>
      </w:r>
      <w:r>
        <w:t>时），设备运行环境无凝露，避免绝缘受潮。</w:t>
      </w:r>
    </w:p>
    <w:p w:rsidR="00CF68CD" w:rsidRDefault="0028236B">
      <w:pPr>
        <w:pStyle w:val="20"/>
        <w:numPr>
          <w:ilvl w:val="0"/>
          <w:numId w:val="2"/>
        </w:numPr>
      </w:pPr>
      <w:r>
        <w:rPr>
          <w:b/>
          <w:bCs/>
        </w:rPr>
        <w:t>环境介质</w:t>
      </w:r>
      <w:r>
        <w:t>：无破坏绝缘的腐蚀性气体、蒸汽及导电尘埃，且用于无甲烷、无煤尘爆</w:t>
      </w:r>
      <w:r>
        <w:t>炸性的矿井井下或地面辅助硐室。</w:t>
      </w:r>
    </w:p>
    <w:p w:rsidR="00CF68CD" w:rsidRDefault="0028236B">
      <w:pPr>
        <w:pStyle w:val="20"/>
        <w:numPr>
          <w:ilvl w:val="0"/>
          <w:numId w:val="2"/>
        </w:numPr>
      </w:pPr>
      <w:r>
        <w:rPr>
          <w:b/>
          <w:bCs/>
        </w:rPr>
        <w:t>振动与冲击</w:t>
      </w:r>
      <w:r>
        <w:t>：能承受频率</w:t>
      </w:r>
      <w:r>
        <w:t xml:space="preserve"> 10~50Hz</w:t>
      </w:r>
      <w:r>
        <w:t>、加速度</w:t>
      </w:r>
      <w:r>
        <w:t xml:space="preserve">≤0.5g </w:t>
      </w:r>
      <w:r>
        <w:t>的矿井常规振动，及冲击能量</w:t>
      </w:r>
      <w:r>
        <w:t xml:space="preserve"> 1J</w:t>
      </w:r>
      <w:r>
        <w:t>（沿</w:t>
      </w:r>
      <w:r>
        <w:t xml:space="preserve"> X/Y/Z </w:t>
      </w:r>
      <w:r>
        <w:t>轴各</w:t>
      </w:r>
      <w:r>
        <w:t xml:space="preserve"> 3 </w:t>
      </w:r>
      <w:r>
        <w:t>次）的轻微冲击，冲击后无结构变形、绝缘失效。</w:t>
      </w:r>
    </w:p>
    <w:p w:rsidR="00CF68CD" w:rsidRDefault="0028236B">
      <w:pPr>
        <w:pStyle w:val="2"/>
      </w:pPr>
      <w:r>
        <w:t>三、核心性能要求</w:t>
      </w:r>
    </w:p>
    <w:p w:rsidR="00CF68CD" w:rsidRDefault="0028236B">
      <w:pPr>
        <w:pStyle w:val="3"/>
      </w:pPr>
      <w:r>
        <w:t>（一）电气性能</w:t>
      </w:r>
    </w:p>
    <w:p w:rsidR="00CF68CD" w:rsidRDefault="0028236B">
      <w:pPr>
        <w:pStyle w:val="20"/>
        <w:numPr>
          <w:ilvl w:val="0"/>
          <w:numId w:val="3"/>
        </w:numPr>
      </w:pPr>
      <w:r>
        <w:rPr>
          <w:b/>
          <w:bCs/>
        </w:rPr>
        <w:t>变压比与分接</w:t>
      </w:r>
      <w:r>
        <w:t>：额定分接下变压比偏差</w:t>
      </w:r>
      <w:r>
        <w:t>≤±0.5%</w:t>
      </w:r>
      <w:r>
        <w:t>（三相平均）；一次绕组分接范围</w:t>
      </w:r>
      <w:r>
        <w:t xml:space="preserve"> ±5%</w:t>
      </w:r>
      <w:r>
        <w:t>，设</w:t>
      </w:r>
      <w:r>
        <w:t xml:space="preserve"> 3 </w:t>
      </w:r>
      <w:r>
        <w:t>个档位（</w:t>
      </w:r>
      <w:r>
        <w:t xml:space="preserve">+5%/ </w:t>
      </w:r>
      <w:r>
        <w:t>额定</w:t>
      </w:r>
      <w:r>
        <w:t xml:space="preserve"> /-5%</w:t>
      </w:r>
      <w:r>
        <w:t>），采用无励磁分接开关，操作灵活、接触可靠。</w:t>
      </w:r>
    </w:p>
    <w:p w:rsidR="00CF68CD" w:rsidRDefault="0028236B">
      <w:pPr>
        <w:pStyle w:val="20"/>
        <w:numPr>
          <w:ilvl w:val="0"/>
          <w:numId w:val="3"/>
        </w:numPr>
      </w:pPr>
      <w:r>
        <w:rPr>
          <w:b/>
          <w:bCs/>
        </w:rPr>
        <w:t>直流电阻</w:t>
      </w:r>
      <w:r>
        <w:t>：三相绕组线直流电阻不平衡率</w:t>
      </w:r>
      <w:r>
        <w:t>≤5%</w:t>
      </w:r>
      <w:r>
        <w:t>，</w:t>
      </w:r>
      <w:r>
        <w:t xml:space="preserve">Y </w:t>
      </w:r>
      <w:r>
        <w:t>联结绕组相直流电阻不平衡率</w:t>
      </w:r>
      <w:r>
        <w:t>≤2%</w:t>
      </w:r>
      <w:r>
        <w:t>（同温下测量）。</w:t>
      </w:r>
    </w:p>
    <w:p w:rsidR="00CF68CD" w:rsidRDefault="0028236B">
      <w:pPr>
        <w:pStyle w:val="20"/>
        <w:numPr>
          <w:ilvl w:val="0"/>
          <w:numId w:val="3"/>
        </w:numPr>
      </w:pPr>
      <w:r>
        <w:rPr>
          <w:b/>
          <w:bCs/>
        </w:rPr>
        <w:t>损耗控制</w:t>
      </w:r>
      <w:r>
        <w:t>：空载损耗、负载损耗需符合</w:t>
      </w:r>
      <w:r>
        <w:t xml:space="preserve"> GB/T 10228-2015 </w:t>
      </w:r>
      <w:r>
        <w:t>表</w:t>
      </w:r>
      <w:r>
        <w:t xml:space="preserve"> 1 </w:t>
      </w:r>
      <w:r>
        <w:t>要求（如</w:t>
      </w:r>
      <w:r>
        <w:t xml:space="preserve"> 100kVA </w:t>
      </w:r>
      <w:r>
        <w:t>变压器空载损耗</w:t>
      </w:r>
      <w:r>
        <w:t>≤320W</w:t>
      </w:r>
      <w:r>
        <w:t>、负载损耗</w:t>
      </w:r>
      <w:r>
        <w:t>≤1200W</w:t>
      </w:r>
      <w:r>
        <w:t>）；额定电压下空载电流</w:t>
      </w:r>
      <w:r>
        <w:t>≤4%</w:t>
      </w:r>
      <w:r>
        <w:t>（额定容量</w:t>
      </w:r>
      <w:r>
        <w:t xml:space="preserve">≤200kVA </w:t>
      </w:r>
      <w:r>
        <w:t>时）。</w:t>
      </w:r>
    </w:p>
    <w:p w:rsidR="00CF68CD" w:rsidRDefault="0028236B">
      <w:pPr>
        <w:pStyle w:val="20"/>
        <w:numPr>
          <w:ilvl w:val="0"/>
          <w:numId w:val="3"/>
        </w:numPr>
      </w:pPr>
      <w:r>
        <w:rPr>
          <w:b/>
          <w:bCs/>
        </w:rPr>
        <w:t>绝缘性能</w:t>
      </w:r>
      <w:r>
        <w:t>：</w:t>
      </w:r>
    </w:p>
    <w:p w:rsidR="00CF68CD" w:rsidRDefault="0028236B">
      <w:pPr>
        <w:pStyle w:val="20"/>
        <w:numPr>
          <w:ilvl w:val="1"/>
          <w:numId w:val="4"/>
        </w:numPr>
      </w:pPr>
      <w:r>
        <w:t>绝缘等级不低于</w:t>
      </w:r>
      <w:r>
        <w:t xml:space="preserve"> F </w:t>
      </w:r>
      <w:r>
        <w:t>级（绕组绝缘材料耐温</w:t>
      </w:r>
      <w:r>
        <w:t xml:space="preserve"> 155℃</w:t>
      </w:r>
      <w:r>
        <w:t>）；</w:t>
      </w:r>
    </w:p>
    <w:p w:rsidR="00CF68CD" w:rsidRDefault="0028236B">
      <w:pPr>
        <w:pStyle w:val="20"/>
        <w:numPr>
          <w:ilvl w:val="1"/>
          <w:numId w:val="4"/>
        </w:numPr>
      </w:pPr>
      <w:r>
        <w:t>常温下，一次绕组对二次绕组及地绝缘电阻</w:t>
      </w:r>
      <w:r>
        <w:t>≥1000MΩ</w:t>
      </w:r>
      <w:r>
        <w:t>（</w:t>
      </w:r>
      <w:r>
        <w:t xml:space="preserve">2500V </w:t>
      </w:r>
      <w:r>
        <w:t>兆欧表），二次绕组对地绝缘电阻</w:t>
      </w:r>
      <w:r>
        <w:t>≥500MΩ</w:t>
      </w:r>
      <w:r>
        <w:t>（</w:t>
      </w:r>
      <w:r>
        <w:t xml:space="preserve">2500V </w:t>
      </w:r>
      <w:r>
        <w:t>兆欧表）；</w:t>
      </w:r>
    </w:p>
    <w:p w:rsidR="00CF68CD" w:rsidRDefault="0028236B">
      <w:pPr>
        <w:pStyle w:val="20"/>
        <w:numPr>
          <w:ilvl w:val="1"/>
          <w:numId w:val="4"/>
        </w:numPr>
      </w:pPr>
      <w:r>
        <w:t>能通过</w:t>
      </w:r>
      <w:r>
        <w:t xml:space="preserve"> 4 </w:t>
      </w:r>
      <w:r>
        <w:t>倍额定频率（</w:t>
      </w:r>
      <w:r>
        <w:t>150~200Hz</w:t>
      </w:r>
      <w:r>
        <w:t>）、</w:t>
      </w:r>
      <w:r>
        <w:t xml:space="preserve">4 </w:t>
      </w:r>
      <w:r>
        <w:t>倍额定电压（一次侧）持续</w:t>
      </w:r>
      <w:r>
        <w:t xml:space="preserve"> 30s </w:t>
      </w:r>
      <w:r>
        <w:t>的感应耐压试验，无闪络、击</w:t>
      </w:r>
      <w:r>
        <w:t>穿现象。</w:t>
      </w:r>
    </w:p>
    <w:p w:rsidR="00CF68CD" w:rsidRDefault="0028236B">
      <w:pPr>
        <w:pStyle w:val="20"/>
        <w:numPr>
          <w:ilvl w:val="0"/>
          <w:numId w:val="5"/>
        </w:numPr>
      </w:pPr>
      <w:r>
        <w:rPr>
          <w:b/>
          <w:bCs/>
        </w:rPr>
        <w:t>短路承受能力</w:t>
      </w:r>
      <w:r>
        <w:t>：一次侧额定短时耐受电流</w:t>
      </w:r>
      <w:r>
        <w:t>≥25kA</w:t>
      </w:r>
      <w:r>
        <w:t>（持续</w:t>
      </w:r>
      <w:r>
        <w:t xml:space="preserve"> 2s</w:t>
      </w:r>
      <w:r>
        <w:t>）、额定峰值耐受电流</w:t>
      </w:r>
      <w:r>
        <w:t>≥63kA</w:t>
      </w:r>
      <w:r>
        <w:t>；二次侧额定短时耐受电流</w:t>
      </w:r>
      <w:r>
        <w:t>≥63kA</w:t>
      </w:r>
      <w:r>
        <w:t>（持续</w:t>
      </w:r>
      <w:r>
        <w:t xml:space="preserve"> 2s</w:t>
      </w:r>
      <w:r>
        <w:t>）、额定峰值耐受电流</w:t>
      </w:r>
      <w:r>
        <w:t>≥160kA</w:t>
      </w:r>
      <w:r>
        <w:t>，短路后绕组无变形、位移，绝缘性能无下降。</w:t>
      </w:r>
    </w:p>
    <w:p w:rsidR="00CF68CD" w:rsidRDefault="0028236B">
      <w:pPr>
        <w:pStyle w:val="3"/>
      </w:pPr>
      <w:r>
        <w:t>（二）温升与冷却</w:t>
      </w:r>
    </w:p>
    <w:p w:rsidR="00CF68CD" w:rsidRDefault="0028236B">
      <w:pPr>
        <w:pStyle w:val="20"/>
        <w:numPr>
          <w:ilvl w:val="0"/>
          <w:numId w:val="6"/>
        </w:numPr>
      </w:pPr>
      <w:r>
        <w:rPr>
          <w:b/>
          <w:bCs/>
        </w:rPr>
        <w:lastRenderedPageBreak/>
        <w:t>温升限值</w:t>
      </w:r>
      <w:r>
        <w:t>：</w:t>
      </w:r>
      <w:r>
        <w:t xml:space="preserve">F </w:t>
      </w:r>
      <w:r>
        <w:t>级绝缘下，绕组温升</w:t>
      </w:r>
      <w:r>
        <w:t>≤100K</w:t>
      </w:r>
      <w:r>
        <w:t>，铁芯表面温升</w:t>
      </w:r>
      <w:r>
        <w:t>≤80K</w:t>
      </w:r>
      <w:r>
        <w:t>（以环境温度</w:t>
      </w:r>
      <w:r>
        <w:t xml:space="preserve"> + 40℃</w:t>
      </w:r>
      <w:r>
        <w:t>为基准）。</w:t>
      </w:r>
    </w:p>
    <w:p w:rsidR="00CF68CD" w:rsidRDefault="0028236B">
      <w:pPr>
        <w:pStyle w:val="20"/>
        <w:numPr>
          <w:ilvl w:val="0"/>
          <w:numId w:val="6"/>
        </w:numPr>
      </w:pPr>
      <w:r>
        <w:rPr>
          <w:b/>
          <w:bCs/>
        </w:rPr>
        <w:t>冷却方式</w:t>
      </w:r>
      <w:r>
        <w:t>：采用自然空气冷却（</w:t>
      </w:r>
      <w:r>
        <w:t>AN</w:t>
      </w:r>
      <w:r>
        <w:t>），冷却介质为清洁空气；环境风速</w:t>
      </w:r>
      <w:r>
        <w:t xml:space="preserve">≥0.2m/s </w:t>
      </w:r>
      <w:r>
        <w:t>时，需满足温升限值要求，外壳通风孔面积</w:t>
      </w:r>
      <w:r>
        <w:t>≥</w:t>
      </w:r>
      <w:r>
        <w:t>外壳表面积</w:t>
      </w:r>
      <w:r>
        <w:t xml:space="preserve"> 15%</w:t>
      </w:r>
      <w:r>
        <w:t>，内置</w:t>
      </w:r>
      <w:r>
        <w:t xml:space="preserve">≤1mm </w:t>
      </w:r>
      <w:r>
        <w:t>网孔的防尘网。</w:t>
      </w:r>
    </w:p>
    <w:p w:rsidR="00CF68CD" w:rsidRDefault="0028236B">
      <w:pPr>
        <w:pStyle w:val="2"/>
      </w:pPr>
      <w:r>
        <w:t>四、</w:t>
      </w:r>
      <w:r>
        <w:t>结构设计要求</w:t>
      </w:r>
    </w:p>
    <w:p w:rsidR="00CF68CD" w:rsidRDefault="0028236B">
      <w:pPr>
        <w:pStyle w:val="3"/>
      </w:pPr>
      <w:r>
        <w:t>（一）绕组与铁芯</w:t>
      </w:r>
    </w:p>
    <w:p w:rsidR="00CF68CD" w:rsidRDefault="0028236B">
      <w:pPr>
        <w:pStyle w:val="20"/>
        <w:numPr>
          <w:ilvl w:val="0"/>
          <w:numId w:val="7"/>
        </w:numPr>
      </w:pPr>
      <w:r>
        <w:rPr>
          <w:b/>
          <w:bCs/>
        </w:rPr>
        <w:t>绕组</w:t>
      </w:r>
      <w:r>
        <w:t>：导线采用纯度</w:t>
      </w:r>
      <w:r>
        <w:t xml:space="preserve">≥99.95% </w:t>
      </w:r>
      <w:r>
        <w:t>的高导电率无氧铜，无裂纹、氧化缺陷；绕组经真空浸漆（</w:t>
      </w:r>
      <w:r>
        <w:t>VPI</w:t>
      </w:r>
      <w:r>
        <w:t>）处理，绝缘层厚度均匀（</w:t>
      </w:r>
      <w:r>
        <w:t>≥0.3mm</w:t>
      </w:r>
      <w:r>
        <w:t>），确保耐潮性与绝缘均匀性。</w:t>
      </w:r>
    </w:p>
    <w:p w:rsidR="00CF68CD" w:rsidRDefault="0028236B">
      <w:pPr>
        <w:pStyle w:val="20"/>
        <w:numPr>
          <w:ilvl w:val="0"/>
          <w:numId w:val="7"/>
        </w:numPr>
      </w:pPr>
      <w:r>
        <w:rPr>
          <w:b/>
          <w:bCs/>
        </w:rPr>
        <w:t>铁芯</w:t>
      </w:r>
      <w:r>
        <w:t>：采用低损耗取向硅钢片（如</w:t>
      </w:r>
      <w:r>
        <w:t xml:space="preserve"> 30Q130</w:t>
      </w:r>
      <w:r>
        <w:t>，损耗值</w:t>
      </w:r>
      <w:r>
        <w:t>≤1.3W/kg</w:t>
      </w:r>
      <w:r>
        <w:t>，</w:t>
      </w:r>
      <w:r>
        <w:t>50Hz</w:t>
      </w:r>
      <w:r>
        <w:t>、</w:t>
      </w:r>
      <w:r>
        <w:t xml:space="preserve">1.5T </w:t>
      </w:r>
      <w:r>
        <w:t>条件下），叠片系数</w:t>
      </w:r>
      <w:r>
        <w:t>≥0.96</w:t>
      </w:r>
      <w:r>
        <w:t>，采用多级步进搭接工艺；铁芯表面经防锈处理，夹紧结构牢固，空载噪声</w:t>
      </w:r>
      <w:r>
        <w:t>≤65dB</w:t>
      </w:r>
      <w:r>
        <w:t>（</w:t>
      </w:r>
      <w:r>
        <w:t xml:space="preserve">A </w:t>
      </w:r>
      <w:r>
        <w:t>计权，距设备</w:t>
      </w:r>
      <w:r>
        <w:t xml:space="preserve"> 1m </w:t>
      </w:r>
      <w:r>
        <w:t>处）。</w:t>
      </w:r>
    </w:p>
    <w:p w:rsidR="00CF68CD" w:rsidRDefault="0028236B">
      <w:pPr>
        <w:pStyle w:val="3"/>
      </w:pPr>
      <w:r>
        <w:t>（二）防护外壳</w:t>
      </w:r>
    </w:p>
    <w:p w:rsidR="00CF68CD" w:rsidRDefault="0028236B">
      <w:pPr>
        <w:pStyle w:val="20"/>
        <w:numPr>
          <w:ilvl w:val="0"/>
          <w:numId w:val="8"/>
        </w:numPr>
      </w:pPr>
      <w:r>
        <w:rPr>
          <w:b/>
          <w:bCs/>
        </w:rPr>
        <w:t>材质与强度</w:t>
      </w:r>
      <w:r>
        <w:t>：外壳采用</w:t>
      </w:r>
      <w:r>
        <w:t xml:space="preserve"> Q235 </w:t>
      </w:r>
      <w:r>
        <w:t>冷轧钢板制造，钢板厚度</w:t>
      </w:r>
      <w:r>
        <w:t>≥3mm</w:t>
      </w:r>
      <w:r>
        <w:t>，焊接处无虚焊、漏焊；能承受</w:t>
      </w:r>
      <w:r>
        <w:t xml:space="preserve"> GB 3836.1-2010 </w:t>
      </w:r>
      <w:r>
        <w:t>表</w:t>
      </w:r>
      <w:r>
        <w:t xml:space="preserve"> 4 </w:t>
      </w:r>
      <w:r>
        <w:t>规定的低冲击能量（</w:t>
      </w:r>
      <w:r>
        <w:t>1J</w:t>
      </w:r>
      <w:r>
        <w:t>）冲击试验，试验后无变形、开裂。</w:t>
      </w:r>
    </w:p>
    <w:p w:rsidR="00CF68CD" w:rsidRDefault="0028236B">
      <w:pPr>
        <w:pStyle w:val="20"/>
        <w:numPr>
          <w:ilvl w:val="0"/>
          <w:numId w:val="8"/>
        </w:numPr>
      </w:pPr>
      <w:r>
        <w:rPr>
          <w:b/>
          <w:bCs/>
        </w:rPr>
        <w:t>防护与防腐</w:t>
      </w:r>
      <w:r>
        <w:t>：外壳防护等级</w:t>
      </w:r>
      <w:r>
        <w:t>≥IP30</w:t>
      </w:r>
      <w:r>
        <w:t>（防尘、防</w:t>
      </w:r>
      <w:r>
        <w:t xml:space="preserve">≥2.5mm </w:t>
      </w:r>
      <w:r>
        <w:t>固体异物侵入）；表面经静电喷塑处理，涂层厚度</w:t>
      </w:r>
      <w:r>
        <w:t>≥60μm</w:t>
      </w:r>
      <w:r>
        <w:t>，耐盐雾腐蚀</w:t>
      </w:r>
      <w:r>
        <w:t xml:space="preserve">≥48h </w:t>
      </w:r>
      <w:r>
        <w:t>无锈蚀（符合</w:t>
      </w:r>
      <w:r>
        <w:t xml:space="preserve"> GB/T 10125-2021</w:t>
      </w:r>
      <w:r>
        <w:t>）；配备带密封胶条的检修门，关闭后防护等级达标。</w:t>
      </w:r>
    </w:p>
    <w:p w:rsidR="00CF68CD" w:rsidRDefault="0028236B">
      <w:pPr>
        <w:pStyle w:val="2"/>
      </w:pPr>
      <w:r>
        <w:t>五、安全与监测要求</w:t>
      </w:r>
    </w:p>
    <w:p w:rsidR="00CF68CD" w:rsidRDefault="0028236B">
      <w:pPr>
        <w:pStyle w:val="20"/>
        <w:numPr>
          <w:ilvl w:val="0"/>
          <w:numId w:val="9"/>
        </w:numPr>
      </w:pPr>
      <w:r>
        <w:rPr>
          <w:b/>
          <w:bCs/>
        </w:rPr>
        <w:t>温度监测</w:t>
      </w:r>
      <w:r>
        <w:t>：壳体内器身上部装设双支</w:t>
      </w:r>
      <w:r>
        <w:t xml:space="preserve"> Class A </w:t>
      </w:r>
      <w:r>
        <w:t>精度</w:t>
      </w:r>
      <w:r>
        <w:t xml:space="preserve"> Pt100 </w:t>
      </w:r>
      <w:r>
        <w:t>铂电阻传感器，一支用于本地声光报警（</w:t>
      </w:r>
      <w:r>
        <w:t xml:space="preserve">F </w:t>
      </w:r>
      <w:r>
        <w:t>级</w:t>
      </w:r>
      <w:r>
        <w:t>绝缘报警阈值</w:t>
      </w:r>
      <w:r>
        <w:t xml:space="preserve"> 125±5℃</w:t>
      </w:r>
      <w:r>
        <w:t>，报警响度</w:t>
      </w:r>
      <w:r>
        <w:t>≥85dB</w:t>
      </w:r>
      <w:r>
        <w:t>），一支输出</w:t>
      </w:r>
      <w:r>
        <w:t xml:space="preserve"> 4~20mA </w:t>
      </w:r>
      <w:r>
        <w:t>模拟量远传信号，可接入矿井监控系统。</w:t>
      </w:r>
    </w:p>
    <w:p w:rsidR="00CF68CD" w:rsidRDefault="0028236B">
      <w:pPr>
        <w:pStyle w:val="20"/>
        <w:numPr>
          <w:ilvl w:val="0"/>
          <w:numId w:val="9"/>
        </w:numPr>
      </w:pPr>
      <w:r>
        <w:rPr>
          <w:b/>
          <w:bCs/>
        </w:rPr>
        <w:t>防误操作与接地</w:t>
      </w:r>
      <w:r>
        <w:t>：分接开关配备机械锁止结构，非授权操作无法调节档位；设备设接地端子，接地螺栓直径</w:t>
      </w:r>
      <w:r>
        <w:t>≥M12</w:t>
      </w:r>
      <w:r>
        <w:t>，接地后接地电阻</w:t>
      </w:r>
      <w:r>
        <w:t>≤4Ω</w:t>
      </w:r>
      <w:r>
        <w:t>（符合</w:t>
      </w:r>
      <w:r>
        <w:t xml:space="preserve"> GB/T 12173-2008</w:t>
      </w:r>
      <w:r>
        <w:t>）。</w:t>
      </w:r>
    </w:p>
    <w:p w:rsidR="00CF68CD" w:rsidRDefault="0028236B">
      <w:pPr>
        <w:pStyle w:val="2"/>
      </w:pPr>
      <w:r>
        <w:t>六、试验与验收要求</w:t>
      </w:r>
    </w:p>
    <w:p w:rsidR="00CF68CD" w:rsidRDefault="0028236B">
      <w:pPr>
        <w:pStyle w:val="3"/>
      </w:pPr>
      <w:r>
        <w:t>（一）出厂试验</w:t>
      </w:r>
    </w:p>
    <w:p w:rsidR="00CF68CD" w:rsidRDefault="0028236B">
      <w:pPr>
        <w:pStyle w:val="20"/>
      </w:pPr>
      <w:r>
        <w:t>每台变压器须完成以下出厂试验，提供加盖质量检验章的试验报告：</w:t>
      </w:r>
    </w:p>
    <w:p w:rsidR="00CF68CD" w:rsidRDefault="0028236B">
      <w:pPr>
        <w:pStyle w:val="20"/>
        <w:numPr>
          <w:ilvl w:val="0"/>
          <w:numId w:val="10"/>
        </w:numPr>
      </w:pPr>
      <w:r>
        <w:lastRenderedPageBreak/>
        <w:t>外观检查（结构、尺寸、涂装完整性）；</w:t>
      </w:r>
    </w:p>
    <w:p w:rsidR="00CF68CD" w:rsidRDefault="0028236B">
      <w:pPr>
        <w:pStyle w:val="20"/>
        <w:numPr>
          <w:ilvl w:val="0"/>
          <w:numId w:val="10"/>
        </w:numPr>
      </w:pPr>
      <w:r>
        <w:t>变压比及分接电压测量、直流电阻测量；</w:t>
      </w:r>
    </w:p>
    <w:p w:rsidR="00CF68CD" w:rsidRDefault="0028236B">
      <w:pPr>
        <w:pStyle w:val="20"/>
        <w:numPr>
          <w:ilvl w:val="0"/>
          <w:numId w:val="10"/>
        </w:numPr>
      </w:pPr>
      <w:r>
        <w:t>绝缘电阻测量、感应耐压试验；</w:t>
      </w:r>
    </w:p>
    <w:p w:rsidR="00CF68CD" w:rsidRDefault="0028236B">
      <w:pPr>
        <w:pStyle w:val="20"/>
        <w:numPr>
          <w:ilvl w:val="0"/>
          <w:numId w:val="10"/>
        </w:numPr>
      </w:pPr>
      <w:r>
        <w:t>空载损耗、负载损耗及空载电流</w:t>
      </w:r>
      <w:r>
        <w:t>测量；</w:t>
      </w:r>
    </w:p>
    <w:p w:rsidR="00CF68CD" w:rsidRDefault="0028236B">
      <w:pPr>
        <w:pStyle w:val="20"/>
        <w:numPr>
          <w:ilvl w:val="0"/>
          <w:numId w:val="10"/>
        </w:numPr>
      </w:pPr>
      <w:r>
        <w:t>温度监测装置功能试验、防护外壳冲击试验。</w:t>
      </w:r>
    </w:p>
    <w:p w:rsidR="00CF68CD" w:rsidRDefault="0028236B">
      <w:pPr>
        <w:pStyle w:val="3"/>
      </w:pPr>
      <w:r>
        <w:t>（二）现场验收</w:t>
      </w:r>
    </w:p>
    <w:p w:rsidR="00CF68CD" w:rsidRDefault="0028236B">
      <w:pPr>
        <w:pStyle w:val="20"/>
        <w:numPr>
          <w:ilvl w:val="0"/>
          <w:numId w:val="11"/>
        </w:numPr>
      </w:pPr>
      <w:r>
        <w:t>到货验收：检查设备无运输损伤、附件齐全，包装符合防潮防震要求；</w:t>
      </w:r>
    </w:p>
    <w:p w:rsidR="00CF68CD" w:rsidRDefault="0028236B">
      <w:pPr>
        <w:pStyle w:val="20"/>
        <w:numPr>
          <w:ilvl w:val="0"/>
          <w:numId w:val="11"/>
        </w:numPr>
      </w:pPr>
      <w:r>
        <w:t>试运行验收：安装调试后，空载试运行</w:t>
      </w:r>
      <w:r>
        <w:t>≥2h</w:t>
      </w:r>
      <w:r>
        <w:t>、负载试运行</w:t>
      </w:r>
      <w:r>
        <w:t>≥4h</w:t>
      </w:r>
      <w:r>
        <w:t>，期间设备运行平稳，无异常噪声、振动，温度监测与报警功能正常；</w:t>
      </w:r>
    </w:p>
    <w:p w:rsidR="00CF68CD" w:rsidRDefault="0028236B">
      <w:pPr>
        <w:pStyle w:val="20"/>
        <w:numPr>
          <w:ilvl w:val="0"/>
          <w:numId w:val="11"/>
        </w:numPr>
      </w:pPr>
      <w:r>
        <w:t>资料验收：出厂试验报告、产品合格证、使用说明书（含安装尺寸图、电气原理图）。</w:t>
      </w:r>
    </w:p>
    <w:p w:rsidR="00CF68CD" w:rsidRDefault="0028236B">
      <w:pPr>
        <w:pStyle w:val="3"/>
      </w:pPr>
      <w:r>
        <w:t>七、质量保证</w:t>
      </w:r>
    </w:p>
    <w:p w:rsidR="00CF68CD" w:rsidRDefault="0028236B">
      <w:pPr>
        <w:pStyle w:val="2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质保期：</w:t>
      </w:r>
      <w:r>
        <w:rPr>
          <w:rFonts w:hint="eastAsia"/>
          <w:b w:val="0"/>
          <w:bCs w:val="0"/>
          <w:sz w:val="22"/>
          <w:szCs w:val="22"/>
        </w:rPr>
        <w:t>产品质保期自需方验收合格之日起</w:t>
      </w:r>
      <w:r>
        <w:rPr>
          <w:rFonts w:hint="eastAsia"/>
          <w:b w:val="0"/>
          <w:bCs w:val="0"/>
          <w:sz w:val="22"/>
          <w:szCs w:val="22"/>
        </w:rPr>
        <w:t xml:space="preserve"> 12 </w:t>
      </w:r>
      <w:r>
        <w:rPr>
          <w:rFonts w:hint="eastAsia"/>
          <w:b w:val="0"/>
          <w:bCs w:val="0"/>
          <w:sz w:val="22"/>
          <w:szCs w:val="22"/>
        </w:rPr>
        <w:t>个月，质保期内若因产品材质或工艺缺陷导致故障，供方需在</w:t>
      </w:r>
      <w:r>
        <w:rPr>
          <w:rFonts w:hint="eastAsia"/>
          <w:b w:val="0"/>
          <w:bCs w:val="0"/>
          <w:sz w:val="22"/>
          <w:szCs w:val="22"/>
        </w:rPr>
        <w:t xml:space="preserve"> 48 </w:t>
      </w:r>
      <w:r>
        <w:rPr>
          <w:rFonts w:hint="eastAsia"/>
          <w:b w:val="0"/>
          <w:bCs w:val="0"/>
          <w:sz w:val="22"/>
          <w:szCs w:val="22"/>
        </w:rPr>
        <w:t>小时内响应，</w:t>
      </w:r>
      <w:r>
        <w:rPr>
          <w:rFonts w:hint="eastAsia"/>
          <w:b w:val="0"/>
          <w:bCs w:val="0"/>
          <w:sz w:val="22"/>
          <w:szCs w:val="22"/>
        </w:rPr>
        <w:t xml:space="preserve">72 </w:t>
      </w:r>
      <w:r>
        <w:rPr>
          <w:rFonts w:hint="eastAsia"/>
          <w:b w:val="0"/>
          <w:bCs w:val="0"/>
          <w:sz w:val="22"/>
          <w:szCs w:val="22"/>
        </w:rPr>
        <w:t>小时内到场免费维修或更换损坏部件（含配件、</w:t>
      </w:r>
      <w:r>
        <w:rPr>
          <w:rFonts w:hint="eastAsia"/>
          <w:b w:val="0"/>
          <w:bCs w:val="0"/>
          <w:sz w:val="22"/>
          <w:szCs w:val="22"/>
        </w:rPr>
        <w:t>人工、运输费用），售后服务：质保期后，供方提供终身维护服务，仅收取成本费用；需方提出技术咨询（如安装指导、故障排查），供方需在</w:t>
      </w:r>
      <w:r>
        <w:rPr>
          <w:rFonts w:hint="eastAsia"/>
          <w:b w:val="0"/>
          <w:bCs w:val="0"/>
          <w:sz w:val="22"/>
          <w:szCs w:val="22"/>
        </w:rPr>
        <w:t xml:space="preserve"> 24 </w:t>
      </w:r>
      <w:r>
        <w:rPr>
          <w:rFonts w:hint="eastAsia"/>
          <w:b w:val="0"/>
          <w:bCs w:val="0"/>
          <w:sz w:val="22"/>
          <w:szCs w:val="22"/>
        </w:rPr>
        <w:t>小时内提供解决方案（电话、视频或书面形式）</w:t>
      </w:r>
      <w:r>
        <w:rPr>
          <w:rFonts w:hint="eastAsia"/>
          <w:sz w:val="22"/>
          <w:szCs w:val="22"/>
        </w:rPr>
        <w:t>。</w:t>
      </w:r>
    </w:p>
    <w:p w:rsidR="00CF68CD" w:rsidRDefault="0028236B">
      <w:pPr>
        <w:pStyle w:val="2"/>
        <w:rPr>
          <w:rFonts w:ascii="宋体" w:eastAsia="宋体" w:hAnsi="宋体"/>
          <w:sz w:val="28"/>
          <w:szCs w:val="28"/>
        </w:rPr>
      </w:pPr>
      <w:r>
        <w:rPr>
          <w:highlight w:val="yellow"/>
        </w:rPr>
        <w:t>八、</w:t>
      </w:r>
      <w:r>
        <w:rPr>
          <w:rFonts w:ascii="宋体" w:eastAsia="宋体" w:hAnsi="宋体" w:hint="eastAsia"/>
          <w:sz w:val="28"/>
          <w:szCs w:val="28"/>
          <w:highlight w:val="yellow"/>
        </w:rPr>
        <w:t>报价与商务要求</w:t>
      </w:r>
    </w:p>
    <w:p w:rsidR="00CF68CD" w:rsidRDefault="0028236B">
      <w:pPr>
        <w:pStyle w:val="20"/>
      </w:pPr>
      <w:r>
        <w:rPr>
          <w:rFonts w:ascii="宋体" w:eastAsia="宋体" w:hAnsi="宋体" w:hint="eastAsia"/>
          <w:b/>
          <w:bCs/>
          <w:sz w:val="28"/>
          <w:szCs w:val="28"/>
        </w:rPr>
        <w:t>报价要求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hint="eastAsia"/>
        </w:rPr>
        <w:t>、报价单位需将对应规格产品的安标证书（扫描件，需清晰显示产品规格、认证有效期）作为附件上传；</w:t>
      </w:r>
    </w:p>
    <w:p w:rsidR="00CF68CD" w:rsidRDefault="0028236B">
      <w:pPr>
        <w:pStyle w:val="20"/>
      </w:pPr>
      <w:r>
        <w:rPr>
          <w:rFonts w:hint="eastAsia"/>
        </w:rPr>
        <w:t>2</w:t>
      </w:r>
      <w:r>
        <w:rPr>
          <w:rFonts w:hint="eastAsia"/>
        </w:rPr>
        <w:t>、报价包含设备货款、包装费、运输费（送货至需方指定地点，含保险）、</w:t>
      </w:r>
      <w:r>
        <w:rPr>
          <w:rFonts w:hint="eastAsia"/>
        </w:rPr>
        <w:t xml:space="preserve">13% </w:t>
      </w:r>
      <w:r>
        <w:rPr>
          <w:rFonts w:hint="eastAsia"/>
        </w:rPr>
        <w:t>增值税及售后服务等一切费用，为</w:t>
      </w:r>
      <w:r>
        <w:rPr>
          <w:rFonts w:hint="eastAsia"/>
        </w:rPr>
        <w:t xml:space="preserve"> </w:t>
      </w:r>
      <w:r>
        <w:rPr>
          <w:rFonts w:hint="eastAsia"/>
        </w:rPr>
        <w:t>“一价全包”</w:t>
      </w:r>
      <w:r>
        <w:rPr>
          <w:rFonts w:hint="eastAsia"/>
        </w:rPr>
        <w:t xml:space="preserve"> </w:t>
      </w:r>
      <w:r>
        <w:rPr>
          <w:rFonts w:hint="eastAsia"/>
        </w:rPr>
        <w:t>价格。</w:t>
      </w:r>
    </w:p>
    <w:p w:rsidR="00CF68CD" w:rsidRDefault="0028236B">
      <w:pPr>
        <w:pStyle w:val="20"/>
      </w:pPr>
      <w:r>
        <w:t>3</w:t>
      </w:r>
      <w:r>
        <w:t>、价格有效期：</w:t>
      </w:r>
      <w:r>
        <w:rPr>
          <w:rFonts w:hint="eastAsia"/>
        </w:rPr>
        <w:t>本次询价中标单位的报价为年度清单价，价格有效期</w:t>
      </w:r>
      <w:r>
        <w:rPr>
          <w:rFonts w:hint="eastAsia"/>
        </w:rPr>
        <w:t xml:space="preserve"> 1 </w:t>
      </w:r>
      <w:r>
        <w:rPr>
          <w:rFonts w:hint="eastAsia"/>
        </w:rPr>
        <w:t>年，协议期内单价固定，不随市场波动调整；采购数量以需方每次下达的采购订单为准，订单单次数量不限。</w:t>
      </w:r>
    </w:p>
    <w:p w:rsidR="00CF68CD" w:rsidRDefault="0028236B">
      <w:pPr>
        <w:pStyle w:val="20"/>
      </w:pPr>
      <w:r>
        <w:rPr>
          <w:rFonts w:hint="eastAsia"/>
        </w:rPr>
        <w:t>4</w:t>
      </w:r>
      <w:r>
        <w:rPr>
          <w:rFonts w:hint="eastAsia"/>
        </w:rPr>
        <w:t>、交付周期：接到需方采购订单后，常规规格产品</w:t>
      </w:r>
      <w:r>
        <w:rPr>
          <w:rFonts w:hint="eastAsia"/>
        </w:rPr>
        <w:t xml:space="preserve"> </w:t>
      </w: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个工作日内交付。</w:t>
      </w:r>
      <w:r>
        <w:rPr>
          <w:rFonts w:hint="eastAsia"/>
        </w:rPr>
        <w:t xml:space="preserve"> </w:t>
      </w:r>
    </w:p>
    <w:p w:rsidR="00CF68CD" w:rsidRDefault="0028236B">
      <w:pPr>
        <w:pStyle w:val="20"/>
      </w:pPr>
      <w:r>
        <w:t>5</w:t>
      </w:r>
      <w:r>
        <w:t>、付款：</w:t>
      </w:r>
      <w:r>
        <w:rPr>
          <w:rFonts w:hint="eastAsia"/>
        </w:rPr>
        <w:t>一票制结算，货到甲方现场，经甲方验收合格后，乙方按甲方提供的结算数量及金额出具</w:t>
      </w:r>
      <w:r>
        <w:t>13%</w:t>
      </w:r>
      <w:r>
        <w:rPr>
          <w:rFonts w:hint="eastAsia"/>
        </w:rPr>
        <w:t>增值税专用发票及产品单交甲方入账，发票入账后</w:t>
      </w:r>
      <w:r>
        <w:t xml:space="preserve">30 </w:t>
      </w:r>
      <w:r>
        <w:rPr>
          <w:rFonts w:hint="eastAsia"/>
        </w:rPr>
        <w:t>天内甲方支付每笔订单金额的</w:t>
      </w:r>
      <w:r>
        <w:rPr>
          <w:rFonts w:hint="eastAsia"/>
        </w:rPr>
        <w:t>90%</w:t>
      </w:r>
      <w:r>
        <w:rPr>
          <w:rFonts w:hint="eastAsia"/>
        </w:rPr>
        <w:t>，预留</w:t>
      </w:r>
      <w:r>
        <w:rPr>
          <w:rFonts w:hint="eastAsia"/>
        </w:rPr>
        <w:t>10%</w:t>
      </w:r>
      <w:r>
        <w:rPr>
          <w:rFonts w:hint="eastAsia"/>
        </w:rPr>
        <w:t>为质保金，质保期满后，如无质量问题，甲方将</w:t>
      </w:r>
      <w:r>
        <w:t>10%</w:t>
      </w:r>
      <w:r>
        <w:rPr>
          <w:rFonts w:hint="eastAsia"/>
        </w:rPr>
        <w:t>质保金无息付清。</w:t>
      </w:r>
    </w:p>
    <w:p w:rsidR="00CF68CD" w:rsidRDefault="00CF68CD">
      <w:pPr>
        <w:pStyle w:val="20"/>
      </w:pPr>
    </w:p>
    <w:sectPr w:rsidR="00CF68C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742E2"/>
    <w:multiLevelType w:val="multilevel"/>
    <w:tmpl w:val="25A742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2E"/>
    <w:rsid w:val="0028236B"/>
    <w:rsid w:val="003E5BED"/>
    <w:rsid w:val="004B72AE"/>
    <w:rsid w:val="006A462E"/>
    <w:rsid w:val="006D6AB6"/>
    <w:rsid w:val="00B552A4"/>
    <w:rsid w:val="00C405E8"/>
    <w:rsid w:val="00CA5B9E"/>
    <w:rsid w:val="00CF68CD"/>
    <w:rsid w:val="00F255DB"/>
    <w:rsid w:val="12980700"/>
    <w:rsid w:val="6425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AF6C5D-18CD-45EB-AA19-9B219E7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link w:val="2Char"/>
    <w:uiPriority w:val="99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link w:val="3Char"/>
    <w:uiPriority w:val="99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semiHidden/>
    <w:unhideWhenUsed/>
    <w:qFormat/>
  </w:style>
  <w:style w:type="paragraph" w:styleId="a4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character" w:styleId="a6">
    <w:name w:val="footnote reference"/>
    <w:uiPriority w:val="99"/>
    <w:semiHidden/>
    <w:unhideWhenUsed/>
    <w:qFormat/>
    <w:rPr>
      <w:vertAlign w:val="superscript"/>
    </w:rPr>
  </w:style>
  <w:style w:type="paragraph" w:customStyle="1" w:styleId="10">
    <w:name w:val="要点1"/>
    <w:qFormat/>
    <w:rPr>
      <w:b/>
      <w:bCs/>
    </w:rPr>
  </w:style>
  <w:style w:type="paragraph" w:styleId="a7">
    <w:name w:val="List Paragraph"/>
    <w:qFormat/>
  </w:style>
  <w:style w:type="character" w:customStyle="1" w:styleId="Char">
    <w:name w:val="脚注文本 Char"/>
    <w:link w:val="a3"/>
    <w:uiPriority w:val="99"/>
    <w:semiHidden/>
    <w:unhideWhenUsed/>
    <w:qFormat/>
    <w:rPr>
      <w:sz w:val="20"/>
      <w:szCs w:val="20"/>
    </w:rPr>
  </w:style>
  <w:style w:type="paragraph" w:customStyle="1" w:styleId="20">
    <w:name w:val="2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3Char">
    <w:name w:val="标题 3 Char"/>
    <w:basedOn w:val="a0"/>
    <w:link w:val="3"/>
    <w:uiPriority w:val="99"/>
    <w:qFormat/>
    <w:rPr>
      <w:rFonts w:ascii="Arial" w:eastAsia="等线" w:hAnsi="Arial" w:cs="Arial"/>
      <w:b/>
      <w:bCs/>
      <w:sz w:val="30"/>
      <w:szCs w:val="30"/>
    </w:rPr>
  </w:style>
  <w:style w:type="character" w:customStyle="1" w:styleId="2Char">
    <w:name w:val="标题 2 Char"/>
    <w:basedOn w:val="a0"/>
    <w:link w:val="2"/>
    <w:uiPriority w:val="99"/>
    <w:qFormat/>
    <w:rPr>
      <w:rFonts w:ascii="Arial" w:eastAsia="等线" w:hAnsi="Arial" w:cs="Arial"/>
      <w:b/>
      <w:bCs/>
      <w:sz w:val="32"/>
      <w:szCs w:val="32"/>
    </w:rPr>
  </w:style>
  <w:style w:type="paragraph" w:customStyle="1" w:styleId="12">
    <w:name w:val="正文1"/>
    <w:qFormat/>
    <w:pPr>
      <w:jc w:val="both"/>
    </w:pPr>
    <w:rPr>
      <w:rFonts w:eastAsia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唐娟</cp:lastModifiedBy>
  <cp:revision>7</cp:revision>
  <dcterms:created xsi:type="dcterms:W3CDTF">2025-10-14T02:24:00Z</dcterms:created>
  <dcterms:modified xsi:type="dcterms:W3CDTF">2025-10-14T09:07:00Z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7070EB43D7A04C9D876652B2F8DDA36E</vt:lpwstr>
  </property>
</Properties>
</file>