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5944"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仿宋" w:hAnsi="仿宋" w:eastAsia="仿宋" w:cs="Times New Roman"/>
          <w:bCs/>
          <w:kern w:val="44"/>
          <w:sz w:val="44"/>
          <w:szCs w:val="44"/>
        </w:rPr>
      </w:pPr>
      <w:bookmarkStart w:id="0" w:name="OLE_LINK1"/>
      <w:r>
        <w:rPr>
          <w:rFonts w:ascii="仿宋" w:hAnsi="仿宋" w:eastAsia="仿宋" w:cs="Times New Roman"/>
          <w:bCs/>
          <w:kern w:val="44"/>
          <w:sz w:val="44"/>
          <w:szCs w:val="44"/>
        </w:rPr>
        <w:t>采办计划公告</w:t>
      </w:r>
    </w:p>
    <w:p w14:paraId="7C056169">
      <w:pPr>
        <w:spacing w:line="560" w:lineRule="exact"/>
        <w:rPr>
          <w:rFonts w:ascii="仿宋" w:hAnsi="仿宋" w:eastAsia="仿宋" w:cs="Times New Roman"/>
          <w:sz w:val="32"/>
        </w:rPr>
      </w:pPr>
    </w:p>
    <w:p w14:paraId="757705EF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bookmarkStart w:id="1" w:name="OLE_LINK2"/>
      <w:r>
        <w:rPr>
          <w:rFonts w:ascii="仿宋" w:hAnsi="仿宋" w:eastAsia="仿宋" w:cs="Times New Roman"/>
          <w:sz w:val="32"/>
          <w:szCs w:val="32"/>
        </w:rPr>
        <w:t>为便于供应商及时了解项目采办信息，现将</w:t>
      </w:r>
      <w:r>
        <w:rPr>
          <w:rFonts w:ascii="仿宋" w:hAnsi="仿宋" w:eastAsia="仿宋" w:cs="Times New Roman"/>
          <w:sz w:val="32"/>
          <w:szCs w:val="32"/>
          <w:u w:val="single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海油发展-化工品类部-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工程技术公司2025-2027年聚合物破胶消解剂采购专有协议</w:t>
      </w:r>
      <w:r>
        <w:rPr>
          <w:rFonts w:ascii="仿宋" w:hAnsi="仿宋" w:eastAsia="仿宋" w:cs="Times New Roman"/>
          <w:sz w:val="32"/>
          <w:szCs w:val="32"/>
          <w:u w:val="single"/>
        </w:rPr>
        <w:t>）</w:t>
      </w:r>
      <w:r>
        <w:rPr>
          <w:rFonts w:ascii="仿宋" w:hAnsi="仿宋" w:eastAsia="仿宋" w:cs="Times New Roman"/>
          <w:sz w:val="32"/>
          <w:szCs w:val="32"/>
        </w:rPr>
        <w:t>的采办计划公开如下：</w:t>
      </w:r>
    </w:p>
    <w:tbl>
      <w:tblPr>
        <w:tblStyle w:val="11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72"/>
        <w:gridCol w:w="1701"/>
        <w:gridCol w:w="2551"/>
        <w:gridCol w:w="1843"/>
        <w:gridCol w:w="538"/>
      </w:tblGrid>
      <w:tr w14:paraId="1E95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" w:type="dxa"/>
            <w:vAlign w:val="center"/>
          </w:tcPr>
          <w:p w14:paraId="722B8759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2" w:type="dxa"/>
            <w:vAlign w:val="center"/>
          </w:tcPr>
          <w:p w14:paraId="0AF46655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采办包</w:t>
            </w:r>
          </w:p>
          <w:p w14:paraId="5D068E3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5F8B9F50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2551" w:type="dxa"/>
            <w:vAlign w:val="center"/>
          </w:tcPr>
          <w:p w14:paraId="0A6BA226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预计发标时间</w:t>
            </w:r>
          </w:p>
          <w:p w14:paraId="5E38365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1843" w:type="dxa"/>
            <w:vAlign w:val="center"/>
          </w:tcPr>
          <w:p w14:paraId="2D8A6E38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538" w:type="dxa"/>
            <w:vAlign w:val="center"/>
          </w:tcPr>
          <w:p w14:paraId="32B32B6B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7A8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 w14:paraId="65F1D391">
            <w:pPr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094E50CC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工程技术公司2025-2027年聚合物破胶消解剂采购专有协议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701" w:type="dxa"/>
            <w:vAlign w:val="center"/>
          </w:tcPr>
          <w:p w14:paraId="1C7E63E6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具体要求详见附件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1。</w:t>
            </w:r>
          </w:p>
        </w:tc>
        <w:tc>
          <w:tcPr>
            <w:tcW w:w="2551" w:type="dxa"/>
            <w:vAlign w:val="center"/>
          </w:tcPr>
          <w:p w14:paraId="37CB3477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2025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9月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843" w:type="dxa"/>
            <w:vAlign w:val="center"/>
          </w:tcPr>
          <w:p w14:paraId="09A87EC4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详见附件2</w:t>
            </w:r>
          </w:p>
        </w:tc>
        <w:tc>
          <w:tcPr>
            <w:tcW w:w="538" w:type="dxa"/>
            <w:vAlign w:val="center"/>
          </w:tcPr>
          <w:p w14:paraId="2013EE43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 w14:paraId="4B6B4400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 w14:paraId="6D1CA165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本次公告有效期是（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8月25</w:t>
      </w:r>
      <w:r>
        <w:rPr>
          <w:rFonts w:ascii="仿宋" w:hAnsi="仿宋" w:eastAsia="仿宋" w:cs="Times New Roman"/>
          <w:sz w:val="32"/>
          <w:szCs w:val="32"/>
        </w:rPr>
        <w:t>日）至（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9月1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>）止。在此期间，</w:t>
      </w:r>
      <w:r>
        <w:rPr>
          <w:rFonts w:hint="eastAsia" w:ascii="仿宋" w:hAnsi="仿宋" w:eastAsia="仿宋" w:cs="Times New Roman"/>
          <w:sz w:val="32"/>
          <w:szCs w:val="32"/>
        </w:rPr>
        <w:t>有意向参与本项目的供应商，请在系统中进行反馈。</w:t>
      </w:r>
    </w:p>
    <w:p w14:paraId="4282380B">
      <w:pPr>
        <w:pStyle w:val="6"/>
        <w:rPr>
          <w:rFonts w:hint="eastAsia" w:ascii="仿宋" w:hAnsi="仿宋" w:eastAsia="仿宋" w:cs="Times New Roman"/>
          <w:sz w:val="32"/>
          <w:szCs w:val="32"/>
        </w:rPr>
      </w:pPr>
    </w:p>
    <w:p w14:paraId="6C59B955">
      <w:pPr>
        <w:pStyle w:val="6"/>
        <w:rPr>
          <w:rFonts w:hint="eastAsia" w:ascii="仿宋" w:hAnsi="仿宋" w:eastAsia="仿宋" w:cs="Times New Roman"/>
          <w:sz w:val="32"/>
          <w:szCs w:val="32"/>
        </w:rPr>
      </w:pPr>
    </w:p>
    <w:p w14:paraId="7E688105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hAnsi="仿宋" w:eastAsia="仿宋" w:cs="Times New Roman"/>
          <w:sz w:val="28"/>
          <w:szCs w:val="28"/>
        </w:rPr>
      </w:pPr>
    </w:p>
    <w:p w14:paraId="0A2A9B39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中海油能源发展股份有限公司</w:t>
      </w:r>
    </w:p>
    <w:p w14:paraId="1F919DAB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采办共享中心</w:t>
      </w:r>
    </w:p>
    <w:p w14:paraId="305A794C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8月25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</w:p>
    <w:bookmarkEnd w:id="0"/>
    <w:p w14:paraId="19EC19BA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</w:p>
    <w:bookmarkEnd w:id="1"/>
    <w:p w14:paraId="11A3A221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179DACF0"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附件1：</w:t>
      </w:r>
    </w:p>
    <w:p w14:paraId="170023D2">
      <w:pPr>
        <w:pStyle w:val="31"/>
        <w:spacing w:before="120" w:after="120" w:line="360" w:lineRule="auto"/>
        <w:ind w:left="6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1、需求一览表</w:t>
      </w:r>
    </w:p>
    <w:tbl>
      <w:tblPr>
        <w:tblStyle w:val="10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96"/>
        <w:gridCol w:w="3452"/>
        <w:gridCol w:w="1757"/>
        <w:gridCol w:w="913"/>
        <w:gridCol w:w="1064"/>
        <w:gridCol w:w="2207"/>
      </w:tblGrid>
      <w:tr w14:paraId="3778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447" w:type="dxa"/>
          </w:tcPr>
          <w:p w14:paraId="7B6ADE57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996" w:type="dxa"/>
          </w:tcPr>
          <w:p w14:paraId="4DE0B281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物资名称</w:t>
            </w:r>
          </w:p>
        </w:tc>
        <w:tc>
          <w:tcPr>
            <w:tcW w:w="3452" w:type="dxa"/>
          </w:tcPr>
          <w:p w14:paraId="402CE54A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规格型号</w:t>
            </w:r>
          </w:p>
        </w:tc>
        <w:tc>
          <w:tcPr>
            <w:tcW w:w="1757" w:type="dxa"/>
          </w:tcPr>
          <w:p w14:paraId="15652D57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两年预估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数量及单位</w:t>
            </w:r>
          </w:p>
        </w:tc>
        <w:tc>
          <w:tcPr>
            <w:tcW w:w="913" w:type="dxa"/>
          </w:tcPr>
          <w:p w14:paraId="658913D5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交货期</w:t>
            </w:r>
          </w:p>
        </w:tc>
        <w:tc>
          <w:tcPr>
            <w:tcW w:w="1064" w:type="dxa"/>
          </w:tcPr>
          <w:p w14:paraId="56CAB92E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交货地点</w:t>
            </w:r>
          </w:p>
        </w:tc>
        <w:tc>
          <w:tcPr>
            <w:tcW w:w="2207" w:type="dxa"/>
          </w:tcPr>
          <w:p w14:paraId="3A2EFBA5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付款方式</w:t>
            </w:r>
          </w:p>
        </w:tc>
      </w:tr>
      <w:tr w14:paraId="1E30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447" w:type="dxa"/>
            <w:vAlign w:val="center"/>
          </w:tcPr>
          <w:p w14:paraId="2B688BC6">
            <w:pPr>
              <w:pStyle w:val="3"/>
              <w:tabs>
                <w:tab w:val="left" w:pos="0"/>
              </w:tabs>
              <w:ind w:left="-190" w:leftChars="-93" w:hanging="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Align w:val="center"/>
          </w:tcPr>
          <w:p w14:paraId="64C6FB40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聚合物破胶消解剂</w:t>
            </w:r>
          </w:p>
        </w:tc>
        <w:tc>
          <w:tcPr>
            <w:tcW w:w="3452" w:type="dxa"/>
            <w:vAlign w:val="center"/>
          </w:tcPr>
          <w:p w14:paraId="40A1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详见2、主要技术指标</w:t>
            </w:r>
          </w:p>
        </w:tc>
        <w:tc>
          <w:tcPr>
            <w:tcW w:w="1757" w:type="dxa"/>
            <w:vAlign w:val="center"/>
          </w:tcPr>
          <w:p w14:paraId="17A93470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300000KG</w:t>
            </w:r>
          </w:p>
        </w:tc>
        <w:tc>
          <w:tcPr>
            <w:tcW w:w="913" w:type="dxa"/>
            <w:vAlign w:val="center"/>
          </w:tcPr>
          <w:p w14:paraId="514D71B2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根据买方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通知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分批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供货</w:t>
            </w:r>
          </w:p>
        </w:tc>
        <w:tc>
          <w:tcPr>
            <w:tcW w:w="1064" w:type="dxa"/>
            <w:vAlign w:val="center"/>
          </w:tcPr>
          <w:p w14:paraId="12C05739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天津市滨海新区工程技术公司增产库房</w:t>
            </w:r>
          </w:p>
        </w:tc>
        <w:tc>
          <w:tcPr>
            <w:tcW w:w="2207" w:type="dxa"/>
            <w:vAlign w:val="center"/>
          </w:tcPr>
          <w:p w14:paraId="2946DA44">
            <w:pPr>
              <w:pStyle w:val="3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按照交货批次付款。卖方在每批次实际交付货物并经买方执行方验收合格之日起，卖方3日内向买方执行方提供有效增值税专用发票及相关支持文件，买方执行方于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个日历日内以银行电汇支付订单价款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205125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bookmarkStart w:id="2" w:name="_Toc13249326"/>
      <w:bookmarkStart w:id="3" w:name="_Toc13248929"/>
    </w:p>
    <w:p w14:paraId="355C0FD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最小送货量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1000KG</w:t>
      </w:r>
    </w:p>
    <w:p w14:paraId="56781537">
      <w:pPr>
        <w:pStyle w:val="31"/>
        <w:numPr>
          <w:ilvl w:val="0"/>
          <w:numId w:val="1"/>
        </w:numPr>
        <w:spacing w:before="120" w:after="120" w:line="360" w:lineRule="auto"/>
        <w:ind w:left="600"/>
        <w:outlineLv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44"/>
          <w:szCs w:val="44"/>
        </w:rPr>
        <w:t>主要技术指标</w:t>
      </w:r>
    </w:p>
    <w:p w14:paraId="0921A091">
      <w:pPr>
        <w:pStyle w:val="3"/>
        <w:shd w:val="clear" w:color="auto" w:fill="auto"/>
        <w:spacing w:line="360" w:lineRule="auto"/>
        <w:ind w:firstLine="488" w:firstLineChars="200"/>
        <w:rPr>
          <w:rFonts w:hint="default" w:ascii="仿宋" w:hAnsi="仿宋" w:eastAsia="仿宋" w:cs="仿宋"/>
          <w:b w:val="0"/>
          <w:bCs w:val="0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24"/>
          <w:szCs w:val="24"/>
          <w:lang w:val="en-US" w:eastAsia="zh-CN" w:bidi="ar-SA"/>
        </w:rPr>
        <w:t>2.1技术参数</w:t>
      </w:r>
    </w:p>
    <w:p w14:paraId="35194424">
      <w:pPr>
        <w:pStyle w:val="3"/>
        <w:shd w:val="clear" w:color="auto" w:fill="auto"/>
        <w:spacing w:line="360" w:lineRule="auto"/>
        <w:ind w:firstLine="48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24"/>
          <w:szCs w:val="24"/>
          <w:lang w:val="en-US" w:eastAsia="zh-CN" w:bidi="ar-SA"/>
        </w:rPr>
        <w:t>1）外观：无色至淡红色液体，参照如下检测方法进行测定：</w:t>
      </w:r>
    </w:p>
    <w:p w14:paraId="27BD92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1" w:right="119" w:firstLine="48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  <w:t>目视观察。</w:t>
      </w:r>
    </w:p>
    <w:p w14:paraId="7F28DF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1" w:right="119" w:firstLine="48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  <w:t>检验温度：室温。</w:t>
      </w:r>
    </w:p>
    <w:p w14:paraId="460431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1" w:right="119" w:firstLine="48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  <w:t>光照条件：非直射，自然光或日光灯。</w:t>
      </w:r>
    </w:p>
    <w:p w14:paraId="40B7AC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1" w:right="119" w:firstLine="48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  <w:t>观察容器：比色管，或其他不影响颜色判断的透明容器；</w:t>
      </w:r>
    </w:p>
    <w:p w14:paraId="2A1B9A96">
      <w:pPr>
        <w:pStyle w:val="3"/>
        <w:numPr>
          <w:ilvl w:val="0"/>
          <w:numId w:val="2"/>
        </w:numPr>
        <w:shd w:val="clear" w:color="auto" w:fill="auto"/>
        <w:spacing w:line="360" w:lineRule="auto"/>
        <w:ind w:left="12" w:leftChars="0" w:firstLine="428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密度（20℃±5℃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1.0-1.12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g/cm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vertAlign w:val="superscript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，参照《GB/T 4472-2011化工产品密度、相对密度的测定》中4.3.3密度计法测定；</w:t>
      </w:r>
    </w:p>
    <w:p w14:paraId="758BCD39">
      <w:pPr>
        <w:pStyle w:val="3"/>
        <w:shd w:val="clear" w:color="auto" w:fill="auto"/>
        <w:spacing w:line="360" w:lineRule="auto"/>
        <w:ind w:firstLine="488" w:firstLineChars="200"/>
        <w:rPr>
          <w:rFonts w:hint="eastAsia" w:ascii="仿宋" w:hAnsi="仿宋" w:eastAsia="仿宋" w:cs="仿宋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24"/>
          <w:szCs w:val="24"/>
          <w:highlight w:val="none"/>
          <w:lang w:val="en-US" w:eastAsia="zh-CN" w:bidi="ar-SA"/>
        </w:rPr>
        <w:t>以下指标取本产品与蒸馏水按质量比1：1稀释，按照下列技术要求检测。</w:t>
      </w:r>
    </w:p>
    <w:p w14:paraId="5A1045A6">
      <w:pPr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3）线性</w:t>
      </w: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  <w:t>聚合物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降粘率（60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℃，</w:t>
      </w:r>
      <w:r>
        <w:rPr>
          <w:rFonts w:hint="eastAsia" w:ascii="仿宋" w:hAnsi="仿宋" w:eastAsia="仿宋" w:cs="仿宋"/>
          <w:b w:val="0"/>
          <w:bCs w:val="0"/>
          <w:sz w:val="24"/>
          <w:szCs w:val="28"/>
          <w:lang w:val="en-US" w:eastAsia="zh-CN"/>
        </w:rPr>
        <w:t>4h）</w:t>
      </w: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  <w:t>：≥95%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24"/>
          <w:szCs w:val="24"/>
          <w:lang w:val="en-US" w:eastAsia="zh-CN" w:bidi="ar-SA"/>
        </w:rPr>
        <w:t>，参</w:t>
      </w: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24"/>
          <w:szCs w:val="24"/>
          <w:lang w:val="en-US" w:eastAsia="zh-CN" w:bidi="ar-SA"/>
        </w:rPr>
        <w:t>照以下方法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测定：</w:t>
      </w:r>
    </w:p>
    <w:p w14:paraId="57F89AC0">
      <w:pPr>
        <w:ind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取400ml线性聚合物溶液（5000ppm），用ZND六速旋转粘度计测其粘度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lang w:val="en-US" w:eastAsia="zh-CN"/>
        </w:rPr>
        <w:t>η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；测其粘度后，在上述溶液中加入400ml的聚合物破胶消解剂水浴60℃，降解4小时，测其粘度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lang w:val="en-US" w:eastAsia="zh-CN"/>
        </w:rPr>
        <w:t>η2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降解疏水聚合物率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计，数值以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lang w:val="en-US" w:eastAsia="zh-CN"/>
        </w:rPr>
        <w:t>%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表示，按下式计算： </w:t>
      </w:r>
    </w:p>
    <w:p w14:paraId="7405F06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position w:val="-30"/>
          <w:sz w:val="24"/>
          <w:szCs w:val="24"/>
          <w:lang w:val="en-US" w:eastAsia="zh-CN" w:bidi="ar-SA"/>
        </w:rPr>
        <w:object>
          <v:shape id="_x0000_i1025" o:spt="75" type="#_x0000_t75" style="height:34.9pt;width:100.5pt;" o:ole="t" filled="f" stroked="f" coordsize="21600,21600">
            <v:path/>
            <v:fill on="f" focussize="0,0"/>
            <v:stroke on="f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 w14:paraId="545DC767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式中：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lang w:val="en-US" w:eastAsia="zh-CN"/>
        </w:rPr>
        <w:t>η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—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初始聚合物粘度，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单位为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mpa.s；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lang w:val="en-US" w:eastAsia="zh-CN"/>
        </w:rPr>
        <w:t>η</w:t>
      </w:r>
      <w:r>
        <w:rPr>
          <w:rFonts w:hint="eastAsia" w:ascii="仿宋" w:hAnsi="仿宋" w:eastAsia="仿宋" w:cs="仿宋"/>
          <w:b w:val="0"/>
          <w:bCs w:val="0"/>
          <w:i/>
          <w:iCs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—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降解后聚合物粘度，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单位为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mpa.s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6AAB1329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4）腐蚀速率（60℃，2h）：≤5g/（m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· h），参照《SY/T 5405-2019 酸化用缓蚀剂性能试验方法及评价指标》中5常压静态腐蚀速率测定方法及评价指标 测定；</w:t>
      </w:r>
    </w:p>
    <w:p w14:paraId="394DC15D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5）有机氯：0.0，参照《SY/T 7329-2016油田化学剂中有机氯含量测定方法》中4.方法B——氧燃烧瓶法测定。</w:t>
      </w:r>
    </w:p>
    <w:p w14:paraId="04A5F47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2.2 产品包装</w:t>
      </w:r>
    </w:p>
    <w:p w14:paraId="24CB6066">
      <w:pPr>
        <w:adjustRightInd w:val="0"/>
        <w:snapToGrid w:val="0"/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罐装：6方/罐（耐酸腐蚀，外碳钢（型号Q235B）+PE内衬尺寸）。</w:t>
      </w:r>
    </w:p>
    <w:bookmarkEnd w:id="2"/>
    <w:bookmarkEnd w:id="3"/>
    <w:p w14:paraId="1438DE9A">
      <w:pPr>
        <w:pStyle w:val="31"/>
        <w:spacing w:before="120" w:after="120" w:line="360" w:lineRule="auto"/>
        <w:ind w:firstLine="643" w:firstLineChars="2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、项目联系人</w:t>
      </w:r>
    </w:p>
    <w:p w14:paraId="64C06447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  <w:sz w:val="20"/>
          <w:szCs w:val="21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请感兴趣的供应商于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eastAsia="zh-CN" w:bidi="ar"/>
        </w:rPr>
        <w:t>2025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年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9月1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>日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18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: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00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前，在计划公告意见反馈处填报参与意向即可。</w:t>
      </w:r>
    </w:p>
    <w:p w14:paraId="43D3E9AF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联系人：黄金鑫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；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电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话：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022-25802226</w:t>
      </w:r>
    </w:p>
    <w:p w14:paraId="284D74DB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邮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箱：</w:t>
      </w:r>
      <w:r>
        <w:fldChar w:fldCharType="begin"/>
      </w:r>
      <w:r>
        <w:instrText xml:space="preserve"> HYPERLINK "mailto:huangjx14@cnooc.com.cn" </w:instrText>
      </w:r>
      <w:r>
        <w:fldChar w:fldCharType="separate"/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t>huangjx14@cnooc.com.cn</w:t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fldChar w:fldCharType="end"/>
      </w:r>
    </w:p>
    <w:p w14:paraId="30081032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Style w:val="20"/>
          <w:rFonts w:hint="eastAsia" w:ascii="仿宋" w:hAnsi="仿宋" w:eastAsia="仿宋" w:cs="Times New Roman"/>
          <w:sz w:val="28"/>
          <w:szCs w:val="28"/>
          <w:lang w:bidi="ar"/>
        </w:rPr>
        <w:t>社会监督电话：022-25802262</w:t>
      </w:r>
    </w:p>
    <w:p w14:paraId="25C646B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97DBDF7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16FEC45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7E3A69AF"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ascii="仿宋" w:hAnsi="仿宋" w:eastAsia="仿宋" w:cs="Times New Roman"/>
          <w:sz w:val="32"/>
          <w:szCs w:val="32"/>
        </w:rPr>
      </w:pPr>
      <w:bookmarkStart w:id="4" w:name="_GoBack"/>
      <w:bookmarkEnd w:id="4"/>
      <w:r>
        <w:rPr>
          <w:rFonts w:hint="eastAsia" w:ascii="仿宋" w:hAnsi="仿宋" w:eastAsia="仿宋" w:cs="Times New Roman"/>
          <w:sz w:val="32"/>
          <w:szCs w:val="32"/>
        </w:rPr>
        <w:t xml:space="preserve">附件2供应商资质基本要求 </w:t>
      </w:r>
    </w:p>
    <w:tbl>
      <w:tblPr>
        <w:tblStyle w:val="10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 w14:paraId="124E4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6CB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资质要求</w:t>
            </w:r>
          </w:p>
          <w:p w14:paraId="5F5871FC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9B1A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 w14:paraId="0D1E9781">
            <w:pPr>
              <w:pStyle w:val="32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2.申请人须是中华人民共和国境内具有独立承担民事责任能力的法人，或具备国家认可经营资格的其他组织；</w:t>
            </w:r>
          </w:p>
        </w:tc>
      </w:tr>
    </w:tbl>
    <w:p w14:paraId="60AD990E">
      <w:pPr>
        <w:pStyle w:val="6"/>
        <w:rPr>
          <w:rFonts w:ascii="仿宋" w:hAnsi="仿宋" w:eastAsia="仿宋"/>
        </w:rPr>
      </w:pPr>
    </w:p>
    <w:p w14:paraId="7ED5945C">
      <w:pPr>
        <w:pStyle w:val="6"/>
        <w:rPr>
          <w:rFonts w:ascii="仿宋" w:hAnsi="仿宋" w:eastAsia="仿宋"/>
        </w:rPr>
      </w:pPr>
    </w:p>
    <w:p w14:paraId="62A98B4D">
      <w:pPr>
        <w:pStyle w:val="6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"/>
      <w:numFmt w:val="decimal"/>
      <w:suff w:val="nothing"/>
      <w:lvlText w:val="%1）"/>
      <w:lvlJc w:val="left"/>
      <w:pPr>
        <w:ind w:left="12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69CA8F"/>
    <w:multiLevelType w:val="singleLevel"/>
    <w:tmpl w:val="3469CA8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MDMzNmYxMjRmNWYyMzBmYjk2YmJmZTkyNzk4MTAifQ=="/>
  </w:docVars>
  <w:rsids>
    <w:rsidRoot w:val="00AE20AB"/>
    <w:rsid w:val="000216E2"/>
    <w:rsid w:val="001D4237"/>
    <w:rsid w:val="002E3C4A"/>
    <w:rsid w:val="00331055"/>
    <w:rsid w:val="0033735D"/>
    <w:rsid w:val="00371254"/>
    <w:rsid w:val="004029A6"/>
    <w:rsid w:val="00411A38"/>
    <w:rsid w:val="004874A5"/>
    <w:rsid w:val="004917F4"/>
    <w:rsid w:val="004C7AFB"/>
    <w:rsid w:val="004F7164"/>
    <w:rsid w:val="005D7510"/>
    <w:rsid w:val="005F0FF7"/>
    <w:rsid w:val="006976BF"/>
    <w:rsid w:val="006A60F6"/>
    <w:rsid w:val="006E4F13"/>
    <w:rsid w:val="00703896"/>
    <w:rsid w:val="007A7F89"/>
    <w:rsid w:val="007D73E6"/>
    <w:rsid w:val="007E2B6E"/>
    <w:rsid w:val="0081063D"/>
    <w:rsid w:val="0089189B"/>
    <w:rsid w:val="008C1CC8"/>
    <w:rsid w:val="008C38F3"/>
    <w:rsid w:val="009A18CE"/>
    <w:rsid w:val="009F6966"/>
    <w:rsid w:val="00A1038A"/>
    <w:rsid w:val="00AE20AB"/>
    <w:rsid w:val="00B014B0"/>
    <w:rsid w:val="00B679B4"/>
    <w:rsid w:val="00C07AC2"/>
    <w:rsid w:val="00C451F2"/>
    <w:rsid w:val="00C51FDD"/>
    <w:rsid w:val="00CA23A2"/>
    <w:rsid w:val="00D127EC"/>
    <w:rsid w:val="00E607B8"/>
    <w:rsid w:val="00E769E7"/>
    <w:rsid w:val="00E93761"/>
    <w:rsid w:val="00ED277A"/>
    <w:rsid w:val="00EE4BE5"/>
    <w:rsid w:val="00F56602"/>
    <w:rsid w:val="00FA2452"/>
    <w:rsid w:val="010C5A7B"/>
    <w:rsid w:val="02E5364E"/>
    <w:rsid w:val="03473362"/>
    <w:rsid w:val="051B5E8B"/>
    <w:rsid w:val="061B2869"/>
    <w:rsid w:val="06BC6527"/>
    <w:rsid w:val="083A49AF"/>
    <w:rsid w:val="0C4D4E59"/>
    <w:rsid w:val="0C616DDD"/>
    <w:rsid w:val="0F3F2B2F"/>
    <w:rsid w:val="11380EA0"/>
    <w:rsid w:val="113C79BD"/>
    <w:rsid w:val="11511F61"/>
    <w:rsid w:val="11A46680"/>
    <w:rsid w:val="125D5E2E"/>
    <w:rsid w:val="12902616"/>
    <w:rsid w:val="13D053C0"/>
    <w:rsid w:val="173061A8"/>
    <w:rsid w:val="18001EB7"/>
    <w:rsid w:val="194400BE"/>
    <w:rsid w:val="1A9429E0"/>
    <w:rsid w:val="1D0A73B1"/>
    <w:rsid w:val="1DB23D88"/>
    <w:rsid w:val="1E66474C"/>
    <w:rsid w:val="1ECC2895"/>
    <w:rsid w:val="1FC305F0"/>
    <w:rsid w:val="20CC42AE"/>
    <w:rsid w:val="216F239A"/>
    <w:rsid w:val="2245341D"/>
    <w:rsid w:val="23E53F2A"/>
    <w:rsid w:val="24BE47FC"/>
    <w:rsid w:val="29BB473E"/>
    <w:rsid w:val="2AD33FFA"/>
    <w:rsid w:val="2BCB7E65"/>
    <w:rsid w:val="2BD87947"/>
    <w:rsid w:val="2D410831"/>
    <w:rsid w:val="2DDF18E0"/>
    <w:rsid w:val="2E2F1115"/>
    <w:rsid w:val="2FC048E3"/>
    <w:rsid w:val="2FF328C9"/>
    <w:rsid w:val="30C41C11"/>
    <w:rsid w:val="329D451D"/>
    <w:rsid w:val="344A2458"/>
    <w:rsid w:val="34C346A0"/>
    <w:rsid w:val="356928AF"/>
    <w:rsid w:val="372B09DB"/>
    <w:rsid w:val="38521F98"/>
    <w:rsid w:val="387A0CA7"/>
    <w:rsid w:val="3AA4467B"/>
    <w:rsid w:val="3C943B5A"/>
    <w:rsid w:val="3EA03BF2"/>
    <w:rsid w:val="3F41091E"/>
    <w:rsid w:val="404D430C"/>
    <w:rsid w:val="41E53E7C"/>
    <w:rsid w:val="434515C1"/>
    <w:rsid w:val="43985384"/>
    <w:rsid w:val="4407712C"/>
    <w:rsid w:val="44457410"/>
    <w:rsid w:val="44DD6666"/>
    <w:rsid w:val="46452296"/>
    <w:rsid w:val="47120827"/>
    <w:rsid w:val="48BB08BB"/>
    <w:rsid w:val="4CE81270"/>
    <w:rsid w:val="4E8A1EFE"/>
    <w:rsid w:val="4EEA3369"/>
    <w:rsid w:val="4FD9320F"/>
    <w:rsid w:val="507906CA"/>
    <w:rsid w:val="52641C79"/>
    <w:rsid w:val="535D2377"/>
    <w:rsid w:val="58843DB0"/>
    <w:rsid w:val="59400090"/>
    <w:rsid w:val="596F1B3B"/>
    <w:rsid w:val="59C30797"/>
    <w:rsid w:val="5A9F3B06"/>
    <w:rsid w:val="5DA84B68"/>
    <w:rsid w:val="5E0A56D8"/>
    <w:rsid w:val="5EC7698C"/>
    <w:rsid w:val="5EC96B76"/>
    <w:rsid w:val="5F530EF2"/>
    <w:rsid w:val="622E70A1"/>
    <w:rsid w:val="62D1212E"/>
    <w:rsid w:val="63616199"/>
    <w:rsid w:val="63E112D8"/>
    <w:rsid w:val="64930F59"/>
    <w:rsid w:val="669811DF"/>
    <w:rsid w:val="66CE5E36"/>
    <w:rsid w:val="68F64541"/>
    <w:rsid w:val="68F8137F"/>
    <w:rsid w:val="6A2D2040"/>
    <w:rsid w:val="6B5C2732"/>
    <w:rsid w:val="6DAC0CFD"/>
    <w:rsid w:val="6FBB7E47"/>
    <w:rsid w:val="725C4944"/>
    <w:rsid w:val="731E13FB"/>
    <w:rsid w:val="75225F35"/>
    <w:rsid w:val="7A0F316A"/>
    <w:rsid w:val="7AB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firstLine="200" w:firstLineChars="200"/>
    </w:pPr>
    <w:rPr>
      <w:rFonts w:ascii="Microsoft YaHei UI" w:hAnsi="Microsoft YaHei UI" w:eastAsia="Microsoft YaHei UI"/>
      <w:kern w:val="0"/>
      <w:szCs w:val="21"/>
      <w:lang w:eastAsia="en-US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5">
    <w:name w:val="Emphasis"/>
    <w:basedOn w:val="12"/>
    <w:qFormat/>
    <w:uiPriority w:val="20"/>
    <w:rPr>
      <w:b/>
      <w:bCs/>
    </w:rPr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Typewriter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99"/>
  </w:style>
  <w:style w:type="character" w:styleId="19">
    <w:name w:val="HTML Variable"/>
    <w:basedOn w:val="12"/>
    <w:semiHidden/>
    <w:unhideWhenUsed/>
    <w:qFormat/>
    <w:uiPriority w:val="99"/>
  </w:style>
  <w:style w:type="character" w:styleId="20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21">
    <w:name w:val="HTML Code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99"/>
  </w:style>
  <w:style w:type="character" w:styleId="23">
    <w:name w:val="HTML Keyboard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6">
    <w:name w:val="页脚 字符"/>
    <w:basedOn w:val="12"/>
    <w:link w:val="6"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日期 字符"/>
    <w:basedOn w:val="12"/>
    <w:link w:val="5"/>
    <w:semiHidden/>
    <w:qFormat/>
    <w:uiPriority w:val="99"/>
  </w:style>
  <w:style w:type="character" w:customStyle="1" w:styleId="29">
    <w:name w:val="fontstyle01"/>
    <w:basedOn w:val="12"/>
    <w:qFormat/>
    <w:uiPriority w:val="0"/>
    <w:rPr>
      <w:rFonts w:hint="default" w:ascii="CIDFont+F4" w:hAnsi="CIDFont+F4"/>
      <w:color w:val="000000"/>
      <w:sz w:val="24"/>
      <w:szCs w:val="24"/>
    </w:rPr>
  </w:style>
  <w:style w:type="table" w:customStyle="1" w:styleId="30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paragraph" w:customStyle="1" w:styleId="33">
    <w:name w:val="设计正文2"/>
    <w:basedOn w:val="1"/>
    <w:qFormat/>
    <w:uiPriority w:val="0"/>
    <w:pPr>
      <w:snapToGrid w:val="0"/>
      <w:spacing w:before="160" w:line="320" w:lineRule="atLeast"/>
    </w:pPr>
    <w:rPr>
      <w:rFonts w:ascii="Times New Roman" w:hAnsi="Times New Roman" w:eastAsia="宋体" w:cs="Times New Roman"/>
      <w:sz w:val="24"/>
      <w:szCs w:val="20"/>
    </w:rPr>
  </w:style>
  <w:style w:type="character" w:customStyle="1" w:styleId="34">
    <w:name w:val="comboiconspanclear"/>
    <w:basedOn w:val="12"/>
    <w:qFormat/>
    <w:uiPriority w:val="0"/>
  </w:style>
  <w:style w:type="character" w:customStyle="1" w:styleId="35">
    <w:name w:val="comboiconspan"/>
    <w:basedOn w:val="12"/>
    <w:qFormat/>
    <w:uiPriority w:val="0"/>
  </w:style>
  <w:style w:type="character" w:customStyle="1" w:styleId="36">
    <w:name w:val="ui-icon48"/>
    <w:basedOn w:val="12"/>
    <w:qFormat/>
    <w:uiPriority w:val="0"/>
  </w:style>
  <w:style w:type="character" w:customStyle="1" w:styleId="37">
    <w:name w:val="clear"/>
    <w:basedOn w:val="12"/>
    <w:qFormat/>
    <w:uiPriority w:val="0"/>
  </w:style>
  <w:style w:type="character" w:customStyle="1" w:styleId="38">
    <w:name w:val="select"/>
    <w:basedOn w:val="12"/>
    <w:qFormat/>
    <w:uiPriority w:val="0"/>
  </w:style>
  <w:style w:type="paragraph" w:customStyle="1" w:styleId="39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</Words>
  <Characters>1032</Characters>
  <Lines>8</Lines>
  <Paragraphs>2</Paragraphs>
  <TotalTime>2</TotalTime>
  <ScaleCrop>false</ScaleCrop>
  <LinksUpToDate>false</LinksUpToDate>
  <CharactersWithSpaces>1210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黄金鑫</cp:lastModifiedBy>
  <dcterms:modified xsi:type="dcterms:W3CDTF">2025-08-26T01:47:05Z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465F0A84F3944F8C89686179B095F711</vt:lpwstr>
  </property>
  <property fmtid="{D5CDD505-2E9C-101B-9397-08002B2CF9AE}" pid="4" name="KSOTemplateDocerSaveRecord">
    <vt:lpwstr>eyJoZGlkIjoiOTQ3MDMzNmYxMjRmNWYyMzBmYjk2YmJmZTkyNzk4MTAifQ==</vt:lpwstr>
  </property>
</Properties>
</file>