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highlight w:val="none"/>
        </w:rPr>
        <w:t>：定额计价标准</w:t>
      </w:r>
    </w:p>
    <w:p>
      <w:pPr>
        <w:spacing w:line="500" w:lineRule="exact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一、计价方式：定额计价</w:t>
      </w:r>
    </w:p>
    <w:p>
      <w:pPr>
        <w:spacing w:line="500" w:lineRule="exact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二、适用的法律、法规及工程造价计价依据：</w:t>
      </w:r>
    </w:p>
    <w:p>
      <w:pPr>
        <w:numPr>
          <w:ilvl w:val="0"/>
          <w:numId w:val="1"/>
        </w:numPr>
        <w:spacing w:line="500" w:lineRule="exact"/>
        <w:ind w:left="42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《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2017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海南省房屋建筑与装饰工程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综合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定额》</w:t>
      </w:r>
    </w:p>
    <w:p>
      <w:pPr>
        <w:numPr>
          <w:ilvl w:val="0"/>
          <w:numId w:val="1"/>
        </w:numPr>
        <w:spacing w:line="500" w:lineRule="exact"/>
        <w:ind w:left="42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《</w:t>
      </w:r>
      <w:r>
        <w:rPr>
          <w:rFonts w:hint="eastAsia"/>
          <w:color w:val="auto"/>
          <w:highlight w:val="none"/>
          <w:lang w:val="en-US" w:eastAsia="zh-CN"/>
        </w:rPr>
        <w:t>2017</w:t>
      </w:r>
      <w:r>
        <w:rPr>
          <w:rFonts w:hint="eastAsia"/>
          <w:color w:val="auto"/>
          <w:highlight w:val="none"/>
          <w:lang w:eastAsia="zh-CN"/>
        </w:rPr>
        <w:t>海南省安装工程综合定额》</w:t>
      </w:r>
    </w:p>
    <w:p>
      <w:pPr>
        <w:numPr>
          <w:ilvl w:val="0"/>
          <w:numId w:val="1"/>
        </w:numPr>
        <w:spacing w:line="500" w:lineRule="exact"/>
        <w:ind w:left="42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《2021海南省装饰装修工程综合定额》</w:t>
      </w:r>
    </w:p>
    <w:p>
      <w:pPr>
        <w:numPr>
          <w:ilvl w:val="0"/>
          <w:numId w:val="1"/>
        </w:numPr>
        <w:spacing w:line="500" w:lineRule="exact"/>
        <w:ind w:left="42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  <w:lang w:eastAsia="zh-CN"/>
        </w:rPr>
        <w:t>《</w:t>
      </w:r>
      <w:r>
        <w:rPr>
          <w:rFonts w:hint="eastAsia"/>
          <w:color w:val="auto"/>
          <w:highlight w:val="none"/>
          <w:lang w:val="en-US" w:eastAsia="zh-CN"/>
        </w:rPr>
        <w:t>2017</w:t>
      </w:r>
      <w:r>
        <w:rPr>
          <w:rFonts w:hint="eastAsia"/>
          <w:color w:val="auto"/>
          <w:highlight w:val="none"/>
          <w:lang w:eastAsia="zh-CN"/>
        </w:rPr>
        <w:t>海南省市政工程综合定额》</w:t>
      </w:r>
    </w:p>
    <w:p>
      <w:pPr>
        <w:numPr>
          <w:ilvl w:val="0"/>
          <w:numId w:val="1"/>
        </w:numPr>
        <w:spacing w:line="500" w:lineRule="exact"/>
        <w:ind w:left="420"/>
        <w:jc w:val="left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海南省建设标准定额站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http://zjt.hainan.gov.cn/szjt/gcjsbzde/dez.shtml?ddtab=true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发布同期价格信息（同期指委托单下达日期，地点为项目所在地，若项目所在地无价格信息，参考海口价格）。</w:t>
      </w:r>
    </w:p>
    <w:p>
      <w:pPr>
        <w:numPr>
          <w:ilvl w:val="0"/>
          <w:numId w:val="1"/>
        </w:numPr>
        <w:spacing w:line="500" w:lineRule="exact"/>
        <w:ind w:left="420"/>
        <w:jc w:val="left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广材网专业测定价（地点为海南）</w:t>
      </w:r>
    </w:p>
    <w:p>
      <w:pPr>
        <w:numPr>
          <w:ilvl w:val="0"/>
          <w:numId w:val="1"/>
        </w:numPr>
        <w:spacing w:line="500" w:lineRule="exact"/>
        <w:ind w:left="420"/>
        <w:jc w:val="left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广材网同期市场价（地点为海南）</w:t>
      </w:r>
    </w:p>
    <w:p>
      <w:pPr>
        <w:numPr>
          <w:ilvl w:val="0"/>
          <w:numId w:val="1"/>
        </w:numPr>
        <w:spacing w:line="500" w:lineRule="exact"/>
        <w:ind w:left="420"/>
        <w:jc w:val="left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业主认价单</w:t>
      </w:r>
    </w:p>
    <w:p>
      <w:pPr>
        <w:numPr>
          <w:ilvl w:val="0"/>
          <w:numId w:val="1"/>
        </w:numPr>
        <w:spacing w:line="500" w:lineRule="exact"/>
        <w:ind w:left="42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海南省标准定额站颁布的工程预（结）算类的文件</w:t>
      </w:r>
    </w:p>
    <w:p>
      <w:pPr>
        <w:spacing w:line="500" w:lineRule="exact"/>
        <w:ind w:left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细则要求：</w:t>
      </w:r>
    </w:p>
    <w:p>
      <w:pPr>
        <w:numPr>
          <w:ilvl w:val="0"/>
          <w:numId w:val="2"/>
        </w:numPr>
        <w:spacing w:line="500" w:lineRule="exact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造价定额以第1、2为主，3、4作为补充；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材料费计价标准执行第5、6、7、8条，优先顺序为5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7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8。</w:t>
      </w:r>
    </w:p>
    <w:p>
      <w:pPr>
        <w:numPr>
          <w:ilvl w:val="0"/>
          <w:numId w:val="2"/>
        </w:numPr>
        <w:spacing w:line="500" w:lineRule="exact"/>
        <w:ind w:left="0"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在进行工程直接费计算时，如果以上规定适用的工程预结算定额没有相应的定额子目可套用，可参考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招标人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指定的其它定额子目。</w:t>
      </w:r>
    </w:p>
    <w:p>
      <w:pPr>
        <w:numPr>
          <w:ilvl w:val="0"/>
          <w:numId w:val="2"/>
        </w:numPr>
        <w:spacing w:line="500" w:lineRule="exact"/>
        <w:ind w:left="0" w:firstLine="0" w:firstLineChars="0"/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在执行工程费用计算时，如果双方对定额子目的套用或解释及结算条款发生争议时，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招标人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有定额子目的套用及结算条款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最终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决定权和解释权。</w:t>
      </w:r>
    </w:p>
    <w:p>
      <w:pPr>
        <w:numPr>
          <w:ilvl w:val="0"/>
          <w:numId w:val="2"/>
        </w:numPr>
        <w:spacing w:line="500" w:lineRule="exact"/>
        <w:ind w:left="0" w:firstLine="0" w:firstLineChars="0"/>
        <w:rPr>
          <w:rFonts w:hint="default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如合同期内第1、2、3、4定额版本发布新的版本时，发布次月起开始执行新版定额【以下单之日为准】。</w:t>
      </w:r>
    </w:p>
    <w:p>
      <w:pPr>
        <w:numPr>
          <w:ilvl w:val="0"/>
          <w:numId w:val="2"/>
        </w:numPr>
        <w:spacing w:line="500" w:lineRule="exact"/>
        <w:ind w:left="0" w:firstLine="0" w:firstLineChars="0"/>
        <w:rPr>
          <w:rFonts w:hint="eastAsia" w:ascii="Arial" w:hAnsi="Arial" w:cs="Arial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认价流程：认价材料材质、规格确认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招标人委托第三方审核单位认价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第三方审核单位</w:t>
      </w:r>
      <w:r>
        <w:rPr>
          <w:rFonts w:hint="eastAsia" w:ascii="Arial" w:hAnsi="Arial" w:cs="Arial" w:eastAsiaTheme="minorEastAsia"/>
          <w:color w:val="auto"/>
          <w:szCs w:val="21"/>
          <w:highlight w:val="none"/>
          <w:lang w:val="en-US" w:eastAsia="zh-CN"/>
        </w:rPr>
        <w:t>反馈认价信息，招标人同意认价信息后委托投标人负责采购。</w:t>
      </w:r>
    </w:p>
    <w:p>
      <w:pPr>
        <w:numPr>
          <w:ilvl w:val="0"/>
          <w:numId w:val="2"/>
        </w:numPr>
        <w:spacing w:line="500" w:lineRule="exact"/>
        <w:ind w:left="0" w:firstLine="0" w:firstLineChars="0"/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ascii="Arial" w:hAnsi="Arial" w:cs="Arial" w:eastAsiaTheme="minorEastAsia"/>
          <w:color w:val="auto"/>
          <w:szCs w:val="21"/>
          <w:highlight w:val="none"/>
          <w:lang w:val="en-US" w:eastAsia="zh-CN"/>
        </w:rPr>
        <w:t>招标人委托第三方造价咨询机构对投标人编制的工程结算书审核，对工程结算书中的不合理内容进行核减。投标人承诺在合同期内尽职履约，对其编制的工程结算书准确性负责。招标人承担造价咨询机构的审核基础费用，投标人有义务确保每次结算审核书的报审结算金额真实有效，对审定金额较报审金额的审减程度承担一定责任。</w:t>
      </w:r>
    </w:p>
    <w:p>
      <w:pPr>
        <w:numPr>
          <w:ilvl w:val="-1"/>
          <w:numId w:val="0"/>
        </w:numPr>
        <w:spacing w:line="500" w:lineRule="exact"/>
        <w:ind w:left="0" w:firstLine="422" w:firstLineChars="200"/>
        <w:rPr>
          <w:rFonts w:hint="default" w:ascii="Arial" w:hAnsi="Arial" w:cs="Arial" w:eastAsiaTheme="minorEastAsia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Arial" w:hAnsi="Arial" w:cs="Arial" w:eastAsiaTheme="minorEastAsia"/>
          <w:b/>
          <w:bCs/>
          <w:color w:val="auto"/>
          <w:szCs w:val="21"/>
          <w:highlight w:val="none"/>
          <w:lang w:val="en-US" w:eastAsia="zh-CN"/>
        </w:rPr>
        <w:t>每次结算审查书的核减率≤10%,审核费用由招标人自行承担；核减率大于10%，审核费用由投标人承担</w:t>
      </w:r>
      <w:r>
        <w:rPr>
          <w:rFonts w:hint="eastAsia"/>
          <w:b/>
          <w:bCs/>
          <w:color w:val="auto"/>
          <w:highlight w:val="none"/>
          <w:lang w:eastAsia="zh-CN"/>
        </w:rPr>
        <w:t>，</w:t>
      </w:r>
      <w:r>
        <w:rPr>
          <w:rFonts w:hint="eastAsia" w:ascii="Arial" w:hAnsi="Arial" w:cs="Arial" w:eastAsiaTheme="minorEastAsia"/>
          <w:b/>
          <w:bCs/>
          <w:color w:val="auto"/>
          <w:szCs w:val="21"/>
          <w:highlight w:val="none"/>
          <w:lang w:val="en-US" w:eastAsia="zh-CN"/>
        </w:rPr>
        <w:t>在每次结算应付款项中进行扣除。单次送审核减金额超过单次送审结算金额的15%（含）或合同期内发生核减率大于10%小于15%情形5次（含）时，招标人有权终止合作。</w:t>
      </w:r>
    </w:p>
    <w:p>
      <w:pPr>
        <w:spacing w:line="500" w:lineRule="exact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三、取费标准：</w:t>
      </w:r>
    </w:p>
    <w:p>
      <w:pPr>
        <w:spacing w:line="500" w:lineRule="exact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1. 综合管理费和利润：在定额子目里分别计取。</w:t>
      </w:r>
    </w:p>
    <w:p>
      <w:pPr>
        <w:spacing w:line="500" w:lineRule="exact"/>
        <w:ind w:firstLine="0" w:firstLineChars="0"/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2.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人工费标准：执行海南省住房和城乡建设厅琼建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规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【20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】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号文件之规定人工单价为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145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元/工日。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考虑合同签订年度时效较长，人工单价调整幅度大，人工费取费按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海南省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住房和城乡建设厅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的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通知文件政策进行实时的调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整（以下单委托时间为准）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调整的人工单价增调部分不参与取费，按价差处理，只计算税金。</w:t>
      </w:r>
    </w:p>
    <w:p>
      <w:pPr>
        <w:spacing w:line="500" w:lineRule="exact"/>
        <w:ind w:firstLine="0" w:firstLineChars="0"/>
        <w:rPr>
          <w:rFonts w:hint="default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3.材料费标准：执行本定额计价标准第二条的5、6、7、8点，优先顺序为5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7</w:t>
      </w:r>
      <w:r>
        <w:rPr>
          <w:rFonts w:hint="default" w:ascii="Arial" w:hAnsi="Arial" w:cs="Arial" w:eastAsiaTheme="minorEastAsia"/>
          <w:color w:val="auto"/>
          <w:szCs w:val="21"/>
          <w:highlight w:val="none"/>
          <w:lang w:val="en-US" w:eastAsia="zh-CN"/>
        </w:rPr>
        <w:t>→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8。</w:t>
      </w:r>
    </w:p>
    <w:p>
      <w:pPr>
        <w:spacing w:line="500" w:lineRule="exact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 xml:space="preserve">. 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发票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：增值税专用发票。</w:t>
      </w:r>
    </w:p>
    <w:p>
      <w:pPr>
        <w:spacing w:line="360" w:lineRule="auto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．下列费用已包括在总费率中，发生后不再单独计取：</w:t>
      </w:r>
    </w:p>
    <w:p>
      <w:pPr>
        <w:spacing w:line="360" w:lineRule="auto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a、施工过程中发生的停水、停电所造成的停工窝工损失。</w:t>
      </w:r>
    </w:p>
    <w:p>
      <w:pPr>
        <w:spacing w:line="360" w:lineRule="auto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b、在国家标准准许范围内，材料理论重量和实际重量的量差。</w:t>
      </w:r>
    </w:p>
    <w:p>
      <w:pPr>
        <w:spacing w:line="360" w:lineRule="auto"/>
        <w:ind w:firstLine="0"/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c、执行费用定额期间，在费用范围内，国家和行业对某些费用的标准和价格上调，费用定额未做调整时所增加的费用。</w:t>
      </w:r>
    </w:p>
    <w:p>
      <w:pPr>
        <w:spacing w:line="360" w:lineRule="auto"/>
        <w:ind w:firstLine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d、由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投标人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负责采购的材料，采购或运输的亏吨。</w:t>
      </w:r>
    </w:p>
    <w:p>
      <w:pPr>
        <w:spacing w:line="360" w:lineRule="auto"/>
        <w:rPr>
          <w:rFonts w:hint="default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e、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招标人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供货设备，从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  <w:t>招标人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仓库至施工现场的运输费以及设备、材料的保管费。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投标人供货设备、材料等场内运输费。</w:t>
      </w:r>
    </w:p>
    <w:p>
      <w:pPr>
        <w:spacing w:line="360" w:lineRule="auto"/>
        <w:ind w:firstLine="0" w:firstLineChars="0"/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f、合同签订后,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除合同规定和国家强制性规定外，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国家、行业或海南省工程造价管理部门颁布的有关工程机械、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材料、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费用等调整的文件不适用于本工程项目的合同价格。</w:t>
      </w:r>
    </w:p>
    <w:p>
      <w:pPr>
        <w:spacing w:line="360" w:lineRule="auto"/>
        <w:ind w:firstLine="0" w:firstLineChars="0"/>
        <w:rPr>
          <w:rFonts w:hint="eastAsia" w:eastAsia="宋体" w:cs="宋体" w:asciiTheme="minorEastAsia" w:hAnsi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g、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auto"/>
          <w:szCs w:val="21"/>
          <w:highlight w:val="none"/>
        </w:rPr>
        <w:t>原因，如资金、设备、材料、图纸等供应不及时所造成的停工窝工损失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0" w:firstLineChars="0"/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．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中标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费率在整个合同执行期间是固定的，不因通货膨胀、政府政策调整等原因而做出调整。</w:t>
      </w:r>
    </w:p>
    <w:p>
      <w:pPr>
        <w:spacing w:line="360" w:lineRule="auto"/>
        <w:ind w:firstLine="0" w:firstLineChars="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四、适用的造价软件：</w:t>
      </w:r>
    </w:p>
    <w:p>
      <w:pPr>
        <w:spacing w:line="500" w:lineRule="exact"/>
        <w:ind w:firstLine="210" w:firstLineChars="100"/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/>
          <w:lang w:val="en-US" w:eastAsia="zh-CN"/>
        </w:rPr>
        <w:t>与投标文件中报价价格完全一致的可编辑版广联达（正版GCCP6.0格式）软件文件。</w:t>
      </w:r>
    </w:p>
    <w:p>
      <w:pPr>
        <w:spacing w:line="500" w:lineRule="exact"/>
        <w:ind w:firstLine="210" w:firstLineChars="10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五、工程预、结算的编制：</w:t>
      </w:r>
    </w:p>
    <w:p>
      <w:pPr>
        <w:spacing w:line="500" w:lineRule="exact"/>
        <w:ind w:firstLine="420" w:firstLineChars="200"/>
        <w:rPr>
          <w:rFonts w:cs="宋体"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提供工程预、结算书时，同时提供单项工程、单位工程预、结算价及工程量计算式等。</w:t>
      </w:r>
    </w:p>
    <w:p>
      <w:pPr>
        <w:numPr>
          <w:ilvl w:val="0"/>
          <w:numId w:val="3"/>
        </w:numPr>
        <w:spacing w:line="500" w:lineRule="exact"/>
        <w:ind w:firstLine="210" w:firstLineChars="100"/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工程结算工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u w:val="none"/>
        </w:rPr>
        <w:t>程造价结算按下表要求结算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u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u w:val="none"/>
          <w:lang w:val="en-US" w:eastAsia="zh-CN"/>
        </w:rPr>
        <w:t>其中以下部分进行下浮让利：</w:t>
      </w:r>
    </w:p>
    <w:p>
      <w:pPr>
        <w:spacing w:line="500" w:lineRule="exact"/>
        <w:ind w:firstLine="0" w:firstLineChars="0"/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承诺让利=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{人工费+机械费+管理费+利润+措施项目费（除安全文明施工费）+人工价差+机械价差}</w:t>
      </w:r>
      <w:r>
        <w:rPr>
          <w:rFonts w:hint="default" w:ascii="Arial" w:hAnsi="Arial" w:cs="Arial" w:eastAsiaTheme="minorEastAsia"/>
          <w:color w:val="auto"/>
          <w:szCs w:val="21"/>
          <w:highlight w:val="none"/>
        </w:rPr>
        <w:t>×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</w:rPr>
        <w:t>下浮</w:t>
      </w:r>
      <w:r>
        <w:rPr>
          <w:rFonts w:hint="eastAsia" w:cs="宋体" w:asciiTheme="minorEastAsia" w:hAnsiTheme="minorEastAsia" w:eastAsiaTheme="minorEastAsia"/>
          <w:color w:val="auto"/>
          <w:szCs w:val="21"/>
          <w:highlight w:val="none"/>
          <w:lang w:val="en-US" w:eastAsia="zh-CN"/>
        </w:rPr>
        <w:t>%。</w:t>
      </w:r>
    </w:p>
    <w:p>
      <w:pPr>
        <w:numPr>
          <w:ilvl w:val="-1"/>
          <w:numId w:val="0"/>
        </w:numPr>
        <w:spacing w:line="500" w:lineRule="exact"/>
        <w:ind w:firstLine="420" w:firstLineChars="200"/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  <w:u w:val="none"/>
          <w:lang w:val="en-US" w:eastAsia="zh-CN"/>
        </w:rPr>
        <w:t>本项目暂估价约为1200万元（含税1年），不含税价格为1100.92万元（税率暂按9%计），其中不能下浮部分价格约495.41万元（不含税，占比45%），要求下浮部分（人工费+机械费+管理费+利润+措施项目费（除安全文明施工费）+人工价差+机械价差）约605.50万元（不含税，占比55%）。</w:t>
      </w:r>
    </w:p>
    <w:p>
      <w:pPr>
        <w:numPr>
          <w:ilvl w:val="-1"/>
          <w:numId w:val="0"/>
        </w:numPr>
        <w:spacing w:line="500" w:lineRule="exact"/>
        <w:ind w:firstLine="420" w:firstLineChars="200"/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  <w:u w:val="none"/>
          <w:lang w:val="en-US" w:eastAsia="zh-CN"/>
        </w:rPr>
        <w:t>投标报价（不含税）=495.41万元+605.50万元×</w:t>
      </w:r>
      <w:r>
        <w:rPr>
          <w:rFonts w:hint="eastAsia" w:cs="宋体" w:asciiTheme="minorEastAsia" w:hAnsiTheme="minorEastAsia" w:eastAsiaTheme="minorEastAsia"/>
          <w:bCs w:val="0"/>
          <w:iCs w:val="0"/>
          <w:color w:val="auto"/>
          <w:sz w:val="21"/>
          <w:szCs w:val="21"/>
          <w:highlight w:val="none"/>
          <w:u w:val="none"/>
        </w:rPr>
        <w:t>[</w:t>
      </w:r>
      <w:r>
        <w:rPr>
          <w:rFonts w:hint="eastAsia" w:cs="宋体" w:asciiTheme="minorEastAsia" w:hAnsiTheme="minorEastAsia" w:eastAsiaTheme="minorEastAsia"/>
          <w:color w:val="auto"/>
          <w:sz w:val="21"/>
          <w:szCs w:val="21"/>
          <w:highlight w:val="none"/>
          <w:u w:val="none"/>
          <w:lang w:val="en-US" w:eastAsia="zh-CN"/>
        </w:rPr>
        <w:t>1-下浮费率（下浮%）</w:t>
      </w:r>
      <w:r>
        <w:rPr>
          <w:rFonts w:hint="eastAsia" w:cs="宋体" w:asciiTheme="minorEastAsia" w:hAnsiTheme="minorEastAsia" w:eastAsiaTheme="minorEastAsia"/>
          <w:bCs w:val="0"/>
          <w:iCs w:val="0"/>
          <w:color w:val="auto"/>
          <w:sz w:val="21"/>
          <w:szCs w:val="21"/>
          <w:highlight w:val="none"/>
          <w:u w:val="none"/>
        </w:rPr>
        <w:t>]</w:t>
      </w:r>
    </w:p>
    <w:p>
      <w:pPr>
        <w:numPr>
          <w:ilvl w:val="-1"/>
          <w:numId w:val="0"/>
        </w:numPr>
        <w:spacing w:line="500" w:lineRule="exact"/>
        <w:ind w:firstLine="0" w:firstLineChars="0"/>
        <w:rPr>
          <w:rFonts w:hint="eastAsia" w:cs="宋体" w:asciiTheme="minorEastAsia" w:hAnsiTheme="minorEastAsia" w:eastAsiaTheme="minorEastAsia"/>
          <w:color w:val="auto"/>
          <w:szCs w:val="21"/>
          <w:highlight w:val="none"/>
          <w:u w:val="none"/>
          <w:lang w:val="en-US" w:eastAsia="zh-CN"/>
        </w:rPr>
      </w:pPr>
    </w:p>
    <w:p>
      <w:pPr>
        <w:spacing w:line="500" w:lineRule="exact"/>
        <w:ind w:firstLine="480" w:firstLineChars="200"/>
        <w:rPr>
          <w:rFonts w:ascii="仿宋" w:hAnsi="仿宋" w:eastAsia="仿宋" w:cs="宋体"/>
          <w:color w:val="auto"/>
          <w:sz w:val="24"/>
          <w:highlight w:val="none"/>
        </w:rPr>
      </w:pPr>
    </w:p>
    <w:tbl>
      <w:tblPr>
        <w:tblStyle w:val="3"/>
        <w:tblW w:w="8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84"/>
        <w:gridCol w:w="2088"/>
        <w:gridCol w:w="2735"/>
        <w:gridCol w:w="827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单位工程费汇总表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工程名称：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XX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行号</w:t>
            </w:r>
          </w:p>
        </w:tc>
        <w:tc>
          <w:tcPr>
            <w:tcW w:w="88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208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27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取费说明</w:t>
            </w:r>
          </w:p>
        </w:tc>
        <w:tc>
          <w:tcPr>
            <w:tcW w:w="82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费率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一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分部分项工程量清单费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分部分项合计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其中：人工费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分部分项人工费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分部分项材料费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机械费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分部分项机械费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管理费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分部分项管理费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利润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分部分项利润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措施项目费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措施项目合计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其中：人工费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技术措施项目人工费+组织措施人工费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施工技术措施项目费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技术措施项目合计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施工组织措施项目费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组织措施项目合计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其中：安全文明施工费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安全施工基本费+安全文明施工费浮动部分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其中：临时设施费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临时设施费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其中：雨季施工增加费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雨季施工费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3.4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其中：夜间施工增加费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夜间施工费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其他项目费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其他项目合计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四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规费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其中：垃圾处置费+其中：社保费+其中：危险作业意外伤害保险费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其中：垃圾处置费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其中：社保费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(工日合计+技术措施项目工日合计+人工降效工日)*56.03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其中：危险作业意外伤害保险费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分部分项人工费+组织措施人工费+技术措施项目人工费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价差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人工价差+材料价差+机械价差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人工价差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人工价差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材料价差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材料价差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机械价差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机械价差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六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不含税工程造价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分部分项工程量清单费+措施项目费+其他项目费+规费+价差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七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承诺让利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人工费+机械费+管理费+利润+措施项目费+人工价差+机械价差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八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让利后工程造价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不含税工程造价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-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承诺让利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九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税金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让利后工程造价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十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含税工程造价</w:t>
            </w:r>
          </w:p>
        </w:tc>
        <w:tc>
          <w:tcPr>
            <w:tcW w:w="273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让利后工程造价+税金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FAA16"/>
    <w:multiLevelType w:val="singleLevel"/>
    <w:tmpl w:val="4AFFAA1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5773BC1A"/>
    <w:multiLevelType w:val="singleLevel"/>
    <w:tmpl w:val="5773BC1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C46606C"/>
    <w:multiLevelType w:val="multilevel"/>
    <w:tmpl w:val="7C46606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Times New Roman" w:hAnsi="Times New Roman" w:cs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A219A"/>
    <w:rsid w:val="013A40C0"/>
    <w:rsid w:val="017A0B78"/>
    <w:rsid w:val="01BE7E9B"/>
    <w:rsid w:val="01D3277A"/>
    <w:rsid w:val="040249A0"/>
    <w:rsid w:val="040543AE"/>
    <w:rsid w:val="04B55E47"/>
    <w:rsid w:val="05697192"/>
    <w:rsid w:val="05E16058"/>
    <w:rsid w:val="062B6CAE"/>
    <w:rsid w:val="077D2DD8"/>
    <w:rsid w:val="07A6147E"/>
    <w:rsid w:val="07B264E2"/>
    <w:rsid w:val="087D370D"/>
    <w:rsid w:val="0A1215F6"/>
    <w:rsid w:val="0B271510"/>
    <w:rsid w:val="0B7A42BB"/>
    <w:rsid w:val="0BEA0098"/>
    <w:rsid w:val="0CD83DE1"/>
    <w:rsid w:val="0E2963C9"/>
    <w:rsid w:val="0FF56939"/>
    <w:rsid w:val="11223B28"/>
    <w:rsid w:val="11456666"/>
    <w:rsid w:val="11933FE7"/>
    <w:rsid w:val="11E4796F"/>
    <w:rsid w:val="14AB30F5"/>
    <w:rsid w:val="14DA683A"/>
    <w:rsid w:val="14E0607A"/>
    <w:rsid w:val="154712A7"/>
    <w:rsid w:val="15C80049"/>
    <w:rsid w:val="16172BC2"/>
    <w:rsid w:val="167B3370"/>
    <w:rsid w:val="17443E95"/>
    <w:rsid w:val="175C5A0C"/>
    <w:rsid w:val="19553AEC"/>
    <w:rsid w:val="198911D7"/>
    <w:rsid w:val="1B291AE6"/>
    <w:rsid w:val="1B60591D"/>
    <w:rsid w:val="1BCA4827"/>
    <w:rsid w:val="1D4726CE"/>
    <w:rsid w:val="1E81322A"/>
    <w:rsid w:val="1F6E5925"/>
    <w:rsid w:val="1F783003"/>
    <w:rsid w:val="1FA627B6"/>
    <w:rsid w:val="20732467"/>
    <w:rsid w:val="208D4A74"/>
    <w:rsid w:val="21A62FC3"/>
    <w:rsid w:val="22376FF4"/>
    <w:rsid w:val="232A7093"/>
    <w:rsid w:val="23626B1C"/>
    <w:rsid w:val="24821172"/>
    <w:rsid w:val="264033C6"/>
    <w:rsid w:val="2751350E"/>
    <w:rsid w:val="275A50DD"/>
    <w:rsid w:val="27BA2993"/>
    <w:rsid w:val="27C13545"/>
    <w:rsid w:val="28DD6518"/>
    <w:rsid w:val="28F73914"/>
    <w:rsid w:val="299327C4"/>
    <w:rsid w:val="2A082782"/>
    <w:rsid w:val="2A634D4A"/>
    <w:rsid w:val="2B6E1535"/>
    <w:rsid w:val="2BBD561C"/>
    <w:rsid w:val="2C5A30C8"/>
    <w:rsid w:val="2DEF4350"/>
    <w:rsid w:val="2E9E0C07"/>
    <w:rsid w:val="2F33497E"/>
    <w:rsid w:val="310061F3"/>
    <w:rsid w:val="328E7722"/>
    <w:rsid w:val="33047BC2"/>
    <w:rsid w:val="33C71E7E"/>
    <w:rsid w:val="34F31778"/>
    <w:rsid w:val="350A33C7"/>
    <w:rsid w:val="369B7EE2"/>
    <w:rsid w:val="379612FD"/>
    <w:rsid w:val="37FE3B0E"/>
    <w:rsid w:val="380F5F9E"/>
    <w:rsid w:val="38CA5A01"/>
    <w:rsid w:val="3A1144D2"/>
    <w:rsid w:val="3A2841AF"/>
    <w:rsid w:val="3B8B601F"/>
    <w:rsid w:val="3BFD0D1E"/>
    <w:rsid w:val="3C284A4F"/>
    <w:rsid w:val="3C6E1DB2"/>
    <w:rsid w:val="3D72615D"/>
    <w:rsid w:val="3E6E49B7"/>
    <w:rsid w:val="3ECB775E"/>
    <w:rsid w:val="3F021D6B"/>
    <w:rsid w:val="3F5D6C67"/>
    <w:rsid w:val="40296E24"/>
    <w:rsid w:val="406929C0"/>
    <w:rsid w:val="41FD67BF"/>
    <w:rsid w:val="42174BFC"/>
    <w:rsid w:val="422E7D02"/>
    <w:rsid w:val="42ED5B59"/>
    <w:rsid w:val="43FB29BF"/>
    <w:rsid w:val="445B15B3"/>
    <w:rsid w:val="45EE3F48"/>
    <w:rsid w:val="4612112E"/>
    <w:rsid w:val="47323443"/>
    <w:rsid w:val="47874CF5"/>
    <w:rsid w:val="486E0AE4"/>
    <w:rsid w:val="489F46A2"/>
    <w:rsid w:val="498E69BD"/>
    <w:rsid w:val="4A1A44FB"/>
    <w:rsid w:val="4AB2329C"/>
    <w:rsid w:val="4B0A73E7"/>
    <w:rsid w:val="4BED063C"/>
    <w:rsid w:val="4E3A500A"/>
    <w:rsid w:val="50044053"/>
    <w:rsid w:val="509048BD"/>
    <w:rsid w:val="50FA4B7C"/>
    <w:rsid w:val="51C3147E"/>
    <w:rsid w:val="51D27F79"/>
    <w:rsid w:val="52686D40"/>
    <w:rsid w:val="551119E0"/>
    <w:rsid w:val="5550049A"/>
    <w:rsid w:val="56443B98"/>
    <w:rsid w:val="56715961"/>
    <w:rsid w:val="569552BB"/>
    <w:rsid w:val="56AB4841"/>
    <w:rsid w:val="56BC5B26"/>
    <w:rsid w:val="56C62E6D"/>
    <w:rsid w:val="574B306E"/>
    <w:rsid w:val="57BC79B8"/>
    <w:rsid w:val="5AD403F9"/>
    <w:rsid w:val="5BEF506E"/>
    <w:rsid w:val="5C110046"/>
    <w:rsid w:val="5C163770"/>
    <w:rsid w:val="5D373386"/>
    <w:rsid w:val="5D8B0FB2"/>
    <w:rsid w:val="5E473234"/>
    <w:rsid w:val="5EAD4EE1"/>
    <w:rsid w:val="5FDC55D3"/>
    <w:rsid w:val="5FE429DF"/>
    <w:rsid w:val="5FE61766"/>
    <w:rsid w:val="60483ACF"/>
    <w:rsid w:val="60657AB6"/>
    <w:rsid w:val="60911247"/>
    <w:rsid w:val="620307DC"/>
    <w:rsid w:val="62B2433F"/>
    <w:rsid w:val="63481FEA"/>
    <w:rsid w:val="63A50E63"/>
    <w:rsid w:val="64676329"/>
    <w:rsid w:val="64CF6370"/>
    <w:rsid w:val="64ED2418"/>
    <w:rsid w:val="6670445A"/>
    <w:rsid w:val="66CD60E6"/>
    <w:rsid w:val="6AB10065"/>
    <w:rsid w:val="6AFF3773"/>
    <w:rsid w:val="6B2D1BE2"/>
    <w:rsid w:val="6C982BF5"/>
    <w:rsid w:val="6D52069D"/>
    <w:rsid w:val="6E00440C"/>
    <w:rsid w:val="6EED49C0"/>
    <w:rsid w:val="70237D37"/>
    <w:rsid w:val="70537EF4"/>
    <w:rsid w:val="72D06194"/>
    <w:rsid w:val="749F02E6"/>
    <w:rsid w:val="76CE2AF9"/>
    <w:rsid w:val="777C6E2E"/>
    <w:rsid w:val="77E67D42"/>
    <w:rsid w:val="79281A4B"/>
    <w:rsid w:val="795D662A"/>
    <w:rsid w:val="798D1CF3"/>
    <w:rsid w:val="7CBE2760"/>
    <w:rsid w:val="7D3C67D4"/>
    <w:rsid w:val="7DC8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jc w:val="left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2022-10-10T00:37:00Z</dcterms:created>
  <dc:creator>HNFD</dc:creator>
  <cp:lastModifiedBy>王海珠</cp:lastModifiedBy>
  <cp:lastPrinted>2025-07-22T03:10:00Z</cp:lastPrinted>
  <dcterms:modified xsi:type="dcterms:W3CDTF">2025-09-10T03:02:47Z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8C58D855853943EA91D08F723966A875</vt:lpwstr>
  </property>
</Properties>
</file>