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pStyle w:val="18"/>
        <w:spacing w:line="360" w:lineRule="auto"/>
        <w:ind w:left="0" w:leftChars="0" w:firstLine="0" w:firstLineChars="0"/>
        <w:jc w:val="center"/>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lang w:val="en-US" w:eastAsia="zh-CN"/>
        </w:rPr>
        <w:t>杭州市余杭区</w:t>
      </w:r>
      <w:r>
        <w:rPr>
          <w:rFonts w:hint="eastAsia" w:ascii="宋体" w:hAnsi="宋体" w:eastAsia="宋体" w:cs="宋体"/>
          <w:b/>
          <w:bCs/>
          <w:color w:val="auto"/>
          <w:sz w:val="48"/>
          <w:szCs w:val="48"/>
          <w:highlight w:val="none"/>
        </w:rPr>
        <w:t>2023-2025年度专项债券发行准备财务会计专业服务采购项目</w:t>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封闭式框架协议采购</w:t>
      </w:r>
    </w:p>
    <w:p>
      <w:pPr>
        <w:jc w:val="center"/>
        <w:rPr>
          <w:rFonts w:hint="eastAsia" w:ascii="宋体" w:hAnsi="宋体" w:eastAsia="宋体" w:cs="宋体"/>
          <w:b/>
          <w:color w:val="auto"/>
          <w:sz w:val="84"/>
          <w:szCs w:val="84"/>
          <w:highlight w:val="none"/>
        </w:rPr>
      </w:pPr>
      <w:bookmarkStart w:id="0" w:name="_Toc28551"/>
      <w:r>
        <w:rPr>
          <w:rFonts w:hint="eastAsia" w:ascii="宋体" w:hAnsi="宋体" w:eastAsia="宋体" w:cs="宋体"/>
          <w:b/>
          <w:color w:val="auto"/>
          <w:sz w:val="72"/>
          <w:szCs w:val="72"/>
          <w:highlight w:val="none"/>
        </w:rPr>
        <w:t>公开征集文件</w:t>
      </w:r>
      <w:bookmarkEnd w:id="0"/>
    </w:p>
    <w:p>
      <w:pPr>
        <w:widowControl/>
        <w:jc w:val="center"/>
        <w:rPr>
          <w:rFonts w:hint="eastAsia" w:ascii="宋体" w:hAnsi="宋体" w:eastAsia="宋体" w:cs="宋体"/>
          <w:b/>
          <w:color w:val="auto"/>
          <w:sz w:val="44"/>
          <w:szCs w:val="44"/>
          <w:highlight w:val="none"/>
        </w:rPr>
      </w:pPr>
    </w:p>
    <w:p>
      <w:pPr>
        <w:widowControl/>
        <w:jc w:val="center"/>
        <w:rPr>
          <w:rFonts w:hint="eastAsia" w:ascii="宋体" w:hAnsi="宋体" w:eastAsia="宋体" w:cs="宋体"/>
          <w:b/>
          <w:i w:val="0"/>
          <w:iCs w:val="0"/>
          <w:color w:val="auto"/>
          <w:sz w:val="44"/>
          <w:szCs w:val="44"/>
          <w:highlight w:val="none"/>
        </w:rPr>
      </w:pPr>
      <w:r>
        <w:rPr>
          <w:rFonts w:hint="eastAsia" w:ascii="宋体" w:hAnsi="宋体" w:eastAsia="宋体" w:cs="宋体"/>
          <w:b/>
          <w:i w:val="0"/>
          <w:iCs w:val="0"/>
          <w:color w:val="auto"/>
          <w:sz w:val="44"/>
          <w:szCs w:val="44"/>
          <w:highlight w:val="none"/>
        </w:rPr>
        <w:t>（政采云电子标）</w:t>
      </w:r>
    </w:p>
    <w:p>
      <w:pPr>
        <w:spacing w:line="440" w:lineRule="exact"/>
        <w:ind w:firstLine="220" w:firstLineChars="61"/>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pStyle w:val="622"/>
        <w:spacing w:line="360" w:lineRule="auto"/>
        <w:ind w:firstLine="2804" w:firstLineChars="931"/>
        <w:rPr>
          <w:rFonts w:hint="eastAsia" w:ascii="宋体" w:hAnsi="宋体" w:eastAsia="宋体" w:cs="宋体"/>
          <w:b/>
          <w:bCs/>
          <w:color w:val="auto"/>
          <w:sz w:val="30"/>
          <w:szCs w:val="30"/>
          <w:highlight w:val="none"/>
          <w:lang w:val="en-US"/>
        </w:rPr>
      </w:pPr>
      <w:r>
        <w:rPr>
          <w:rFonts w:hint="eastAsia" w:ascii="宋体" w:hAnsi="宋体" w:eastAsia="宋体" w:cs="宋体"/>
          <w:b/>
          <w:bCs/>
          <w:color w:val="auto"/>
          <w:sz w:val="30"/>
          <w:szCs w:val="30"/>
          <w:highlight w:val="none"/>
          <w:lang w:val="en-US"/>
        </w:rPr>
        <w:t>项目编号：YHZFCG2023-148</w:t>
      </w: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2034" w:firstLineChars="633"/>
        <w:rPr>
          <w:rFonts w:hint="eastAsia" w:ascii="宋体" w:hAnsi="宋体" w:eastAsia="宋体" w:cs="宋体"/>
          <w:b/>
          <w:bCs/>
          <w:color w:val="auto"/>
          <w:sz w:val="32"/>
          <w:szCs w:val="32"/>
          <w:highlight w:val="none"/>
          <w:lang w:val="en-US"/>
        </w:rPr>
      </w:pPr>
    </w:p>
    <w:p>
      <w:pPr>
        <w:pStyle w:val="622"/>
        <w:spacing w:line="360" w:lineRule="auto"/>
        <w:ind w:firstLine="2034" w:firstLineChars="633"/>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征 集 人：</w:t>
      </w:r>
      <w:r>
        <w:rPr>
          <w:rFonts w:hint="eastAsia" w:ascii="宋体" w:hAnsi="宋体" w:eastAsia="宋体" w:cs="宋体"/>
          <w:b/>
          <w:bCs/>
          <w:color w:val="auto"/>
          <w:sz w:val="32"/>
          <w:szCs w:val="32"/>
          <w:highlight w:val="none"/>
          <w:lang w:val="en-US" w:eastAsia="zh-CN"/>
        </w:rPr>
        <w:t>杭州市余杭区</w:t>
      </w:r>
      <w:r>
        <w:rPr>
          <w:rFonts w:hint="eastAsia" w:ascii="宋体" w:hAnsi="宋体" w:eastAsia="宋体" w:cs="宋体"/>
          <w:b/>
          <w:bCs/>
          <w:color w:val="auto"/>
          <w:sz w:val="32"/>
          <w:szCs w:val="32"/>
          <w:highlight w:val="none"/>
          <w:lang w:val="en-US"/>
        </w:rPr>
        <w:t>财政局</w:t>
      </w:r>
    </w:p>
    <w:p>
      <w:pPr>
        <w:pStyle w:val="622"/>
        <w:spacing w:line="360" w:lineRule="auto"/>
        <w:ind w:firstLine="1928" w:firstLineChars="600"/>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委托代理机构：耀华建设管理有限公司</w:t>
      </w:r>
    </w:p>
    <w:p>
      <w:pPr>
        <w:pStyle w:val="622"/>
        <w:spacing w:line="360" w:lineRule="auto"/>
        <w:ind w:firstLine="2034" w:firstLineChars="633"/>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日    期：二〇二三年</w:t>
      </w:r>
      <w:r>
        <w:rPr>
          <w:rFonts w:hint="eastAsia"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val="en-US"/>
        </w:rPr>
        <w:t>月</w:t>
      </w:r>
      <w:r>
        <w:rPr>
          <w:rFonts w:hint="eastAsia" w:cs="宋体"/>
          <w:b/>
          <w:bCs/>
          <w:color w:val="auto"/>
          <w:sz w:val="32"/>
          <w:szCs w:val="32"/>
          <w:highlight w:val="none"/>
          <w:lang w:val="en-US" w:eastAsia="zh-CN"/>
        </w:rPr>
        <w:t>八日</w:t>
      </w:r>
      <w:r>
        <w:rPr>
          <w:rFonts w:hint="eastAsia" w:ascii="宋体" w:hAnsi="宋体" w:eastAsia="宋体" w:cs="宋体"/>
          <w:b/>
          <w:bCs/>
          <w:color w:val="auto"/>
          <w:sz w:val="32"/>
          <w:szCs w:val="32"/>
          <w:highlight w:val="none"/>
          <w:lang w:val="en-US"/>
        </w:rPr>
        <w:t xml:space="preserve"> </w:t>
      </w:r>
    </w:p>
    <w:p>
      <w:pPr>
        <w:spacing w:line="360" w:lineRule="auto"/>
        <w:ind w:firstLine="566" w:firstLineChars="177"/>
        <w:jc w:val="center"/>
        <w:rPr>
          <w:rFonts w:hint="eastAsia" w:ascii="宋体" w:hAnsi="宋体" w:eastAsia="宋体" w:cs="宋体"/>
          <w:color w:val="auto"/>
          <w:sz w:val="32"/>
          <w:szCs w:val="32"/>
          <w:highlight w:val="none"/>
        </w:rPr>
        <w:sectPr>
          <w:headerReference r:id="rId4" w:type="first"/>
          <w:footerReference r:id="rId7" w:type="first"/>
          <w:headerReference r:id="rId3" w:type="default"/>
          <w:footerReference r:id="rId5" w:type="default"/>
          <w:footerReference r:id="rId6" w:type="even"/>
          <w:pgSz w:w="11905" w:h="16838"/>
          <w:pgMar w:top="872" w:right="1417" w:bottom="1266" w:left="1417" w:header="539" w:footer="482" w:gutter="0"/>
          <w:cols w:space="720" w:num="1"/>
          <w:titlePg/>
          <w:docGrid w:linePitch="312" w:charSpace="0"/>
        </w:sectPr>
      </w:pP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bookmarkStart w:id="1" w:name="_Hlt91233176"/>
      <w:bookmarkEnd w:id="1"/>
      <w:bookmarkStart w:id="2" w:name="_Toc91899869"/>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spacing w:line="360" w:lineRule="auto"/>
        <w:ind w:firstLine="549" w:firstLineChars="229"/>
        <w:rPr>
          <w:rFonts w:hint="eastAsia" w:ascii="宋体" w:hAnsi="宋体" w:eastAsia="宋体" w:cs="宋体"/>
          <w:color w:val="auto"/>
          <w:sz w:val="24"/>
          <w:highlight w:val="none"/>
        </w:rPr>
      </w:pPr>
    </w:p>
    <w:p>
      <w:pPr>
        <w:pStyle w:val="18"/>
        <w:ind w:firstLine="420"/>
        <w:rPr>
          <w:rFonts w:hint="eastAsia" w:ascii="宋体" w:hAnsi="宋体" w:eastAsia="宋体" w:cs="宋体"/>
          <w:color w:val="auto"/>
          <w:highlight w:val="none"/>
        </w:rPr>
      </w:pPr>
    </w:p>
    <w:p>
      <w:pPr>
        <w:spacing w:line="480" w:lineRule="auto"/>
        <w:ind w:firstLine="641" w:firstLineChars="229"/>
        <w:rPr>
          <w:rFonts w:hint="eastAsia" w:ascii="宋体" w:hAnsi="宋体" w:eastAsia="宋体" w:cs="宋体"/>
          <w:color w:val="auto"/>
          <w:sz w:val="28"/>
          <w:szCs w:val="28"/>
          <w:highlight w:val="none"/>
        </w:rPr>
      </w:pP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"_Toc22449"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第一章 征集公告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第五章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_Toc3870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第六章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480" w:lineRule="auto"/>
        <w:ind w:firstLine="641" w:firstLineChars="229"/>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2"/>
    <w:p>
      <w:pPr>
        <w:spacing w:line="360" w:lineRule="auto"/>
        <w:rPr>
          <w:rFonts w:hint="eastAsia" w:ascii="宋体" w:hAnsi="宋体" w:eastAsia="宋体" w:cs="宋体"/>
          <w:color w:val="auto"/>
          <w:sz w:val="24"/>
          <w:highlight w:val="none"/>
        </w:rPr>
      </w:pPr>
    </w:p>
    <w:p>
      <w:pPr>
        <w:adjustRightInd/>
        <w:spacing w:line="360" w:lineRule="auto"/>
        <w:jc w:val="center"/>
        <w:rPr>
          <w:rFonts w:hint="eastAsia" w:ascii="宋体" w:hAnsi="宋体" w:eastAsia="宋体" w:cs="宋体"/>
          <w:b/>
          <w:color w:val="auto"/>
          <w:sz w:val="36"/>
          <w:szCs w:val="20"/>
          <w:highlight w:val="none"/>
        </w:rPr>
        <w:sectPr>
          <w:footerReference r:id="rId10" w:type="first"/>
          <w:headerReference r:id="rId8" w:type="default"/>
          <w:footerReference r:id="rId9" w:type="default"/>
          <w:pgSz w:w="11905" w:h="16838"/>
          <w:pgMar w:top="872" w:right="1417" w:bottom="1266" w:left="1417" w:header="539" w:footer="482" w:gutter="0"/>
          <w:pgNumType w:start="1"/>
          <w:cols w:space="720" w:num="1"/>
          <w:docGrid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_Toc20296"/>
      <w:bookmarkStart w:id="8" w:name="_Toc22995"/>
      <w:bookmarkStart w:id="9" w:name="_Toc31815"/>
      <w:bookmarkStart w:id="10" w:name="_Toc18065"/>
      <w:bookmarkStart w:id="11" w:name="第二部分"/>
      <w:bookmarkStart w:id="12" w:name="_Toc91899870"/>
      <w:bookmarkStart w:id="13" w:name="_Toc91899871"/>
    </w:p>
    <w:p>
      <w:pPr>
        <w:adjustRightInd/>
        <w:spacing w:line="360" w:lineRule="auto"/>
        <w:jc w:val="center"/>
        <w:outlineLvl w:val="0"/>
        <w:rPr>
          <w:rFonts w:hint="eastAsia" w:ascii="宋体" w:hAnsi="宋体" w:eastAsia="宋体" w:cs="宋体"/>
          <w:b/>
          <w:color w:val="auto"/>
          <w:sz w:val="40"/>
          <w:szCs w:val="40"/>
          <w:highlight w:val="none"/>
        </w:rPr>
      </w:pPr>
      <w:bookmarkStart w:id="14" w:name="_Toc3856"/>
      <w:bookmarkStart w:id="15" w:name="_Toc22449"/>
      <w:bookmarkStart w:id="16" w:name="_Toc3900"/>
      <w:bookmarkStart w:id="17" w:name="_Toc9820"/>
      <w:bookmarkStart w:id="18" w:name="_Toc21938"/>
      <w:bookmarkStart w:id="19" w:name="_Toc23199"/>
      <w:bookmarkStart w:id="20" w:name="_Toc5744"/>
      <w:bookmarkStart w:id="21" w:name="_Toc13459"/>
      <w:r>
        <w:rPr>
          <w:rFonts w:hint="eastAsia" w:ascii="宋体" w:hAnsi="宋体" w:eastAsia="宋体" w:cs="宋体"/>
          <w:b/>
          <w:color w:val="auto"/>
          <w:sz w:val="40"/>
          <w:szCs w:val="40"/>
          <w:highlight w:val="none"/>
        </w:rPr>
        <w:t>第一章 征集公告</w:t>
      </w:r>
      <w:bookmarkEnd w:id="7"/>
      <w:bookmarkEnd w:id="8"/>
      <w:bookmarkEnd w:id="9"/>
      <w:bookmarkEnd w:id="10"/>
      <w:bookmarkEnd w:id="14"/>
      <w:bookmarkEnd w:id="15"/>
      <w:bookmarkEnd w:id="16"/>
      <w:bookmarkEnd w:id="17"/>
      <w:bookmarkEnd w:id="18"/>
      <w:bookmarkEnd w:id="19"/>
      <w:bookmarkEnd w:id="20"/>
      <w:bookmarkEnd w:id="21"/>
    </w:p>
    <w:p>
      <w:pPr>
        <w:pBdr>
          <w:top w:val="single" w:color="auto" w:sz="4" w:space="1"/>
          <w:left w:val="single" w:color="auto" w:sz="4" w:space="4"/>
          <w:bottom w:val="single" w:color="auto" w:sz="4" w:space="1"/>
          <w:right w:val="single" w:color="auto" w:sz="4" w:space="4"/>
        </w:pBd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 目 概 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根据政府采购框架协议采购方式管理暂行办法，</w:t>
      </w:r>
      <w:r>
        <w:rPr>
          <w:rFonts w:hint="eastAsia" w:ascii="宋体" w:hAnsi="宋体" w:eastAsia="宋体" w:cs="宋体"/>
          <w:color w:val="auto"/>
          <w:sz w:val="24"/>
          <w:highlight w:val="none"/>
          <w:lang w:val="en-US" w:eastAsia="zh-CN"/>
        </w:rPr>
        <w:t>杭州市余杭区</w:t>
      </w:r>
      <w:r>
        <w:rPr>
          <w:rFonts w:hint="eastAsia" w:ascii="宋体" w:hAnsi="宋体" w:eastAsia="宋体" w:cs="宋体"/>
          <w:color w:val="auto"/>
          <w:sz w:val="24"/>
          <w:highlight w:val="none"/>
        </w:rPr>
        <w:t>2023-2025年度专项债券发行准备财务会计专业服务封闭式框架协议采购项目的潜在供应商应在政采云平台（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"https://www.zcygov.cn/）获取（下载）征集文件，并于2022年10月20日9点30分00秒"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2"/>
          <w:sz w:val="24"/>
          <w:szCs w:val="24"/>
          <w:highlight w:val="none"/>
        </w:rPr>
        <w:t>https://www.zcygov.cn/）获取（下载）征集文件，并于2023年</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时</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cs="宋体"/>
          <w:bCs/>
          <w:color w:val="auto"/>
          <w:kern w:val="2"/>
          <w:sz w:val="24"/>
          <w:szCs w:val="24"/>
          <w:highlight w:val="none"/>
          <w:lang w:val="en-US" w:eastAsia="zh-CN"/>
        </w:rPr>
        <w:t>00</w:t>
      </w:r>
      <w:r>
        <w:rPr>
          <w:rStyle w:val="78"/>
          <w:rFonts w:hint="eastAsia" w:ascii="宋体" w:hAnsi="宋体" w:eastAsia="宋体" w:cs="宋体"/>
          <w:bCs/>
          <w:color w:val="auto"/>
          <w:kern w:val="2"/>
          <w:sz w:val="24"/>
          <w:szCs w:val="24"/>
          <w:highlight w:val="none"/>
        </w:rPr>
        <w:t>秒</w:t>
      </w:r>
      <w:r>
        <w:rPr>
          <w:rStyle w:val="78"/>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（一）项目编号：YHZFCG2023-148</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（二）项目名称：</w:t>
      </w:r>
      <w:r>
        <w:rPr>
          <w:rFonts w:hint="eastAsia" w:ascii="宋体" w:hAnsi="宋体" w:eastAsia="宋体" w:cs="宋体"/>
          <w:bCs/>
          <w:color w:val="auto"/>
          <w:sz w:val="24"/>
          <w:highlight w:val="none"/>
          <w:lang w:val="en-US" w:eastAsia="zh-CN"/>
        </w:rPr>
        <w:t>杭州市余杭区</w:t>
      </w:r>
      <w:r>
        <w:rPr>
          <w:rFonts w:hint="eastAsia" w:ascii="宋体" w:hAnsi="宋体" w:eastAsia="宋体" w:cs="宋体"/>
          <w:bCs/>
          <w:color w:val="auto"/>
          <w:sz w:val="24"/>
          <w:highlight w:val="none"/>
        </w:rPr>
        <w:t>2023-2025年度专项债券发行准备财务会计专业服务采购项目</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（三）预算金额（元）：（无固定预算，以实际服务项目为准）</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（四）最高限价（元）：</w:t>
      </w:r>
      <w:r>
        <w:rPr>
          <w:rFonts w:hint="eastAsia" w:ascii="宋体" w:hAnsi="宋体" w:eastAsia="宋体" w:cs="宋体"/>
          <w:bCs/>
          <w:color w:val="auto"/>
          <w:sz w:val="24"/>
          <w:szCs w:val="24"/>
          <w:highlight w:val="none"/>
        </w:rPr>
        <w:t>出具加盖第三方中介机构公章的财务评估报告（正式稿）并首次成功发行专项债的项目最高单价限价3万元/个。</w:t>
      </w:r>
    </w:p>
    <w:p>
      <w:pPr>
        <w:pStyle w:val="16"/>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（五）采购需求：为做好</w:t>
      </w:r>
      <w:r>
        <w:rPr>
          <w:rFonts w:hint="eastAsia" w:ascii="宋体" w:hAnsi="宋体" w:eastAsia="宋体" w:cs="宋体"/>
          <w:bCs/>
          <w:color w:val="auto"/>
          <w:sz w:val="24"/>
          <w:szCs w:val="24"/>
          <w:highlight w:val="none"/>
          <w:lang w:val="en-US" w:eastAsia="zh-CN"/>
        </w:rPr>
        <w:t>杭州</w:t>
      </w:r>
      <w:r>
        <w:rPr>
          <w:rFonts w:hint="eastAsia" w:ascii="宋体" w:hAnsi="宋体" w:eastAsia="宋体" w:cs="宋体"/>
          <w:bCs/>
          <w:color w:val="auto"/>
          <w:sz w:val="24"/>
          <w:szCs w:val="24"/>
          <w:highlight w:val="none"/>
        </w:rPr>
        <w:t>市</w:t>
      </w:r>
      <w:r>
        <w:rPr>
          <w:rFonts w:hint="eastAsia" w:ascii="宋体" w:hAnsi="宋体" w:eastAsia="宋体" w:cs="宋体"/>
          <w:bCs/>
          <w:color w:val="auto"/>
          <w:sz w:val="24"/>
          <w:szCs w:val="24"/>
          <w:highlight w:val="none"/>
          <w:lang w:val="en-US" w:eastAsia="zh-CN"/>
        </w:rPr>
        <w:t>余杭区</w:t>
      </w:r>
      <w:r>
        <w:rPr>
          <w:rFonts w:hint="eastAsia" w:ascii="宋体" w:hAnsi="宋体" w:eastAsia="宋体" w:cs="宋体"/>
          <w:color w:val="auto"/>
          <w:sz w:val="24"/>
          <w:szCs w:val="24"/>
          <w:highlight w:val="none"/>
        </w:rPr>
        <w:t>2023-2025</w:t>
      </w:r>
      <w:r>
        <w:rPr>
          <w:rFonts w:hint="eastAsia" w:ascii="宋体" w:hAnsi="宋体" w:eastAsia="宋体" w:cs="宋体"/>
          <w:bCs/>
          <w:color w:val="auto"/>
          <w:sz w:val="24"/>
          <w:szCs w:val="24"/>
          <w:highlight w:val="none"/>
        </w:rPr>
        <w:t>年度地方政府专项债券的发行准备工作，拟通过框架协议方式选聘会计师事务所，为</w:t>
      </w:r>
      <w:r>
        <w:rPr>
          <w:rFonts w:hint="eastAsia" w:ascii="宋体" w:hAnsi="宋体" w:eastAsia="宋体" w:cs="宋体"/>
          <w:color w:val="auto"/>
          <w:sz w:val="24"/>
          <w:szCs w:val="24"/>
          <w:highlight w:val="none"/>
        </w:rPr>
        <w:t>2023-2025</w:t>
      </w:r>
      <w:r>
        <w:rPr>
          <w:rFonts w:hint="eastAsia" w:ascii="宋体" w:hAnsi="宋体" w:eastAsia="宋体" w:cs="宋体"/>
          <w:bCs/>
          <w:color w:val="auto"/>
          <w:sz w:val="24"/>
          <w:szCs w:val="24"/>
          <w:highlight w:val="none"/>
        </w:rPr>
        <w:t>年度专项债券发行准备工作提供财务会计专业服务，包括制作项目实施方案（含事前绩效评价）、出具《项目收益与融资自求平衡财务评价报告》（以下简称财评报告）及资金平衡表等发行专项债券涉及的专业报告，并协助征集人和其他债券发行参与方完成专项债券项目的预审、申报、信息披露和全过程其他相关专业服务。</w:t>
      </w:r>
      <w:r>
        <w:rPr>
          <w:rFonts w:hint="eastAsia" w:ascii="宋体" w:hAnsi="宋体" w:eastAsia="宋体" w:cs="宋体"/>
          <w:bCs/>
          <w:color w:val="auto"/>
          <w:kern w:val="2"/>
          <w:sz w:val="24"/>
          <w:szCs w:val="24"/>
          <w:highlight w:val="none"/>
        </w:rPr>
        <w:t>具体详见“第三部分采购需求”。</w:t>
      </w:r>
    </w:p>
    <w:p>
      <w:pPr>
        <w:pStyle w:val="87"/>
        <w:spacing w:before="0"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（六）框架协议期限：</w:t>
      </w:r>
      <w:r>
        <w:rPr>
          <w:rFonts w:hint="eastAsia" w:ascii="宋体" w:hAnsi="宋体" w:eastAsia="宋体" w:cs="宋体"/>
          <w:bCs/>
          <w:i w:val="0"/>
          <w:iCs w:val="0"/>
          <w:color w:val="auto"/>
          <w:szCs w:val="24"/>
          <w:highlight w:val="none"/>
        </w:rPr>
        <w:t>2023-2025年，总服务期限不超过24个月，即二年</w:t>
      </w:r>
      <w:r>
        <w:rPr>
          <w:rFonts w:hint="eastAsia" w:ascii="宋体" w:hAnsi="宋体" w:eastAsia="宋体" w:cs="宋体"/>
          <w:bCs/>
          <w:color w:val="auto"/>
          <w:szCs w:val="24"/>
          <w:highlight w:val="none"/>
        </w:rPr>
        <w:t>。合同每年一签，每年协议期满，根据考核情况及相关政策不变的情况下，可协商续签下一年度服务合同。征集人也有权重新组织采购。</w:t>
      </w:r>
    </w:p>
    <w:p>
      <w:pPr>
        <w:pStyle w:val="87"/>
        <w:spacing w:before="0"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（七）框架协议的征集人：</w:t>
      </w:r>
      <w:r>
        <w:rPr>
          <w:rFonts w:hint="eastAsia" w:ascii="宋体" w:hAnsi="宋体" w:eastAsia="宋体" w:cs="宋体"/>
          <w:bCs/>
          <w:color w:val="auto"/>
          <w:szCs w:val="24"/>
          <w:highlight w:val="none"/>
          <w:lang w:val="en-US" w:eastAsia="zh-CN"/>
        </w:rPr>
        <w:t>杭州</w:t>
      </w:r>
      <w:r>
        <w:rPr>
          <w:rFonts w:hint="eastAsia" w:ascii="宋体" w:hAnsi="宋体" w:eastAsia="宋体" w:cs="宋体"/>
          <w:bCs/>
          <w:color w:val="auto"/>
          <w:szCs w:val="24"/>
          <w:highlight w:val="none"/>
        </w:rPr>
        <w:t>市</w:t>
      </w:r>
      <w:r>
        <w:rPr>
          <w:rFonts w:hint="eastAsia" w:ascii="宋体" w:hAnsi="宋体" w:eastAsia="宋体" w:cs="宋体"/>
          <w:bCs/>
          <w:color w:val="auto"/>
          <w:szCs w:val="24"/>
          <w:highlight w:val="none"/>
          <w:lang w:val="en-US" w:eastAsia="zh-CN"/>
        </w:rPr>
        <w:t>余杭区</w:t>
      </w:r>
      <w:r>
        <w:rPr>
          <w:rFonts w:hint="eastAsia" w:ascii="宋体" w:hAnsi="宋体" w:eastAsia="宋体" w:cs="宋体"/>
          <w:bCs/>
          <w:color w:val="auto"/>
          <w:szCs w:val="24"/>
          <w:highlight w:val="none"/>
        </w:rPr>
        <w:t>财政局。</w:t>
      </w:r>
    </w:p>
    <w:p>
      <w:pPr>
        <w:pStyle w:val="87"/>
        <w:spacing w:before="0"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（八）本项目不接受联合体形式参加。</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二、申请人（供应商）的资格要求：</w:t>
      </w:r>
    </w:p>
    <w:p>
      <w:pPr>
        <w:adjustRightInd/>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1.满足《中华人民共和国政府采购法》第二十二条规定；未被“信用中国”（www.creditchina.gov.cn)、中国政府采购网（ww</w:t>
      </w:r>
      <w:bookmarkStart w:id="481" w:name="_GoBack"/>
      <w:bookmarkEnd w:id="481"/>
      <w:r>
        <w:rPr>
          <w:rFonts w:hint="eastAsia" w:ascii="宋体" w:hAnsi="宋体" w:eastAsia="宋体" w:cs="宋体"/>
          <w:snapToGrid w:val="0"/>
          <w:color w:val="auto"/>
          <w:kern w:val="28"/>
          <w:sz w:val="24"/>
          <w:highlight w:val="none"/>
        </w:rPr>
        <w:t>w.ccgp.gov.cn）列入失信被执行人、重大税收违法案件当事人名单、政府采购严重违法失信行为记录名单；</w:t>
      </w:r>
    </w:p>
    <w:p>
      <w:pPr>
        <w:adjustRightInd/>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2.落实政府采购政策需满足的资格要求：无。</w:t>
      </w:r>
    </w:p>
    <w:p>
      <w:pPr>
        <w:adjustRightInd/>
        <w:spacing w:line="360" w:lineRule="auto"/>
        <w:ind w:firstLine="480"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shd w:val="clear" w:color="auto" w:fill="FFFFFF"/>
        </w:rPr>
        <w:t>：</w:t>
      </w:r>
      <w:r>
        <w:rPr>
          <w:rFonts w:hint="eastAsia" w:ascii="宋体" w:hAnsi="宋体" w:eastAsia="宋体" w:cs="宋体"/>
          <w:b/>
          <w:bCs/>
          <w:i w:val="0"/>
          <w:iCs w:val="0"/>
          <w:color w:val="auto"/>
          <w:kern w:val="0"/>
          <w:sz w:val="24"/>
          <w:highlight w:val="none"/>
          <w:lang w:eastAsia="zh-CN"/>
        </w:rPr>
        <w:t>具有有效的省级或省级以上财政部门颁发的会计师事务所执业证书；</w:t>
      </w:r>
    </w:p>
    <w:p>
      <w:pPr>
        <w:widowControl/>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三、获取征集文件</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（一）时间：/至</w:t>
      </w:r>
      <w:r>
        <w:rPr>
          <w:rFonts w:hint="eastAsia" w:ascii="宋体" w:hAnsi="宋体" w:eastAsia="宋体" w:cs="宋体"/>
          <w:bCs/>
          <w:color w:val="auto"/>
          <w:sz w:val="24"/>
          <w:highlight w:val="none"/>
          <w:u w:val="single"/>
        </w:rPr>
        <w:t>2023年</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hint="eastAsia" w:ascii="宋体" w:hAnsi="宋体" w:eastAsia="宋体" w:cs="宋体"/>
          <w:bCs/>
          <w:color w:val="auto"/>
          <w:sz w:val="24"/>
          <w:highlight w:val="none"/>
          <w:u w:val="single"/>
        </w:rPr>
        <w:t>日响应截止时间</w:t>
      </w:r>
      <w:r>
        <w:rPr>
          <w:rFonts w:hint="eastAsia" w:ascii="宋体" w:hAnsi="宋体" w:eastAsia="宋体" w:cs="宋体"/>
          <w:bCs/>
          <w:color w:val="auto"/>
          <w:sz w:val="24"/>
          <w:highlight w:val="none"/>
        </w:rPr>
        <w:t>，每天上午00:00至12:00，下午12:00至23:59（北京时间，线上获取法定节假日均可，线下获取文件法定节假日除外）</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（二）地点（网址）：政采云平台（https://www.zcygov.cn/）</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（三）方式：供应商登录政采云平台https://www.zcygov.cn/在线申请获取征集文件（进入“项目采购”应用，在获取征集文件菜单中选择项目，申请获取征集文件）。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四、提交响应文件截止时间、开启时间和地点</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（一）提交响应文件截止时间：</w:t>
      </w:r>
      <w:r>
        <w:rPr>
          <w:rStyle w:val="78"/>
          <w:rFonts w:hint="eastAsia" w:ascii="宋体" w:hAnsi="宋体" w:eastAsia="宋体" w:cs="宋体"/>
          <w:color w:val="auto"/>
          <w:kern w:val="2"/>
          <w:sz w:val="24"/>
          <w:szCs w:val="24"/>
          <w:highlight w:val="none"/>
        </w:rPr>
        <w:t>2023年</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月</w:t>
      </w:r>
      <w:r>
        <w:rPr>
          <w:rStyle w:val="78"/>
          <w:rFonts w:hint="eastAsia" w:ascii="宋体" w:hAnsi="宋体" w:eastAsia="宋体" w:cs="宋体"/>
          <w:color w:val="auto"/>
          <w:kern w:val="2"/>
          <w:sz w:val="24"/>
          <w:szCs w:val="24"/>
          <w:highlight w:val="none"/>
          <w:lang w:val="en-US" w:eastAsia="zh-CN"/>
        </w:rPr>
        <w:t xml:space="preserve"> </w:t>
      </w:r>
      <w:r>
        <w:rPr>
          <w:rStyle w:val="78"/>
          <w:rFonts w:hint="eastAsia" w:ascii="宋体" w:hAnsi="宋体" w:cs="宋体"/>
          <w:color w:val="auto"/>
          <w:kern w:val="2"/>
          <w:sz w:val="24"/>
          <w:szCs w:val="24"/>
          <w:highlight w:val="none"/>
          <w:lang w:val="en-US" w:eastAsia="zh-CN"/>
        </w:rPr>
        <w:t>28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时</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cs="宋体"/>
          <w:bCs/>
          <w:color w:val="auto"/>
          <w:kern w:val="2"/>
          <w:sz w:val="24"/>
          <w:szCs w:val="24"/>
          <w:highlight w:val="none"/>
          <w:lang w:val="en-US" w:eastAsia="zh-CN"/>
        </w:rPr>
        <w:t>00</w:t>
      </w:r>
      <w:r>
        <w:rPr>
          <w:rStyle w:val="78"/>
          <w:rFonts w:hint="eastAsia" w:ascii="宋体" w:hAnsi="宋体" w:eastAsia="宋体" w:cs="宋体"/>
          <w:bCs/>
          <w:color w:val="auto"/>
          <w:kern w:val="2"/>
          <w:sz w:val="24"/>
          <w:szCs w:val="24"/>
          <w:highlight w:val="none"/>
        </w:rPr>
        <w:t>秒</w:t>
      </w:r>
      <w:r>
        <w:rPr>
          <w:rFonts w:hint="eastAsia" w:ascii="宋体" w:hAnsi="宋体" w:eastAsia="宋体" w:cs="宋体"/>
          <w:bCs/>
          <w:color w:val="auto"/>
          <w:sz w:val="24"/>
          <w:highlight w:val="none"/>
        </w:rPr>
        <w:t>（北京时间）</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（二）递交响应文件地点（网址）：政采云平台（https://www.zcygov.cn/）</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（三）开启响应文件时间：</w:t>
      </w:r>
      <w:r>
        <w:rPr>
          <w:rStyle w:val="78"/>
          <w:rFonts w:hint="eastAsia" w:ascii="宋体" w:hAnsi="宋体" w:eastAsia="宋体" w:cs="宋体"/>
          <w:color w:val="auto"/>
          <w:kern w:val="2"/>
          <w:sz w:val="24"/>
          <w:szCs w:val="24"/>
          <w:highlight w:val="none"/>
        </w:rPr>
        <w:t>2023年</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月</w:t>
      </w:r>
      <w:r>
        <w:rPr>
          <w:rStyle w:val="78"/>
          <w:rFonts w:hint="eastAsia" w:ascii="宋体" w:hAnsi="宋体" w:eastAsia="宋体" w:cs="宋体"/>
          <w:color w:val="auto"/>
          <w:kern w:val="2"/>
          <w:sz w:val="24"/>
          <w:szCs w:val="24"/>
          <w:highlight w:val="none"/>
          <w:lang w:val="en-US" w:eastAsia="zh-CN"/>
        </w:rPr>
        <w:t xml:space="preserve"> </w:t>
      </w:r>
      <w:r>
        <w:rPr>
          <w:rStyle w:val="78"/>
          <w:rFonts w:hint="eastAsia" w:ascii="宋体" w:hAnsi="宋体" w:cs="宋体"/>
          <w:color w:val="auto"/>
          <w:kern w:val="2"/>
          <w:sz w:val="24"/>
          <w:szCs w:val="24"/>
          <w:highlight w:val="none"/>
          <w:lang w:val="en-US" w:eastAsia="zh-CN"/>
        </w:rPr>
        <w:t>28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时</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cs="宋体"/>
          <w:bCs/>
          <w:color w:val="auto"/>
          <w:kern w:val="2"/>
          <w:sz w:val="24"/>
          <w:szCs w:val="24"/>
          <w:highlight w:val="none"/>
          <w:lang w:val="en-US" w:eastAsia="zh-CN"/>
        </w:rPr>
        <w:t>00</w:t>
      </w:r>
      <w:r>
        <w:rPr>
          <w:rStyle w:val="78"/>
          <w:rFonts w:hint="eastAsia" w:ascii="宋体" w:hAnsi="宋体" w:eastAsia="宋体" w:cs="宋体"/>
          <w:bCs/>
          <w:color w:val="auto"/>
          <w:kern w:val="2"/>
          <w:sz w:val="24"/>
          <w:szCs w:val="24"/>
          <w:highlight w:val="none"/>
        </w:rPr>
        <w:t>秒</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（四）开启响应文件地点（网址）：政采云平台（https://www.zcygov.cn/）</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认为征集文件使自己的权益受到损害的，可以自获取征集文件之日或者采购公告期限届满之日（公告期限届满后获取征集文件的，以公告期限届满之日为准）起7个工作日内，对征集文件需求的以书面形式向征集人提出质疑，对其他内容的以书面形式向征集人提出质疑。质疑供应商对征集人的答复不满意或者征集人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1）需要落实的政府采购政策：包括节约资源、保护环境、支持创新等。（2）电子采购的说明：①本项目以数据电文形式，依托“政府采购云平台（www.zcygov.cn）”进行采购活动，不接受纸质响应文件；②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征集文件菜单中选择项目，获取征集文件；④响应文件的制作：在“政采云电子交易客户端”中完成“填写基本信息”、“导入响应文件”、“响应文件关联”、“响应文件检查”、“电子签名”、“生成电子响应文件”等操作；⑤征集人将依托政采云平台完成本项目的电子交易活动，平台不接受未按上述方式获取征集文件的供应商进行响应活动；⑥对未按上述方式获取征集文件的供应商对该文件提出的质疑，征集人将不予处理；⑦不提供征集文件纸质版；⑧响应文件的传输递交：供应商在响应截止时间前将加密的响应文件上传至政府采购云平台；⑨响应文件的解密：供应商按照平台提示和征集文件的规定在半小时内完成在线解密。⑩具体操作指南：详见政采云平台“服务中心-帮助文档-项目采购-操作流程-电子招投标-政府采购项目电子交易管理操作指南-供应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六、对本次采购提出询问、质疑、投诉，请按以下方式联系</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1.征集人信息</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名    称：</w:t>
      </w:r>
      <w:r>
        <w:rPr>
          <w:rFonts w:hint="eastAsia" w:ascii="宋体" w:hAnsi="宋体" w:eastAsia="宋体" w:cs="宋体"/>
          <w:i w:val="0"/>
          <w:iCs w:val="0"/>
          <w:color w:val="auto"/>
          <w:sz w:val="24"/>
          <w:highlight w:val="none"/>
          <w:lang w:val="en-US" w:eastAsia="zh-CN"/>
        </w:rPr>
        <w:t>杭州</w:t>
      </w:r>
      <w:r>
        <w:rPr>
          <w:rFonts w:hint="eastAsia" w:ascii="宋体" w:hAnsi="宋体" w:eastAsia="宋体" w:cs="宋体"/>
          <w:i w:val="0"/>
          <w:iCs w:val="0"/>
          <w:color w:val="auto"/>
          <w:sz w:val="24"/>
          <w:highlight w:val="none"/>
          <w:lang w:val="zh-TW"/>
        </w:rPr>
        <w:t>市</w:t>
      </w:r>
      <w:r>
        <w:rPr>
          <w:rFonts w:hint="eastAsia" w:ascii="宋体" w:hAnsi="宋体" w:eastAsia="宋体" w:cs="宋体"/>
          <w:i w:val="0"/>
          <w:iCs w:val="0"/>
          <w:color w:val="auto"/>
          <w:sz w:val="24"/>
          <w:highlight w:val="none"/>
          <w:lang w:val="en-US" w:eastAsia="zh-CN"/>
        </w:rPr>
        <w:t>余杭区</w:t>
      </w:r>
      <w:r>
        <w:rPr>
          <w:rFonts w:hint="eastAsia" w:ascii="宋体" w:hAnsi="宋体" w:eastAsia="宋体" w:cs="宋体"/>
          <w:i w:val="0"/>
          <w:iCs w:val="0"/>
          <w:color w:val="auto"/>
          <w:sz w:val="24"/>
          <w:highlight w:val="none"/>
          <w:lang w:val="zh-TW"/>
        </w:rPr>
        <w:t>财政局</w:t>
      </w:r>
    </w:p>
    <w:p>
      <w:pPr>
        <w:spacing w:line="360" w:lineRule="auto"/>
        <w:ind w:firstLine="480" w:firstLineChars="200"/>
        <w:rPr>
          <w:rFonts w:hint="eastAsia" w:ascii="宋体" w:hAnsi="宋体" w:eastAsia="宋体" w:cs="宋体"/>
          <w:i w:val="0"/>
          <w:iCs w:val="0"/>
          <w:color w:val="auto"/>
          <w:sz w:val="24"/>
          <w:highlight w:val="none"/>
          <w:lang w:val="zh-TW" w:eastAsia="zh-CN"/>
        </w:rPr>
      </w:pPr>
      <w:r>
        <w:rPr>
          <w:rFonts w:hint="eastAsia" w:ascii="宋体" w:hAnsi="宋体" w:eastAsia="宋体" w:cs="宋体"/>
          <w:i w:val="0"/>
          <w:iCs w:val="0"/>
          <w:color w:val="auto"/>
          <w:sz w:val="24"/>
          <w:highlight w:val="none"/>
          <w:lang w:val="zh-TW" w:eastAsia="zh-TW"/>
        </w:rPr>
        <w:t>地    址：</w:t>
      </w:r>
      <w:r>
        <w:rPr>
          <w:rFonts w:hint="eastAsia" w:ascii="宋体" w:hAnsi="宋体" w:eastAsia="宋体" w:cs="宋体"/>
          <w:i w:val="0"/>
          <w:iCs w:val="0"/>
          <w:color w:val="auto"/>
          <w:sz w:val="24"/>
          <w:highlight w:val="none"/>
          <w:lang w:val="en-US" w:eastAsia="zh-CN"/>
        </w:rPr>
        <w:t>杭州市余</w:t>
      </w:r>
      <w:r>
        <w:rPr>
          <w:rFonts w:hint="eastAsia" w:ascii="宋体" w:hAnsi="宋体" w:eastAsia="宋体" w:cs="宋体"/>
          <w:i w:val="0"/>
          <w:iCs w:val="0"/>
          <w:color w:val="auto"/>
          <w:sz w:val="24"/>
          <w:highlight w:val="none"/>
          <w:lang w:val="zh-TW" w:eastAsia="zh-TW"/>
        </w:rPr>
        <w:t>杭区仓前街道文一西路1500号8号楼</w:t>
      </w:r>
      <w:r>
        <w:rPr>
          <w:rFonts w:hint="eastAsia" w:ascii="宋体" w:hAnsi="宋体" w:cs="宋体"/>
          <w:i w:val="0"/>
          <w:iCs w:val="0"/>
          <w:color w:val="auto"/>
          <w:sz w:val="24"/>
          <w:highlight w:val="none"/>
          <w:lang w:val="zh-TW" w:eastAsia="zh-CN"/>
        </w:rPr>
        <w:t>。</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项目联系人（询问）：</w:t>
      </w:r>
      <w:r>
        <w:rPr>
          <w:rFonts w:hint="eastAsia" w:ascii="宋体" w:hAnsi="宋体" w:eastAsia="宋体" w:cs="宋体"/>
          <w:i w:val="0"/>
          <w:iCs w:val="0"/>
          <w:color w:val="auto"/>
          <w:sz w:val="24"/>
          <w:highlight w:val="none"/>
          <w:lang w:val="en-US" w:eastAsia="zh-CN"/>
        </w:rPr>
        <w:t>来小娜</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项目联系方式（询问）：</w:t>
      </w:r>
      <w:r>
        <w:rPr>
          <w:rFonts w:hint="eastAsia" w:ascii="宋体" w:hAnsi="宋体" w:eastAsia="宋体" w:cs="宋体"/>
          <w:i w:val="0"/>
          <w:iCs w:val="0"/>
          <w:color w:val="auto"/>
          <w:sz w:val="24"/>
          <w:highlight w:val="none"/>
          <w:lang w:val="en-US" w:eastAsia="zh-CN"/>
        </w:rPr>
        <w:t>0571-89516151</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质疑联系人：</w:t>
      </w:r>
      <w:r>
        <w:rPr>
          <w:rFonts w:hint="eastAsia" w:ascii="宋体" w:hAnsi="宋体" w:eastAsia="宋体" w:cs="宋体"/>
          <w:i w:val="0"/>
          <w:iCs w:val="0"/>
          <w:color w:val="auto"/>
          <w:sz w:val="24"/>
          <w:highlight w:val="none"/>
          <w:lang w:val="en-US" w:eastAsia="zh-CN"/>
        </w:rPr>
        <w:t>徐恩</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质疑联系方式：</w:t>
      </w:r>
      <w:r>
        <w:rPr>
          <w:rFonts w:hint="eastAsia" w:ascii="宋体" w:hAnsi="宋体" w:eastAsia="宋体" w:cs="宋体"/>
          <w:i w:val="0"/>
          <w:iCs w:val="0"/>
          <w:color w:val="auto"/>
          <w:sz w:val="24"/>
          <w:highlight w:val="none"/>
          <w:lang w:val="en-US" w:eastAsia="zh-CN"/>
        </w:rPr>
        <w:t>0571-89516131</w:t>
      </w:r>
      <w:r>
        <w:rPr>
          <w:rFonts w:hint="eastAsia" w:ascii="宋体" w:hAnsi="宋体" w:eastAsia="宋体" w:cs="宋体"/>
          <w:i w:val="0"/>
          <w:iCs w:val="0"/>
          <w:color w:val="auto"/>
          <w:sz w:val="24"/>
          <w:highlight w:val="none"/>
        </w:rPr>
        <w:t xml:space="preserve"> </w:t>
      </w:r>
    </w:p>
    <w:p>
      <w:pPr>
        <w:spacing w:line="360" w:lineRule="auto"/>
        <w:ind w:firstLine="420" w:firstLineChars="200"/>
        <w:rPr>
          <w:rFonts w:hint="eastAsia" w:ascii="宋体" w:hAnsi="宋体" w:eastAsia="宋体" w:cs="宋体"/>
          <w:i w:val="0"/>
          <w:iCs w:val="0"/>
          <w:sz w:val="21"/>
          <w:szCs w:val="21"/>
          <w:highlight w:val="none"/>
          <w:lang w:val="en-US" w:eastAsia="zh-CN"/>
        </w:rPr>
      </w:pPr>
    </w:p>
    <w:p>
      <w:pPr>
        <w:spacing w:line="360" w:lineRule="auto"/>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rPr>
        <w:t xml:space="preserve">.采购代理机构信息            </w:t>
      </w:r>
    </w:p>
    <w:p>
      <w:pPr>
        <w:spacing w:line="360" w:lineRule="auto"/>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名    称：耀华建设管理有限公司</w:t>
      </w:r>
    </w:p>
    <w:p>
      <w:pPr>
        <w:spacing w:line="360" w:lineRule="auto"/>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地址：杭州市余杭区联创街77号汇银中心3幢2单元。</w:t>
      </w:r>
    </w:p>
    <w:p>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项目联系人（询问）：</w:t>
      </w:r>
      <w:r>
        <w:rPr>
          <w:rFonts w:hint="eastAsia" w:ascii="宋体" w:hAnsi="宋体" w:eastAsia="宋体" w:cs="宋体"/>
          <w:i w:val="0"/>
          <w:iCs w:val="0"/>
          <w:sz w:val="24"/>
          <w:highlight w:val="none"/>
          <w:lang w:val="en-US" w:eastAsia="zh-CN"/>
        </w:rPr>
        <w:t>周海丽</w:t>
      </w:r>
      <w:r>
        <w:rPr>
          <w:rFonts w:hint="eastAsia" w:ascii="宋体" w:hAnsi="宋体" w:eastAsia="宋体" w:cs="宋体"/>
          <w:i w:val="0"/>
          <w:iCs w:val="0"/>
          <w:sz w:val="24"/>
          <w:highlight w:val="none"/>
        </w:rPr>
        <w:t xml:space="preserve">   </w:t>
      </w:r>
      <w:r>
        <w:rPr>
          <w:rFonts w:hint="eastAsia" w:ascii="宋体" w:hAnsi="宋体" w:eastAsia="宋体" w:cs="宋体"/>
          <w:i w:val="0"/>
          <w:iCs w:val="0"/>
          <w:sz w:val="24"/>
          <w:highlight w:val="none"/>
          <w:lang w:val="en-US" w:eastAsia="zh-CN"/>
        </w:rPr>
        <w:t xml:space="preserve"> </w:t>
      </w:r>
      <w:r>
        <w:rPr>
          <w:rFonts w:hint="eastAsia" w:ascii="宋体" w:hAnsi="宋体" w:eastAsia="宋体" w:cs="宋体"/>
          <w:i w:val="0"/>
          <w:iCs w:val="0"/>
          <w:sz w:val="24"/>
          <w:highlight w:val="none"/>
        </w:rPr>
        <w:t>项目联系方式（询问）：</w:t>
      </w:r>
      <w:r>
        <w:rPr>
          <w:rFonts w:hint="eastAsia" w:ascii="宋体" w:hAnsi="宋体" w:eastAsia="宋体" w:cs="宋体"/>
          <w:i w:val="0"/>
          <w:iCs w:val="0"/>
          <w:sz w:val="24"/>
          <w:highlight w:val="none"/>
          <w:lang w:val="en-US" w:eastAsia="zh-CN"/>
        </w:rPr>
        <w:t>0571-86320706</w:t>
      </w:r>
      <w:r>
        <w:rPr>
          <w:rFonts w:hint="eastAsia" w:ascii="宋体" w:hAnsi="宋体" w:eastAsia="宋体" w:cs="宋体"/>
          <w:i w:val="0"/>
          <w:iCs w:val="0"/>
          <w:sz w:val="24"/>
          <w:highlight w:val="none"/>
        </w:rPr>
        <w:t xml:space="preserve"> </w:t>
      </w:r>
    </w:p>
    <w:p>
      <w:pPr>
        <w:spacing w:line="360" w:lineRule="auto"/>
        <w:ind w:firstLine="480" w:firstLineChars="200"/>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质疑联系人：单成燕            质疑联系方式：0571-86320727</w:t>
      </w:r>
      <w:r>
        <w:rPr>
          <w:rFonts w:hint="eastAsia" w:ascii="宋体" w:hAnsi="宋体" w:cs="宋体"/>
          <w:i w:val="0"/>
          <w:iCs w:val="0"/>
          <w:sz w:val="24"/>
          <w:highlight w:val="none"/>
          <w:lang w:val="en-US" w:eastAsia="zh-CN"/>
        </w:rPr>
        <w:t>/18072887619</w:t>
      </w:r>
    </w:p>
    <w:p>
      <w:pPr>
        <w:spacing w:line="360" w:lineRule="auto"/>
        <w:ind w:firstLine="360" w:firstLineChars="200"/>
        <w:rPr>
          <w:rFonts w:hint="eastAsia" w:ascii="宋体" w:hAnsi="宋体" w:eastAsia="宋体" w:cs="宋体"/>
          <w:i w:val="0"/>
          <w:iCs w:val="0"/>
          <w:color w:val="auto"/>
          <w:sz w:val="18"/>
          <w:szCs w:val="18"/>
          <w:highlight w:val="none"/>
          <w:lang w:val="en-US" w:eastAsia="zh-CN"/>
        </w:rPr>
      </w:pP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同级政府采购监督管理部门</w:t>
      </w:r>
    </w:p>
    <w:p>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    称：</w:t>
      </w:r>
      <w:r>
        <w:rPr>
          <w:rFonts w:hint="eastAsia" w:ascii="宋体" w:hAnsi="宋体" w:eastAsia="宋体" w:cs="宋体"/>
          <w:i w:val="0"/>
          <w:iCs w:val="0"/>
          <w:color w:val="auto"/>
          <w:sz w:val="24"/>
          <w:highlight w:val="none"/>
          <w:lang w:val="en-US" w:eastAsia="zh-CN"/>
        </w:rPr>
        <w:t>杭州市余</w:t>
      </w:r>
      <w:r>
        <w:rPr>
          <w:rFonts w:hint="eastAsia" w:ascii="宋体" w:hAnsi="宋体" w:eastAsia="宋体" w:cs="宋体"/>
          <w:i w:val="0"/>
          <w:iCs w:val="0"/>
          <w:color w:val="auto"/>
          <w:sz w:val="24"/>
          <w:highlight w:val="none"/>
          <w:lang w:val="zh-TW" w:eastAsia="zh-TW"/>
        </w:rPr>
        <w:t>杭区</w:t>
      </w:r>
      <w:r>
        <w:rPr>
          <w:rFonts w:hint="eastAsia" w:ascii="宋体" w:hAnsi="宋体" w:eastAsia="宋体" w:cs="宋体"/>
          <w:i w:val="0"/>
          <w:iCs w:val="0"/>
          <w:color w:val="auto"/>
          <w:sz w:val="24"/>
          <w:highlight w:val="none"/>
        </w:rPr>
        <w:t xml:space="preserve">财政局政府采购监管处 </w:t>
      </w:r>
    </w:p>
    <w:p>
      <w:pPr>
        <w:spacing w:line="360" w:lineRule="auto"/>
        <w:ind w:firstLine="480" w:firstLineChars="200"/>
        <w:jc w:val="lef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地    址：</w:t>
      </w:r>
      <w:r>
        <w:rPr>
          <w:rFonts w:hint="eastAsia" w:ascii="宋体" w:hAnsi="宋体" w:eastAsia="宋体" w:cs="宋体"/>
          <w:i w:val="0"/>
          <w:iCs w:val="0"/>
          <w:color w:val="auto"/>
          <w:sz w:val="24"/>
          <w:highlight w:val="none"/>
          <w:lang w:val="en-US" w:eastAsia="zh-CN"/>
        </w:rPr>
        <w:t>杭州市余</w:t>
      </w:r>
      <w:r>
        <w:rPr>
          <w:rFonts w:hint="eastAsia" w:ascii="宋体" w:hAnsi="宋体" w:eastAsia="宋体" w:cs="宋体"/>
          <w:i w:val="0"/>
          <w:iCs w:val="0"/>
          <w:color w:val="auto"/>
          <w:sz w:val="24"/>
          <w:highlight w:val="none"/>
          <w:lang w:val="zh-TW" w:eastAsia="zh-TW"/>
        </w:rPr>
        <w:t>杭区仓前街道文一西路1500号8号楼</w:t>
      </w:r>
      <w:r>
        <w:rPr>
          <w:rFonts w:hint="eastAsia" w:ascii="宋体" w:hAnsi="宋体" w:eastAsia="宋体" w:cs="宋体"/>
          <w:i w:val="0"/>
          <w:iCs w:val="0"/>
          <w:color w:val="auto"/>
          <w:sz w:val="24"/>
          <w:highlight w:val="none"/>
        </w:rPr>
        <w:t>财政局</w:t>
      </w:r>
      <w:r>
        <w:rPr>
          <w:rFonts w:hint="eastAsia" w:ascii="宋体" w:hAnsi="宋体" w:eastAsia="宋体" w:cs="宋体"/>
          <w:i w:val="0"/>
          <w:iCs w:val="0"/>
          <w:color w:val="auto"/>
          <w:sz w:val="24"/>
          <w:highlight w:val="none"/>
          <w:lang w:eastAsia="zh-CN"/>
        </w:rPr>
        <w:t>。</w:t>
      </w:r>
    </w:p>
    <w:p>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 系 人：</w:t>
      </w:r>
      <w:r>
        <w:rPr>
          <w:rFonts w:hint="eastAsia" w:ascii="宋体" w:hAnsi="宋体" w:eastAsia="宋体" w:cs="宋体"/>
          <w:i w:val="0"/>
          <w:iCs w:val="0"/>
          <w:sz w:val="24"/>
          <w:highlight w:val="none"/>
        </w:rPr>
        <w:t>储女士</w:t>
      </w:r>
    </w:p>
    <w:p>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监督投诉电话：</w:t>
      </w:r>
      <w:r>
        <w:rPr>
          <w:rFonts w:hint="eastAsia" w:ascii="宋体" w:hAnsi="宋体" w:eastAsia="宋体" w:cs="宋体"/>
          <w:i w:val="0"/>
          <w:iCs w:val="0"/>
          <w:sz w:val="24"/>
          <w:highlight w:val="none"/>
        </w:rPr>
        <w:t>0571-88728858</w:t>
      </w:r>
    </w:p>
    <w:p>
      <w:pPr>
        <w:spacing w:line="360" w:lineRule="auto"/>
        <w:jc w:val="left"/>
        <w:outlineLvl w:val="9"/>
        <w:rPr>
          <w:rFonts w:hint="eastAsia" w:ascii="宋体" w:hAnsi="宋体" w:eastAsia="宋体" w:cs="宋体"/>
          <w:b/>
          <w:color w:val="auto"/>
          <w:sz w:val="36"/>
          <w:szCs w:val="20"/>
          <w:highlight w:val="none"/>
        </w:rPr>
      </w:pPr>
      <w:bookmarkStart w:id="22" w:name="_Toc31502"/>
      <w:bookmarkStart w:id="23" w:name="_Toc17637"/>
      <w:bookmarkStart w:id="24" w:name="_Toc25207"/>
      <w:bookmarkStart w:id="25" w:name="_Toc21980"/>
      <w:bookmarkStart w:id="26" w:name="_Toc23290"/>
      <w:bookmarkStart w:id="27" w:name="_Toc32068"/>
      <w:bookmarkStart w:id="28" w:name="_Toc19343"/>
      <w:bookmarkStart w:id="29" w:name="_Toc22219"/>
      <w:bookmarkStart w:id="30" w:name="_Toc15143"/>
      <w:bookmarkStart w:id="31" w:name="_Toc9549"/>
      <w:bookmarkStart w:id="32" w:name="_Toc135"/>
      <w:bookmarkStart w:id="33" w:name="_Toc29950"/>
      <w:bookmarkStart w:id="34" w:name="_Hlk98851318"/>
      <w:bookmarkStart w:id="35" w:name="_Toc25593"/>
      <w:bookmarkStart w:id="36" w:name="_Toc15458"/>
      <w:bookmarkStart w:id="37" w:name="_Toc17756"/>
      <w:bookmarkStart w:id="38" w:name="_Toc27972"/>
      <w:bookmarkStart w:id="39" w:name="_Toc26106"/>
      <w:bookmarkStart w:id="40" w:name="_Toc14306"/>
      <w:bookmarkStart w:id="41" w:name="_Toc12023"/>
      <w:bookmarkStart w:id="42" w:name="_Toc24127"/>
      <w:bookmarkStart w:id="43" w:name="_Toc24002"/>
      <w:r>
        <w:rPr>
          <w:rFonts w:hint="eastAsia" w:ascii="宋体" w:hAnsi="宋体" w:eastAsia="宋体" w:cs="宋体"/>
          <w:b/>
          <w:color w:val="auto"/>
          <w:sz w:val="36"/>
          <w:szCs w:val="20"/>
          <w:highlight w:val="none"/>
        </w:rPr>
        <w:br w:type="page"/>
      </w:r>
    </w:p>
    <w:p>
      <w:pPr>
        <w:spacing w:line="360" w:lineRule="auto"/>
        <w:jc w:val="center"/>
        <w:outlineLvl w:val="0"/>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第二章 采购需求</w:t>
      </w:r>
      <w:bookmarkEnd w:id="22"/>
      <w:bookmarkEnd w:id="23"/>
      <w:bookmarkEnd w:id="24"/>
      <w:bookmarkEnd w:id="25"/>
      <w:bookmarkEnd w:id="26"/>
      <w:bookmarkEnd w:id="27"/>
      <w:bookmarkEnd w:id="28"/>
      <w:bookmarkEnd w:id="29"/>
      <w:bookmarkEnd w:id="30"/>
      <w:bookmarkEnd w:id="31"/>
      <w:bookmarkEnd w:id="32"/>
      <w:bookmarkEnd w:id="33"/>
    </w:p>
    <w:bookmarkEnd w:id="34"/>
    <w:p>
      <w:pPr>
        <w:spacing w:line="360" w:lineRule="auto"/>
        <w:ind w:firstLine="480"/>
        <w:rPr>
          <w:rFonts w:hint="eastAsia" w:ascii="宋体" w:hAnsi="宋体" w:eastAsia="宋体" w:cs="宋体"/>
          <w:color w:val="auto"/>
          <w:sz w:val="24"/>
          <w:highlight w:val="none"/>
        </w:rPr>
      </w:pPr>
      <w:bookmarkStart w:id="44" w:name="_Toc93482125"/>
    </w:p>
    <w:p>
      <w:pPr>
        <w:numPr>
          <w:ilvl w:val="0"/>
          <w:numId w:val="1"/>
        </w:numPr>
        <w:spacing w:line="360" w:lineRule="auto"/>
        <w:ind w:firstLine="482"/>
        <w:jc w:val="both"/>
        <w:rPr>
          <w:rFonts w:hint="eastAsia" w:ascii="宋体" w:hAnsi="宋体" w:cs="宋体"/>
          <w:b/>
          <w:bCs/>
          <w:i w:val="0"/>
          <w:iCs w:val="0"/>
          <w:color w:val="auto"/>
          <w:sz w:val="24"/>
          <w:highlight w:val="none"/>
          <w:lang w:eastAsia="zh-CN"/>
        </w:rPr>
      </w:pPr>
      <w:r>
        <w:rPr>
          <w:rFonts w:hint="eastAsia" w:ascii="宋体" w:hAnsi="宋体" w:cs="宋体"/>
          <w:b/>
          <w:bCs/>
          <w:i w:val="0"/>
          <w:iCs w:val="0"/>
          <w:color w:val="auto"/>
          <w:sz w:val="24"/>
          <w:highlight w:val="none"/>
          <w:lang w:eastAsia="zh-CN"/>
        </w:rPr>
        <w:t>项目概况</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为做好</w:t>
      </w:r>
      <w:r>
        <w:rPr>
          <w:rFonts w:hint="eastAsia" w:ascii="宋体" w:hAnsi="宋体" w:eastAsia="宋体" w:cs="宋体"/>
          <w:color w:val="auto"/>
          <w:sz w:val="24"/>
          <w:highlight w:val="none"/>
          <w:lang w:val="en-US" w:eastAsia="zh-CN"/>
        </w:rPr>
        <w:t>杭州</w:t>
      </w:r>
      <w:r>
        <w:rPr>
          <w:rFonts w:hint="eastAsia" w:ascii="宋体" w:hAnsi="宋体" w:eastAsia="宋体" w:cs="宋体"/>
          <w:color w:val="auto"/>
          <w:sz w:val="24"/>
          <w:highlight w:val="none"/>
        </w:rPr>
        <w:t>市</w:t>
      </w:r>
      <w:r>
        <w:rPr>
          <w:rFonts w:hint="eastAsia" w:ascii="宋体" w:hAnsi="宋体" w:eastAsia="宋体" w:cs="宋体"/>
          <w:color w:val="auto"/>
          <w:sz w:val="24"/>
          <w:highlight w:val="none"/>
          <w:lang w:val="en-US" w:eastAsia="zh-CN"/>
        </w:rPr>
        <w:t>余杭区</w:t>
      </w:r>
      <w:r>
        <w:rPr>
          <w:rFonts w:hint="eastAsia" w:ascii="宋体" w:hAnsi="宋体" w:eastAsia="宋体" w:cs="宋体"/>
          <w:color w:val="auto"/>
          <w:sz w:val="24"/>
          <w:highlight w:val="none"/>
        </w:rPr>
        <w:t>2023-2025年度地方政府专项债券的发行准备工作，拟通过框架协议方式选聘会计师事务所，为2023-2025年度专项债券发行准备工作提供财务会计专业服务，包括制作项目实施方案（含事前绩效评价）、出具《项目收益与融资自求平衡财务评价报告》（以下简称财评报告）及资金平衡表等发行专项债券涉及的专业报告，并协助采购方和其他债券发行参与方完成专项债券项目的预审、申报、信息披露和全过程其他相关专业服务。具体情况见下表：</w:t>
      </w:r>
    </w:p>
    <w:tbl>
      <w:tblPr>
        <w:tblStyle w:val="6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11"/>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i w:val="0"/>
                <w:iCs w:val="0"/>
                <w:color w:val="auto"/>
                <w:sz w:val="24"/>
                <w:highlight w:val="none"/>
              </w:rPr>
              <w:t>序号</w:t>
            </w:r>
          </w:p>
        </w:tc>
        <w:tc>
          <w:tcPr>
            <w:tcW w:w="21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采购内容及数量</w:t>
            </w:r>
          </w:p>
        </w:tc>
        <w:tc>
          <w:tcPr>
            <w:tcW w:w="5744"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260"/>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i w:val="0"/>
                <w:iCs w:val="0"/>
                <w:color w:val="auto"/>
                <w:sz w:val="24"/>
                <w:highlight w:val="none"/>
              </w:rPr>
              <w:t>1</w:t>
            </w:r>
          </w:p>
        </w:tc>
        <w:tc>
          <w:tcPr>
            <w:tcW w:w="21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入围会计师事务所</w:t>
            </w:r>
            <w:r>
              <w:rPr>
                <w:rFonts w:hint="eastAsia" w:ascii="宋体" w:hAnsi="宋体" w:cs="宋体"/>
                <w:i w:val="0"/>
                <w:iCs w:val="0"/>
                <w:color w:val="auto"/>
                <w:sz w:val="24"/>
                <w:highlight w:val="none"/>
                <w:lang w:val="en-US" w:eastAsia="zh-CN"/>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家</w:t>
            </w:r>
            <w:r>
              <w:rPr>
                <w:rFonts w:hint="eastAsia" w:ascii="宋体" w:hAnsi="宋体" w:cs="宋体"/>
                <w:i w:val="0"/>
                <w:iCs w:val="0"/>
                <w:color w:val="auto"/>
                <w:sz w:val="24"/>
                <w:highlight w:val="none"/>
                <w:lang w:val="en-US" w:eastAsia="zh-CN"/>
              </w:rPr>
              <w:t>≥3家</w:t>
            </w:r>
          </w:p>
        </w:tc>
        <w:tc>
          <w:tcPr>
            <w:tcW w:w="5744"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260"/>
              </w:tabs>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杭州</w:t>
            </w:r>
            <w:r>
              <w:rPr>
                <w:rFonts w:hint="eastAsia" w:ascii="宋体" w:hAnsi="宋体" w:eastAsia="宋体" w:cs="宋体"/>
                <w:color w:val="auto"/>
                <w:sz w:val="24"/>
                <w:highlight w:val="none"/>
              </w:rPr>
              <w:t>市</w:t>
            </w:r>
            <w:r>
              <w:rPr>
                <w:rFonts w:hint="eastAsia" w:ascii="宋体" w:hAnsi="宋体" w:eastAsia="宋体" w:cs="宋体"/>
                <w:color w:val="auto"/>
                <w:sz w:val="24"/>
                <w:highlight w:val="none"/>
                <w:lang w:val="en-US" w:eastAsia="zh-CN"/>
              </w:rPr>
              <w:t>余杭区</w:t>
            </w:r>
            <w:r>
              <w:rPr>
                <w:rFonts w:hint="eastAsia" w:ascii="宋体" w:hAnsi="宋体" w:eastAsia="宋体" w:cs="宋体"/>
                <w:color w:val="auto"/>
                <w:sz w:val="24"/>
                <w:highlight w:val="none"/>
              </w:rPr>
              <w:t>2023-2025年度专项债券项目制作项目实施方案、出具财评报告及资金平衡表等发行专项债券涉及的专业报告，并提供其他相关专业服务。</w:t>
            </w:r>
          </w:p>
        </w:tc>
      </w:tr>
    </w:tbl>
    <w:p>
      <w:pPr>
        <w:numPr>
          <w:ilvl w:val="0"/>
          <w:numId w:val="1"/>
        </w:num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确定成交供应商流程</w:t>
      </w:r>
    </w:p>
    <w:p>
      <w:pPr>
        <w:spacing w:line="360" w:lineRule="auto"/>
        <w:ind w:firstLine="482"/>
        <w:rPr>
          <w:rFonts w:hint="eastAsia" w:ascii="宋体" w:hAnsi="宋体" w:eastAsia="宋体" w:cs="宋体"/>
          <w:bCs/>
          <w:color w:val="auto"/>
          <w:sz w:val="24"/>
          <w:highlight w:val="none"/>
        </w:rPr>
      </w:pP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lang w:val="en-US" w:eastAsia="zh-CN"/>
        </w:rPr>
        <w:t>杭州</w:t>
      </w:r>
      <w:r>
        <w:rPr>
          <w:rFonts w:hint="eastAsia" w:ascii="宋体" w:hAnsi="宋体" w:eastAsia="宋体" w:cs="宋体"/>
          <w:color w:val="auto"/>
          <w:sz w:val="24"/>
          <w:highlight w:val="none"/>
        </w:rPr>
        <w:t>市</w:t>
      </w:r>
      <w:r>
        <w:rPr>
          <w:rFonts w:hint="eastAsia" w:ascii="宋体" w:hAnsi="宋体" w:eastAsia="宋体" w:cs="宋体"/>
          <w:color w:val="auto"/>
          <w:sz w:val="24"/>
          <w:highlight w:val="none"/>
          <w:lang w:val="en-US" w:eastAsia="zh-CN"/>
        </w:rPr>
        <w:t>余杭区</w:t>
      </w:r>
      <w:r>
        <w:rPr>
          <w:rFonts w:hint="eastAsia" w:ascii="宋体" w:hAnsi="宋体" w:eastAsia="宋体" w:cs="宋体"/>
          <w:color w:val="auto"/>
          <w:sz w:val="24"/>
          <w:highlight w:val="none"/>
        </w:rPr>
        <w:t>2023-2025年度专项债券发行准备财务会计专业服务采购项目征集入围供应商的方式为质量优先法，入围供应商数量为本次投标（响应）供应商数量的 80%（但</w:t>
      </w:r>
      <w:r>
        <w:rPr>
          <w:rFonts w:hint="eastAsia" w:ascii="宋体" w:hAnsi="宋体" w:eastAsia="宋体" w:cs="宋体"/>
          <w:color w:val="auto"/>
          <w:kern w:val="0"/>
          <w:sz w:val="24"/>
          <w:highlight w:val="none"/>
        </w:rPr>
        <w:t>入围上限最多为</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家供应商</w:t>
      </w:r>
      <w:r>
        <w:rPr>
          <w:rFonts w:hint="eastAsia" w:ascii="宋体" w:hAnsi="宋体" w:cs="宋体"/>
          <w:color w:val="auto"/>
          <w:kern w:val="0"/>
          <w:sz w:val="24"/>
          <w:highlight w:val="none"/>
          <w:lang w:eastAsia="zh-CN"/>
        </w:rPr>
        <w:t>）</w:t>
      </w:r>
      <w:r>
        <w:rPr>
          <w:rFonts w:hint="eastAsia" w:ascii="宋体" w:hAnsi="宋体" w:eastAsia="宋体" w:cs="宋体"/>
          <w:bCs/>
          <w:color w:val="auto"/>
          <w:sz w:val="24"/>
          <w:highlight w:val="none"/>
        </w:rPr>
        <w:t>。</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确定第二阶段成交供应商的方式为直接选定</w:t>
      </w:r>
      <w:r>
        <w:rPr>
          <w:rFonts w:hint="eastAsia" w:ascii="宋体" w:hAnsi="宋体" w:eastAsia="宋体" w:cs="宋体"/>
          <w:color w:val="auto"/>
          <w:sz w:val="24"/>
          <w:highlight w:val="none"/>
          <w:lang w:val="en-US" w:eastAsia="zh-CN"/>
        </w:rPr>
        <w:t>或二次竞价</w:t>
      </w:r>
      <w:r>
        <w:rPr>
          <w:rFonts w:hint="eastAsia" w:ascii="宋体" w:hAnsi="宋体" w:eastAsia="宋体" w:cs="宋体"/>
          <w:color w:val="auto"/>
          <w:sz w:val="24"/>
          <w:highlight w:val="none"/>
        </w:rPr>
        <w:t>。</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直接选定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lang w:val="en-US" w:eastAsia="zh-CN"/>
        </w:rPr>
        <w:t>杭州市余杭区财政局及余杭区</w:t>
      </w:r>
      <w:r>
        <w:rPr>
          <w:rFonts w:hint="eastAsia" w:ascii="宋体" w:hAnsi="宋体" w:eastAsia="宋体" w:cs="宋体"/>
          <w:color w:val="auto"/>
          <w:kern w:val="0"/>
          <w:sz w:val="24"/>
          <w:highlight w:val="none"/>
        </w:rPr>
        <w:t>直属各部门（单</w:t>
      </w:r>
      <w:r>
        <w:rPr>
          <w:rFonts w:hint="eastAsia" w:ascii="宋体" w:hAnsi="宋体" w:eastAsia="宋体" w:cs="宋体"/>
          <w:color w:val="auto"/>
          <w:kern w:val="0"/>
          <w:sz w:val="24"/>
          <w:highlight w:val="none"/>
          <w:lang w:val="en-US" w:eastAsia="zh-CN"/>
        </w:rPr>
        <w:t>位）</w:t>
      </w:r>
      <w:r>
        <w:rPr>
          <w:rFonts w:hint="eastAsia" w:ascii="宋体" w:hAnsi="宋体" w:eastAsia="宋体" w:cs="宋体"/>
          <w:color w:val="auto"/>
          <w:sz w:val="24"/>
          <w:highlight w:val="none"/>
        </w:rPr>
        <w:t>依据入围供应商的服务价格、服务承诺、服务便利性以及用户评价等因素，从第一阶段入围供应商中直接选定。第一阶段入围供应商的协议价格是</w:t>
      </w:r>
      <w:r>
        <w:rPr>
          <w:rFonts w:hint="eastAsia" w:ascii="宋体" w:hAnsi="宋体" w:eastAsia="宋体" w:cs="宋体"/>
          <w:color w:val="auto"/>
          <w:sz w:val="24"/>
          <w:highlight w:val="none"/>
          <w:lang w:val="en-US" w:eastAsia="zh-CN"/>
        </w:rPr>
        <w:t>杭州市余杭区</w:t>
      </w:r>
      <w:r>
        <w:rPr>
          <w:rFonts w:hint="eastAsia" w:ascii="宋体" w:hAnsi="宋体" w:eastAsia="宋体" w:cs="宋体"/>
          <w:color w:val="auto"/>
          <w:sz w:val="24"/>
          <w:highlight w:val="none"/>
        </w:rPr>
        <w:t>财政局确定第二阶段成交供应商的最高限价。</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二次竞价：</w:t>
      </w:r>
      <w:r>
        <w:rPr>
          <w:rFonts w:hint="eastAsia" w:ascii="宋体" w:hAnsi="宋体" w:eastAsia="宋体" w:cs="宋体"/>
          <w:b w:val="0"/>
          <w:bCs w:val="0"/>
          <w:color w:val="auto"/>
          <w:sz w:val="24"/>
          <w:highlight w:val="none"/>
        </w:rPr>
        <w:t>以框架协议约定的入围产品、采购合同文本等为依据，以协议价格为最高限价，征集人明确第二阶段竞价需求，从入围供应商中选择所有符合竞价需求的供应商参与二次竞价，确定报价最低的为成交供应商的方式。</w:t>
      </w:r>
    </w:p>
    <w:p>
      <w:pPr>
        <w:spacing w:line="360" w:lineRule="auto"/>
        <w:ind w:firstLine="482"/>
        <w:rPr>
          <w:rFonts w:hint="eastAsia" w:ascii="宋体" w:hAnsi="宋体" w:eastAsia="宋体" w:cs="宋体"/>
          <w:highlight w:val="none"/>
        </w:rPr>
      </w:pPr>
      <w:r>
        <w:rPr>
          <w:rFonts w:hint="eastAsia" w:ascii="宋体" w:hAnsi="宋体" w:eastAsia="宋体" w:cs="宋体"/>
          <w:color w:val="auto"/>
          <w:sz w:val="24"/>
          <w:highlight w:val="none"/>
        </w:rPr>
        <w:t>征集人不保证入围供应商协议期内的最低供应数量或金额。</w:t>
      </w:r>
    </w:p>
    <w:p>
      <w:pPr>
        <w:numPr>
          <w:ilvl w:val="0"/>
          <w:numId w:val="0"/>
        </w:numPr>
        <w:spacing w:line="360" w:lineRule="auto"/>
        <w:ind w:firstLine="482" w:firstLineChars="200"/>
        <w:rPr>
          <w:rFonts w:hint="eastAsia" w:ascii="宋体" w:hAnsi="宋体" w:eastAsia="宋体" w:cs="宋体"/>
          <w:b/>
          <w:bCs w:val="0"/>
          <w:color w:val="auto"/>
          <w:sz w:val="24"/>
          <w:highlight w:val="none"/>
        </w:rPr>
      </w:pPr>
      <w:r>
        <w:rPr>
          <w:rFonts w:hint="default" w:ascii="宋体" w:hAnsi="宋体" w:cs="宋体"/>
          <w:b/>
          <w:bCs w:val="0"/>
          <w:color w:val="auto"/>
          <w:sz w:val="24"/>
          <w:highlight w:val="none"/>
        </w:rPr>
        <w:t>三、</w:t>
      </w:r>
      <w:r>
        <w:rPr>
          <w:rFonts w:hint="eastAsia" w:ascii="宋体" w:hAnsi="宋体" w:eastAsia="宋体" w:cs="宋体"/>
          <w:b/>
          <w:bCs w:val="0"/>
          <w:color w:val="auto"/>
          <w:sz w:val="24"/>
          <w:highlight w:val="none"/>
        </w:rPr>
        <w:t>服务内容及要求</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（一）服务内容：</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在债券需求申报阶段，会计师事务所需开展项目调查、数据收集整理、现金流测算等工作，评估专项债券项目的预期收益与融资自求平衡情况，并在财政部门要求的时间内出具专项债项目实施方案、财评报告（初稿）及资金平衡表，用于向上级部门申报专项债券需求。</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2.在债券发行准备阶段，会计师事务所需按照财政部门的反馈意见，修改完善专项债项目实施方案（含绩效评价），并在财政部门要求的时间内出具加盖公章的财评报告正式稿，用于向社会披露债券项目信息。</w:t>
      </w:r>
    </w:p>
    <w:p>
      <w:pPr>
        <w:spacing w:line="360" w:lineRule="auto"/>
        <w:ind w:firstLine="482"/>
        <w:rPr>
          <w:rFonts w:hint="eastAsia" w:ascii="宋体" w:hAnsi="宋体" w:eastAsia="宋体" w:cs="宋体"/>
          <w:color w:val="auto"/>
          <w:sz w:val="24"/>
          <w:highlight w:val="none"/>
        </w:rPr>
      </w:pPr>
      <w:r>
        <w:rPr>
          <w:rFonts w:hint="default" w:ascii="宋体" w:hAnsi="宋体" w:cs="宋体"/>
          <w:color w:val="auto"/>
          <w:sz w:val="24"/>
          <w:highlight w:val="none"/>
        </w:rPr>
        <w:t>3.</w:t>
      </w:r>
      <w:r>
        <w:rPr>
          <w:rFonts w:hint="eastAsia" w:ascii="宋体" w:hAnsi="宋体" w:eastAsia="宋体" w:cs="宋体"/>
          <w:color w:val="auto"/>
          <w:sz w:val="24"/>
          <w:highlight w:val="none"/>
        </w:rPr>
        <w:t>会计师事务所需与财政部门招选的律师事务所密切合作、相互配合，协助对方及时出具债券发行所需文本材料。</w:t>
      </w:r>
    </w:p>
    <w:p>
      <w:pPr>
        <w:spacing w:line="360" w:lineRule="auto"/>
        <w:ind w:firstLine="482"/>
        <w:rPr>
          <w:rFonts w:hint="eastAsia" w:ascii="宋体" w:hAnsi="宋体" w:eastAsia="宋体" w:cs="宋体"/>
          <w:color w:val="auto"/>
          <w:sz w:val="24"/>
          <w:highlight w:val="none"/>
        </w:rPr>
      </w:pPr>
      <w:r>
        <w:rPr>
          <w:rFonts w:hint="default" w:ascii="宋体" w:hAnsi="宋体" w:cs="宋体"/>
          <w:color w:val="auto"/>
          <w:sz w:val="24"/>
          <w:highlight w:val="none"/>
        </w:rPr>
        <w:t>4.</w:t>
      </w:r>
      <w:r>
        <w:rPr>
          <w:rFonts w:hint="eastAsia" w:ascii="宋体" w:hAnsi="宋体" w:eastAsia="宋体" w:cs="宋体"/>
          <w:color w:val="auto"/>
          <w:sz w:val="24"/>
          <w:highlight w:val="none"/>
        </w:rPr>
        <w:t>现场参与财政部门组织的专项债券项目联审工作。</w:t>
      </w:r>
    </w:p>
    <w:p>
      <w:pPr>
        <w:spacing w:line="360" w:lineRule="auto"/>
        <w:ind w:firstLine="482"/>
        <w:rPr>
          <w:rFonts w:hint="eastAsia" w:ascii="宋体" w:hAnsi="宋体" w:eastAsia="宋体" w:cs="宋体"/>
          <w:color w:val="auto"/>
          <w:sz w:val="24"/>
          <w:highlight w:val="none"/>
        </w:rPr>
      </w:pPr>
      <w:r>
        <w:rPr>
          <w:rFonts w:hint="default" w:ascii="宋体" w:hAnsi="宋体" w:cs="宋体"/>
          <w:color w:val="auto"/>
          <w:sz w:val="24"/>
          <w:highlight w:val="none"/>
        </w:rPr>
        <w:t>5.</w:t>
      </w:r>
      <w:r>
        <w:rPr>
          <w:rFonts w:hint="eastAsia" w:ascii="宋体" w:hAnsi="宋体" w:eastAsia="宋体" w:cs="宋体"/>
          <w:color w:val="auto"/>
          <w:sz w:val="24"/>
          <w:highlight w:val="none"/>
        </w:rPr>
        <w:t>财政部门要求的其他专项债券发行前期准备工作，包括但不限对重大项目前期谋划提供现场辅导，协助进行项目收支预算表、募投信息表、信息披露表等发行所需资料的填报及核对。</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（二）服务期限：</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2023-2025年，总服务期限不超过24个月，即二年。合同每年一签，每年协议期满，根据考核情况及相关政策不变的情况下，可协商续签下一年度服务合同。征集人也有权重新组织采购。 续签合同期间的专业服务费收费标准维持不变。</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（三）服务要求：</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专项债券发行必须符合相关法律、行政法规和规范性文件的要求。供应商在中标后应在人员安排上及时给予保障，负责人与项目组主要成员必须是本单位人员，且投标文件中已确定的人员名单，在服务期内原则上不得更换，如有调整需征得征集人的同意。在接到征集人委托任务后应及时开展工作并出具各种专业报告。专业报告包括纸质和电子版两种形式，数量根据征集人在发债过程中的实际需要而定。</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委托方有权对中标机构的服务质量和完成时效进行考核评价，评价内容包括及时性、准确性、完整性、合规性和配合度等，视评价情况酌情扣减相应项目的费用。</w:t>
      </w:r>
    </w:p>
    <w:p>
      <w:pPr>
        <w:numPr>
          <w:ilvl w:val="0"/>
          <w:numId w:val="0"/>
        </w:numPr>
        <w:spacing w:line="360" w:lineRule="auto"/>
        <w:ind w:firstLine="482" w:firstLineChars="200"/>
        <w:rPr>
          <w:rFonts w:hint="eastAsia" w:ascii="宋体" w:hAnsi="宋体" w:eastAsia="宋体" w:cs="宋体"/>
          <w:b/>
          <w:bCs w:val="0"/>
          <w:color w:val="auto"/>
          <w:kern w:val="2"/>
          <w:sz w:val="24"/>
          <w:highlight w:val="none"/>
        </w:rPr>
      </w:pPr>
      <w:r>
        <w:rPr>
          <w:rFonts w:hint="default" w:ascii="宋体" w:hAnsi="宋体" w:cs="宋体"/>
          <w:b/>
          <w:bCs w:val="0"/>
          <w:color w:val="auto"/>
          <w:kern w:val="2"/>
          <w:sz w:val="24"/>
          <w:highlight w:val="none"/>
        </w:rPr>
        <w:t>四、</w:t>
      </w:r>
      <w:r>
        <w:rPr>
          <w:rFonts w:hint="eastAsia" w:ascii="宋体" w:hAnsi="宋体" w:eastAsia="宋体" w:cs="宋体"/>
          <w:b/>
          <w:bCs w:val="0"/>
          <w:color w:val="auto"/>
          <w:kern w:val="2"/>
          <w:sz w:val="24"/>
          <w:highlight w:val="none"/>
        </w:rPr>
        <w:t>商务要求</w:t>
      </w:r>
    </w:p>
    <w:p>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（一）合同签订：</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本次采购由</w:t>
      </w:r>
      <w:r>
        <w:rPr>
          <w:rFonts w:hint="eastAsia" w:ascii="宋体" w:hAnsi="宋体" w:eastAsia="宋体" w:cs="宋体"/>
          <w:color w:val="auto"/>
          <w:kern w:val="0"/>
          <w:sz w:val="24"/>
          <w:highlight w:val="none"/>
          <w:lang w:val="en-US" w:eastAsia="zh-CN"/>
        </w:rPr>
        <w:t>杭州市余杭区</w:t>
      </w:r>
      <w:r>
        <w:rPr>
          <w:rFonts w:hint="eastAsia" w:ascii="宋体" w:hAnsi="宋体" w:eastAsia="宋体" w:cs="宋体"/>
          <w:color w:val="auto"/>
          <w:kern w:val="0"/>
          <w:sz w:val="24"/>
          <w:highlight w:val="none"/>
        </w:rPr>
        <w:t>财政局与中标供应商签订框架协议。</w:t>
      </w:r>
      <w:r>
        <w:rPr>
          <w:rFonts w:hint="eastAsia" w:ascii="宋体" w:hAnsi="宋体" w:eastAsia="宋体" w:cs="宋体"/>
          <w:color w:val="auto"/>
          <w:kern w:val="0"/>
          <w:sz w:val="24"/>
          <w:highlight w:val="none"/>
          <w:lang w:val="en-US" w:eastAsia="zh-CN"/>
        </w:rPr>
        <w:t>杭州市余杭区财政局及余杭区</w:t>
      </w:r>
      <w:r>
        <w:rPr>
          <w:rFonts w:hint="eastAsia" w:ascii="宋体" w:hAnsi="宋体" w:eastAsia="宋体" w:cs="宋体"/>
          <w:color w:val="auto"/>
          <w:kern w:val="0"/>
          <w:sz w:val="24"/>
          <w:highlight w:val="none"/>
        </w:rPr>
        <w:t>直属各部门（单位）根据中标结果，直接选定</w:t>
      </w:r>
      <w:r>
        <w:rPr>
          <w:rFonts w:hint="eastAsia" w:ascii="宋体" w:hAnsi="宋体" w:eastAsia="宋体" w:cs="宋体"/>
          <w:color w:val="auto"/>
          <w:kern w:val="0"/>
          <w:sz w:val="24"/>
          <w:highlight w:val="none"/>
          <w:lang w:val="en-US" w:eastAsia="zh-CN"/>
        </w:rPr>
        <w:t>或二次竞价确定</w:t>
      </w:r>
      <w:r>
        <w:rPr>
          <w:rFonts w:hint="eastAsia" w:ascii="宋体" w:hAnsi="宋体" w:eastAsia="宋体" w:cs="宋体"/>
          <w:color w:val="auto"/>
          <w:kern w:val="0"/>
          <w:sz w:val="24"/>
          <w:highlight w:val="none"/>
        </w:rPr>
        <w:t>1家或以上供应商签订服务合同，且服务价格不得高于本框架入围价格。</w:t>
      </w:r>
    </w:p>
    <w:p>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（二）售后服务要求：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（1）供应商在入围后应在人员安排上给予及时保障，负责人与项目组主要成员必须是本单位人员，且响应文件中已确定的人员名单，在服务期内原则上不得更换，如有调整需征得征集人的同意。</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（2）在接到</w:t>
      </w:r>
      <w:r>
        <w:rPr>
          <w:rFonts w:hint="eastAsia" w:ascii="宋体" w:hAnsi="宋体" w:eastAsia="宋体" w:cs="宋体"/>
          <w:color w:val="auto"/>
          <w:kern w:val="0"/>
          <w:sz w:val="24"/>
          <w:highlight w:val="none"/>
          <w:lang w:val="en-US" w:eastAsia="zh-CN"/>
        </w:rPr>
        <w:t>杭州市余杭区财政局</w:t>
      </w:r>
      <w:r>
        <w:rPr>
          <w:rFonts w:hint="eastAsia" w:ascii="宋体" w:hAnsi="宋体" w:eastAsia="宋体" w:cs="宋体"/>
          <w:color w:val="auto"/>
          <w:kern w:val="0"/>
          <w:sz w:val="24"/>
          <w:highlight w:val="none"/>
        </w:rPr>
        <w:t>委托任务后应及时开展工作并出具各种专业报告。专业报告包括纸质和电子版两种形式，数量根据</w:t>
      </w:r>
      <w:r>
        <w:rPr>
          <w:rFonts w:hint="eastAsia" w:ascii="宋体" w:hAnsi="宋体" w:eastAsia="宋体" w:cs="宋体"/>
          <w:color w:val="auto"/>
          <w:kern w:val="0"/>
          <w:sz w:val="24"/>
          <w:highlight w:val="none"/>
          <w:lang w:eastAsia="zh-CN"/>
        </w:rPr>
        <w:t>财政部门</w:t>
      </w:r>
      <w:r>
        <w:rPr>
          <w:rFonts w:hint="eastAsia" w:ascii="宋体" w:hAnsi="宋体" w:eastAsia="宋体" w:cs="宋体"/>
          <w:color w:val="auto"/>
          <w:kern w:val="0"/>
          <w:sz w:val="24"/>
          <w:highlight w:val="none"/>
        </w:rPr>
        <w:t>在发债过程中的实际需要量而定。</w:t>
      </w:r>
    </w:p>
    <w:p>
      <w:pPr>
        <w:numPr>
          <w:ilvl w:val="0"/>
          <w:numId w:val="0"/>
        </w:numPr>
        <w:spacing w:line="360" w:lineRule="auto"/>
        <w:ind w:firstLine="482" w:firstLineChars="200"/>
        <w:rPr>
          <w:rFonts w:hint="eastAsia" w:ascii="宋体" w:hAnsi="宋体" w:eastAsia="宋体" w:cs="宋体"/>
          <w:b/>
          <w:bCs w:val="0"/>
          <w:color w:val="auto"/>
          <w:sz w:val="24"/>
          <w:szCs w:val="24"/>
          <w:highlight w:val="none"/>
        </w:rPr>
      </w:pPr>
      <w:r>
        <w:rPr>
          <w:rFonts w:hint="default" w:ascii="宋体" w:hAnsi="宋体" w:cs="宋体"/>
          <w:b/>
          <w:bCs w:val="0"/>
          <w:color w:val="auto"/>
          <w:sz w:val="24"/>
          <w:szCs w:val="24"/>
          <w:highlight w:val="none"/>
        </w:rPr>
        <w:t>五、</w:t>
      </w:r>
      <w:r>
        <w:rPr>
          <w:rFonts w:hint="eastAsia" w:ascii="宋体" w:hAnsi="宋体" w:eastAsia="宋体" w:cs="宋体"/>
          <w:b/>
          <w:bCs w:val="0"/>
          <w:color w:val="auto"/>
          <w:sz w:val="24"/>
          <w:szCs w:val="24"/>
          <w:highlight w:val="none"/>
        </w:rPr>
        <w:t>报价要求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（一）最高限价。</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征集人根据出具加盖第三方中介机构公章的财务评估报告意见（正式稿）的项目，设定专业服务费报价的最高单价限价（见下表）。供应商应在最高单价限价范围内进行报价，报价内容为xx元/个。报价超过最高限价视为无效。</w:t>
      </w:r>
    </w:p>
    <w:tbl>
      <w:tblPr>
        <w:tblStyle w:val="64"/>
        <w:tblW w:w="8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2"/>
        <w:gridCol w:w="6417"/>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jc w:val="center"/>
        </w:trPr>
        <w:tc>
          <w:tcPr>
            <w:tcW w:w="912"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417"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c>
          <w:tcPr>
            <w:tcW w:w="1589"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exact"/>
          <w:jc w:val="center"/>
        </w:trPr>
        <w:tc>
          <w:tcPr>
            <w:tcW w:w="912"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417"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出具加盖第三方中介机构公章的财务评估报告（正式稿）并首次成功发行专项债的项目</w:t>
            </w:r>
          </w:p>
        </w:tc>
        <w:tc>
          <w:tcPr>
            <w:tcW w:w="1589"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3万元/个</w:t>
            </w:r>
          </w:p>
        </w:tc>
      </w:tr>
    </w:tbl>
    <w:p>
      <w:pPr>
        <w:widowControl w:val="0"/>
        <w:wordWrap/>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（二）其他要求。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1.已出具财务评估报告但未发行成功的项目按中标价的</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%计算收费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发行成功的专项债项目后续再次发行成功，重新出具</w:t>
      </w:r>
      <w:r>
        <w:rPr>
          <w:rFonts w:hint="eastAsia" w:ascii="宋体" w:hAnsi="宋体" w:eastAsia="宋体" w:cs="宋体"/>
          <w:color w:val="auto"/>
          <w:kern w:val="0"/>
          <w:sz w:val="24"/>
          <w:highlight w:val="none"/>
        </w:rPr>
        <w:t>财务评估报告</w:t>
      </w:r>
      <w:r>
        <w:rPr>
          <w:rFonts w:hint="eastAsia" w:ascii="宋体" w:hAnsi="宋体" w:eastAsia="宋体" w:cs="宋体"/>
          <w:color w:val="auto"/>
          <w:kern w:val="0"/>
          <w:sz w:val="24"/>
          <w:highlight w:val="none"/>
          <w:lang w:val="en-US" w:eastAsia="zh-CN"/>
        </w:rPr>
        <w:t>的，按中标价的20%计算收费。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2.制作项目实施方案、出具财评报告初稿及资金平衡表等工作，要求第三方中介机构不得另行收费。</w:t>
      </w:r>
    </w:p>
    <w:p>
      <w:pPr>
        <w:numPr>
          <w:ilvl w:val="0"/>
          <w:numId w:val="0"/>
        </w:numPr>
        <w:autoSpaceDE/>
        <w:autoSpaceDN/>
        <w:spacing w:line="360" w:lineRule="auto"/>
        <w:ind w:firstLine="482" w:firstLineChars="200"/>
        <w:rPr>
          <w:rFonts w:hint="eastAsia" w:ascii="宋体" w:hAnsi="宋体" w:eastAsia="宋体" w:cs="宋体"/>
          <w:b/>
          <w:color w:val="auto"/>
          <w:sz w:val="24"/>
          <w:highlight w:val="none"/>
        </w:rPr>
      </w:pPr>
      <w:r>
        <w:rPr>
          <w:rFonts w:hint="default" w:ascii="宋体" w:hAnsi="宋体" w:cs="宋体"/>
          <w:b/>
          <w:color w:val="auto"/>
          <w:sz w:val="24"/>
          <w:highlight w:val="none"/>
        </w:rPr>
        <w:t>六、</w:t>
      </w:r>
      <w:r>
        <w:rPr>
          <w:rFonts w:hint="eastAsia" w:ascii="宋体" w:hAnsi="宋体" w:eastAsia="宋体" w:cs="宋体"/>
          <w:b/>
          <w:color w:val="auto"/>
          <w:sz w:val="24"/>
          <w:highlight w:val="none"/>
        </w:rPr>
        <w:t>结算方式：</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1.专业服务费一年结算一次，于每年度12月15日前结算本年度的应付专业服务费，结算金额经双方确认后20个工作日内完成支出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具体以合同约定为准。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.由于入围供应商原因致使本次政府专项债券发行失败的，征集人有权拒付（或追回已付的）专业服务费；给征集人造成损失的，应予以赔偿。</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.入围供应商办理专业服务费结算时，需出具正式税务发票。</w:t>
      </w:r>
    </w:p>
    <w:p>
      <w:pPr>
        <w:spacing w:line="360" w:lineRule="auto"/>
        <w:ind w:firstLine="0"/>
        <w:rPr>
          <w:rFonts w:hint="eastAsia" w:ascii="宋体" w:hAnsi="宋体" w:eastAsia="宋体" w:cs="宋体"/>
          <w:b/>
          <w:bCs/>
          <w:color w:val="000000"/>
          <w:kern w:val="2"/>
          <w:sz w:val="24"/>
          <w:szCs w:val="24"/>
          <w:highlight w:val="none"/>
          <w:lang w:val="zh-CN" w:eastAsia="zh-CN"/>
        </w:rPr>
      </w:pPr>
    </w:p>
    <w:bookmarkEnd w:id="44"/>
    <w:p>
      <w:pPr>
        <w:spacing w:line="240" w:lineRule="auto"/>
        <w:ind w:firstLine="0" w:firstLineChars="0"/>
        <w:jc w:val="left"/>
        <w:outlineLvl w:val="9"/>
        <w:rPr>
          <w:rFonts w:hint="eastAsia" w:ascii="宋体" w:hAnsi="宋体" w:eastAsia="宋体" w:cs="宋体"/>
          <w:b/>
          <w:color w:val="auto"/>
          <w:sz w:val="32"/>
          <w:szCs w:val="32"/>
          <w:highlight w:val="none"/>
        </w:rPr>
      </w:pPr>
      <w:bookmarkStart w:id="45" w:name="_Toc17545"/>
      <w:bookmarkStart w:id="46" w:name="_Toc11863"/>
      <w:bookmarkStart w:id="47" w:name="_Toc6286"/>
      <w:r>
        <w:rPr>
          <w:rFonts w:hint="eastAsia" w:ascii="宋体" w:hAnsi="宋体" w:eastAsia="宋体" w:cs="宋体"/>
          <w:b/>
          <w:color w:val="auto"/>
          <w:sz w:val="32"/>
          <w:szCs w:val="32"/>
          <w:highlight w:val="none"/>
        </w:rPr>
        <w:br w:type="page"/>
      </w:r>
    </w:p>
    <w:p>
      <w:pPr>
        <w:spacing w:line="400" w:lineRule="exact"/>
        <w:ind w:firstLine="643" w:firstLineChars="2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2"/>
          <w:szCs w:val="32"/>
          <w:highlight w:val="none"/>
        </w:rPr>
        <w:t>第</w:t>
      </w:r>
      <w:bookmarkEnd w:id="11"/>
      <w:r>
        <w:rPr>
          <w:rFonts w:hint="eastAsia" w:ascii="宋体" w:hAnsi="宋体" w:eastAsia="宋体" w:cs="宋体"/>
          <w:b/>
          <w:color w:val="auto"/>
          <w:sz w:val="32"/>
          <w:szCs w:val="32"/>
          <w:highlight w:val="none"/>
        </w:rPr>
        <w:t>三章 供应商须知</w:t>
      </w:r>
      <w:bookmarkEnd w:id="12"/>
      <w:bookmarkEnd w:id="35"/>
      <w:bookmarkEnd w:id="36"/>
      <w:bookmarkEnd w:id="37"/>
      <w:bookmarkEnd w:id="38"/>
      <w:bookmarkEnd w:id="39"/>
      <w:bookmarkEnd w:id="40"/>
      <w:bookmarkEnd w:id="41"/>
      <w:bookmarkEnd w:id="42"/>
      <w:bookmarkEnd w:id="43"/>
      <w:bookmarkEnd w:id="45"/>
      <w:bookmarkEnd w:id="46"/>
      <w:bookmarkEnd w:id="47"/>
    </w:p>
    <w:p>
      <w:pPr>
        <w:snapToGrid w:val="0"/>
        <w:spacing w:line="360" w:lineRule="auto"/>
        <w:jc w:val="center"/>
        <w:outlineLvl w:val="0"/>
        <w:rPr>
          <w:rFonts w:hint="eastAsia" w:ascii="宋体" w:hAnsi="宋体" w:eastAsia="宋体" w:cs="宋体"/>
          <w:b/>
          <w:color w:val="auto"/>
          <w:sz w:val="32"/>
          <w:szCs w:val="20"/>
          <w:highlight w:val="none"/>
        </w:rPr>
      </w:pPr>
      <w:bookmarkStart w:id="48" w:name="_Toc13031"/>
      <w:bookmarkStart w:id="49" w:name="_Toc12637"/>
      <w:bookmarkStart w:id="50" w:name="_Toc27664"/>
      <w:r>
        <w:rPr>
          <w:rFonts w:hint="eastAsia" w:ascii="宋体" w:hAnsi="宋体" w:eastAsia="宋体" w:cs="宋体"/>
          <w:b/>
          <w:color w:val="auto"/>
          <w:sz w:val="32"/>
          <w:szCs w:val="20"/>
          <w:highlight w:val="none"/>
        </w:rPr>
        <w:t>前附表</w:t>
      </w:r>
      <w:bookmarkEnd w:id="48"/>
      <w:bookmarkEnd w:id="49"/>
      <w:bookmarkEnd w:id="50"/>
    </w:p>
    <w:tbl>
      <w:tblPr>
        <w:tblStyle w:val="64"/>
        <w:tblW w:w="89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99"/>
        <w:gridCol w:w="6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内容事项</w:t>
            </w:r>
          </w:p>
        </w:tc>
        <w:tc>
          <w:tcPr>
            <w:tcW w:w="642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采购方式</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封闭式框架协议采购</w:t>
            </w:r>
          </w:p>
          <w:p>
            <w:pPr>
              <w:autoSpaceDE w:val="0"/>
              <w:spacing w:line="4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☐开放式框架协议采购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确定入围供应商的评审方法</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☐价格优先法   </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确定第二阶段成交供应商的方式</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直接选定  </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二次竞价  ☐顺序轮候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交货（服务）对象及地点</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杭州市余杭区财政局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22" w:type="dxa"/>
            <w:tcBorders>
              <w:top w:val="single" w:color="000000" w:sz="8" w:space="0"/>
              <w:left w:val="single" w:color="000000" w:sz="2" w:space="0"/>
              <w:bottom w:val="single" w:color="000000" w:sz="8" w:space="0"/>
              <w:right w:val="single" w:color="000000" w:sz="8" w:space="0"/>
            </w:tcBorders>
            <w:vAlign w:val="center"/>
          </w:tcPr>
          <w:p>
            <w:pPr>
              <w:widowControl/>
              <w:numPr>
                <w:ilvl w:val="0"/>
                <w:numId w:val="0"/>
              </w:numPr>
              <w:adjustRightInd/>
              <w:snapToGrid/>
              <w:spacing w:line="400" w:lineRule="exact"/>
              <w:ind w:firstLine="480" w:firstLineChars="200"/>
              <w:jc w:val="left"/>
              <w:rPr>
                <w:rFonts w:hint="eastAsia" w:ascii="宋体" w:hAnsi="宋体" w:eastAsia="宋体" w:cs="宋体"/>
                <w:bCs w:val="0"/>
                <w:color w:val="auto"/>
                <w:kern w:val="0"/>
                <w:sz w:val="24"/>
                <w:highlight w:val="none"/>
                <w:lang w:val="zh-CN"/>
              </w:rPr>
            </w:pPr>
            <w:r>
              <w:rPr>
                <w:rFonts w:hint="eastAsia" w:ascii="宋体" w:hAnsi="宋体" w:eastAsia="宋体" w:cs="宋体"/>
                <w:color w:val="auto"/>
                <w:kern w:val="0"/>
                <w:sz w:val="24"/>
                <w:highlight w:val="none"/>
                <w:lang w:val="zh-CN" w:eastAsia="zh-CN"/>
              </w:rPr>
              <w:t>杭州市余杭区2023-2025年度专项债券发行准备财务会计专业服务采购项目最高限价为</w:t>
            </w:r>
            <w:r>
              <w:rPr>
                <w:rFonts w:hint="eastAsia" w:ascii="宋体" w:hAnsi="宋体" w:eastAsia="宋体" w:cs="宋体"/>
                <w:bCs w:val="0"/>
                <w:color w:val="auto"/>
                <w:kern w:val="0"/>
                <w:sz w:val="24"/>
                <w:highlight w:val="none"/>
                <w:lang w:val="zh-CN"/>
              </w:rPr>
              <w:t>出具加盖第三方中介机构公章的财务评估报告（正式稿）并首次成功发行专项债的项目最高单价限价3万元/个。</w:t>
            </w:r>
          </w:p>
          <w:p>
            <w:pPr>
              <w:widowControl/>
              <w:numPr>
                <w:ilvl w:val="0"/>
                <w:numId w:val="0"/>
              </w:numPr>
              <w:adjustRightInd/>
              <w:snapToGrid/>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框架协议有效期内，具体采购项目</w:t>
            </w:r>
            <w:r>
              <w:rPr>
                <w:rFonts w:hint="eastAsia" w:ascii="宋体" w:hAnsi="宋体" w:eastAsia="宋体" w:cs="宋体"/>
                <w:color w:val="auto"/>
                <w:kern w:val="0"/>
                <w:sz w:val="24"/>
                <w:highlight w:val="none"/>
                <w:lang w:val="zh-CN"/>
              </w:rPr>
              <w:t>实施所需的所有费用，包括但不限于人工费、企业管理费、服务费、合理利润、税费等与项目实施相关的全部费用。征集文件未列明，而供应商认为必需的费用也需列入报价。</w:t>
            </w:r>
          </w:p>
          <w:p>
            <w:pPr>
              <w:snapToGrid w:val="0"/>
              <w:spacing w:line="400" w:lineRule="exact"/>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zh-CN"/>
              </w:rPr>
              <w:t>报价出现下列情形的，</w:t>
            </w:r>
            <w:r>
              <w:rPr>
                <w:rFonts w:hint="eastAsia" w:ascii="宋体" w:hAnsi="宋体" w:eastAsia="宋体" w:cs="宋体"/>
                <w:b/>
                <w:i w:val="0"/>
                <w:iCs w:val="0"/>
                <w:color w:val="auto"/>
                <w:kern w:val="0"/>
                <w:sz w:val="24"/>
                <w:highlight w:val="none"/>
              </w:rPr>
              <w:t>响应</w:t>
            </w:r>
            <w:r>
              <w:rPr>
                <w:rFonts w:hint="eastAsia" w:ascii="宋体" w:hAnsi="宋体" w:eastAsia="宋体" w:cs="宋体"/>
                <w:b/>
                <w:i w:val="0"/>
                <w:iCs w:val="0"/>
                <w:color w:val="auto"/>
                <w:kern w:val="0"/>
                <w:sz w:val="24"/>
                <w:highlight w:val="none"/>
                <w:lang w:val="zh-CN"/>
              </w:rPr>
              <w:t>无效：</w:t>
            </w:r>
          </w:p>
          <w:p>
            <w:pPr>
              <w:widowControl/>
              <w:numPr>
                <w:ilvl w:val="0"/>
                <w:numId w:val="0"/>
              </w:numPr>
              <w:adjustRightInd/>
              <w:spacing w:line="400" w:lineRule="exact"/>
              <w:jc w:val="left"/>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lang w:val="zh-CN"/>
              </w:rPr>
              <w:t>（</w:t>
            </w:r>
            <w:r>
              <w:rPr>
                <w:rFonts w:hint="eastAsia" w:ascii="宋体" w:hAnsi="宋体" w:eastAsia="宋体" w:cs="宋体"/>
                <w:b/>
                <w:i w:val="0"/>
                <w:iCs w:val="0"/>
                <w:color w:val="auto"/>
                <w:kern w:val="0"/>
                <w:sz w:val="24"/>
                <w:highlight w:val="none"/>
                <w:lang w:val="en-US" w:eastAsia="zh-CN"/>
              </w:rPr>
              <w:t>1</w:t>
            </w:r>
            <w:r>
              <w:rPr>
                <w:rFonts w:hint="eastAsia" w:ascii="宋体" w:hAnsi="宋体" w:eastAsia="宋体" w:cs="宋体"/>
                <w:b/>
                <w:i w:val="0"/>
                <w:iCs w:val="0"/>
                <w:color w:val="auto"/>
                <w:kern w:val="0"/>
                <w:sz w:val="24"/>
                <w:highlight w:val="none"/>
                <w:lang w:val="zh-CN"/>
              </w:rPr>
              <w:t>）报价</w:t>
            </w:r>
            <w:r>
              <w:rPr>
                <w:rFonts w:hint="eastAsia" w:ascii="宋体" w:hAnsi="宋体" w:eastAsia="宋体" w:cs="宋体"/>
                <w:b/>
                <w:i w:val="0"/>
                <w:iCs w:val="0"/>
                <w:color w:val="auto"/>
                <w:kern w:val="0"/>
                <w:sz w:val="24"/>
                <w:highlight w:val="none"/>
                <w:lang w:val="en-US"/>
              </w:rPr>
              <w:t>超过征集文件中规定的预算金额或者最高</w:t>
            </w:r>
            <w:r>
              <w:rPr>
                <w:rFonts w:hint="eastAsia" w:ascii="宋体" w:hAnsi="宋体" w:eastAsia="宋体" w:cs="宋体"/>
                <w:b/>
                <w:i w:val="0"/>
                <w:iCs w:val="0"/>
                <w:color w:val="auto"/>
                <w:kern w:val="0"/>
                <w:sz w:val="24"/>
                <w:highlight w:val="none"/>
                <w:lang w:val="en-US" w:eastAsia="zh-CN"/>
              </w:rPr>
              <w:t>单价</w:t>
            </w:r>
            <w:r>
              <w:rPr>
                <w:rFonts w:hint="eastAsia" w:ascii="宋体" w:hAnsi="宋体" w:eastAsia="宋体" w:cs="宋体"/>
                <w:b/>
                <w:i w:val="0"/>
                <w:iCs w:val="0"/>
                <w:color w:val="auto"/>
                <w:kern w:val="0"/>
                <w:sz w:val="24"/>
                <w:highlight w:val="none"/>
                <w:lang w:val="en-US"/>
              </w:rPr>
              <w:t>限价的；</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2</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rPr>
              <w:t>供应商对根据修正原则修正后的报价不确认的。</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i w:val="0"/>
                <w:iCs w:val="0"/>
                <w:color w:val="auto"/>
                <w:kern w:val="0"/>
                <w:sz w:val="24"/>
                <w:highlight w:val="none"/>
                <w:lang w:val="en-US"/>
              </w:rPr>
            </w:pP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3</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bCs w:val="0"/>
                <w:i w:val="0"/>
                <w:iCs w:val="0"/>
                <w:color w:val="auto"/>
                <w:kern w:val="0"/>
                <w:sz w:val="24"/>
                <w:highlight w:val="none"/>
                <w:lang w:val="en-US"/>
              </w:rPr>
              <w:t>响应文件出现不是唯一的、有选择性投标报价的；</w:t>
            </w:r>
          </w:p>
          <w:p>
            <w:pPr>
              <w:widowControl/>
              <w:numPr>
                <w:ilvl w:val="0"/>
                <w:numId w:val="0"/>
              </w:numPr>
              <w:adjustRightInd/>
              <w:spacing w:line="400" w:lineRule="exact"/>
              <w:jc w:val="left"/>
              <w:rPr>
                <w:rFonts w:hint="eastAsia" w:ascii="宋体" w:hAnsi="宋体" w:eastAsia="宋体" w:cs="宋体"/>
                <w:highlight w:val="none"/>
                <w:lang w:eastAsia="zh-CN"/>
              </w:rPr>
            </w:pPr>
            <w:r>
              <w:rPr>
                <w:rFonts w:hint="eastAsia" w:ascii="宋体" w:hAnsi="宋体" w:eastAsia="宋体" w:cs="宋体"/>
                <w:b/>
                <w:bCs w:val="0"/>
                <w:i w:val="0"/>
                <w:iCs w:val="0"/>
                <w:color w:val="auto"/>
                <w:kern w:val="0"/>
                <w:sz w:val="24"/>
                <w:highlight w:val="none"/>
                <w:lang w:val="en-US" w:eastAsia="zh-CN"/>
              </w:rPr>
              <w:t>（4）</w:t>
            </w:r>
            <w:r>
              <w:rPr>
                <w:rFonts w:hint="eastAsia" w:ascii="宋体" w:hAnsi="宋体" w:eastAsia="宋体" w:cs="宋体"/>
                <w:b/>
                <w:bCs w:val="0"/>
                <w:i w:val="0"/>
                <w:iCs w:val="0"/>
                <w:color w:val="auto"/>
                <w:kern w:val="0"/>
                <w:sz w:val="24"/>
                <w:highlight w:val="none"/>
                <w:lang w:val="en-US"/>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bCs w:val="0"/>
                <w:i w:val="0"/>
                <w:iCs w:val="0"/>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p>
            <w:pPr>
              <w:snapToGrid w:val="0"/>
              <w:spacing w:line="360" w:lineRule="exact"/>
              <w:jc w:val="center"/>
              <w:rPr>
                <w:rFonts w:hint="eastAsia" w:ascii="宋体" w:hAnsi="宋体" w:eastAsia="宋体" w:cs="宋体"/>
                <w:color w:val="auto"/>
                <w:sz w:val="24"/>
                <w:highlight w:val="none"/>
              </w:rPr>
            </w:pP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服务工作内容</w:t>
            </w:r>
          </w:p>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☐A  同意分包，同意将“/”工作分包。</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b/>
                <w:bCs/>
                <w:color w:val="auto"/>
                <w:sz w:val="24"/>
                <w:highlight w:val="none"/>
              </w:rPr>
              <w:t>B  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99"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422"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lang w:val="zh-CN"/>
              </w:rPr>
              <w:t>供应商未提供有效的资格证明文件的，视为供应商不具备征集文件中规定的资格要求，</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p>
        </w:tc>
        <w:tc>
          <w:tcPr>
            <w:tcW w:w="1899"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p>
        </w:tc>
        <w:tc>
          <w:tcPr>
            <w:tcW w:w="6422"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（2）资信证明文件：根据征集文件第评审标准提供。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开启前答疑会或现场考察</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99" w:type="dxa"/>
            <w:tcBorders>
              <w:top w:val="single" w:color="000000" w:sz="8" w:space="0"/>
              <w:left w:val="single" w:color="auto" w:sz="4"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6422" w:type="dxa"/>
            <w:tcBorders>
              <w:top w:val="single" w:color="000000" w:sz="8" w:space="0"/>
              <w:left w:val="single" w:color="000000" w:sz="2"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进口产品（服务项目不适用）</w:t>
            </w:r>
          </w:p>
        </w:tc>
        <w:tc>
          <w:tcPr>
            <w:tcW w:w="642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征集人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w:t>
            </w:r>
          </w:p>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核心产品</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征集人拟采购的产品</w:t>
            </w:r>
            <w:r>
              <w:rPr>
                <w:rFonts w:hint="eastAsia" w:ascii="宋体" w:hAnsi="宋体" w:eastAsia="宋体" w:cs="宋体"/>
                <w:snapToGrid w:val="0"/>
                <w:color w:val="auto"/>
                <w:kern w:val="28"/>
                <w:sz w:val="24"/>
                <w:highlight w:val="none"/>
                <w:u w:val="single"/>
              </w:rPr>
              <w:t xml:space="preserve">   /  </w:t>
            </w:r>
            <w:r>
              <w:rPr>
                <w:rFonts w:hint="eastAsia" w:ascii="宋体" w:hAnsi="宋体" w:eastAsia="宋体" w:cs="宋体"/>
                <w:snapToGrid w:val="0"/>
                <w:color w:val="auto"/>
                <w:kern w:val="28"/>
                <w:sz w:val="24"/>
                <w:highlight w:val="none"/>
              </w:rPr>
              <w:t>属于品目清单范围，征集人将依据国家确定的认证机构出具的、处于有效期之内的节能产品、环境标志产品认证证书，对获得证书的产品实施政府优先采购或强制采购。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评审小组组建</w:t>
            </w:r>
          </w:p>
        </w:tc>
        <w:tc>
          <w:tcPr>
            <w:tcW w:w="642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征集人根据征集项目特点组建评审小组，对符合资格要求的投标（响应）文件进行评估和比较。评审小组由征集人代表和评审专家组成，成员人数应当为5人及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响应文件的形式</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供应商应准备电子响应文件。</w:t>
            </w:r>
          </w:p>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电子响应文件是指通过“政采云电子交易客户端”完成响应文件编制后生成并加密的数据电文形式的电子加密响应文件。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响应文件的编制</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供应商应先安装“政采云电子交易客户端”，并按照本征集文件和“政府采购云平台”的要求，通过“政采云电子交易客户端”编制并加密响应文件。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响应文件的组成</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bCs/>
                <w:snapToGrid w:val="0"/>
                <w:color w:val="auto"/>
                <w:sz w:val="24"/>
                <w:highlight w:val="none"/>
              </w:rPr>
              <w:t>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响应文件的盖章</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响应文件中所涉及的加盖公章均采用</w:t>
            </w:r>
            <w:r>
              <w:rPr>
                <w:rFonts w:hint="eastAsia" w:ascii="宋体" w:hAnsi="宋体" w:eastAsia="宋体" w:cs="宋体"/>
                <w:color w:val="auto"/>
                <w:sz w:val="24"/>
                <w:highlight w:val="none"/>
              </w:rPr>
              <w:t>CA</w:t>
            </w:r>
            <w:r>
              <w:rPr>
                <w:rFonts w:hint="eastAsia" w:ascii="宋体" w:hAnsi="宋体" w:eastAsia="宋体" w:cs="宋体"/>
                <w:snapToGrid w:val="0"/>
                <w:color w:val="auto"/>
                <w:sz w:val="24"/>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法定代表人或其授权代表签字或盖章</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本征集文件所涉及的法定代表人或其授权代表签字或盖章的内容，如果投标单位没有法定代表人电子签章，涉及到法定代表人或其授权代表签字或盖章的内容，投标单位可以线下签字或盖章后扫描上传。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1899"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响应文件份数</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1.电子加密响应文件在线上传递交一份。</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2.成交人在评标结束</w:t>
            </w:r>
            <w:r>
              <w:rPr>
                <w:rFonts w:hint="eastAsia" w:ascii="宋体" w:hAnsi="宋体" w:eastAsia="宋体" w:cs="宋体"/>
                <w:color w:val="auto"/>
                <w:sz w:val="24"/>
                <w:highlight w:val="none"/>
              </w:rPr>
              <w:t>3</w:t>
            </w:r>
            <w:r>
              <w:rPr>
                <w:rFonts w:hint="eastAsia" w:ascii="宋体" w:hAnsi="宋体" w:eastAsia="宋体" w:cs="宋体"/>
                <w:snapToGrid w:val="0"/>
                <w:color w:val="auto"/>
                <w:sz w:val="24"/>
                <w:highlight w:val="none"/>
              </w:rPr>
              <w:t>个工作日内向征集人递交与政采云系统上传文件一致的完整（“资格文件”、“商务技术文件”、</w:t>
            </w:r>
            <w:r>
              <w:rPr>
                <w:rFonts w:hint="eastAsia" w:ascii="宋体" w:hAnsi="宋体" w:eastAsia="宋体" w:cs="宋体"/>
                <w:bCs/>
                <w:snapToGrid w:val="0"/>
                <w:color w:val="auto"/>
                <w:sz w:val="24"/>
                <w:highlight w:val="none"/>
              </w:rPr>
              <w:t>“报价文件</w:t>
            </w:r>
            <w:r>
              <w:rPr>
                <w:rFonts w:hint="eastAsia" w:ascii="宋体" w:hAnsi="宋体" w:eastAsia="宋体" w:cs="宋体"/>
                <w:snapToGrid w:val="0"/>
                <w:color w:val="auto"/>
                <w:sz w:val="24"/>
                <w:highlight w:val="none"/>
              </w:rPr>
              <w:t>）纸质响应文件三套（需装订好），供征集人项目存档用。</w:t>
            </w:r>
          </w:p>
          <w:p>
            <w:pPr>
              <w:spacing w:line="400" w:lineRule="exact"/>
              <w:ind w:firstLine="482" w:firstLineChars="200"/>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纸质响应文件邮寄或递交至代理机构现场。收件信息如下：</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b/>
                <w:bCs/>
                <w:color w:val="auto"/>
                <w:sz w:val="24"/>
                <w:highlight w:val="none"/>
                <w:lang w:val="zh-TW" w:eastAsia="zh-TW"/>
              </w:rPr>
              <w:t>地址：</w:t>
            </w:r>
            <w:r>
              <w:rPr>
                <w:rFonts w:hint="eastAsia" w:ascii="宋体" w:hAnsi="宋体" w:eastAsia="宋体" w:cs="宋体"/>
                <w:kern w:val="28"/>
                <w:sz w:val="24"/>
                <w:szCs w:val="24"/>
                <w:highlight w:val="none"/>
                <w:u w:val="single"/>
              </w:rPr>
              <w:t>杭州市临平区南苑街道迎宾路与望梅路交汇处华元欢乐城-华元大厦20层2022办公室</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highlight w:val="none"/>
                <w:lang w:val="en-US" w:eastAsia="zh-CN"/>
              </w:rPr>
              <w:t>收件人</w:t>
            </w:r>
            <w:r>
              <w:rPr>
                <w:rFonts w:hint="eastAsia" w:ascii="宋体" w:hAnsi="宋体" w:eastAsia="宋体" w:cs="宋体"/>
                <w:b/>
                <w:bCs/>
                <w:color w:val="auto"/>
                <w:sz w:val="24"/>
                <w:highlight w:val="none"/>
                <w:lang w:val="zh-TW" w:eastAsia="zh-TW"/>
              </w:rPr>
              <w:t>：</w:t>
            </w:r>
            <w:r>
              <w:rPr>
                <w:rFonts w:hint="eastAsia" w:ascii="宋体" w:hAnsi="宋体" w:eastAsia="宋体" w:cs="宋体"/>
                <w:b/>
                <w:bCs/>
                <w:color w:val="auto"/>
                <w:sz w:val="24"/>
                <w:highlight w:val="none"/>
                <w:lang w:val="en-US" w:eastAsia="zh-CN"/>
              </w:rPr>
              <w:t>周海丽</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zh-TW" w:eastAsia="zh-TW"/>
              </w:rPr>
              <w:t>联系方式：</w:t>
            </w:r>
            <w:r>
              <w:rPr>
                <w:rFonts w:hint="eastAsia" w:ascii="宋体" w:hAnsi="宋体" w:eastAsia="宋体" w:cs="宋体"/>
                <w:b/>
                <w:bCs/>
                <w:color w:val="auto"/>
                <w:sz w:val="24"/>
                <w:highlight w:val="none"/>
                <w:lang w:val="en-US" w:eastAsia="zh-CN"/>
              </w:rPr>
              <w:t>15868109971</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响应文件的上传和递交</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本项目通过“政府采购云平台（</w:t>
            </w:r>
            <w:r>
              <w:rPr>
                <w:rFonts w:hint="eastAsia" w:ascii="宋体" w:hAnsi="宋体" w:eastAsia="宋体" w:cs="宋体"/>
                <w:color w:val="auto"/>
                <w:sz w:val="24"/>
                <w:highlight w:val="none"/>
              </w:rPr>
              <w:t>www.zcygov.cn</w:t>
            </w:r>
            <w:r>
              <w:rPr>
                <w:rFonts w:hint="eastAsia" w:ascii="宋体" w:hAnsi="宋体" w:eastAsia="宋体" w:cs="宋体"/>
                <w:snapToGrid w:val="0"/>
                <w:color w:val="auto"/>
                <w:sz w:val="24"/>
                <w:highlight w:val="none"/>
              </w:rPr>
              <w:t>）”实行在线投标响应（电子投标），供应商应当在征集截止时间前，将生成的“电子加密响应文件”上传递交至“政府采购云平台”。</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“电子加密响应文件”的上传、递交：</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a.供应商应在投标截止时间前将“电子加密响应文件”成功上传递交至“政府采购云平台”，否则投标无效。</w:t>
            </w:r>
          </w:p>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b.“电子加密响应文件”成功上传递交后，供应商可自行打印响应文件接收回执。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响应文件加密解密</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1.开标后，采购组织机构将向各供应商发出“电子加密响应文件”的解密通知，各供应商代表应当在接到解密通知后</w:t>
            </w:r>
            <w:r>
              <w:rPr>
                <w:rFonts w:hint="eastAsia" w:ascii="宋体" w:hAnsi="宋体" w:eastAsia="宋体" w:cs="宋体"/>
                <w:color w:val="auto"/>
                <w:sz w:val="24"/>
                <w:highlight w:val="none"/>
              </w:rPr>
              <w:t>30</w:t>
            </w:r>
            <w:r>
              <w:rPr>
                <w:rFonts w:hint="eastAsia" w:ascii="宋体" w:hAnsi="宋体" w:eastAsia="宋体" w:cs="宋体"/>
                <w:snapToGrid w:val="0"/>
                <w:color w:val="auto"/>
                <w:sz w:val="24"/>
                <w:highlight w:val="none"/>
              </w:rPr>
              <w:t>分钟内自行完成“电子加密响应文件”的在线解密。</w:t>
            </w:r>
          </w:p>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2.通过“政府采购云平台”成功上传递交的“电子加密响应文件”无法按时解密的，其响应文件按拒收处理。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1899"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是否允许递交备选响应方案</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lang w:val="en-US" w:eastAsia="zh-CN"/>
              </w:rPr>
            </w:pPr>
            <w:r>
              <w:rPr>
                <w:rFonts w:hint="eastAsia" w:ascii="宋体" w:hAnsi="宋体" w:eastAsia="宋体" w:cs="宋体"/>
                <w:snapToGrid w:val="0"/>
                <w:color w:val="auto"/>
                <w:sz w:val="24"/>
                <w:highlight w:val="none"/>
              </w:rPr>
              <w:t>不允许</w:t>
            </w:r>
            <w:r>
              <w:rPr>
                <w:rFonts w:hint="eastAsia" w:ascii="宋体" w:hAnsi="宋体" w:cs="宋体"/>
                <w:snapToGrid w:val="0"/>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szCs w:val="24"/>
                <w:highlight w:val="none"/>
              </w:rPr>
              <w:t>采购项目需要落实的政府采购政策</w:t>
            </w:r>
          </w:p>
        </w:tc>
        <w:tc>
          <w:tcPr>
            <w:tcW w:w="6422" w:type="dxa"/>
            <w:tcBorders>
              <w:top w:val="single" w:color="000000" w:sz="8" w:space="0"/>
              <w:left w:val="single" w:color="000000" w:sz="2" w:space="0"/>
              <w:bottom w:val="single" w:color="000000" w:sz="8" w:space="0"/>
              <w:right w:val="single" w:color="000000" w:sz="8" w:space="0"/>
            </w:tcBorders>
            <w:vAlign w:val="center"/>
          </w:tcPr>
          <w:p>
            <w:pPr>
              <w:numPr>
                <w:ilvl w:val="0"/>
                <w:numId w:val="2"/>
              </w:numPr>
              <w:wordWrap w:val="0"/>
              <w:spacing w:line="360" w:lineRule="auto"/>
              <w:contextualSpacing/>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项目不属于专门面向中小企业采购的项目</w:t>
            </w:r>
            <w:r>
              <w:rPr>
                <w:rFonts w:hint="eastAsia" w:ascii="宋体" w:hAnsi="宋体" w:eastAsia="宋体" w:cs="宋体"/>
                <w:color w:val="000000"/>
                <w:sz w:val="24"/>
                <w:szCs w:val="24"/>
                <w:highlight w:val="none"/>
                <w:lang w:eastAsia="zh-CN"/>
              </w:rPr>
              <w:t>（会计事务所非企业，不享受中小企业政策优惠）</w:t>
            </w:r>
            <w:r>
              <w:rPr>
                <w:rFonts w:hint="eastAsia" w:ascii="宋体" w:hAnsi="宋体" w:cs="宋体"/>
                <w:color w:val="000000"/>
                <w:sz w:val="24"/>
                <w:szCs w:val="24"/>
                <w:highlight w:val="none"/>
                <w:lang w:eastAsia="zh-CN"/>
              </w:rPr>
              <w:t>；</w:t>
            </w:r>
          </w:p>
          <w:p>
            <w:pPr>
              <w:wordWrap w:val="0"/>
              <w:spacing w:line="36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wordWrap w:val="0"/>
              <w:spacing w:line="360" w:lineRule="auto"/>
              <w:contextualSpacing/>
              <w:rPr>
                <w:rFonts w:hint="eastAsia" w:ascii="宋体" w:hAnsi="宋体" w:eastAsia="宋体" w:cs="宋体"/>
                <w:snapToGrid w:val="0"/>
                <w:color w:val="auto"/>
                <w:sz w:val="24"/>
                <w:highlight w:val="none"/>
              </w:rPr>
            </w:pPr>
            <w:r>
              <w:rPr>
                <w:rFonts w:hint="eastAsia" w:ascii="宋体" w:hAnsi="宋体" w:eastAsia="宋体" w:cs="宋体"/>
                <w:color w:val="000000"/>
                <w:sz w:val="24"/>
                <w:szCs w:val="24"/>
                <w:highlight w:val="none"/>
              </w:rPr>
              <w:t>3.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1899"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供应商信用查询</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信用记录查询：</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根据《关于在政府采购活动中查询及使用信用记录有关问题的通知》（财库[2016]125号）要求，征集人会对供应商信用记录进行查询并甄别。</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1.信用信息查询截止时点：提交投标文件（响应文件）截止时间前3年内；</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2.查询渠道：</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信用中国（www.creditchina.gov.cn）；</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中国政府采购网（www.ccgp.gov.cn）；</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3.信用信息查询记录和证据留存具体方式：征集人经办人和监督人员将查询网页打印、签字与其他征集文件一并保存；</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4.信用信息的使用规则：被列入失信被执行人、重大税收违法案件当事人名单、政府采购严重违法失信行为记录名单及其它不符合《中华人民共和国政府采购法》第二十二条规定条件的，其投标将被拒绝。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22" w:type="dxa"/>
            <w:tcBorders>
              <w:top w:val="single" w:color="000000" w:sz="8" w:space="0"/>
              <w:left w:val="single" w:color="000000" w:sz="2" w:space="0"/>
              <w:bottom w:val="single" w:color="000000" w:sz="8" w:space="0"/>
              <w:right w:val="single" w:color="000000" w:sz="8" w:space="0"/>
            </w:tcBorders>
            <w:vAlign w:val="center"/>
          </w:tcPr>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1.采购代理服务费：不收取代理服务费。</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2.响应文件存在下列情况之一的，视为撤回：</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（1）电子响应文件无法解密的；</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（2）响应文件未按时解密的；</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（3）响应截止时间前，供应商未将“电子加密响应文件”成功上传至“政府采购云平台”的。</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3.政采云平台如对电子化开启及评审程序有调整的，按调整后的程序操作。</w:t>
            </w:r>
          </w:p>
          <w:p>
            <w:pPr>
              <w:pStyle w:val="35"/>
              <w:wordWrap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4.封闭式框架协议第一阶段供应商响应操作指南详见 https://helpcenter.zcygov.cn/document/#/document/detail?siteCode=beijing&amp;manualId=251&amp;topicId=1447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6422" w:type="dxa"/>
            <w:tcBorders>
              <w:top w:val="single" w:color="000000" w:sz="8" w:space="0"/>
              <w:left w:val="single" w:color="000000" w:sz="2" w:space="0"/>
              <w:bottom w:val="single" w:color="000000" w:sz="8" w:space="0"/>
              <w:right w:val="single" w:color="000000" w:sz="8" w:space="0"/>
            </w:tcBorders>
            <w:vAlign w:val="center"/>
          </w:tcPr>
          <w:p>
            <w:pPr>
              <w:pStyle w:val="35"/>
              <w:wordWrap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tc>
      </w:tr>
      <w:bookmarkEnd w:id="13"/>
    </w:tbl>
    <w:p>
      <w:pPr>
        <w:rPr>
          <w:rFonts w:hint="eastAsia" w:ascii="宋体" w:hAnsi="宋体" w:eastAsia="宋体" w:cs="宋体"/>
          <w:b/>
          <w:color w:val="auto"/>
          <w:sz w:val="32"/>
          <w:szCs w:val="20"/>
          <w:highlight w:val="none"/>
        </w:rPr>
      </w:pPr>
      <w:bookmarkStart w:id="51" w:name="_Toc164416483"/>
      <w:bookmarkStart w:id="52" w:name="第三部分"/>
      <w:r>
        <w:rPr>
          <w:rFonts w:hint="eastAsia" w:ascii="宋体" w:hAnsi="宋体" w:eastAsia="宋体" w:cs="宋体"/>
          <w:b/>
          <w:color w:val="auto"/>
          <w:sz w:val="32"/>
          <w:szCs w:val="20"/>
          <w:highlight w:val="none"/>
        </w:rPr>
        <w:br w:type="page"/>
      </w:r>
    </w:p>
    <w:p>
      <w:pPr>
        <w:adjustRightInd/>
        <w:spacing w:line="360" w:lineRule="auto"/>
        <w:jc w:val="center"/>
        <w:rPr>
          <w:rFonts w:hint="eastAsia" w:ascii="宋体" w:hAnsi="宋体" w:eastAsia="宋体" w:cs="宋体"/>
          <w:b/>
          <w:color w:val="auto"/>
          <w:sz w:val="32"/>
          <w:szCs w:val="32"/>
          <w:highlight w:val="none"/>
        </w:rPr>
      </w:pPr>
      <w:bookmarkStart w:id="53" w:name="_Toc2493"/>
      <w:r>
        <w:rPr>
          <w:rFonts w:hint="eastAsia" w:ascii="宋体" w:hAnsi="宋体" w:eastAsia="宋体" w:cs="宋体"/>
          <w:b/>
          <w:color w:val="auto"/>
          <w:sz w:val="32"/>
          <w:szCs w:val="32"/>
          <w:highlight w:val="none"/>
        </w:rPr>
        <w:t>一、总则</w:t>
      </w:r>
      <w:bookmarkEnd w:id="53"/>
    </w:p>
    <w:p>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本征集文件适用于该项目的征集、响应、开启、资格审查及信用信息查询、评审、入围、框架协议签订、验收等行为（法律、法规另有规定的，从其规定）。</w:t>
      </w:r>
    </w:p>
    <w:p>
      <w:pPr>
        <w:adjustRightInd/>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1.“征集人”系指征集公告中载明的本项目的征集人。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2.“供应商”系指是指响应征集、参加竞争的法人、其他组织或者自然人。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3.“负责人”系指法人企业的法定负责人，或其他组织为法律、行政法规规定代表单位行使职权的主要负责人，或自然人本人。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4.“电子交易平台”是指本项目政府采购活动所依托的政府采购云平台（https://www.zcygov.cn/）。</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5.“▲”系指实质性要求条款，实质性要求条款供应商必须满足，否则为无效响应。</w:t>
      </w:r>
    </w:p>
    <w:p>
      <w:pPr>
        <w:adjustRightInd/>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（三）合格的供应商：</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1.满足征集公告中供应商资格要求的规定。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2.满足征集文件中符合性要求的规定。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3.满足征集文件中实质性要求的规定。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4.供应商应遵守中国的有关法律、法规和规章。</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5.供应商存在下列关联关系情形之一的，不得参加本项目征集入围：</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（1）单位负责人（含法定代表人、实际控制人）是同一人的供应商；</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（2）母公司、直接控股的被投资公司；</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（3）为项目提供整体设计、规范编制或者项目管理、监理、检测等服务的供应商，不得再参加该项目的其他采购（具体实施）活动。</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（四）询问、质疑、投诉</w:t>
      </w:r>
    </w:p>
    <w:p>
      <w:pPr>
        <w:autoSpaceDE w:val="0"/>
        <w:autoSpaceDN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供应商询问</w:t>
      </w:r>
    </w:p>
    <w:p>
      <w:pPr>
        <w:autoSpaceDE w:val="0"/>
        <w:autoSpaceDN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供应商对政府采购活动事项有疑问的，可以提出询问，征集人应当在3个工作日内对供应商依法提出的询问作出答复，但答复的内容不得涉及商业秘密。</w:t>
      </w:r>
    </w:p>
    <w:p>
      <w:pPr>
        <w:autoSpaceDE w:val="0"/>
        <w:autoSpaceDN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供应商质疑</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提出质疑的供应商应当是参与所质疑项目采购活动的供应商。潜在供应商已依法获取其可质疑的征集文件的，可以对该文件提出质疑。</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供应商认为征集文件、采购过程和入围结果使自己的权益受到损害的，可以在知道或者应知其权益受到损害之日起七个工作日内，以在线或书面形式向征集人提出质疑，否则，征集人不予受理：</w:t>
      </w:r>
    </w:p>
    <w:p>
      <w:pPr>
        <w:pStyle w:val="16"/>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a.</w:t>
      </w:r>
      <w:r>
        <w:rPr>
          <w:rFonts w:hint="eastAsia" w:ascii="宋体" w:hAnsi="宋体" w:eastAsia="宋体" w:cs="宋体"/>
          <w:color w:val="auto"/>
          <w:kern w:val="2"/>
          <w:sz w:val="24"/>
          <w:szCs w:val="24"/>
          <w:highlight w:val="none"/>
        </w:rPr>
        <w:t>对征集文件提出质疑的，质疑期限为供应商获得征集文件之日或者征集文件公告期限届满之日起计算。</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b.</w:t>
      </w:r>
      <w:r>
        <w:rPr>
          <w:rFonts w:hint="eastAsia" w:ascii="宋体" w:hAnsi="宋体" w:eastAsia="宋体" w:cs="宋体"/>
          <w:color w:val="auto"/>
          <w:sz w:val="24"/>
          <w:szCs w:val="24"/>
          <w:highlight w:val="none"/>
        </w:rPr>
        <w:t>对采购过程提出质疑的，质疑期限为各采购程序环节结束之日起计算。对同一采购程序环节的质疑，供应商须一次性提出。</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c.</w:t>
      </w:r>
      <w:r>
        <w:rPr>
          <w:rFonts w:hint="eastAsia" w:ascii="宋体" w:hAnsi="宋体" w:eastAsia="宋体" w:cs="宋体"/>
          <w:color w:val="auto"/>
          <w:sz w:val="24"/>
          <w:szCs w:val="24"/>
          <w:highlight w:val="none"/>
        </w:rPr>
        <w:t>对采购结果提出质疑的，质疑期限自采购结果公告期限届满之日起计算。</w:t>
      </w:r>
    </w:p>
    <w:p>
      <w:pPr>
        <w:pStyle w:val="35"/>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bCs/>
          <w:color w:val="auto"/>
          <w:sz w:val="24"/>
          <w:szCs w:val="24"/>
          <w:highlight w:val="none"/>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a.供应商的姓名或者名称、地址、邮编、联系人及联系电话；</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b.质疑项目的名称、编号；</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c.具体、明确的质疑事项和与质疑事项相关的请求；</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d.事实依据；</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e.必要的法律依据；</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f.提出质疑的日期。</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numPr>
          <w:ilvl w:val="0"/>
          <w:numId w:val="3"/>
        </w:numPr>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征集人应当在收到供应商的书面质疑后七个工作日内作出答复，并以书面形式通知质疑供应商和其他与质疑处理结果有利害关系的政府采购当事人，但答复的内容不得涉及商业秘密。</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w:t>
      </w:r>
      <w:r>
        <w:rPr>
          <w:rFonts w:hint="eastAsia" w:ascii="宋体" w:hAnsi="宋体" w:eastAsia="宋体" w:cs="宋体"/>
          <w:color w:val="auto"/>
          <w:highlight w:val="none"/>
        </w:rPr>
        <w:t>询问或者质疑事项可能影响采购结果的，征集人应当暂停签订合同，已经签订合同的，应当中止履行合同。</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供应商投诉</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（1）质疑供应商对征集人的答复不满意或者征集人未在规定的时间内作出答复的，可以在答复期满后十五个工作日内向同级政府采购监督管理部门提出投诉。</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（2）供应商投诉的事项不得超出已质疑事项的范围，基于质疑答复内容提出的投诉事项除外。</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（3）供应商投诉应当有明确的请求和必要的证明材料。</w:t>
      </w:r>
    </w:p>
    <w:p>
      <w:pPr>
        <w:pStyle w:val="87"/>
        <w:snapToGrid w:val="0"/>
        <w:spacing w:before="0" w:line="400" w:lineRule="exact"/>
        <w:ind w:firstLine="480"/>
        <w:rPr>
          <w:rFonts w:hint="eastAsia" w:ascii="宋体" w:hAnsi="宋体" w:eastAsia="宋体" w:cs="宋体"/>
          <w:color w:val="auto"/>
          <w:szCs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54" w:name="_Toc14002"/>
      <w:r>
        <w:rPr>
          <w:rFonts w:hint="eastAsia" w:ascii="宋体" w:hAnsi="宋体" w:eastAsia="宋体" w:cs="宋体"/>
          <w:b/>
          <w:color w:val="auto"/>
          <w:sz w:val="32"/>
          <w:szCs w:val="32"/>
          <w:highlight w:val="none"/>
        </w:rPr>
        <w:t>二、征集文件的构成、澄清、修改</w:t>
      </w:r>
      <w:bookmarkEnd w:id="54"/>
    </w:p>
    <w:p>
      <w:pPr>
        <w:pStyle w:val="35"/>
        <w:spacing w:line="4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（一）征集文件的构成</w:t>
      </w:r>
    </w:p>
    <w:p>
      <w:pPr>
        <w:pStyle w:val="35"/>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（1）征集文件包括下列文件及附件：</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征集公告；</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采购需求；</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供应商须知；</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评审办法；</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拟签订的合同文本；</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highlight w:val="none"/>
        </w:rPr>
        <w:t>应提交的有关格式范例</w:t>
      </w:r>
      <w:r>
        <w:rPr>
          <w:rFonts w:hint="eastAsia" w:ascii="宋体" w:hAnsi="宋体" w:eastAsia="宋体" w:cs="宋体"/>
          <w:color w:val="auto"/>
          <w:sz w:val="24"/>
          <w:szCs w:val="24"/>
          <w:highlight w:val="none"/>
        </w:rPr>
        <w:t>。</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澄清或者修改的内容为征集文件的组成部分</w:t>
      </w:r>
      <w:r>
        <w:rPr>
          <w:rFonts w:hint="eastAsia" w:ascii="宋体" w:hAnsi="宋体" w:eastAsia="宋体" w:cs="宋体"/>
          <w:color w:val="auto"/>
          <w:sz w:val="24"/>
          <w:highlight w:val="none"/>
        </w:rPr>
        <w:t>。</w:t>
      </w:r>
    </w:p>
    <w:p>
      <w:pPr>
        <w:pStyle w:val="35"/>
        <w:spacing w:line="4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（二）征集文件的澄清、修改</w:t>
      </w:r>
    </w:p>
    <w:p>
      <w:pPr>
        <w:pStyle w:val="87"/>
        <w:snapToGrid w:val="0"/>
        <w:spacing w:before="0" w:line="4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1.已获取征集文件的潜在供应商，若有问题需要澄清，应于响应截止时间前，以书面形式或政采云线上询问方式向征集人提出。</w:t>
      </w:r>
    </w:p>
    <w:p>
      <w:pPr>
        <w:pStyle w:val="87"/>
        <w:snapToGrid w:val="0"/>
        <w:spacing w:before="0" w:line="4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征集人对征集文件进行澄清或修改的，将同时通过电子交易平台通知已获取征集文件的潜在供应商。依法应当公告的，将按规定公告，同时视情况延长响应截止时间和开启时间。该澄清或者修改的内容为征集文件的组成部分。</w:t>
      </w:r>
    </w:p>
    <w:p>
      <w:pPr>
        <w:adjustRightInd/>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 xml:space="preserve">    </w:t>
      </w:r>
    </w:p>
    <w:p>
      <w:pPr>
        <w:adjustRightInd/>
        <w:spacing w:line="400" w:lineRule="exact"/>
        <w:jc w:val="center"/>
        <w:rPr>
          <w:rFonts w:hint="eastAsia" w:ascii="宋体" w:hAnsi="宋体" w:eastAsia="宋体" w:cs="宋体"/>
          <w:b/>
          <w:color w:val="auto"/>
          <w:sz w:val="32"/>
          <w:szCs w:val="32"/>
          <w:highlight w:val="none"/>
        </w:rPr>
      </w:pPr>
      <w:bookmarkStart w:id="55" w:name="_Toc15941"/>
      <w:r>
        <w:rPr>
          <w:rFonts w:hint="eastAsia" w:ascii="宋体" w:hAnsi="宋体" w:eastAsia="宋体" w:cs="宋体"/>
          <w:b/>
          <w:color w:val="auto"/>
          <w:sz w:val="32"/>
          <w:szCs w:val="32"/>
          <w:highlight w:val="none"/>
        </w:rPr>
        <w:t>三、响应</w:t>
      </w:r>
      <w:bookmarkEnd w:id="55"/>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（一）征集文件的获取</w:t>
      </w:r>
    </w:p>
    <w:p>
      <w:pPr>
        <w:spacing w:line="40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详见征集公告中获取征集文件的时间期限、地点、方式。</w:t>
      </w:r>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（二）开启前答疑会或现场考察</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征集人组织潜在供应商现场考察或者召开开启前答疑会的，潜在供应商按第三章供应商须知前附表的规定参加现场考察或者开启前答疑会。</w:t>
      </w:r>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pPr>
        <w:pStyle w:val="35"/>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(1）满足《中华人民共和国政府采购法》第二十二条规定的资料：</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a.营业执照（或法人登记证书，自然人身份证明）复印件；</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b.符合参加政府采购活动应当具备的一般条件的承诺函；</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(2）落实政府采购政策需满足的资格要求：无；</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(3）符合供应商特定资格条件的材料：</w:t>
      </w:r>
      <w:r>
        <w:rPr>
          <w:rFonts w:hint="eastAsia" w:ascii="宋体" w:hAnsi="宋体" w:eastAsia="宋体" w:cs="宋体"/>
          <w:color w:val="auto"/>
          <w:sz w:val="24"/>
          <w:highlight w:val="none"/>
          <w:shd w:val="clear" w:color="auto" w:fill="FFFFFF"/>
        </w:rPr>
        <w:t>具有有效的省级或省级以上财政部门颁发的会计师事务所执业证书复印件</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sz w:val="24"/>
          <w:highlight w:val="none"/>
        </w:rPr>
        <w:t>响应函；</w:t>
      </w:r>
      <w:r>
        <w:rPr>
          <w:rFonts w:hint="eastAsia" w:ascii="宋体" w:hAnsi="宋体" w:cs="宋体"/>
          <w:i w:val="0"/>
          <w:iCs w:val="0"/>
          <w:color w:val="auto"/>
          <w:sz w:val="24"/>
          <w:highlight w:val="none"/>
          <w:lang w:eastAsia="zh-CN"/>
        </w:rPr>
        <w:t>格式详见</w:t>
      </w:r>
      <w:r>
        <w:rPr>
          <w:rFonts w:hint="eastAsia" w:ascii="宋体" w:hAnsi="宋体" w:cs="宋体"/>
          <w:i w:val="0"/>
          <w:iCs w:val="0"/>
          <w:color w:val="auto"/>
          <w:sz w:val="24"/>
          <w:highlight w:val="none"/>
          <w:lang w:val="en-US" w:eastAsia="zh-CN"/>
        </w:rPr>
        <w:t xml:space="preserve"> </w:t>
      </w:r>
      <w:r>
        <w:rPr>
          <w:rFonts w:hint="eastAsia" w:ascii="宋体" w:hAnsi="宋体" w:cs="宋体"/>
          <w:i w:val="0"/>
          <w:iCs w:val="0"/>
          <w:color w:val="auto"/>
          <w:sz w:val="24"/>
          <w:highlight w:val="none"/>
          <w:lang w:eastAsia="zh-CN"/>
        </w:rPr>
        <w:t>第六章 应提交的有关格式范例。</w:t>
      </w:r>
    </w:p>
    <w:p>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4"/>
          <w:highlight w:val="none"/>
        </w:rPr>
        <w:t>（2）</w:t>
      </w:r>
      <w:r>
        <w:rPr>
          <w:rFonts w:hint="eastAsia" w:ascii="宋体" w:hAnsi="宋体" w:eastAsia="宋体" w:cs="宋体"/>
          <w:i w:val="0"/>
          <w:iCs w:val="0"/>
          <w:color w:val="auto"/>
          <w:sz w:val="24"/>
          <w:highlight w:val="none"/>
        </w:rPr>
        <w:t>法定代表人授权委托书（非法人本人参加投标时提供；法定代表人本人参加投标时无须提供授权）；</w:t>
      </w:r>
      <w:r>
        <w:rPr>
          <w:rFonts w:hint="eastAsia" w:ascii="宋体" w:hAnsi="宋体" w:cs="宋体"/>
          <w:i w:val="0"/>
          <w:iCs w:val="0"/>
          <w:color w:val="auto"/>
          <w:sz w:val="24"/>
          <w:highlight w:val="none"/>
          <w:lang w:eastAsia="zh-CN"/>
        </w:rPr>
        <w:t>格式详见</w:t>
      </w:r>
      <w:r>
        <w:rPr>
          <w:rFonts w:hint="eastAsia" w:ascii="宋体" w:hAnsi="宋体" w:cs="宋体"/>
          <w:i w:val="0"/>
          <w:iCs w:val="0"/>
          <w:color w:val="auto"/>
          <w:sz w:val="24"/>
          <w:highlight w:val="none"/>
          <w:lang w:val="en-US" w:eastAsia="zh-CN"/>
        </w:rPr>
        <w:t xml:space="preserve"> </w:t>
      </w:r>
      <w:r>
        <w:rPr>
          <w:rFonts w:hint="eastAsia" w:ascii="宋体" w:hAnsi="宋体" w:cs="宋体"/>
          <w:i w:val="0"/>
          <w:iCs w:val="0"/>
          <w:color w:val="auto"/>
          <w:sz w:val="24"/>
          <w:highlight w:val="none"/>
          <w:lang w:eastAsia="zh-CN"/>
        </w:rPr>
        <w:t>第六章 应提交的有关格式范例。</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rPr>
        <w:t>（3）</w:t>
      </w:r>
      <w:r>
        <w:rPr>
          <w:rFonts w:hint="eastAsia" w:ascii="宋体" w:hAnsi="宋体" w:eastAsia="宋体" w:cs="宋体"/>
          <w:i w:val="0"/>
          <w:iCs w:val="0"/>
          <w:color w:val="auto"/>
          <w:sz w:val="24"/>
          <w:highlight w:val="none"/>
        </w:rPr>
        <w:t>供应商基本情况（如企业简介，经营状况、财务状况、专业能力，企业荣誉，企业资质，拥有相关认证情况等等）；</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（4）拟派项目组成员；</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（5）具有的</w:t>
      </w:r>
      <w:r>
        <w:rPr>
          <w:rFonts w:hint="eastAsia" w:ascii="宋体" w:hAnsi="宋体" w:eastAsia="宋体" w:cs="宋体"/>
          <w:i w:val="0"/>
          <w:iCs w:val="0"/>
          <w:color w:val="auto"/>
          <w:sz w:val="24"/>
          <w:highlight w:val="none"/>
          <w:lang w:val="en-US" w:eastAsia="zh-CN"/>
        </w:rPr>
        <w:t>专项债及其他融资类</w:t>
      </w:r>
      <w:r>
        <w:rPr>
          <w:rFonts w:hint="eastAsia" w:ascii="宋体" w:hAnsi="宋体" w:eastAsia="宋体" w:cs="宋体"/>
          <w:i w:val="0"/>
          <w:iCs w:val="0"/>
          <w:color w:val="auto"/>
          <w:sz w:val="24"/>
          <w:highlight w:val="none"/>
        </w:rPr>
        <w:t>项目业绩；</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（6）</w:t>
      </w:r>
      <w:r>
        <w:rPr>
          <w:rFonts w:hint="eastAsia" w:ascii="宋体" w:hAnsi="宋体" w:eastAsia="宋体" w:cs="宋体"/>
          <w:i w:val="0"/>
          <w:iCs w:val="0"/>
          <w:color w:val="auto"/>
          <w:sz w:val="24"/>
          <w:highlight w:val="none"/>
          <w:lang w:val="en-US" w:eastAsia="zh-CN"/>
        </w:rPr>
        <w:t>其他服务类</w:t>
      </w:r>
      <w:r>
        <w:rPr>
          <w:rFonts w:hint="eastAsia" w:ascii="宋体" w:hAnsi="宋体" w:eastAsia="宋体" w:cs="宋体"/>
          <w:i w:val="0"/>
          <w:iCs w:val="0"/>
          <w:color w:val="auto"/>
          <w:sz w:val="24"/>
          <w:highlight w:val="none"/>
        </w:rPr>
        <w:t>指标（包括：重难点分析、合理化建议、现场服务、</w:t>
      </w:r>
      <w:r>
        <w:rPr>
          <w:rFonts w:hint="eastAsia" w:ascii="宋体" w:hAnsi="宋体" w:eastAsia="宋体" w:cs="宋体"/>
          <w:i w:val="0"/>
          <w:iCs w:val="0"/>
          <w:color w:val="auto"/>
          <w:sz w:val="24"/>
          <w:highlight w:val="none"/>
          <w:lang w:val="en-US" w:eastAsia="zh-CN"/>
        </w:rPr>
        <w:t>整体服务方案、</w:t>
      </w:r>
      <w:r>
        <w:rPr>
          <w:rFonts w:hint="eastAsia" w:ascii="宋体" w:hAnsi="宋体" w:eastAsia="宋体" w:cs="宋体"/>
          <w:i w:val="0"/>
          <w:iCs w:val="0"/>
          <w:color w:val="auto"/>
          <w:sz w:val="24"/>
          <w:highlight w:val="none"/>
        </w:rPr>
        <w:t>质量保证措施、其他服务</w:t>
      </w:r>
      <w:r>
        <w:rPr>
          <w:rFonts w:hint="eastAsia" w:ascii="宋体" w:hAnsi="宋体" w:eastAsia="宋体" w:cs="宋体"/>
          <w:i w:val="0"/>
          <w:iCs w:val="0"/>
          <w:color w:val="auto"/>
          <w:sz w:val="24"/>
          <w:highlight w:val="none"/>
          <w:lang w:val="en-US" w:eastAsia="zh-CN"/>
        </w:rPr>
        <w:t>承诺事项等内容）</w:t>
      </w:r>
      <w:r>
        <w:rPr>
          <w:rFonts w:hint="eastAsia" w:ascii="宋体" w:hAnsi="宋体" w:cs="宋体"/>
          <w:i w:val="0"/>
          <w:iCs w:val="0"/>
          <w:color w:val="auto"/>
          <w:sz w:val="24"/>
          <w:highlight w:val="none"/>
          <w:lang w:val="en-US" w:eastAsia="zh-CN"/>
        </w:rPr>
        <w:t>；</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（7）服务响应表；</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（8）对应商务技术分中评分细则提供相应的证明资料（投标人编制并提供相关证明材料）；</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（9）供应商认为有必要提供的其他资料。</w:t>
      </w:r>
    </w:p>
    <w:p>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3.报价文件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（1）价格承诺函；</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响应文件含有征集人不能接受的附加条件的，响应无效；</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供应商提供虚假材料响应的，响应无效。</w:t>
      </w:r>
    </w:p>
    <w:p>
      <w:pPr>
        <w:pStyle w:val="87"/>
        <w:snapToGrid w:val="0"/>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（五）响应文件的编制</w:t>
      </w:r>
    </w:p>
    <w:p>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响应文件分为资格文件、商务技术文件、</w:t>
      </w:r>
      <w:r>
        <w:rPr>
          <w:rFonts w:hint="eastAsia" w:ascii="宋体" w:hAnsi="宋体" w:eastAsia="宋体" w:cs="宋体"/>
          <w:color w:val="auto"/>
          <w:kern w:val="0"/>
          <w:sz w:val="24"/>
          <w:highlight w:val="none"/>
        </w:rPr>
        <w:t>报价文件三</w:t>
      </w:r>
      <w:r>
        <w:rPr>
          <w:rFonts w:hint="eastAsia" w:ascii="宋体" w:hAnsi="宋体" w:eastAsia="宋体" w:cs="宋体"/>
          <w:color w:val="auto"/>
          <w:kern w:val="0"/>
          <w:sz w:val="24"/>
          <w:highlight w:val="none"/>
          <w:lang w:val="zh-CN"/>
        </w:rPr>
        <w:t>部分。各供应商在编制响应文件时请按照征集文件规定的格式进行，混乱的编排导致响应文件被误读或评审小组查找不到有效文件是供应商的风险。</w:t>
      </w:r>
    </w:p>
    <w:p>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供应商进行电子投标应安装客户端软件—“政采云电子交易客户端”，并按照征集文件和电子交易平台的要求编制并加密响应文件。供应商未按规定加密的响应文件，电子交易平台将拒收并提示。</w:t>
      </w:r>
    </w:p>
    <w:p>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（六）响应文件的签署、盖章</w:t>
      </w:r>
    </w:p>
    <w:p>
      <w:pPr>
        <w:pStyle w:val="87"/>
        <w:snapToGrid w:val="0"/>
        <w:spacing w:before="0" w:line="40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1.响应文件按照征集文件要求进行签署、盖章。</w:t>
      </w:r>
      <w:r>
        <w:rPr>
          <w:rFonts w:hint="eastAsia" w:ascii="宋体" w:hAnsi="宋体" w:eastAsia="宋体" w:cs="宋体"/>
          <w:b/>
          <w:color w:val="auto"/>
          <w:szCs w:val="24"/>
          <w:highlight w:val="none"/>
        </w:rPr>
        <w:t>▲供应商的响应文件未按照征集文件要求签署、盖章的，其响应无效</w:t>
      </w:r>
      <w:r>
        <w:rPr>
          <w:rFonts w:hint="eastAsia" w:ascii="宋体" w:hAnsi="宋体" w:eastAsia="宋体" w:cs="宋体"/>
          <w:color w:val="auto"/>
          <w:szCs w:val="24"/>
          <w:highlight w:val="none"/>
        </w:rPr>
        <w:t>。</w:t>
      </w:r>
    </w:p>
    <w:p>
      <w:pPr>
        <w:pStyle w:val="87"/>
        <w:snapToGrid w:val="0"/>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2.为确保网上操作合法、有效和安全，供应商应当在响应截止时间前完成在“政府采购云平台”的身份认证，确保在电子投标过程中能够对相关数据电文进行加密和使用电子签名。</w:t>
      </w:r>
    </w:p>
    <w:p>
      <w:pPr>
        <w:pStyle w:val="87"/>
        <w:snapToGrid w:val="0"/>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3.征集文件对响应文件签署、盖章的要求适用于电子签名。</w:t>
      </w:r>
    </w:p>
    <w:p>
      <w:pPr>
        <w:pStyle w:val="87"/>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（七）响应文件的提交、补充、修改、撤回</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2.电子交易平台收到响应文件，将妥善保存并即时向供应商发出确认回执通知。在响应截止时间前，除供应商补充、修改或者撤回响应文件外，任何单位和个人不得解密或提取响应文件。</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3.征集人可以视情况延长响应文件提交的截止时间。在上述情况下，征集人与供应商以前在响应截止期方面的全部权利、责任和义务，将适用于延长至新的响应截止期。</w:t>
      </w:r>
    </w:p>
    <w:p>
      <w:pPr>
        <w:pStyle w:val="87"/>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（八）响应有效期</w:t>
      </w:r>
    </w:p>
    <w:p>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1.响应有效期为从提交响应文件的截止之日起90天。▲</w:t>
      </w:r>
      <w:r>
        <w:rPr>
          <w:rFonts w:hint="eastAsia" w:ascii="宋体" w:hAnsi="宋体" w:eastAsia="宋体" w:cs="宋体"/>
          <w:b/>
          <w:color w:val="auto"/>
          <w:sz w:val="24"/>
          <w:highlight w:val="none"/>
        </w:rPr>
        <w:t>供应商的响应文件中承诺的响应有效期少于征集文件中载明的响应有效期的，响应无效。</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2.响应文件合格投递后，自响应截止日期起，在响应有效期内有效。</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3.在原定响应有效期满之前，如果出现特殊情况，征集人可以以书面形式通知供应商延长响应有效期。供应商同意延长的，不得要求或被允许修改其响应文件，供应商拒绝延长的，其响应无效。</w:t>
      </w:r>
    </w:p>
    <w:p>
      <w:pPr>
        <w:adjustRightInd/>
        <w:spacing w:line="400" w:lineRule="exact"/>
        <w:jc w:val="center"/>
        <w:rPr>
          <w:rFonts w:hint="eastAsia" w:ascii="宋体" w:hAnsi="宋体" w:eastAsia="宋体" w:cs="宋体"/>
          <w:b/>
          <w:color w:val="auto"/>
          <w:sz w:val="32"/>
          <w:szCs w:val="32"/>
          <w:highlight w:val="none"/>
        </w:rPr>
      </w:pPr>
    </w:p>
    <w:p>
      <w:pPr>
        <w:adjustRightInd/>
        <w:spacing w:line="400" w:lineRule="exact"/>
        <w:jc w:val="center"/>
        <w:rPr>
          <w:rFonts w:hint="eastAsia" w:ascii="宋体" w:hAnsi="宋体" w:eastAsia="宋体" w:cs="宋体"/>
          <w:b/>
          <w:color w:val="auto"/>
          <w:sz w:val="32"/>
          <w:szCs w:val="32"/>
          <w:highlight w:val="none"/>
        </w:rPr>
      </w:pPr>
      <w:bookmarkStart w:id="56" w:name="_Toc10787"/>
      <w:r>
        <w:rPr>
          <w:rFonts w:hint="eastAsia" w:ascii="宋体" w:hAnsi="宋体" w:eastAsia="宋体" w:cs="宋体"/>
          <w:b/>
          <w:color w:val="auto"/>
          <w:sz w:val="32"/>
          <w:szCs w:val="32"/>
          <w:highlight w:val="none"/>
        </w:rPr>
        <w:t>四、开启、资格审查与信用信息查询</w:t>
      </w:r>
      <w:bookmarkEnd w:id="56"/>
    </w:p>
    <w:p>
      <w:pPr>
        <w:pStyle w:val="244"/>
        <w:spacing w:before="0" w:line="400" w:lineRule="exact"/>
        <w:ind w:left="0"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（一）开启响应文件</w:t>
      </w:r>
    </w:p>
    <w:p>
      <w:pPr>
        <w:pStyle w:val="244"/>
        <w:spacing w:before="0" w:line="400" w:lineRule="exact"/>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1.征集人按照征集文件规定的时间通过电子交易平台组织开启，所有供应商均应当准时在线参加。递交响应文件的供应商不足3家的，不得开启。</w:t>
      </w:r>
    </w:p>
    <w:p>
      <w:pPr>
        <w:pStyle w:val="244"/>
        <w:spacing w:before="0" w:line="400" w:lineRule="exact"/>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2.开启时，电子交易平台按开启时间自动提取所有响应文件。征集人依托电子交易平台发起开始解密指令，供应商按照平台提示和征集文件的规定在半小时内完成在线解密。</w:t>
      </w:r>
    </w:p>
    <w:p>
      <w:pPr>
        <w:pStyle w:val="244"/>
        <w:spacing w:before="0" w:line="400" w:lineRule="exact"/>
        <w:ind w:left="0"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本项目开启顺序：</w:t>
      </w:r>
      <w:r>
        <w:rPr>
          <w:rFonts w:hint="eastAsia" w:ascii="宋体" w:hAnsi="宋体" w:eastAsia="宋体" w:cs="宋体"/>
          <w:color w:val="auto"/>
          <w:sz w:val="24"/>
          <w:szCs w:val="24"/>
          <w:highlight w:val="none"/>
          <w:u w:val="single"/>
        </w:rPr>
        <w:sym w:font="Wingdings" w:char="00FE"/>
      </w:r>
      <w:r>
        <w:rPr>
          <w:rFonts w:hint="eastAsia" w:ascii="宋体" w:hAnsi="宋体" w:eastAsia="宋体" w:cs="宋体"/>
          <w:color w:val="auto"/>
          <w:sz w:val="24"/>
          <w:szCs w:val="24"/>
          <w:highlight w:val="none"/>
          <w:u w:val="single"/>
        </w:rPr>
        <w:t>先技术商务后报价，</w:t>
      </w:r>
      <w:r>
        <w:rPr>
          <w:rFonts w:hint="eastAsia" w:ascii="宋体" w:hAnsi="宋体" w:eastAsia="宋体" w:cs="宋体"/>
          <w:color w:val="auto"/>
          <w:sz w:val="24"/>
          <w:szCs w:val="24"/>
          <w:highlight w:val="none"/>
          <w:u w:val="single"/>
        </w:rPr>
        <w:sym w:font="Wingdings" w:char="00A8"/>
      </w:r>
      <w:r>
        <w:rPr>
          <w:rFonts w:hint="eastAsia" w:ascii="宋体" w:hAnsi="宋体" w:eastAsia="宋体" w:cs="宋体"/>
          <w:color w:val="auto"/>
          <w:sz w:val="24"/>
          <w:szCs w:val="24"/>
          <w:highlight w:val="none"/>
          <w:u w:val="single"/>
        </w:rPr>
        <w:t>报价技术商务同时开。</w:t>
      </w:r>
    </w:p>
    <w:p>
      <w:pPr>
        <w:pStyle w:val="244"/>
        <w:spacing w:before="0" w:line="400" w:lineRule="exact"/>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（二）资格审查</w:t>
      </w:r>
    </w:p>
    <w:p>
      <w:pPr>
        <w:pStyle w:val="87"/>
        <w:spacing w:before="0" w:line="40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1.开启后，征集人将依法对供应商的资格进行审查。</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征集人依据法律法规和征集文件的规定，对供应商的基本资格条件、特定资格条件进行审查。</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3.供应商未按照征集文件要求提供与</w:t>
      </w:r>
      <w:r>
        <w:rPr>
          <w:rFonts w:hint="eastAsia" w:ascii="宋体" w:hAnsi="宋体" w:eastAsia="宋体" w:cs="宋体"/>
          <w:color w:val="auto"/>
          <w:szCs w:val="24"/>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szCs w:val="24"/>
          <w:highlight w:val="none"/>
        </w:rPr>
        <w:t>供应商不具备征集文件中规定的资格要求，其响应无效。</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4.</w:t>
      </w:r>
      <w:r>
        <w:rPr>
          <w:rFonts w:hint="eastAsia" w:ascii="宋体" w:hAnsi="宋体" w:eastAsia="宋体" w:cs="宋体"/>
          <w:color w:val="auto"/>
          <w:szCs w:val="24"/>
          <w:highlight w:val="none"/>
        </w:rPr>
        <w:t>对未通过资格审查的供应商，征集人告知其未通过的原因。</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5.</w:t>
      </w:r>
      <w:r>
        <w:rPr>
          <w:rFonts w:hint="eastAsia" w:ascii="宋体" w:hAnsi="宋体" w:eastAsia="宋体" w:cs="宋体"/>
          <w:color w:val="auto"/>
          <w:szCs w:val="24"/>
          <w:highlight w:val="none"/>
        </w:rPr>
        <w:t>合格供应商不足</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家的，不再继续评审。</w:t>
      </w:r>
    </w:p>
    <w:p>
      <w:pPr>
        <w:pStyle w:val="87"/>
        <w:spacing w:before="0" w:line="400" w:lineRule="exact"/>
        <w:ind w:firstLine="0" w:firstLineChars="0"/>
        <w:rPr>
          <w:rFonts w:hint="eastAsia" w:ascii="宋体" w:hAnsi="宋体" w:eastAsia="宋体" w:cs="宋体"/>
          <w:color w:val="auto"/>
          <w:kern w:val="0"/>
          <w:szCs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57" w:name="_Toc5362"/>
      <w:r>
        <w:rPr>
          <w:rFonts w:hint="eastAsia" w:ascii="宋体" w:hAnsi="宋体" w:eastAsia="宋体" w:cs="宋体"/>
          <w:b/>
          <w:color w:val="auto"/>
          <w:sz w:val="32"/>
          <w:szCs w:val="32"/>
          <w:highlight w:val="none"/>
        </w:rPr>
        <w:t>五、评审</w:t>
      </w:r>
      <w:bookmarkEnd w:id="57"/>
    </w:p>
    <w:p>
      <w:pPr>
        <w:spacing w:line="360" w:lineRule="auto"/>
        <w:ind w:firstLine="482" w:firstLineChars="200"/>
        <w:rPr>
          <w:rFonts w:hint="eastAsia" w:ascii="宋体" w:hAnsi="宋体" w:eastAsia="宋体" w:cs="宋体"/>
          <w:b/>
          <w:i w:val="0"/>
          <w:iCs w:val="0"/>
          <w:color w:val="auto"/>
          <w:sz w:val="24"/>
          <w:highlight w:val="none"/>
        </w:rPr>
      </w:pPr>
      <w:bookmarkStart w:id="58" w:name="_Toc91899903"/>
      <w:r>
        <w:rPr>
          <w:rFonts w:hint="eastAsia" w:ascii="宋体" w:hAnsi="宋体" w:eastAsia="宋体" w:cs="宋体"/>
          <w:b/>
          <w:i w:val="0"/>
          <w:iCs w:val="0"/>
          <w:color w:val="auto"/>
          <w:sz w:val="24"/>
          <w:highlight w:val="none"/>
        </w:rPr>
        <w:t>（一）</w:t>
      </w:r>
      <w:r>
        <w:rPr>
          <w:rFonts w:hint="eastAsia" w:ascii="宋体" w:hAnsi="宋体" w:eastAsia="宋体" w:cs="宋体"/>
          <w:i w:val="0"/>
          <w:iCs w:val="0"/>
          <w:color w:val="auto"/>
          <w:sz w:val="24"/>
          <w:highlight w:val="none"/>
        </w:rPr>
        <w:t>评审委员会将根据征集文件和有关规定，履行评审工作职责，并按照评审方法及评分标准，全面衡量各供应商对征集文件的响应情况。对实质上响应征集文件的供应商，按照响应报价、评审因素的量化指标排出推荐入围的供应商的先后顺序，并按顺序提出授标建议。</w:t>
      </w:r>
    </w:p>
    <w:p>
      <w:pPr>
        <w:spacing w:line="360" w:lineRule="auto"/>
        <w:ind w:firstLine="482" w:firstLineChars="2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（二）评审淘汰机制</w:t>
      </w:r>
    </w:p>
    <w:p>
      <w:pPr>
        <w:spacing w:line="360" w:lineRule="auto"/>
        <w:ind w:firstLine="480" w:firstLineChars="200"/>
        <w:rPr>
          <w:rFonts w:hint="eastAsia" w:ascii="宋体" w:hAnsi="宋体" w:eastAsia="宋体" w:cs="宋体"/>
          <w:bCs/>
          <w:i w:val="0"/>
          <w:iCs w:val="0"/>
          <w:color w:val="auto"/>
          <w:sz w:val="24"/>
          <w:highlight w:val="none"/>
          <w:u w:val="single"/>
        </w:rPr>
      </w:pPr>
      <w:r>
        <w:rPr>
          <w:rFonts w:hint="eastAsia" w:ascii="宋体" w:hAnsi="宋体" w:eastAsia="宋体" w:cs="宋体"/>
          <w:bCs/>
          <w:i w:val="0"/>
          <w:iCs w:val="0"/>
          <w:color w:val="auto"/>
          <w:sz w:val="24"/>
          <w:highlight w:val="none"/>
          <w:u w:val="single"/>
        </w:rPr>
        <w:t>确定第一阶段入围供应商时，提交响应文件和符合资格条件、实质性要求的供应商应当均不少于</w:t>
      </w:r>
      <w:r>
        <w:rPr>
          <w:rFonts w:hint="eastAsia" w:ascii="宋体" w:hAnsi="宋体" w:eastAsia="宋体" w:cs="宋体"/>
          <w:bCs/>
          <w:i w:val="0"/>
          <w:iCs w:val="0"/>
          <w:color w:val="auto"/>
          <w:sz w:val="24"/>
          <w:highlight w:val="none"/>
          <w:u w:val="single"/>
          <w:lang w:val="en-US" w:eastAsia="zh-CN"/>
        </w:rPr>
        <w:t>4</w:t>
      </w:r>
      <w:r>
        <w:rPr>
          <w:rFonts w:hint="eastAsia" w:ascii="宋体" w:hAnsi="宋体" w:eastAsia="宋体" w:cs="宋体"/>
          <w:bCs/>
          <w:i w:val="0"/>
          <w:iCs w:val="0"/>
          <w:color w:val="auto"/>
          <w:sz w:val="24"/>
          <w:highlight w:val="none"/>
          <w:u w:val="single"/>
        </w:rPr>
        <w:t>家，淘汰比例一般不得低于20%，且至少淘汰一家供应商。</w:t>
      </w:r>
    </w:p>
    <w:p>
      <w:pPr>
        <w:spacing w:line="400" w:lineRule="exact"/>
        <w:ind w:firstLine="241" w:firstLineChars="100"/>
        <w:rPr>
          <w:rFonts w:hint="eastAsia" w:ascii="宋体" w:hAnsi="宋体" w:eastAsia="宋体" w:cs="宋体"/>
          <w:b/>
          <w:color w:val="auto"/>
          <w:sz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59" w:name="_Toc26300"/>
      <w:r>
        <w:rPr>
          <w:rFonts w:hint="eastAsia" w:ascii="宋体" w:hAnsi="宋体" w:eastAsia="宋体" w:cs="宋体"/>
          <w:b/>
          <w:color w:val="auto"/>
          <w:sz w:val="32"/>
          <w:szCs w:val="32"/>
          <w:highlight w:val="none"/>
        </w:rPr>
        <w:t>六、入围供应商确定</w:t>
      </w:r>
      <w:bookmarkEnd w:id="59"/>
    </w:p>
    <w:p>
      <w:pPr>
        <w:pStyle w:val="17"/>
        <w:spacing w:line="400" w:lineRule="exact"/>
        <w:ind w:firstLine="482"/>
        <w:rPr>
          <w:rFonts w:hint="eastAsia" w:ascii="宋体" w:hAnsi="宋体" w:eastAsia="宋体" w:cs="宋体"/>
          <w:b/>
          <w:color w:val="auto"/>
          <w:highlight w:val="none"/>
          <w:u w:val="single"/>
        </w:rPr>
      </w:pPr>
      <w:r>
        <w:rPr>
          <w:rFonts w:hint="eastAsia" w:ascii="宋体" w:hAnsi="宋体" w:eastAsia="宋体" w:cs="宋体"/>
          <w:b/>
          <w:color w:val="auto"/>
          <w:highlight w:val="none"/>
        </w:rPr>
        <w:t>（一）确定入围供应商</w:t>
      </w:r>
    </w:p>
    <w:p>
      <w:pPr>
        <w:pStyle w:val="87"/>
        <w:snapToGrid w:val="0"/>
        <w:spacing w:before="0" w:line="40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征集人将自收到评审报告之日起2个工作日内通过电子交易平台在评审报告确定入围供应商。</w:t>
      </w:r>
    </w:p>
    <w:p>
      <w:pPr>
        <w:pStyle w:val="87"/>
        <w:snapToGrid w:val="0"/>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（二）入围通知书与入围结果公告</w:t>
      </w:r>
    </w:p>
    <w:p>
      <w:pPr>
        <w:widowControl/>
        <w:numPr>
          <w:ilvl w:val="0"/>
          <w:numId w:val="0"/>
        </w:numPr>
        <w:shd w:val="clear" w:color="auto" w:fill="FFFFFF"/>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1.自入围供应商确定之日起2个工作日内，征集人通过电子交易平台向入围供应商发出入围通知书，同时编制发布采购结果公告。征集人也可以以纸质形式进行入围通知。</w:t>
      </w:r>
    </w:p>
    <w:p>
      <w:pPr>
        <w:widowControl/>
        <w:shd w:val="clear" w:color="auto" w:fill="FFFFFF"/>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2.公告期限为1个工作日。</w:t>
      </w:r>
    </w:p>
    <w:p>
      <w:pPr>
        <w:snapToGrid w:val="0"/>
        <w:spacing w:line="400" w:lineRule="exact"/>
        <w:ind w:left="120" w:leftChars="57" w:firstLine="361" w:firstLineChars="150"/>
        <w:jc w:val="center"/>
        <w:rPr>
          <w:rFonts w:hint="eastAsia" w:ascii="宋体" w:hAnsi="宋体" w:eastAsia="宋体" w:cs="宋体"/>
          <w:b/>
          <w:color w:val="auto"/>
          <w:sz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60" w:name="_Toc8813"/>
      <w:r>
        <w:rPr>
          <w:rFonts w:hint="eastAsia" w:ascii="宋体" w:hAnsi="宋体" w:eastAsia="宋体" w:cs="宋体"/>
          <w:b/>
          <w:color w:val="auto"/>
          <w:sz w:val="32"/>
          <w:szCs w:val="32"/>
          <w:highlight w:val="none"/>
        </w:rPr>
        <w:t>七、框架协议签订</w:t>
      </w:r>
      <w:bookmarkEnd w:id="60"/>
    </w:p>
    <w:p>
      <w:pPr>
        <w:pStyle w:val="17"/>
        <w:spacing w:line="40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（一）框架主要条款详见第六章拟签订的框架协议文本。</w:t>
      </w:r>
    </w:p>
    <w:p>
      <w:pPr>
        <w:pStyle w:val="17"/>
        <w:spacing w:line="40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（二）框架协议的签订</w:t>
      </w:r>
    </w:p>
    <w:p>
      <w:pPr>
        <w:widowControl/>
        <w:shd w:val="clear" w:color="auto" w:fill="FFFFFF"/>
        <w:spacing w:line="400" w:lineRule="exact"/>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kern w:val="0"/>
          <w:sz w:val="24"/>
          <w:highlight w:val="none"/>
        </w:rPr>
        <w:t>除不可抗力等特殊情况外，征集人应当在入围通知书发出之日起30日内</w:t>
      </w:r>
      <w:r>
        <w:rPr>
          <w:rFonts w:hint="eastAsia" w:ascii="宋体" w:hAnsi="宋体" w:cs="宋体"/>
          <w:bCs/>
          <w:color w:val="auto"/>
          <w:kern w:val="0"/>
          <w:sz w:val="24"/>
          <w:highlight w:val="none"/>
          <w:lang w:eastAsia="zh-CN"/>
        </w:rPr>
        <w:t>或为提高采购效力，提倡</w:t>
      </w:r>
      <w:r>
        <w:rPr>
          <w:rFonts w:hint="eastAsia" w:ascii="宋体" w:hAnsi="宋体" w:cs="宋体"/>
          <w:bCs/>
          <w:color w:val="auto"/>
          <w:kern w:val="0"/>
          <w:sz w:val="24"/>
          <w:highlight w:val="none"/>
          <w:lang w:val="en-US" w:eastAsia="zh-CN"/>
        </w:rPr>
        <w:t>10个工作日内</w:t>
      </w:r>
      <w:r>
        <w:rPr>
          <w:rFonts w:hint="eastAsia" w:ascii="宋体" w:hAnsi="宋体" w:eastAsia="宋体" w:cs="宋体"/>
          <w:bCs/>
          <w:color w:val="auto"/>
          <w:kern w:val="0"/>
          <w:sz w:val="24"/>
          <w:highlight w:val="none"/>
        </w:rPr>
        <w:t>和入围供应商签订框架协议，并在框架协议签订后</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个工作日内，将框架协议副本报本级财政部门备案。</w:t>
      </w:r>
    </w:p>
    <w:p>
      <w:pPr>
        <w:pStyle w:val="87"/>
        <w:snapToGrid w:val="0"/>
        <w:spacing w:before="0" w:line="400" w:lineRule="exact"/>
        <w:ind w:firstLine="48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zh-CN"/>
        </w:rPr>
        <w:t>入围</w:t>
      </w:r>
      <w:r>
        <w:rPr>
          <w:rFonts w:hint="eastAsia" w:ascii="宋体" w:hAnsi="宋体" w:eastAsia="宋体" w:cs="宋体"/>
          <w:bCs/>
          <w:color w:val="auto"/>
          <w:kern w:val="0"/>
          <w:szCs w:val="24"/>
          <w:highlight w:val="none"/>
        </w:rPr>
        <w:t>供应商</w:t>
      </w:r>
      <w:r>
        <w:rPr>
          <w:rFonts w:hint="eastAsia" w:ascii="宋体" w:hAnsi="宋体" w:eastAsia="宋体" w:cs="宋体"/>
          <w:bCs/>
          <w:color w:val="auto"/>
          <w:kern w:val="0"/>
          <w:szCs w:val="24"/>
          <w:highlight w:val="none"/>
          <w:lang w:val="zh-CN"/>
        </w:rPr>
        <w:t>按规定的日期、时间、地点，由法定代表人或其授权代表与征集人代表签订框架协议。</w:t>
      </w:r>
    </w:p>
    <w:p>
      <w:pPr>
        <w:pStyle w:val="87"/>
        <w:snapToGrid w:val="0"/>
        <w:spacing w:before="0" w:line="400" w:lineRule="exact"/>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入围供应商拒绝与征集人签订框架协议的，且导致剩余入围供应商不足入围供应商总数70%的，征集人有权决定是否重新开展政府采购活动。拒绝签订框架协议的供应商不得参加同一封闭式框架协议补充征集，或者重新申请加入同一开放式框架协议。拒签供应商给采购组织机构造成损失的，供应商应承担赔偿责任，如承担代理费和专家评审费等费用。供应商</w:t>
      </w:r>
      <w:r>
        <w:rPr>
          <w:rFonts w:hint="eastAsia" w:ascii="宋体" w:hAnsi="宋体" w:eastAsia="宋体" w:cs="宋体"/>
          <w:bCs/>
          <w:color w:val="auto"/>
          <w:szCs w:val="24"/>
          <w:highlight w:val="none"/>
          <w:shd w:val="clear" w:color="auto" w:fill="FFFFFF"/>
        </w:rPr>
        <w:t>无正当理由</w:t>
      </w:r>
      <w:r>
        <w:rPr>
          <w:rFonts w:hint="eastAsia" w:ascii="宋体" w:hAnsi="宋体" w:eastAsia="宋体" w:cs="宋体"/>
          <w:bCs/>
          <w:color w:val="auto"/>
          <w:szCs w:val="24"/>
          <w:highlight w:val="none"/>
        </w:rPr>
        <w:t>拒绝或延期签订框架协议的列入不良行为记录一次，并给予通报。</w:t>
      </w:r>
    </w:p>
    <w:p>
      <w:pPr>
        <w:pStyle w:val="87"/>
        <w:snapToGrid w:val="0"/>
        <w:spacing w:before="0" w:line="400" w:lineRule="exact"/>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4.采购框架协议由征集人与入围供应商根据征集文件、响应文件等内容通过政府采购电子交易平台在线签订，自动备案。</w:t>
      </w:r>
    </w:p>
    <w:p>
      <w:pPr>
        <w:pStyle w:val="17"/>
        <w:spacing w:line="40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（三）入围信息公示</w:t>
      </w:r>
    </w:p>
    <w:p>
      <w:pPr>
        <w:pStyle w:val="87"/>
        <w:snapToGrid w:val="0"/>
        <w:spacing w:before="0" w:line="400" w:lineRule="exact"/>
        <w:ind w:firstLine="480"/>
        <w:rPr>
          <w:rFonts w:hint="eastAsia" w:ascii="宋体" w:hAnsi="宋体" w:eastAsia="宋体" w:cs="宋体"/>
          <w:bCs/>
          <w:color w:val="auto"/>
          <w:kern w:val="0"/>
          <w:szCs w:val="24"/>
          <w:highlight w:val="none"/>
          <w:lang w:val="zh-CN"/>
        </w:rPr>
      </w:pPr>
      <w:r>
        <w:rPr>
          <w:rFonts w:hint="eastAsia" w:ascii="宋体" w:hAnsi="宋体" w:eastAsia="宋体" w:cs="宋体"/>
          <w:bCs/>
          <w:color w:val="auto"/>
          <w:kern w:val="0"/>
          <w:szCs w:val="24"/>
          <w:highlight w:val="none"/>
          <w:lang w:val="zh-CN"/>
        </w:rPr>
        <w:t>征集人应当在框架协议签订后3个工作日内通过电子化采购系统将入围信息告知适用框架协议的所有征集人或者服务对象。</w:t>
      </w:r>
    </w:p>
    <w:p>
      <w:pPr>
        <w:pStyle w:val="87"/>
        <w:snapToGrid w:val="0"/>
        <w:spacing w:before="0" w:line="400" w:lineRule="exact"/>
        <w:ind w:firstLine="480"/>
        <w:rPr>
          <w:rFonts w:hint="eastAsia" w:ascii="宋体" w:hAnsi="宋体" w:eastAsia="宋体" w:cs="宋体"/>
          <w:bCs/>
          <w:color w:val="auto"/>
          <w:kern w:val="0"/>
          <w:szCs w:val="24"/>
          <w:highlight w:val="none"/>
          <w:lang w:val="zh-CN"/>
        </w:rPr>
      </w:pPr>
      <w:r>
        <w:rPr>
          <w:rFonts w:hint="eastAsia" w:ascii="宋体" w:hAnsi="宋体" w:eastAsia="宋体" w:cs="宋体"/>
          <w:bCs/>
          <w:color w:val="auto"/>
          <w:kern w:val="0"/>
          <w:szCs w:val="24"/>
          <w:highlight w:val="none"/>
          <w:lang w:val="zh-CN"/>
        </w:rPr>
        <w:t>入围信息应当包括所有入围供应商的名称、地址、联系方式、入围产品信息和协议价格等内容。入围产品信息应当详细列明技术规格或者服务内容、服务标准等能反映产品质量特点的内容。</w:t>
      </w:r>
    </w:p>
    <w:p>
      <w:pPr>
        <w:snapToGrid w:val="0"/>
        <w:spacing w:line="400" w:lineRule="exact"/>
        <w:ind w:left="120" w:leftChars="57" w:firstLine="361" w:firstLineChars="150"/>
        <w:jc w:val="center"/>
        <w:rPr>
          <w:rFonts w:hint="eastAsia" w:ascii="宋体" w:hAnsi="宋体" w:eastAsia="宋体" w:cs="宋体"/>
          <w:b/>
          <w:color w:val="auto"/>
          <w:sz w:val="24"/>
          <w:highlight w:val="none"/>
        </w:rPr>
      </w:pPr>
    </w:p>
    <w:p>
      <w:pPr>
        <w:numPr>
          <w:ilvl w:val="0"/>
          <w:numId w:val="4"/>
        </w:numPr>
        <w:adjustRightInd/>
        <w:spacing w:line="400" w:lineRule="exact"/>
        <w:jc w:val="center"/>
        <w:rPr>
          <w:rFonts w:hint="eastAsia" w:ascii="宋体" w:hAnsi="宋体" w:eastAsia="宋体" w:cs="宋体"/>
          <w:b/>
          <w:color w:val="auto"/>
          <w:sz w:val="32"/>
          <w:szCs w:val="32"/>
          <w:highlight w:val="none"/>
        </w:rPr>
      </w:pPr>
      <w:bookmarkStart w:id="61" w:name="_Toc25890"/>
      <w:r>
        <w:rPr>
          <w:rFonts w:hint="eastAsia" w:ascii="宋体" w:hAnsi="宋体" w:eastAsia="宋体" w:cs="宋体"/>
          <w:b/>
          <w:color w:val="auto"/>
          <w:sz w:val="32"/>
          <w:szCs w:val="32"/>
          <w:highlight w:val="none"/>
        </w:rPr>
        <w:t>采购合同授予</w:t>
      </w:r>
      <w:bookmarkEnd w:id="61"/>
    </w:p>
    <w:p>
      <w:pPr>
        <w:pStyle w:val="87"/>
        <w:spacing w:before="0" w:line="400" w:lineRule="exact"/>
        <w:ind w:firstLine="482"/>
        <w:rPr>
          <w:rFonts w:hint="eastAsia" w:ascii="宋体" w:hAnsi="宋体" w:eastAsia="宋体" w:cs="宋体"/>
          <w:b/>
          <w:color w:val="auto"/>
          <w:szCs w:val="24"/>
          <w:highlight w:val="none"/>
        </w:rPr>
      </w:pPr>
    </w:p>
    <w:p>
      <w:pPr>
        <w:pStyle w:val="87"/>
        <w:spacing w:before="0" w:line="400" w:lineRule="exact"/>
        <w:ind w:firstLine="482"/>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（一）</w:t>
      </w:r>
      <w:r>
        <w:rPr>
          <w:rFonts w:hint="eastAsia" w:ascii="宋体" w:hAnsi="宋体" w:eastAsia="宋体" w:cs="宋体"/>
          <w:b/>
          <w:bCs/>
          <w:color w:val="auto"/>
          <w:szCs w:val="24"/>
          <w:highlight w:val="none"/>
        </w:rPr>
        <w:t>适用框架协议的征集人或服务对象</w:t>
      </w:r>
    </w:p>
    <w:p>
      <w:pPr>
        <w:pStyle w:val="87"/>
        <w:snapToGrid w:val="0"/>
        <w:spacing w:before="0" w:line="400" w:lineRule="exact"/>
        <w:ind w:firstLine="48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val="zh-CN"/>
        </w:rPr>
        <w:t>征集人：</w:t>
      </w:r>
      <w:r>
        <w:rPr>
          <w:rFonts w:hint="eastAsia" w:ascii="宋体" w:hAnsi="宋体" w:eastAsia="宋体" w:cs="宋体"/>
          <w:bCs/>
          <w:color w:val="auto"/>
          <w:kern w:val="0"/>
          <w:szCs w:val="24"/>
          <w:highlight w:val="none"/>
          <w:lang w:val="en-US" w:eastAsia="zh-CN"/>
        </w:rPr>
        <w:t>杭州市余杭区</w:t>
      </w:r>
      <w:r>
        <w:rPr>
          <w:rFonts w:hint="eastAsia" w:ascii="宋体" w:hAnsi="宋体" w:eastAsia="宋体" w:cs="宋体"/>
          <w:bCs/>
          <w:color w:val="auto"/>
          <w:kern w:val="0"/>
          <w:szCs w:val="24"/>
          <w:highlight w:val="none"/>
        </w:rPr>
        <w:t>财政局；服务对象：</w:t>
      </w:r>
      <w:r>
        <w:rPr>
          <w:rFonts w:hint="eastAsia" w:ascii="宋体" w:hAnsi="宋体" w:eastAsia="宋体" w:cs="宋体"/>
          <w:bCs/>
          <w:color w:val="auto"/>
          <w:kern w:val="0"/>
          <w:szCs w:val="24"/>
          <w:highlight w:val="none"/>
          <w:lang w:val="en-US" w:eastAsia="zh-CN"/>
        </w:rPr>
        <w:t>杭州市余杭区</w:t>
      </w:r>
      <w:r>
        <w:rPr>
          <w:rFonts w:hint="eastAsia" w:ascii="宋体" w:hAnsi="宋体" w:eastAsia="宋体" w:cs="宋体"/>
          <w:bCs/>
          <w:color w:val="auto"/>
          <w:kern w:val="0"/>
          <w:szCs w:val="24"/>
          <w:highlight w:val="none"/>
        </w:rPr>
        <w:t>财政局</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lang w:val="en-US" w:eastAsia="zh-CN"/>
        </w:rPr>
        <w:t>杭州市余杭区</w:t>
      </w:r>
      <w:r>
        <w:rPr>
          <w:rFonts w:hint="eastAsia" w:ascii="宋体" w:hAnsi="宋体" w:eastAsia="宋体" w:cs="宋体"/>
          <w:bCs/>
          <w:color w:val="auto"/>
          <w:kern w:val="0"/>
          <w:szCs w:val="24"/>
          <w:highlight w:val="none"/>
          <w:lang w:eastAsia="zh-CN"/>
        </w:rPr>
        <w:t>各部门（单位）</w:t>
      </w:r>
      <w:r>
        <w:rPr>
          <w:rFonts w:hint="eastAsia" w:ascii="宋体" w:hAnsi="宋体" w:eastAsia="宋体" w:cs="宋体"/>
          <w:bCs/>
          <w:color w:val="auto"/>
          <w:kern w:val="0"/>
          <w:szCs w:val="24"/>
          <w:highlight w:val="none"/>
        </w:rPr>
        <w:t>。</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第二阶段成交</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本项目确定第二阶段成交供应商的方式采用：</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sym w:font="Wingdings 2" w:char="0052"/>
      </w:r>
      <w:r>
        <w:rPr>
          <w:rFonts w:hint="eastAsia" w:ascii="宋体" w:hAnsi="宋体" w:eastAsia="宋体" w:cs="宋体"/>
          <w:b/>
          <w:bCs/>
          <w:color w:val="auto"/>
          <w:sz w:val="24"/>
          <w:highlight w:val="none"/>
        </w:rPr>
        <w:t>直接选定方式。由征集人或者服务对象依据入围产品价格、质量以及服务便利性、用户评价等因素，从入围供应商中直接选定。</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sym w:font="Wingdings 2" w:char="0052"/>
      </w:r>
      <w:r>
        <w:rPr>
          <w:rFonts w:hint="eastAsia" w:ascii="宋体" w:hAnsi="宋体" w:eastAsia="宋体" w:cs="宋体"/>
          <w:b/>
          <w:bCs/>
          <w:color w:val="auto"/>
          <w:sz w:val="24"/>
          <w:highlight w:val="none"/>
        </w:rPr>
        <w:t>二次竞价方式。以框架协议约定的入围产品、采购合同文本等为依据，以协议价格为最高限价，征集人明确第二阶段竞价需求，从入围供应商中选择所有符合竞价需求的供应商参与二次竞价，确定报价最低的为成交供应商的方式。</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顺序轮候方式。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w:t>
      </w:r>
    </w:p>
    <w:p>
      <w:pPr>
        <w:spacing w:line="40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sz w:val="24"/>
          <w:highlight w:val="none"/>
        </w:rPr>
        <w:t>（三）</w:t>
      </w:r>
      <w:r>
        <w:rPr>
          <w:rFonts w:hint="eastAsia" w:ascii="宋体" w:hAnsi="宋体" w:eastAsia="宋体" w:cs="宋体"/>
          <w:b/>
          <w:bCs/>
          <w:color w:val="auto"/>
          <w:kern w:val="0"/>
          <w:sz w:val="24"/>
          <w:highlight w:val="none"/>
        </w:rPr>
        <w:t>成交结果公告</w:t>
      </w:r>
    </w:p>
    <w:p>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以二次竞价或者顺序轮候方式确定成交供应商的，征集人将在确定成交供应商后2个工作日内，在浙江政府采购网上逐笔发布成交结果公告。</w:t>
      </w:r>
      <w:r>
        <w:rPr>
          <w:rFonts w:hint="eastAsia" w:ascii="宋体" w:hAnsi="宋体" w:eastAsia="宋体" w:cs="宋体"/>
          <w:color w:val="auto"/>
          <w:sz w:val="24"/>
          <w:highlight w:val="none"/>
        </w:rPr>
        <w:t>征集人在框架协议有效期满后10个工作日内发布成交结果汇总公告。汇总公告包括征集人的名称、地址和联系方式、框架协议采购项目名称、编号和所有成交供应商的名称、地址及其成交合同总数和总金额。</w:t>
      </w:r>
    </w:p>
    <w:p>
      <w:pPr>
        <w:numPr>
          <w:ilvl w:val="0"/>
          <w:numId w:val="0"/>
        </w:num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bCs/>
          <w:color w:val="auto"/>
          <w:sz w:val="24"/>
          <w:highlight w:val="none"/>
        </w:rPr>
        <w:t>签订采购合同</w:t>
      </w:r>
    </w:p>
    <w:p>
      <w:pPr>
        <w:numPr>
          <w:ilvl w:val="0"/>
          <w:numId w:val="0"/>
        </w:num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1.成交结果发布后签订采购合同。 </w:t>
      </w:r>
    </w:p>
    <w:p>
      <w:pPr>
        <w:tabs>
          <w:tab w:val="left" w:pos="312"/>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2.合同条件详见征集文件中合同文本。</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3.成交供应商按规定的日期、时间、地点，由法定代表人或其授权代表与征集人或服务对象代表签订合同。</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4.如成交供应商</w:t>
      </w:r>
      <w:r>
        <w:rPr>
          <w:rFonts w:hint="eastAsia" w:ascii="宋体" w:hAnsi="宋体" w:eastAsia="宋体" w:cs="宋体"/>
          <w:color w:val="auto"/>
          <w:sz w:val="24"/>
          <w:highlight w:val="none"/>
          <w:shd w:val="clear" w:color="auto" w:fill="FFFFFF"/>
        </w:rPr>
        <w:t>无正当理由</w:t>
      </w:r>
      <w:r>
        <w:rPr>
          <w:rFonts w:hint="eastAsia" w:ascii="宋体" w:hAnsi="宋体" w:eastAsia="宋体" w:cs="宋体"/>
          <w:bCs/>
          <w:color w:val="auto"/>
          <w:sz w:val="24"/>
          <w:highlight w:val="none"/>
        </w:rPr>
        <w:t>拒绝签订合同的，解除框架协议，列入不良行为记录一次，并给予通报。如成交供应商签订合同并生效后，供应商</w:t>
      </w:r>
      <w:r>
        <w:rPr>
          <w:rFonts w:hint="eastAsia" w:ascii="宋体" w:hAnsi="宋体" w:eastAsia="宋体" w:cs="宋体"/>
          <w:color w:val="auto"/>
          <w:sz w:val="24"/>
          <w:highlight w:val="none"/>
          <w:shd w:val="clear" w:color="auto" w:fill="FFFFFF"/>
        </w:rPr>
        <w:t>无正当理由</w:t>
      </w:r>
      <w:r>
        <w:rPr>
          <w:rFonts w:hint="eastAsia" w:ascii="宋体" w:hAnsi="宋体" w:eastAsia="宋体" w:cs="宋体"/>
          <w:bCs/>
          <w:color w:val="auto"/>
          <w:sz w:val="24"/>
          <w:highlight w:val="none"/>
        </w:rPr>
        <w:t>拒绝或延期，除按照合同条款处理外，解除框架协议，列入不良行为记录一次，并给予通报。</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5.成交供应商拒绝与征集人或服务对象签订合同的，征集人或服务对象可以按照轮候顺序依次确定下一个供应商签订合同。</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6.采购合同由征集人或服务对象与成交供应商通过政府采购电子交易平台在线签订，自动备案。</w:t>
      </w:r>
    </w:p>
    <w:p>
      <w:pPr>
        <w:tabs>
          <w:tab w:val="left" w:pos="0"/>
        </w:tabs>
        <w:spacing w:line="400" w:lineRule="exact"/>
        <w:ind w:firstLine="200"/>
        <w:rPr>
          <w:rFonts w:hint="eastAsia" w:ascii="宋体" w:hAnsi="宋体" w:eastAsia="宋体" w:cs="宋体"/>
          <w:color w:val="auto"/>
          <w:kern w:val="0"/>
          <w:sz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62" w:name="_Toc24796"/>
      <w:r>
        <w:rPr>
          <w:rFonts w:hint="eastAsia" w:ascii="宋体" w:hAnsi="宋体" w:eastAsia="宋体" w:cs="宋体"/>
          <w:b/>
          <w:color w:val="auto"/>
          <w:sz w:val="32"/>
          <w:szCs w:val="32"/>
          <w:highlight w:val="none"/>
        </w:rPr>
        <w:t>九、电子交易活动的中止</w:t>
      </w:r>
      <w:bookmarkEnd w:id="62"/>
    </w:p>
    <w:p>
      <w:pPr>
        <w:pStyle w:val="87"/>
        <w:snapToGrid w:val="0"/>
        <w:spacing w:before="0" w:line="360" w:lineRule="auto"/>
        <w:ind w:firstLine="482"/>
        <w:rPr>
          <w:rFonts w:hint="eastAsia" w:ascii="宋体" w:hAnsi="宋体" w:eastAsia="宋体" w:cs="宋体"/>
          <w:b/>
          <w:color w:val="auto"/>
          <w:szCs w:val="24"/>
          <w:highlight w:val="none"/>
        </w:rPr>
      </w:pPr>
    </w:p>
    <w:p>
      <w:pPr>
        <w:pStyle w:val="87"/>
        <w:snapToGrid w:val="0"/>
        <w:spacing w:before="0" w:line="360" w:lineRule="auto"/>
        <w:ind w:firstLine="482"/>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（一）</w:t>
      </w:r>
      <w:r>
        <w:rPr>
          <w:rFonts w:hint="eastAsia" w:ascii="宋体" w:hAnsi="宋体" w:eastAsia="宋体" w:cs="宋体"/>
          <w:b/>
          <w:bCs/>
          <w:color w:val="auto"/>
          <w:szCs w:val="24"/>
          <w:highlight w:val="none"/>
        </w:rPr>
        <w:t>电子交易活动的中止。</w:t>
      </w:r>
    </w:p>
    <w:p>
      <w:pPr>
        <w:pStyle w:val="87"/>
        <w:snapToGrid w:val="0"/>
        <w:spacing w:before="0" w:line="360" w:lineRule="auto"/>
        <w:ind w:firstLine="482"/>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采购过程中出现以下情形，导致电子交易平台无法正常运行，</w:t>
      </w:r>
      <w:r>
        <w:rPr>
          <w:rFonts w:hint="eastAsia" w:ascii="宋体" w:hAnsi="宋体" w:eastAsia="宋体" w:cs="宋体"/>
          <w:color w:val="auto"/>
          <w:szCs w:val="24"/>
          <w:highlight w:val="none"/>
        </w:rPr>
        <w:t>或者无法保证电子交易的公平、公正和安全时，征集人可中止电子交易活动：</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电子交易平台发生故障而无法登录访问的；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电子交易平台应用或数据库出现错误，不能进行正常操作的；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电子交易平台发现严重安全漏洞，有潜在泄密危险的；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病毒发作导致不能进行正常操作的；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其他无法保证电子交易的公平、公正和安全的情况。</w:t>
      </w:r>
    </w:p>
    <w:p>
      <w:pPr>
        <w:pStyle w:val="87"/>
        <w:snapToGrid w:val="0"/>
        <w:spacing w:before="0" w:line="360" w:lineRule="auto"/>
        <w:ind w:firstLine="48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（二）</w:t>
      </w:r>
      <w:r>
        <w:rPr>
          <w:rFonts w:hint="eastAsia" w:ascii="宋体" w:hAnsi="宋体" w:eastAsia="宋体" w:cs="宋体"/>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87"/>
        <w:snapToGrid w:val="0"/>
        <w:spacing w:before="0" w:line="360" w:lineRule="auto"/>
        <w:ind w:firstLine="480"/>
        <w:rPr>
          <w:rFonts w:hint="eastAsia" w:ascii="宋体" w:hAnsi="宋体" w:eastAsia="宋体" w:cs="宋体"/>
          <w:color w:val="auto"/>
          <w:szCs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63" w:name="_Toc29329"/>
      <w:r>
        <w:rPr>
          <w:rFonts w:hint="eastAsia" w:ascii="宋体" w:hAnsi="宋体" w:eastAsia="宋体" w:cs="宋体"/>
          <w:b/>
          <w:color w:val="auto"/>
          <w:sz w:val="32"/>
          <w:szCs w:val="32"/>
          <w:highlight w:val="none"/>
        </w:rPr>
        <w:t>十、验收</w:t>
      </w:r>
      <w:bookmarkEnd w:id="63"/>
    </w:p>
    <w:p>
      <w:pPr>
        <w:pStyle w:val="17"/>
        <w:spacing w:line="40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（一）验收</w:t>
      </w:r>
    </w:p>
    <w:bookmarkEnd w:id="51"/>
    <w:bookmarkEnd w:id="52"/>
    <w:bookmarkEnd w:id="58"/>
    <w:p>
      <w:pPr>
        <w:tabs>
          <w:tab w:val="left" w:pos="0"/>
        </w:tabs>
        <w:spacing w:line="360" w:lineRule="auto"/>
        <w:ind w:firstLine="480" w:firstLineChars="200"/>
        <w:rPr>
          <w:rFonts w:hint="eastAsia" w:ascii="宋体" w:hAnsi="宋体" w:eastAsia="宋体" w:cs="宋体"/>
          <w:i w:val="0"/>
          <w:iCs w:val="0"/>
          <w:color w:val="auto"/>
          <w:kern w:val="0"/>
          <w:sz w:val="24"/>
          <w:highlight w:val="none"/>
        </w:rPr>
      </w:pPr>
      <w:bookmarkStart w:id="64" w:name="_Toc184313252"/>
      <w:bookmarkEnd w:id="64"/>
      <w:bookmarkStart w:id="65" w:name="_Toc184308041"/>
      <w:bookmarkEnd w:id="65"/>
      <w:bookmarkStart w:id="66" w:name="_Toc184310272"/>
      <w:bookmarkEnd w:id="66"/>
      <w:bookmarkStart w:id="67" w:name="_Toc184314482"/>
      <w:bookmarkEnd w:id="67"/>
      <w:bookmarkStart w:id="68" w:name="_Toc184308108"/>
      <w:bookmarkEnd w:id="68"/>
      <w:bookmarkStart w:id="69" w:name="_Toc184308061"/>
      <w:bookmarkEnd w:id="69"/>
      <w:bookmarkStart w:id="70" w:name="_Toc184310298"/>
      <w:bookmarkEnd w:id="70"/>
      <w:bookmarkStart w:id="71" w:name="_Toc184312098"/>
      <w:bookmarkEnd w:id="71"/>
      <w:bookmarkStart w:id="72" w:name="_Toc184310331"/>
      <w:bookmarkEnd w:id="72"/>
      <w:bookmarkStart w:id="73" w:name="_Toc184313254"/>
      <w:bookmarkEnd w:id="73"/>
      <w:bookmarkStart w:id="74" w:name="_Toc184313246"/>
      <w:bookmarkEnd w:id="74"/>
      <w:bookmarkStart w:id="75" w:name="_Toc184314464"/>
      <w:bookmarkEnd w:id="75"/>
      <w:bookmarkStart w:id="76" w:name="_Toc184312110"/>
      <w:bookmarkEnd w:id="76"/>
      <w:bookmarkStart w:id="77" w:name="_Toc184314433"/>
      <w:bookmarkEnd w:id="77"/>
      <w:bookmarkStart w:id="78" w:name="_Toc184308095"/>
      <w:bookmarkEnd w:id="78"/>
      <w:bookmarkStart w:id="79" w:name="_Toc184308078"/>
      <w:bookmarkEnd w:id="79"/>
      <w:bookmarkStart w:id="80" w:name="_Toc184312135"/>
      <w:bookmarkEnd w:id="80"/>
      <w:bookmarkStart w:id="81" w:name="_Toc184310332"/>
      <w:bookmarkEnd w:id="81"/>
      <w:bookmarkStart w:id="82" w:name="_Toc184308069"/>
      <w:bookmarkEnd w:id="82"/>
      <w:bookmarkStart w:id="83" w:name="_Toc184314438"/>
      <w:bookmarkEnd w:id="83"/>
      <w:bookmarkStart w:id="84" w:name="_Toc184314420"/>
      <w:bookmarkEnd w:id="84"/>
      <w:bookmarkStart w:id="85" w:name="_Toc184314478"/>
      <w:bookmarkEnd w:id="85"/>
      <w:bookmarkStart w:id="86" w:name="_Toc184308094"/>
      <w:bookmarkEnd w:id="86"/>
      <w:bookmarkStart w:id="87" w:name="_Toc184308080"/>
      <w:bookmarkEnd w:id="87"/>
      <w:bookmarkStart w:id="88" w:name="_Toc184310311"/>
      <w:bookmarkEnd w:id="88"/>
      <w:bookmarkStart w:id="89" w:name="_Toc184308100"/>
      <w:bookmarkEnd w:id="89"/>
      <w:bookmarkStart w:id="90" w:name="_Toc184310321"/>
      <w:bookmarkEnd w:id="90"/>
      <w:bookmarkStart w:id="91" w:name="_Toc184308050"/>
      <w:bookmarkEnd w:id="91"/>
      <w:bookmarkStart w:id="92" w:name="_Toc184314476"/>
      <w:bookmarkEnd w:id="92"/>
      <w:bookmarkStart w:id="93" w:name="_Toc184308059"/>
      <w:bookmarkEnd w:id="93"/>
      <w:bookmarkStart w:id="94" w:name="_Toc184312074"/>
      <w:bookmarkEnd w:id="94"/>
      <w:bookmarkStart w:id="95" w:name="_Toc184310277"/>
      <w:bookmarkEnd w:id="95"/>
      <w:bookmarkStart w:id="96" w:name="_Toc184310292"/>
      <w:bookmarkEnd w:id="96"/>
      <w:bookmarkStart w:id="97" w:name="_Toc184314429"/>
      <w:bookmarkEnd w:id="97"/>
      <w:bookmarkStart w:id="98" w:name="_Toc184314466"/>
      <w:bookmarkEnd w:id="98"/>
      <w:bookmarkStart w:id="99" w:name="_Toc184312090"/>
      <w:bookmarkEnd w:id="99"/>
      <w:bookmarkStart w:id="100" w:name="_Toc184314411"/>
      <w:bookmarkEnd w:id="100"/>
      <w:bookmarkStart w:id="101" w:name="_Toc184308092"/>
      <w:bookmarkEnd w:id="101"/>
      <w:bookmarkStart w:id="102" w:name="_Toc184314424"/>
      <w:bookmarkEnd w:id="102"/>
      <w:bookmarkStart w:id="103" w:name="_Toc184308097"/>
      <w:bookmarkEnd w:id="103"/>
      <w:bookmarkStart w:id="104" w:name="_Toc184308040"/>
      <w:bookmarkEnd w:id="104"/>
      <w:bookmarkStart w:id="105" w:name="_Toc184313304"/>
      <w:bookmarkEnd w:id="105"/>
      <w:bookmarkStart w:id="106" w:name="_Toc184310294"/>
      <w:bookmarkEnd w:id="106"/>
      <w:bookmarkStart w:id="107" w:name="_Toc184313262"/>
      <w:bookmarkEnd w:id="107"/>
      <w:bookmarkStart w:id="108" w:name="_Toc184310296"/>
      <w:bookmarkEnd w:id="108"/>
      <w:bookmarkStart w:id="109" w:name="_Toc184313242"/>
      <w:bookmarkEnd w:id="109"/>
      <w:bookmarkStart w:id="110" w:name="_Toc184313281"/>
      <w:bookmarkEnd w:id="110"/>
      <w:bookmarkStart w:id="111" w:name="_Toc184310301"/>
      <w:bookmarkEnd w:id="111"/>
      <w:bookmarkStart w:id="112" w:name="_Toc184313276"/>
      <w:bookmarkEnd w:id="112"/>
      <w:bookmarkStart w:id="113" w:name="_Toc184313301"/>
      <w:bookmarkEnd w:id="113"/>
      <w:bookmarkStart w:id="114" w:name="_Toc184308053"/>
      <w:bookmarkEnd w:id="114"/>
      <w:bookmarkStart w:id="115" w:name="_Toc184314441"/>
      <w:bookmarkEnd w:id="115"/>
      <w:bookmarkStart w:id="116" w:name="_Toc184310336"/>
      <w:bookmarkEnd w:id="116"/>
      <w:bookmarkStart w:id="117" w:name="_Toc184313266"/>
      <w:bookmarkEnd w:id="117"/>
      <w:bookmarkStart w:id="118" w:name="_Toc184308043"/>
      <w:bookmarkEnd w:id="118"/>
      <w:bookmarkStart w:id="119" w:name="_Toc184314457"/>
      <w:bookmarkEnd w:id="119"/>
      <w:bookmarkStart w:id="120" w:name="_Toc184314444"/>
      <w:bookmarkEnd w:id="120"/>
      <w:bookmarkStart w:id="121" w:name="_Toc184312086"/>
      <w:bookmarkEnd w:id="121"/>
      <w:bookmarkStart w:id="122" w:name="_Toc184308057"/>
      <w:bookmarkEnd w:id="122"/>
      <w:bookmarkStart w:id="123" w:name="_Toc184312096"/>
      <w:bookmarkEnd w:id="123"/>
      <w:bookmarkStart w:id="124" w:name="_Toc184314415"/>
      <w:bookmarkEnd w:id="124"/>
      <w:bookmarkStart w:id="125" w:name="_Toc184314447"/>
      <w:bookmarkEnd w:id="125"/>
      <w:bookmarkStart w:id="126" w:name="_Toc184312067"/>
      <w:bookmarkEnd w:id="126"/>
      <w:bookmarkStart w:id="127" w:name="_Toc184308077"/>
      <w:bookmarkEnd w:id="127"/>
      <w:bookmarkStart w:id="128" w:name="_Toc184313289"/>
      <w:bookmarkEnd w:id="128"/>
      <w:bookmarkStart w:id="129" w:name="_Toc184312111"/>
      <w:bookmarkEnd w:id="129"/>
      <w:bookmarkStart w:id="130" w:name="_Toc184308086"/>
      <w:bookmarkEnd w:id="130"/>
      <w:bookmarkStart w:id="131" w:name="_Toc184308076"/>
      <w:bookmarkEnd w:id="131"/>
      <w:bookmarkStart w:id="132" w:name="_Toc184310291"/>
      <w:bookmarkEnd w:id="132"/>
      <w:bookmarkStart w:id="133" w:name="_Toc184313290"/>
      <w:bookmarkEnd w:id="133"/>
      <w:bookmarkStart w:id="134" w:name="_Toc184312115"/>
      <w:bookmarkEnd w:id="134"/>
      <w:bookmarkStart w:id="135" w:name="_Toc184313287"/>
      <w:bookmarkEnd w:id="135"/>
      <w:bookmarkStart w:id="136" w:name="_Toc184310314"/>
      <w:bookmarkEnd w:id="136"/>
      <w:bookmarkStart w:id="137" w:name="_Toc184314450"/>
      <w:bookmarkEnd w:id="137"/>
      <w:bookmarkStart w:id="138" w:name="_Toc184314435"/>
      <w:bookmarkEnd w:id="138"/>
      <w:bookmarkStart w:id="139" w:name="_Toc184314426"/>
      <w:bookmarkEnd w:id="139"/>
      <w:bookmarkStart w:id="140" w:name="_Toc184310275"/>
      <w:bookmarkEnd w:id="140"/>
      <w:bookmarkStart w:id="141" w:name="_Toc184312075"/>
      <w:bookmarkEnd w:id="141"/>
      <w:bookmarkStart w:id="142" w:name="_Toc184310315"/>
      <w:bookmarkEnd w:id="142"/>
      <w:bookmarkStart w:id="143" w:name="_Toc184308038"/>
      <w:bookmarkEnd w:id="143"/>
      <w:bookmarkStart w:id="144" w:name="_Toc184308099"/>
      <w:bookmarkEnd w:id="144"/>
      <w:bookmarkStart w:id="145" w:name="_Toc184313282"/>
      <w:bookmarkEnd w:id="145"/>
      <w:bookmarkStart w:id="146" w:name="_Toc184314454"/>
      <w:bookmarkEnd w:id="146"/>
      <w:bookmarkStart w:id="147" w:name="_Toc184313272"/>
      <w:bookmarkEnd w:id="147"/>
      <w:bookmarkStart w:id="148" w:name="_Toc184314418"/>
      <w:bookmarkEnd w:id="148"/>
      <w:bookmarkStart w:id="149" w:name="_Toc184308070"/>
      <w:bookmarkEnd w:id="149"/>
      <w:bookmarkStart w:id="150" w:name="_Toc184314417"/>
      <w:bookmarkEnd w:id="150"/>
      <w:bookmarkStart w:id="151" w:name="_Toc184314436"/>
      <w:bookmarkEnd w:id="151"/>
      <w:bookmarkStart w:id="152" w:name="_Toc184313253"/>
      <w:bookmarkEnd w:id="152"/>
      <w:bookmarkStart w:id="153" w:name="_Toc184308089"/>
      <w:bookmarkEnd w:id="153"/>
      <w:bookmarkStart w:id="154" w:name="_Toc184312089"/>
      <w:bookmarkEnd w:id="154"/>
      <w:bookmarkStart w:id="155" w:name="_Toc184313251"/>
      <w:bookmarkEnd w:id="155"/>
      <w:bookmarkStart w:id="156" w:name="_Toc184310333"/>
      <w:bookmarkEnd w:id="156"/>
      <w:bookmarkStart w:id="157" w:name="_Toc184312118"/>
      <w:bookmarkEnd w:id="157"/>
      <w:bookmarkStart w:id="158" w:name="_Toc184310303"/>
      <w:bookmarkEnd w:id="158"/>
      <w:bookmarkStart w:id="159" w:name="_Toc184314425"/>
      <w:bookmarkEnd w:id="159"/>
      <w:bookmarkStart w:id="160" w:name="_Toc184308075"/>
      <w:bookmarkEnd w:id="160"/>
      <w:bookmarkStart w:id="161" w:name="_Toc184314462"/>
      <w:bookmarkEnd w:id="161"/>
      <w:bookmarkStart w:id="162" w:name="_Toc184313291"/>
      <w:bookmarkEnd w:id="162"/>
      <w:bookmarkStart w:id="163" w:name="_Toc184308090"/>
      <w:bookmarkEnd w:id="163"/>
      <w:bookmarkStart w:id="164" w:name="_Toc184312114"/>
      <w:bookmarkEnd w:id="164"/>
      <w:bookmarkStart w:id="165" w:name="_Toc184314472"/>
      <w:bookmarkEnd w:id="165"/>
      <w:bookmarkStart w:id="166" w:name="_Toc184314442"/>
      <w:bookmarkEnd w:id="166"/>
      <w:bookmarkStart w:id="167" w:name="_Toc184310288"/>
      <w:bookmarkEnd w:id="167"/>
      <w:bookmarkStart w:id="168" w:name="_Toc184313248"/>
      <w:bookmarkEnd w:id="168"/>
      <w:bookmarkStart w:id="169" w:name="_Toc184308083"/>
      <w:bookmarkEnd w:id="169"/>
      <w:bookmarkStart w:id="170" w:name="_Toc184312119"/>
      <w:bookmarkEnd w:id="170"/>
      <w:bookmarkStart w:id="171" w:name="_Toc184308074"/>
      <w:bookmarkEnd w:id="171"/>
      <w:bookmarkStart w:id="172" w:name="_Toc184312073"/>
      <w:bookmarkEnd w:id="172"/>
      <w:bookmarkStart w:id="173" w:name="_Toc184308093"/>
      <w:bookmarkEnd w:id="173"/>
      <w:bookmarkStart w:id="174" w:name="_Toc184308052"/>
      <w:bookmarkEnd w:id="174"/>
      <w:bookmarkStart w:id="175" w:name="_Toc184313257"/>
      <w:bookmarkEnd w:id="175"/>
      <w:bookmarkStart w:id="176" w:name="_Toc184314465"/>
      <w:bookmarkEnd w:id="176"/>
      <w:bookmarkStart w:id="177" w:name="_Toc184314479"/>
      <w:bookmarkEnd w:id="177"/>
      <w:bookmarkStart w:id="178" w:name="_Toc184308084"/>
      <w:bookmarkEnd w:id="178"/>
      <w:bookmarkStart w:id="179" w:name="_Toc184310280"/>
      <w:bookmarkEnd w:id="179"/>
      <w:bookmarkStart w:id="180" w:name="_Toc184312068"/>
      <w:bookmarkEnd w:id="180"/>
      <w:bookmarkStart w:id="181" w:name="_Toc184310317"/>
      <w:bookmarkEnd w:id="181"/>
      <w:bookmarkStart w:id="182" w:name="_Toc184308104"/>
      <w:bookmarkEnd w:id="182"/>
      <w:bookmarkStart w:id="183" w:name="_Toc184313285"/>
      <w:bookmarkEnd w:id="183"/>
      <w:bookmarkStart w:id="184" w:name="_Toc184314453"/>
      <w:bookmarkEnd w:id="184"/>
      <w:bookmarkStart w:id="185" w:name="_Toc184312133"/>
      <w:bookmarkEnd w:id="185"/>
      <w:bookmarkStart w:id="186" w:name="_Toc184312091"/>
      <w:bookmarkEnd w:id="186"/>
      <w:bookmarkStart w:id="187" w:name="_Toc184312071"/>
      <w:bookmarkEnd w:id="187"/>
      <w:bookmarkStart w:id="188" w:name="_Toc184308087"/>
      <w:bookmarkEnd w:id="188"/>
      <w:bookmarkStart w:id="189" w:name="_Toc184310289"/>
      <w:bookmarkEnd w:id="189"/>
      <w:bookmarkStart w:id="190" w:name="_Toc184313260"/>
      <w:bookmarkEnd w:id="190"/>
      <w:bookmarkStart w:id="191" w:name="_Toc184308068"/>
      <w:bookmarkEnd w:id="191"/>
      <w:bookmarkStart w:id="192" w:name="_Toc184310293"/>
      <w:bookmarkEnd w:id="192"/>
      <w:bookmarkStart w:id="193" w:name="_Toc184312117"/>
      <w:bookmarkEnd w:id="193"/>
      <w:bookmarkStart w:id="194" w:name="_Toc184313275"/>
      <w:bookmarkEnd w:id="194"/>
      <w:bookmarkStart w:id="195" w:name="_Toc184308060"/>
      <w:bookmarkEnd w:id="195"/>
      <w:bookmarkStart w:id="196" w:name="_Toc184313309"/>
      <w:bookmarkEnd w:id="196"/>
      <w:bookmarkStart w:id="197" w:name="_Toc184313238"/>
      <w:bookmarkEnd w:id="197"/>
      <w:bookmarkStart w:id="198" w:name="_Toc184314480"/>
      <w:bookmarkEnd w:id="198"/>
      <w:bookmarkStart w:id="199" w:name="_Toc184308067"/>
      <w:bookmarkEnd w:id="199"/>
      <w:bookmarkStart w:id="200" w:name="_Toc184310338"/>
      <w:bookmarkEnd w:id="200"/>
      <w:bookmarkStart w:id="201" w:name="_Toc184310281"/>
      <w:bookmarkEnd w:id="201"/>
      <w:bookmarkStart w:id="202" w:name="_Toc184310285"/>
      <w:bookmarkEnd w:id="202"/>
      <w:bookmarkStart w:id="203" w:name="_Toc184313250"/>
      <w:bookmarkEnd w:id="203"/>
      <w:bookmarkStart w:id="204" w:name="_Toc184312102"/>
      <w:bookmarkEnd w:id="204"/>
      <w:bookmarkStart w:id="205" w:name="_Toc184312116"/>
      <w:bookmarkEnd w:id="205"/>
      <w:bookmarkStart w:id="206" w:name="_Toc184310282"/>
      <w:bookmarkEnd w:id="206"/>
      <w:bookmarkStart w:id="207" w:name="_Toc184314427"/>
      <w:bookmarkEnd w:id="207"/>
      <w:bookmarkStart w:id="208" w:name="_Toc184314459"/>
      <w:bookmarkEnd w:id="208"/>
      <w:bookmarkStart w:id="209" w:name="_Toc184310319"/>
      <w:bookmarkEnd w:id="209"/>
      <w:bookmarkStart w:id="210" w:name="_Toc184314470"/>
      <w:bookmarkEnd w:id="210"/>
      <w:bookmarkStart w:id="211" w:name="_Toc184312094"/>
      <w:bookmarkEnd w:id="211"/>
      <w:bookmarkStart w:id="212" w:name="_Toc184312138"/>
      <w:bookmarkEnd w:id="212"/>
      <w:bookmarkStart w:id="213" w:name="_Toc184308079"/>
      <w:bookmarkEnd w:id="213"/>
      <w:bookmarkStart w:id="214" w:name="_Toc184313296"/>
      <w:bookmarkEnd w:id="214"/>
      <w:bookmarkStart w:id="215" w:name="_Toc184313308"/>
      <w:bookmarkEnd w:id="215"/>
      <w:bookmarkStart w:id="216" w:name="_Toc184314449"/>
      <w:bookmarkEnd w:id="216"/>
      <w:bookmarkStart w:id="217" w:name="_Toc184308091"/>
      <w:bookmarkEnd w:id="217"/>
      <w:bookmarkStart w:id="218" w:name="_Toc184313243"/>
      <w:bookmarkEnd w:id="218"/>
      <w:bookmarkStart w:id="219" w:name="_Toc184310290"/>
      <w:bookmarkEnd w:id="219"/>
      <w:bookmarkStart w:id="220" w:name="_Toc184312125"/>
      <w:bookmarkEnd w:id="220"/>
      <w:bookmarkStart w:id="221" w:name="_Toc184313279"/>
      <w:bookmarkEnd w:id="221"/>
      <w:bookmarkStart w:id="222" w:name="_Toc184314460"/>
      <w:bookmarkEnd w:id="222"/>
      <w:bookmarkStart w:id="223" w:name="_Toc184312080"/>
      <w:bookmarkEnd w:id="223"/>
      <w:bookmarkStart w:id="224" w:name="_Toc184310344"/>
      <w:bookmarkEnd w:id="224"/>
      <w:bookmarkStart w:id="225" w:name="_Toc184312127"/>
      <w:bookmarkEnd w:id="225"/>
      <w:bookmarkStart w:id="226" w:name="_Toc184308042"/>
      <w:bookmarkEnd w:id="226"/>
      <w:bookmarkStart w:id="227" w:name="_Toc184312093"/>
      <w:bookmarkEnd w:id="227"/>
      <w:bookmarkStart w:id="228" w:name="_Toc184312083"/>
      <w:bookmarkEnd w:id="228"/>
      <w:bookmarkStart w:id="229" w:name="_Toc184312078"/>
      <w:bookmarkEnd w:id="229"/>
      <w:bookmarkStart w:id="230" w:name="_Toc184312103"/>
      <w:bookmarkEnd w:id="230"/>
      <w:bookmarkStart w:id="231" w:name="_Toc184308101"/>
      <w:bookmarkEnd w:id="231"/>
      <w:bookmarkStart w:id="232" w:name="_Toc184313292"/>
      <w:bookmarkEnd w:id="232"/>
      <w:bookmarkStart w:id="233" w:name="_Toc184308037"/>
      <w:bookmarkEnd w:id="233"/>
      <w:bookmarkStart w:id="234" w:name="_Toc184313307"/>
      <w:bookmarkEnd w:id="234"/>
      <w:bookmarkStart w:id="235" w:name="_Toc184310313"/>
      <w:bookmarkEnd w:id="235"/>
      <w:bookmarkStart w:id="236" w:name="_Toc184312129"/>
      <w:bookmarkEnd w:id="236"/>
      <w:bookmarkStart w:id="237" w:name="_Toc184310334"/>
      <w:bookmarkEnd w:id="237"/>
      <w:bookmarkStart w:id="238" w:name="_Toc184314456"/>
      <w:bookmarkEnd w:id="238"/>
      <w:bookmarkStart w:id="239" w:name="_Toc184308102"/>
      <w:bookmarkEnd w:id="239"/>
      <w:bookmarkStart w:id="240" w:name="_Toc184312120"/>
      <w:bookmarkEnd w:id="240"/>
      <w:bookmarkStart w:id="241" w:name="_Toc184313265"/>
      <w:bookmarkEnd w:id="241"/>
      <w:bookmarkStart w:id="242" w:name="_Toc184312122"/>
      <w:bookmarkEnd w:id="242"/>
      <w:bookmarkStart w:id="243" w:name="_Toc184308098"/>
      <w:bookmarkEnd w:id="243"/>
      <w:bookmarkStart w:id="244" w:name="_Toc184308103"/>
      <w:bookmarkEnd w:id="244"/>
      <w:bookmarkStart w:id="245" w:name="_Toc184312104"/>
      <w:bookmarkEnd w:id="245"/>
      <w:bookmarkStart w:id="246" w:name="_Toc184314477"/>
      <w:bookmarkEnd w:id="246"/>
      <w:bookmarkStart w:id="247" w:name="_Toc184310310"/>
      <w:bookmarkEnd w:id="247"/>
      <w:bookmarkStart w:id="248" w:name="_Toc184314416"/>
      <w:bookmarkEnd w:id="248"/>
      <w:bookmarkStart w:id="249" w:name="_Toc184310325"/>
      <w:bookmarkEnd w:id="249"/>
      <w:bookmarkStart w:id="250" w:name="_Toc184313274"/>
      <w:bookmarkEnd w:id="250"/>
      <w:bookmarkStart w:id="251" w:name="_Toc184312095"/>
      <w:bookmarkEnd w:id="251"/>
      <w:bookmarkStart w:id="252" w:name="_Toc184310322"/>
      <w:bookmarkEnd w:id="252"/>
      <w:bookmarkStart w:id="253" w:name="_Toc184308062"/>
      <w:bookmarkEnd w:id="253"/>
      <w:bookmarkStart w:id="254" w:name="_Toc184308051"/>
      <w:bookmarkEnd w:id="254"/>
      <w:bookmarkStart w:id="255" w:name="_Toc184312112"/>
      <w:bookmarkEnd w:id="255"/>
      <w:bookmarkStart w:id="256" w:name="_Toc184312121"/>
      <w:bookmarkEnd w:id="256"/>
      <w:bookmarkStart w:id="257" w:name="_Toc184310316"/>
      <w:bookmarkEnd w:id="257"/>
      <w:bookmarkStart w:id="258" w:name="_Toc184314473"/>
      <w:bookmarkEnd w:id="258"/>
      <w:bookmarkStart w:id="259" w:name="_Toc184308044"/>
      <w:bookmarkEnd w:id="259"/>
      <w:bookmarkStart w:id="260" w:name="_Toc184310329"/>
      <w:bookmarkEnd w:id="260"/>
      <w:bookmarkStart w:id="261" w:name="_Toc184310330"/>
      <w:bookmarkEnd w:id="261"/>
      <w:bookmarkStart w:id="262" w:name="_Toc184314428"/>
      <w:bookmarkEnd w:id="262"/>
      <w:bookmarkStart w:id="263" w:name="_Toc184310284"/>
      <w:bookmarkEnd w:id="263"/>
      <w:bookmarkStart w:id="264" w:name="_Toc184314451"/>
      <w:bookmarkEnd w:id="264"/>
      <w:bookmarkStart w:id="265" w:name="_Toc184312132"/>
      <w:bookmarkEnd w:id="265"/>
      <w:bookmarkStart w:id="266" w:name="_Toc184310297"/>
      <w:bookmarkEnd w:id="266"/>
      <w:bookmarkStart w:id="267" w:name="_Toc184310304"/>
      <w:bookmarkEnd w:id="267"/>
      <w:bookmarkStart w:id="268" w:name="_Toc184312076"/>
      <w:bookmarkEnd w:id="268"/>
      <w:bookmarkStart w:id="269" w:name="_Toc184313280"/>
      <w:bookmarkEnd w:id="269"/>
      <w:bookmarkStart w:id="270" w:name="_Toc184312079"/>
      <w:bookmarkEnd w:id="270"/>
      <w:bookmarkStart w:id="271" w:name="_Toc184310295"/>
      <w:bookmarkEnd w:id="271"/>
      <w:bookmarkStart w:id="272" w:name="_Toc184308082"/>
      <w:bookmarkEnd w:id="272"/>
      <w:bookmarkStart w:id="273" w:name="_Toc184308071"/>
      <w:bookmarkEnd w:id="273"/>
      <w:bookmarkStart w:id="274" w:name="_Toc184312109"/>
      <w:bookmarkEnd w:id="274"/>
      <w:bookmarkStart w:id="275" w:name="_Toc184310323"/>
      <w:bookmarkEnd w:id="275"/>
      <w:bookmarkStart w:id="276" w:name="_Toc184313293"/>
      <w:bookmarkEnd w:id="276"/>
      <w:bookmarkStart w:id="277" w:name="_Toc184313241"/>
      <w:bookmarkEnd w:id="277"/>
      <w:bookmarkStart w:id="278" w:name="_Toc184313239"/>
      <w:bookmarkEnd w:id="278"/>
      <w:bookmarkStart w:id="279" w:name="_Toc184313240"/>
      <w:bookmarkEnd w:id="279"/>
      <w:bookmarkStart w:id="280" w:name="_Toc184314481"/>
      <w:bookmarkEnd w:id="280"/>
      <w:bookmarkStart w:id="281" w:name="_Toc184314469"/>
      <w:bookmarkEnd w:id="281"/>
      <w:bookmarkStart w:id="282" w:name="_Toc184314440"/>
      <w:bookmarkEnd w:id="282"/>
      <w:bookmarkStart w:id="283" w:name="_Toc184313283"/>
      <w:bookmarkEnd w:id="283"/>
      <w:bookmarkStart w:id="284" w:name="_Toc184314471"/>
      <w:bookmarkEnd w:id="284"/>
      <w:bookmarkStart w:id="285" w:name="_Toc184308096"/>
      <w:bookmarkEnd w:id="285"/>
      <w:bookmarkStart w:id="286" w:name="_Toc184308056"/>
      <w:bookmarkEnd w:id="286"/>
      <w:bookmarkStart w:id="287" w:name="_Toc184310306"/>
      <w:bookmarkEnd w:id="287"/>
      <w:bookmarkStart w:id="288" w:name="_Toc184313255"/>
      <w:bookmarkEnd w:id="288"/>
      <w:bookmarkStart w:id="289" w:name="_Toc184312128"/>
      <w:bookmarkEnd w:id="289"/>
      <w:bookmarkStart w:id="290" w:name="_Toc184310273"/>
      <w:bookmarkEnd w:id="290"/>
      <w:bookmarkStart w:id="291" w:name="_Toc184308039"/>
      <w:bookmarkEnd w:id="291"/>
      <w:bookmarkStart w:id="292" w:name="_Toc184310302"/>
      <w:bookmarkEnd w:id="292"/>
      <w:bookmarkStart w:id="293" w:name="_Toc184314452"/>
      <w:bookmarkEnd w:id="293"/>
      <w:bookmarkStart w:id="294" w:name="_Toc184313295"/>
      <w:bookmarkEnd w:id="294"/>
      <w:bookmarkStart w:id="295" w:name="_Toc184310327"/>
      <w:bookmarkEnd w:id="295"/>
      <w:bookmarkStart w:id="296" w:name="_Toc184313299"/>
      <w:bookmarkEnd w:id="296"/>
      <w:bookmarkStart w:id="297" w:name="_Toc184313245"/>
      <w:bookmarkEnd w:id="297"/>
      <w:bookmarkStart w:id="298" w:name="_Toc184314419"/>
      <w:bookmarkEnd w:id="298"/>
      <w:bookmarkStart w:id="299" w:name="_Toc184314474"/>
      <w:bookmarkEnd w:id="299"/>
      <w:bookmarkStart w:id="300" w:name="_Toc184314434"/>
      <w:bookmarkEnd w:id="300"/>
      <w:bookmarkStart w:id="301" w:name="_Toc184308064"/>
      <w:bookmarkEnd w:id="301"/>
      <w:bookmarkStart w:id="302" w:name="_Toc184313247"/>
      <w:bookmarkEnd w:id="302"/>
      <w:bookmarkStart w:id="303" w:name="_Toc184314439"/>
      <w:bookmarkEnd w:id="303"/>
      <w:bookmarkStart w:id="304" w:name="_Toc184312070"/>
      <w:bookmarkEnd w:id="304"/>
      <w:bookmarkStart w:id="305" w:name="_Toc184313249"/>
      <w:bookmarkEnd w:id="305"/>
      <w:bookmarkStart w:id="306" w:name="_Toc184314467"/>
      <w:bookmarkEnd w:id="306"/>
      <w:bookmarkStart w:id="307" w:name="_Toc184314455"/>
      <w:bookmarkEnd w:id="307"/>
      <w:bookmarkStart w:id="308" w:name="_Toc184312072"/>
      <w:bookmarkEnd w:id="308"/>
      <w:bookmarkStart w:id="309" w:name="_Toc184308063"/>
      <w:bookmarkEnd w:id="309"/>
      <w:bookmarkStart w:id="310" w:name="_Toc184310339"/>
      <w:bookmarkEnd w:id="310"/>
      <w:bookmarkStart w:id="311" w:name="_Toc184308105"/>
      <w:bookmarkEnd w:id="311"/>
      <w:bookmarkStart w:id="312" w:name="_Toc184312130"/>
      <w:bookmarkEnd w:id="312"/>
      <w:bookmarkStart w:id="313" w:name="_Toc184313258"/>
      <w:bookmarkEnd w:id="313"/>
      <w:bookmarkStart w:id="314" w:name="_Toc184312105"/>
      <w:bookmarkEnd w:id="314"/>
      <w:bookmarkStart w:id="315" w:name="_Toc184308065"/>
      <w:bookmarkEnd w:id="315"/>
      <w:bookmarkStart w:id="316" w:name="_Toc184308048"/>
      <w:bookmarkEnd w:id="316"/>
      <w:bookmarkStart w:id="317" w:name="_Toc184308106"/>
      <w:bookmarkEnd w:id="317"/>
      <w:bookmarkStart w:id="318" w:name="_Toc184310279"/>
      <w:bookmarkEnd w:id="318"/>
      <w:bookmarkStart w:id="319" w:name="_Toc184310309"/>
      <w:bookmarkEnd w:id="319"/>
      <w:bookmarkStart w:id="320" w:name="_Toc184314430"/>
      <w:bookmarkEnd w:id="320"/>
      <w:bookmarkStart w:id="321" w:name="_Toc184312082"/>
      <w:bookmarkEnd w:id="321"/>
      <w:bookmarkStart w:id="322" w:name="_Toc184314410"/>
      <w:bookmarkEnd w:id="322"/>
      <w:bookmarkStart w:id="323" w:name="_Toc184308072"/>
      <w:bookmarkEnd w:id="323"/>
      <w:bookmarkStart w:id="324" w:name="_Toc184310342"/>
      <w:bookmarkEnd w:id="324"/>
      <w:bookmarkStart w:id="325" w:name="_Toc184310300"/>
      <w:bookmarkEnd w:id="325"/>
      <w:bookmarkStart w:id="326" w:name="_Toc184312085"/>
      <w:bookmarkEnd w:id="326"/>
      <w:bookmarkStart w:id="327" w:name="_Toc184313264"/>
      <w:bookmarkEnd w:id="327"/>
      <w:bookmarkStart w:id="328" w:name="_Toc184310341"/>
      <w:bookmarkEnd w:id="328"/>
      <w:bookmarkStart w:id="329" w:name="_Toc184314432"/>
      <w:bookmarkEnd w:id="329"/>
      <w:bookmarkStart w:id="330" w:name="_Toc184310320"/>
      <w:bookmarkEnd w:id="330"/>
      <w:bookmarkStart w:id="331" w:name="_Toc184310276"/>
      <w:bookmarkEnd w:id="331"/>
      <w:bookmarkStart w:id="332" w:name="_Toc184312106"/>
      <w:bookmarkEnd w:id="332"/>
      <w:bookmarkStart w:id="333" w:name="_Toc184313277"/>
      <w:bookmarkEnd w:id="333"/>
      <w:bookmarkStart w:id="334" w:name="_Toc184313306"/>
      <w:bookmarkEnd w:id="334"/>
      <w:bookmarkStart w:id="335" w:name="_Toc184310340"/>
      <w:bookmarkEnd w:id="335"/>
      <w:bookmarkStart w:id="336" w:name="_Toc184310274"/>
      <w:bookmarkEnd w:id="336"/>
      <w:bookmarkStart w:id="337" w:name="_Toc184308055"/>
      <w:bookmarkEnd w:id="337"/>
      <w:bookmarkStart w:id="338" w:name="_Toc184313305"/>
      <w:bookmarkEnd w:id="338"/>
      <w:bookmarkStart w:id="339" w:name="_Toc184313267"/>
      <w:bookmarkEnd w:id="339"/>
      <w:bookmarkStart w:id="340" w:name="_Toc184313268"/>
      <w:bookmarkEnd w:id="340"/>
      <w:bookmarkStart w:id="341" w:name="_Toc184314413"/>
      <w:bookmarkEnd w:id="341"/>
      <w:bookmarkStart w:id="342" w:name="_Toc184308049"/>
      <w:bookmarkEnd w:id="342"/>
      <w:bookmarkStart w:id="343" w:name="_Toc184313273"/>
      <w:bookmarkEnd w:id="343"/>
      <w:bookmarkStart w:id="344" w:name="_Toc184312134"/>
      <w:bookmarkEnd w:id="344"/>
      <w:bookmarkStart w:id="345" w:name="_Toc184312101"/>
      <w:bookmarkEnd w:id="345"/>
      <w:bookmarkStart w:id="346" w:name="_Toc184313303"/>
      <w:bookmarkEnd w:id="346"/>
      <w:bookmarkStart w:id="347" w:name="_Toc184313300"/>
      <w:bookmarkEnd w:id="347"/>
      <w:bookmarkStart w:id="348" w:name="_Toc184310278"/>
      <w:bookmarkEnd w:id="348"/>
      <w:bookmarkStart w:id="349" w:name="_Toc184312107"/>
      <w:bookmarkEnd w:id="349"/>
      <w:bookmarkStart w:id="350" w:name="_Toc184310343"/>
      <w:bookmarkEnd w:id="350"/>
      <w:bookmarkStart w:id="351" w:name="_Toc184313310"/>
      <w:bookmarkEnd w:id="351"/>
      <w:bookmarkStart w:id="352" w:name="_Toc184308107"/>
      <w:bookmarkEnd w:id="352"/>
      <w:bookmarkStart w:id="353" w:name="_Toc184313270"/>
      <w:bookmarkEnd w:id="353"/>
      <w:bookmarkStart w:id="354" w:name="_Toc184312088"/>
      <w:bookmarkEnd w:id="354"/>
      <w:bookmarkStart w:id="355" w:name="_Toc184314445"/>
      <w:bookmarkEnd w:id="355"/>
      <w:bookmarkStart w:id="356" w:name="_Toc184310324"/>
      <w:bookmarkEnd w:id="356"/>
      <w:bookmarkStart w:id="357" w:name="_Toc184312108"/>
      <w:bookmarkEnd w:id="357"/>
      <w:bookmarkStart w:id="358" w:name="_Toc184312097"/>
      <w:bookmarkEnd w:id="358"/>
      <w:bookmarkStart w:id="359" w:name="_Toc184313261"/>
      <w:bookmarkEnd w:id="359"/>
      <w:bookmarkStart w:id="360" w:name="_Toc184310286"/>
      <w:bookmarkEnd w:id="360"/>
      <w:bookmarkStart w:id="361" w:name="_Toc184310312"/>
      <w:bookmarkEnd w:id="361"/>
      <w:bookmarkStart w:id="362" w:name="_Toc184312087"/>
      <w:bookmarkEnd w:id="362"/>
      <w:bookmarkStart w:id="363" w:name="_Toc184310326"/>
      <w:bookmarkEnd w:id="363"/>
      <w:bookmarkStart w:id="364" w:name="_Toc184313288"/>
      <w:bookmarkEnd w:id="364"/>
      <w:bookmarkStart w:id="365" w:name="_Toc184312124"/>
      <w:bookmarkEnd w:id="365"/>
      <w:bookmarkStart w:id="366" w:name="_Toc184313302"/>
      <w:bookmarkEnd w:id="366"/>
      <w:bookmarkStart w:id="367" w:name="_Toc184314422"/>
      <w:bookmarkEnd w:id="367"/>
      <w:bookmarkStart w:id="368" w:name="_Toc184310307"/>
      <w:bookmarkEnd w:id="368"/>
      <w:bookmarkStart w:id="369" w:name="_Toc184314437"/>
      <w:bookmarkEnd w:id="369"/>
      <w:bookmarkStart w:id="370" w:name="_Toc184313259"/>
      <w:bookmarkEnd w:id="370"/>
      <w:bookmarkStart w:id="371" w:name="_Toc184312077"/>
      <w:bookmarkEnd w:id="371"/>
      <w:bookmarkStart w:id="372" w:name="_Toc184314463"/>
      <w:bookmarkEnd w:id="372"/>
      <w:bookmarkStart w:id="373" w:name="_Toc184312081"/>
      <w:bookmarkEnd w:id="373"/>
      <w:bookmarkStart w:id="374" w:name="_Toc184314421"/>
      <w:bookmarkEnd w:id="374"/>
      <w:bookmarkStart w:id="375" w:name="_Toc184308046"/>
      <w:bookmarkEnd w:id="375"/>
      <w:bookmarkStart w:id="376" w:name="_Toc184314458"/>
      <w:bookmarkEnd w:id="376"/>
      <w:bookmarkStart w:id="377" w:name="_Toc184310287"/>
      <w:bookmarkEnd w:id="377"/>
      <w:bookmarkStart w:id="378" w:name="_Toc184312100"/>
      <w:bookmarkEnd w:id="378"/>
      <w:bookmarkStart w:id="379" w:name="_Toc184313244"/>
      <w:bookmarkEnd w:id="379"/>
      <w:bookmarkStart w:id="380" w:name="_Toc184310335"/>
      <w:bookmarkEnd w:id="380"/>
      <w:bookmarkStart w:id="381" w:name="_Toc184312099"/>
      <w:bookmarkEnd w:id="381"/>
      <w:bookmarkStart w:id="382" w:name="_Toc184314423"/>
      <w:bookmarkEnd w:id="382"/>
      <w:bookmarkStart w:id="383" w:name="_Toc184314414"/>
      <w:bookmarkEnd w:id="383"/>
      <w:bookmarkStart w:id="384" w:name="_Toc184312123"/>
      <w:bookmarkEnd w:id="384"/>
      <w:bookmarkStart w:id="385" w:name="_Toc184310328"/>
      <w:bookmarkEnd w:id="385"/>
      <w:bookmarkStart w:id="386" w:name="_Toc184314461"/>
      <w:bookmarkEnd w:id="386"/>
      <w:bookmarkStart w:id="387" w:name="_Toc184314431"/>
      <w:bookmarkEnd w:id="387"/>
      <w:bookmarkStart w:id="388" w:name="_Toc184312136"/>
      <w:bookmarkEnd w:id="388"/>
      <w:bookmarkStart w:id="389" w:name="_Toc184312137"/>
      <w:bookmarkEnd w:id="389"/>
      <w:bookmarkStart w:id="390" w:name="_Toc184312126"/>
      <w:bookmarkEnd w:id="390"/>
      <w:bookmarkStart w:id="391" w:name="_Toc184314443"/>
      <w:bookmarkEnd w:id="391"/>
      <w:bookmarkStart w:id="392" w:name="_Toc184308066"/>
      <w:bookmarkEnd w:id="392"/>
      <w:bookmarkStart w:id="393" w:name="_Toc184314475"/>
      <w:bookmarkEnd w:id="393"/>
      <w:bookmarkStart w:id="394" w:name="_Toc184313278"/>
      <w:bookmarkEnd w:id="394"/>
      <w:bookmarkStart w:id="395" w:name="_Toc184308088"/>
      <w:bookmarkEnd w:id="395"/>
      <w:bookmarkStart w:id="396" w:name="_Toc184310308"/>
      <w:bookmarkEnd w:id="396"/>
      <w:bookmarkStart w:id="397" w:name="_Toc184312084"/>
      <w:bookmarkEnd w:id="397"/>
      <w:bookmarkStart w:id="398" w:name="_Toc184314412"/>
      <w:bookmarkEnd w:id="398"/>
      <w:bookmarkStart w:id="399" w:name="_Toc184308045"/>
      <w:bookmarkEnd w:id="399"/>
      <w:bookmarkStart w:id="400" w:name="_Toc184308085"/>
      <w:bookmarkEnd w:id="400"/>
      <w:bookmarkStart w:id="401" w:name="_Toc184313271"/>
      <w:bookmarkEnd w:id="401"/>
      <w:bookmarkStart w:id="402" w:name="_Toc184312139"/>
      <w:bookmarkEnd w:id="402"/>
      <w:bookmarkStart w:id="403" w:name="_Toc184313256"/>
      <w:bookmarkEnd w:id="403"/>
      <w:bookmarkStart w:id="404" w:name="_Toc184308058"/>
      <w:bookmarkEnd w:id="404"/>
      <w:bookmarkStart w:id="405" w:name="_Toc184313294"/>
      <w:bookmarkEnd w:id="405"/>
      <w:bookmarkStart w:id="406" w:name="_Toc184313286"/>
      <w:bookmarkEnd w:id="406"/>
      <w:bookmarkStart w:id="407" w:name="_Toc184313263"/>
      <w:bookmarkEnd w:id="407"/>
      <w:bookmarkStart w:id="408" w:name="_Toc184310318"/>
      <w:bookmarkEnd w:id="408"/>
      <w:bookmarkStart w:id="409" w:name="_Toc184308081"/>
      <w:bookmarkEnd w:id="409"/>
      <w:bookmarkStart w:id="410" w:name="_Toc184310283"/>
      <w:bookmarkEnd w:id="410"/>
      <w:bookmarkStart w:id="411" w:name="_Toc184308073"/>
      <w:bookmarkEnd w:id="411"/>
      <w:bookmarkStart w:id="412" w:name="_Toc184314468"/>
      <w:bookmarkEnd w:id="412"/>
      <w:bookmarkStart w:id="413" w:name="_Toc184308036"/>
      <w:bookmarkEnd w:id="413"/>
      <w:bookmarkStart w:id="414" w:name="_Toc184310305"/>
      <w:bookmarkEnd w:id="414"/>
      <w:bookmarkStart w:id="415" w:name="_Toc184314448"/>
      <w:bookmarkEnd w:id="415"/>
      <w:bookmarkStart w:id="416" w:name="_Toc184312113"/>
      <w:bookmarkEnd w:id="416"/>
      <w:bookmarkStart w:id="417" w:name="_Toc184308047"/>
      <w:bookmarkEnd w:id="417"/>
      <w:bookmarkStart w:id="418" w:name="_Toc184313269"/>
      <w:bookmarkEnd w:id="418"/>
      <w:bookmarkStart w:id="419" w:name="_Toc184314446"/>
      <w:bookmarkEnd w:id="419"/>
      <w:bookmarkStart w:id="420" w:name="_Toc184312131"/>
      <w:bookmarkEnd w:id="420"/>
      <w:bookmarkStart w:id="421" w:name="_Toc184313298"/>
      <w:bookmarkEnd w:id="421"/>
      <w:bookmarkStart w:id="422" w:name="_Toc184313297"/>
      <w:bookmarkEnd w:id="422"/>
      <w:bookmarkStart w:id="423" w:name="_Toc184312069"/>
      <w:bookmarkEnd w:id="423"/>
      <w:bookmarkStart w:id="424" w:name="_Toc184313284"/>
      <w:bookmarkEnd w:id="424"/>
      <w:bookmarkStart w:id="425" w:name="_Toc184312092"/>
      <w:bookmarkEnd w:id="425"/>
      <w:bookmarkStart w:id="426" w:name="_Toc184310337"/>
      <w:bookmarkEnd w:id="426"/>
      <w:bookmarkStart w:id="427" w:name="_Toc184310299"/>
      <w:bookmarkEnd w:id="427"/>
      <w:bookmarkStart w:id="428" w:name="_Toc184308054"/>
      <w:bookmarkEnd w:id="428"/>
      <w:bookmarkStart w:id="429" w:name="_Toc11884"/>
      <w:bookmarkStart w:id="430" w:name="_Toc13398"/>
      <w:bookmarkStart w:id="431" w:name="_Toc10932"/>
      <w:bookmarkStart w:id="432" w:name="_Toc6657"/>
      <w:bookmarkStart w:id="433" w:name="_Toc4351"/>
      <w:bookmarkStart w:id="434" w:name="_Toc22598"/>
      <w:bookmarkStart w:id="435" w:name="_Toc26722"/>
      <w:bookmarkStart w:id="436" w:name="_Toc32134"/>
      <w:bookmarkStart w:id="437" w:name="_Toc24799"/>
      <w:bookmarkStart w:id="438" w:name="_Toc324"/>
      <w:bookmarkStart w:id="439" w:name="_Toc28844"/>
      <w:bookmarkStart w:id="440" w:name="_Toc5081"/>
      <w:bookmarkStart w:id="441" w:name="第四部分"/>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征集人或服务对象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征集人或服务对象可以邀请参加本项目的其他供应商或者第三方机构参与验收。参与验收的供应商或者第三方机构的意见作为验收书的参考资料一并存档。</w:t>
      </w:r>
    </w:p>
    <w:p>
      <w:pPr>
        <w:tabs>
          <w:tab w:val="left" w:pos="0"/>
        </w:tabs>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3</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严格按照采购合同开展履约验收。征集人或服务对象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宋体" w:hAnsi="宋体" w:eastAsia="宋体" w:cs="宋体"/>
          <w:i w:val="0"/>
          <w:iCs w:val="0"/>
          <w:color w:val="auto"/>
          <w:kern w:val="0"/>
          <w:sz w:val="24"/>
          <w:highlight w:val="none"/>
        </w:rPr>
        <w:sectPr>
          <w:footerReference r:id="rId11" w:type="default"/>
          <w:pgSz w:w="11905" w:h="16838"/>
          <w:pgMar w:top="1092" w:right="1417" w:bottom="1246" w:left="1417" w:header="539" w:footer="482" w:gutter="0"/>
          <w:pgNumType w:fmt="numberInDash" w:start="1"/>
          <w:cols w:space="720" w:num="1"/>
          <w:docGrid w:linePitch="312" w:charSpace="0"/>
        </w:sectPr>
      </w:pPr>
      <w:r>
        <w:rPr>
          <w:rFonts w:hint="eastAsia" w:ascii="宋体" w:hAnsi="宋体" w:eastAsia="宋体" w:cs="宋体"/>
          <w:i w:val="0"/>
          <w:iCs w:val="0"/>
          <w:color w:val="auto"/>
          <w:kern w:val="0"/>
          <w:sz w:val="24"/>
          <w:highlight w:val="none"/>
        </w:rPr>
        <w:t>4</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验收合格的项目，征集人或服务对象将根据采购合同的约定及时向供应商支付采购资金、退还履约保证金。验收不合格的项目，征集人将依法及时处理。采购合同的履行、违约责任和解决争议的方式等适用《中华人民共和国民法典》。供应商在履约过程中有政府采购法律法规规定的违法违规情形的，征集人应当及时报告本级财政部门。</w:t>
      </w:r>
      <w:bookmarkStart w:id="442" w:name="_Hlt75236290"/>
      <w:bookmarkEnd w:id="442"/>
      <w:bookmarkStart w:id="443" w:name="_Hlt75236011"/>
      <w:bookmarkEnd w:id="443"/>
      <w:bookmarkStart w:id="444" w:name="_Hlt68072990"/>
      <w:bookmarkEnd w:id="444"/>
      <w:bookmarkStart w:id="445" w:name="_Hlt74714665"/>
      <w:bookmarkEnd w:id="445"/>
      <w:bookmarkStart w:id="446" w:name="_Hlt68057669"/>
      <w:bookmarkEnd w:id="446"/>
      <w:bookmarkStart w:id="447" w:name="_Hlt68073093"/>
      <w:bookmarkEnd w:id="447"/>
      <w:bookmarkStart w:id="448" w:name="_Hlt75236101"/>
      <w:bookmarkEnd w:id="448"/>
      <w:bookmarkStart w:id="449" w:name="_Hlt74730295"/>
      <w:bookmarkEnd w:id="449"/>
      <w:bookmarkStart w:id="450" w:name="_Hlt68403820"/>
      <w:bookmarkEnd w:id="450"/>
      <w:bookmarkStart w:id="451" w:name="_Hlt68072998"/>
      <w:bookmarkEnd w:id="451"/>
      <w:bookmarkStart w:id="452" w:name="_Hlt74729768"/>
      <w:bookmarkEnd w:id="452"/>
      <w:bookmarkStart w:id="453" w:name="_Hlt74707468"/>
      <w:bookmarkEnd w:id="453"/>
    </w:p>
    <w:p>
      <w:pPr>
        <w:adjustRightInd/>
        <w:spacing w:line="360" w:lineRule="auto"/>
        <w:jc w:val="center"/>
        <w:outlineLvl w:val="0"/>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第四章 评审办法</w:t>
      </w:r>
      <w:bookmarkEnd w:id="429"/>
      <w:bookmarkEnd w:id="430"/>
      <w:bookmarkEnd w:id="431"/>
      <w:bookmarkEnd w:id="432"/>
      <w:bookmarkEnd w:id="433"/>
      <w:bookmarkEnd w:id="434"/>
      <w:bookmarkEnd w:id="435"/>
      <w:bookmarkEnd w:id="436"/>
      <w:bookmarkEnd w:id="437"/>
      <w:bookmarkEnd w:id="438"/>
      <w:bookmarkEnd w:id="439"/>
      <w:bookmarkEnd w:id="440"/>
    </w:p>
    <w:p>
      <w:pPr>
        <w:spacing w:line="440" w:lineRule="exact"/>
        <w:rPr>
          <w:rFonts w:hint="eastAsia" w:ascii="宋体" w:hAnsi="宋体" w:eastAsia="宋体" w:cs="宋体"/>
          <w:b/>
          <w:color w:val="auto"/>
          <w:sz w:val="24"/>
          <w:highlight w:val="none"/>
        </w:rPr>
      </w:pPr>
    </w:p>
    <w:p>
      <w:pPr>
        <w:adjustRightInd/>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本项目采用质量优先法，对满足采购需求且响应报价不超过最高限制单价的服务进行综合评分，按照质量评分从高到低排序，根据征集文件规定的淘汰率或者入围供应商数量上限，确定入围供应商的评审方法。</w:t>
      </w:r>
    </w:p>
    <w:p>
      <w:pPr>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一、评审程序</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1.符合性审查</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评审小组应当对符合资格的供应商的响应文件进行符合性审查，以确定其是否满足征集文件的实质性要求。不满足征集文件的实质性要求的，响应无效。</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2.比较与评价</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评审小组应当按照征集文件中规定的评审方法和标准，对符合性审查合格的响应文件进行商务和技术评估，综合比较与评价。</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3.汇总商务技术得分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评审小组各成员应当独立对每个供应商的商务和技术文件进行评价，并汇总商务技术得分情况。</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4.报价评审</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（1）报价文件开启后，如出现政采云开启的报价与报价文件不一致者，以报价文件为准。由评审小组根据报价文件内容进行修正。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（2）响应文件报价出现前后不一致的，按照下列规定修正：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a.响应文件中开启一览表(报价表)内容与响应文件中相应内容不一致的，以开启一览表(报价表)为准;但开启一览表(报价表)存在明显单位、文字错误的，则澄清、说明、补正；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b.大写金额和小写金额不一致的，以大写金额为准;但大写有明显单位、文字错误外的除外；</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c.单价金额小数点或者百分比有明显错位的，以开启一览表的总价为准，并修改单价； </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d.总价金额与按单价汇总金额不一致的，以单价金额计算结果为准。</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同时出现两种以上不一致的，按照前款规定的顺序修正。修正后的报价按照财政部第87号令《政府采购货物和服务招标投标管理办法》第五十一条第二款的规定经供应商确认后产生约束力</w:t>
      </w:r>
      <w:r>
        <w:rPr>
          <w:rFonts w:hint="eastAsia" w:ascii="宋体" w:hAnsi="宋体" w:eastAsia="宋体" w:cs="宋体"/>
          <w:bCs/>
          <w:color w:val="auto"/>
          <w:szCs w:val="24"/>
          <w:highlight w:val="none"/>
        </w:rPr>
        <w:t>，供应商不确认的，其投标无效</w:t>
      </w:r>
      <w:r>
        <w:rPr>
          <w:rFonts w:hint="eastAsia" w:ascii="宋体" w:hAnsi="宋体" w:eastAsia="宋体" w:cs="宋体"/>
          <w:color w:val="auto"/>
          <w:kern w:val="0"/>
          <w:szCs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（3）响应文件出现不是唯一的、有选择性报价的，响应无效。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（4）报价超过征集文件中规定的预算金额或者最高单价限价的，响应无效。</w:t>
      </w:r>
    </w:p>
    <w:p>
      <w:pPr>
        <w:pStyle w:val="87"/>
        <w:spacing w:before="0" w:line="360" w:lineRule="auto"/>
        <w:ind w:firstLine="480"/>
        <w:rPr>
          <w:rFonts w:hint="eastAsia" w:ascii="宋体" w:hAnsi="宋体" w:eastAsia="宋体" w:cs="宋体"/>
          <w:b/>
          <w:bCs/>
          <w:color w:val="auto"/>
          <w:kern w:val="0"/>
          <w:szCs w:val="24"/>
          <w:highlight w:val="none"/>
        </w:rPr>
      </w:pPr>
      <w:r>
        <w:rPr>
          <w:rFonts w:hint="eastAsia" w:ascii="宋体" w:hAnsi="宋体" w:eastAsia="宋体" w:cs="宋体"/>
          <w:color w:val="auto"/>
          <w:kern w:val="0"/>
          <w:szCs w:val="24"/>
          <w:highlight w:val="none"/>
        </w:rPr>
        <w:t>（5）</w:t>
      </w:r>
      <w:r>
        <w:rPr>
          <w:rFonts w:hint="eastAsia" w:ascii="宋体" w:hAnsi="宋体" w:eastAsia="宋体" w:cs="宋体"/>
          <w:b/>
          <w:bCs/>
          <w:color w:val="auto"/>
          <w:kern w:val="0"/>
          <w:szCs w:val="24"/>
          <w:highlight w:val="none"/>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pPr>
        <w:spacing w:line="360" w:lineRule="auto"/>
        <w:ind w:firstLine="482" w:firstLineChars="20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24"/>
          <w:highlight w:val="none"/>
        </w:rPr>
        <w:t>5.排序与推荐</w:t>
      </w:r>
      <w:r>
        <w:rPr>
          <w:rFonts w:hint="eastAsia" w:ascii="宋体" w:hAnsi="宋体" w:eastAsia="宋体" w:cs="宋体"/>
          <w:b/>
          <w:color w:val="auto"/>
          <w:kern w:val="0"/>
          <w:sz w:val="30"/>
          <w:szCs w:val="30"/>
          <w:highlight w:val="none"/>
        </w:rPr>
        <w:t xml:space="preserve"> </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（1）根据淘汰率、入围供应商数量上限确定入围供应商。</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本项目淘汰率为进入排序单位数量的20%（向上取整数20%），推荐上限</w:t>
      </w:r>
      <w:r>
        <w:rPr>
          <w:rFonts w:hint="eastAsia" w:ascii="宋体" w:hAnsi="宋体" w:cs="宋体"/>
          <w:i w:val="0"/>
          <w:iCs w:val="0"/>
          <w:color w:val="auto"/>
          <w:kern w:val="0"/>
          <w:sz w:val="24"/>
          <w:highlight w:val="none"/>
          <w:lang w:eastAsia="zh-CN"/>
        </w:rPr>
        <w:t>以上述标项要求为准</w:t>
      </w:r>
      <w:r>
        <w:rPr>
          <w:rFonts w:hint="eastAsia" w:ascii="宋体" w:hAnsi="宋体" w:eastAsia="宋体" w:cs="宋体"/>
          <w:i w:val="0"/>
          <w:iCs w:val="0"/>
          <w:color w:val="auto"/>
          <w:kern w:val="0"/>
          <w:sz w:val="24"/>
          <w:highlight w:val="none"/>
        </w:rPr>
        <w:t>。</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（2）评审委员会根据综合得分从高到低排序选取入围单位；综合得分相同时，则由评审委员会投票表决确定排序。</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6.编写评审报告</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pPr>
        <w:widowControl/>
        <w:shd w:val="clear" w:color="auto" w:fill="FFFFFF"/>
        <w:adjustRightInd/>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二、评审中的其他事项</w:t>
      </w:r>
    </w:p>
    <w:p>
      <w:pPr>
        <w:pStyle w:val="87"/>
        <w:spacing w:before="0" w:line="360" w:lineRule="auto"/>
        <w:ind w:firstLine="482"/>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（一）供应商澄清、说明或者补正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17"/>
        <w:spacing w:line="360" w:lineRule="auto"/>
        <w:ind w:firstLine="482"/>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（二）响应无效的情形</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有下列情况之一的，响应无效：</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1.供应商不具备征集文件中规定的资格要求的（供应商未提供有效的资格文件的，视为供应商不具备征集文件中规定的资格要求）；</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2.响应文件未按照征集文件要求签署、盖章的；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3.征集人拟采购的产品属于政府强制采购的节能产品品目清单范围的，供应商未按征集文件要求提供国家确定的认证机构出具的、处于有效期之内的节能产品认证证书的；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4.响应文件含有征集人不能接受的附加条件的；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5.响应文件中承诺的响应有效期少于征集文件中载明的响应有效期的；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6.响应文件出现不是唯一的、有选择性响应报价的；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7.响应报价超过征集文件中规定的预算金额或者最高限价的；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8.报价明显低于其他通过符合性审查供应商的报价，有可能影响产品质量或者不能诚信履约的，未能按要求提供书面说明或者未提交相关证明材料，不能证明其报价合理性的</w:t>
      </w:r>
      <w:r>
        <w:rPr>
          <w:rFonts w:hint="eastAsia" w:ascii="宋体" w:hAnsi="宋体" w:eastAsia="宋体" w:cs="宋体"/>
          <w:i w:val="0"/>
          <w:iCs w:val="0"/>
          <w:color w:val="auto"/>
          <w:kern w:val="0"/>
          <w:sz w:val="24"/>
          <w:highlight w:val="none"/>
          <w:lang w:eastAsia="zh-CN"/>
        </w:rPr>
        <w:t>；</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9.供应商对根据修正原则修正后的报价不确认的；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10.供应商提供虚假材料响应的；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11.供应商有恶意串通、妨碍其他供应商的竞争行为、损害征集人或者其他供应商的合法权益情形的；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12.响应文件不满足征集文件的其它实质性要求的；</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13.法律、法规、规章（适用本市的）及省级以上规范性文件（适用本市的）规定的其他无效情形。</w:t>
      </w:r>
    </w:p>
    <w:p>
      <w:pPr>
        <w:widowControl/>
        <w:shd w:val="clear" w:color="auto" w:fill="FFFFFF"/>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（三）采购失败</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在采购中，出现下列情形之一的，框架协议采购失败：</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1.经淘汰后符合专业条件的供应商或者对征集文件作实质响应的供应商不足</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家的；</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2.出现影响采购公正的违法、违规行为的；</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3.供应商的报价均超过了最高限价的；</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4.因重大变故，采购任务取消的。</w:t>
      </w:r>
    </w:p>
    <w:p>
      <w:pPr>
        <w:widowControl/>
        <w:shd w:val="clear" w:color="auto" w:fill="FFFFFF"/>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（四）修改征集文件，重新组织采购活动</w:t>
      </w:r>
    </w:p>
    <w:p>
      <w:pPr>
        <w:pStyle w:val="17"/>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小组发现征集文件存在歧义、重大缺陷导致评审工作无法进行，或者征集文件内容违反国家有关强制性规定的，将停止评审工作，并与征集人沟通并作书面记录。征集人确认后，将修改征集文件，重新组织采购活动。</w:t>
      </w:r>
    </w:p>
    <w:p>
      <w:pPr>
        <w:widowControl/>
        <w:shd w:val="clear" w:color="auto" w:fill="FFFFFF"/>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（五）重新开展采购</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存在政府采购法第七十一条、第七十二条规定的违法行为之一，影响或者可能影响入围、成交结果的，依照下列规定处理：</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1.未确定入围供应商的，终止本次政府采购活动，重新开展政府采购活动。</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2.已确定入围供应商但尚未签订框架协议的，入围结果无效，重新开展政府采购活动。</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3.政府采购框架协议已签订但尚未履行的，撤销框架协议，重新开展政府采购活动。</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4.政府采购框架协议或采购合同已经履行，给征集人、供应商造成损失的，由责任人承担赔偿责任。</w:t>
      </w:r>
    </w:p>
    <w:p>
      <w:pPr>
        <w:pStyle w:val="17"/>
        <w:snapToGrid/>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5.政府采购当事人有其他违反政府采购法或者政府采购法实施条例等法律法规规定的行为，经改正后仍然影响或者可能影响入围、成交结果或者依法被认定为入围、成交无效的，依照1-4规定处理。</w:t>
      </w:r>
    </w:p>
    <w:p>
      <w:pPr>
        <w:pStyle w:val="17"/>
        <w:snapToGrid w:val="0"/>
        <w:spacing w:line="40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三、评审细则</w:t>
      </w:r>
    </w:p>
    <w:p>
      <w:pPr>
        <w:spacing w:line="360" w:lineRule="auto"/>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总则</w:t>
      </w:r>
    </w:p>
    <w:p>
      <w:pPr>
        <w:spacing w:line="360" w:lineRule="auto"/>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中标候选人</w:t>
      </w:r>
      <w:r>
        <w:rPr>
          <w:rFonts w:hint="eastAsia" w:ascii="宋体" w:hAnsi="宋体" w:eastAsia="宋体" w:cs="宋体"/>
          <w:i w:val="0"/>
          <w:iCs w:val="0"/>
          <w:sz w:val="24"/>
          <w:szCs w:val="24"/>
          <w:highlight w:val="none"/>
          <w:lang w:eastAsia="zh-CN"/>
        </w:rPr>
        <w:t>，以此类推</w:t>
      </w:r>
      <w:r>
        <w:rPr>
          <w:rFonts w:hint="eastAsia" w:ascii="宋体" w:hAnsi="宋体" w:eastAsia="宋体" w:cs="宋体"/>
          <w:i w:val="0"/>
          <w:iCs w:val="0"/>
          <w:sz w:val="24"/>
          <w:szCs w:val="24"/>
          <w:highlight w:val="none"/>
        </w:rPr>
        <w:t>。评分过程中采用四舍五入法，</w:t>
      </w: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rPr>
        <w:t>位</w:t>
      </w:r>
      <w:r>
        <w:rPr>
          <w:rFonts w:hint="eastAsia" w:ascii="宋体" w:hAnsi="宋体" w:eastAsia="宋体" w:cs="宋体"/>
          <w:i w:val="0"/>
          <w:iCs w:val="0"/>
          <w:sz w:val="24"/>
          <w:szCs w:val="24"/>
          <w:highlight w:val="none"/>
          <w:lang w:eastAsia="zh-CN"/>
        </w:rPr>
        <w:t>，得分保留</w:t>
      </w:r>
      <w:r>
        <w:rPr>
          <w:rFonts w:hint="eastAsia" w:ascii="宋体" w:hAnsi="宋体" w:eastAsia="宋体" w:cs="宋体"/>
          <w:i w:val="0"/>
          <w:iCs w:val="0"/>
          <w:sz w:val="24"/>
          <w:szCs w:val="24"/>
          <w:highlight w:val="none"/>
          <w:lang w:val="en-US" w:eastAsia="zh-CN"/>
        </w:rPr>
        <w:t>2位</w:t>
      </w:r>
      <w:r>
        <w:rPr>
          <w:rFonts w:hint="eastAsia" w:ascii="宋体" w:hAnsi="宋体" w:eastAsia="宋体" w:cs="宋体"/>
          <w:i w:val="0"/>
          <w:iCs w:val="0"/>
          <w:sz w:val="24"/>
          <w:szCs w:val="24"/>
          <w:highlight w:val="none"/>
        </w:rPr>
        <w:t>。</w:t>
      </w:r>
    </w:p>
    <w:p>
      <w:pPr>
        <w:spacing w:line="360" w:lineRule="auto"/>
        <w:ind w:firstLine="482" w:firstLineChars="200"/>
        <w:rPr>
          <w:rFonts w:hint="eastAsia" w:ascii="宋体" w:hAnsi="宋体" w:eastAsia="宋体" w:cs="宋体"/>
          <w:i w:val="0"/>
          <w:iCs w:val="0"/>
          <w:highlight w:val="none"/>
        </w:rPr>
      </w:pPr>
      <w:r>
        <w:rPr>
          <w:rFonts w:hint="eastAsia" w:ascii="宋体" w:hAnsi="宋体" w:eastAsia="宋体" w:cs="宋体"/>
          <w:b/>
          <w:bCs/>
          <w:i w:val="0"/>
          <w:iCs w:val="0"/>
          <w:sz w:val="24"/>
          <w:szCs w:val="24"/>
          <w:highlight w:val="none"/>
        </w:rPr>
        <w:t>投标人评标综合得分=商务技术分</w:t>
      </w:r>
      <w:r>
        <w:rPr>
          <w:rFonts w:hint="eastAsia" w:ascii="宋体" w:hAnsi="宋体" w:eastAsia="宋体" w:cs="宋体"/>
          <w:b/>
          <w:bCs/>
          <w:i w:val="0"/>
          <w:iCs w:val="0"/>
          <w:sz w:val="24"/>
          <w:szCs w:val="24"/>
          <w:highlight w:val="none"/>
          <w:lang w:val="en-US" w:eastAsia="zh-CN"/>
        </w:rPr>
        <w:t>+</w:t>
      </w:r>
      <w:r>
        <w:rPr>
          <w:rFonts w:hint="eastAsia" w:ascii="宋体" w:hAnsi="宋体" w:eastAsia="宋体" w:cs="宋体"/>
          <w:b/>
          <w:bCs/>
          <w:i w:val="0"/>
          <w:iCs w:val="0"/>
          <w:sz w:val="24"/>
          <w:szCs w:val="24"/>
          <w:highlight w:val="none"/>
        </w:rPr>
        <w:t>价格分；</w:t>
      </w:r>
    </w:p>
    <w:p>
      <w:pPr>
        <w:pStyle w:val="17"/>
        <w:snapToGrid w:val="0"/>
        <w:spacing w:line="360" w:lineRule="auto"/>
        <w:ind w:firstLine="482"/>
        <w:rPr>
          <w:rFonts w:hint="eastAsia"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w:t>
      </w:r>
      <w:r>
        <w:rPr>
          <w:rFonts w:hint="eastAsia" w:ascii="宋体" w:hAnsi="宋体" w:eastAsia="宋体" w:cs="宋体"/>
          <w:b/>
          <w:bCs/>
          <w:i w:val="0"/>
          <w:iCs w:val="0"/>
          <w:color w:val="auto"/>
          <w:highlight w:val="none"/>
          <w:lang w:val="en-US" w:eastAsia="zh-CN"/>
        </w:rPr>
        <w:t>二</w:t>
      </w:r>
      <w:r>
        <w:rPr>
          <w:rFonts w:hint="eastAsia" w:ascii="宋体" w:hAnsi="宋体" w:eastAsia="宋体" w:cs="宋体"/>
          <w:b/>
          <w:bCs/>
          <w:i w:val="0"/>
          <w:iCs w:val="0"/>
          <w:color w:val="auto"/>
          <w:highlight w:val="none"/>
        </w:rPr>
        <w:t>）商务技术文件评审（满分</w:t>
      </w:r>
      <w:r>
        <w:rPr>
          <w:rFonts w:hint="eastAsia" w:ascii="宋体" w:hAnsi="宋体" w:eastAsia="宋体" w:cs="宋体"/>
          <w:b/>
          <w:bCs/>
          <w:i w:val="0"/>
          <w:iCs w:val="0"/>
          <w:color w:val="auto"/>
          <w:highlight w:val="none"/>
          <w:lang w:val="en-US" w:eastAsia="zh-CN"/>
        </w:rPr>
        <w:t>90</w:t>
      </w:r>
      <w:r>
        <w:rPr>
          <w:rFonts w:hint="eastAsia" w:ascii="宋体" w:hAnsi="宋体" w:eastAsia="宋体" w:cs="宋体"/>
          <w:b/>
          <w:bCs/>
          <w:i w:val="0"/>
          <w:iCs w:val="0"/>
          <w:color w:val="auto"/>
          <w:highlight w:val="none"/>
        </w:rPr>
        <w:t>分）</w:t>
      </w:r>
    </w:p>
    <w:p>
      <w:pPr>
        <w:snapToGrid w:val="0"/>
        <w:spacing w:line="360" w:lineRule="auto"/>
        <w:jc w:val="both"/>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评分细则</w:t>
      </w:r>
      <w:r>
        <w:rPr>
          <w:rFonts w:hint="eastAsia" w:ascii="宋体" w:hAnsi="宋体" w:cs="宋体"/>
          <w:b/>
          <w:color w:val="auto"/>
          <w:sz w:val="24"/>
          <w:highlight w:val="none"/>
          <w:lang w:eastAsia="zh-CN"/>
        </w:rPr>
        <w:t>：</w:t>
      </w:r>
    </w:p>
    <w:tbl>
      <w:tblPr>
        <w:tblStyle w:val="6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957"/>
        <w:gridCol w:w="751"/>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2432" w:type="dxa"/>
            <w:gridSpan w:val="2"/>
            <w:vAlign w:val="center"/>
          </w:tcPr>
          <w:p>
            <w:pPr>
              <w:widowControl/>
              <w:ind w:firstLine="0" w:firstLineChars="0"/>
              <w:jc w:val="center"/>
              <w:rPr>
                <w:rFonts w:hint="eastAsia" w:ascii="宋体" w:hAnsi="宋体" w:eastAsia="宋体" w:cs="宋体"/>
                <w:b/>
                <w:highlight w:val="none"/>
              </w:rPr>
            </w:pPr>
            <w:r>
              <w:rPr>
                <w:rFonts w:hint="eastAsia" w:ascii="宋体" w:hAnsi="宋体" w:eastAsia="宋体" w:cs="宋体"/>
                <w:b/>
                <w:highlight w:val="none"/>
              </w:rPr>
              <w:t>评分项目</w:t>
            </w:r>
          </w:p>
        </w:tc>
        <w:tc>
          <w:tcPr>
            <w:tcW w:w="751" w:type="dxa"/>
            <w:vAlign w:val="center"/>
          </w:tcPr>
          <w:p>
            <w:pPr>
              <w:widowControl/>
              <w:ind w:firstLine="0" w:firstLineChars="0"/>
              <w:jc w:val="center"/>
              <w:rPr>
                <w:rFonts w:hint="eastAsia" w:ascii="宋体" w:hAnsi="宋体" w:eastAsia="宋体" w:cs="宋体"/>
                <w:b/>
                <w:highlight w:val="none"/>
              </w:rPr>
            </w:pPr>
            <w:r>
              <w:rPr>
                <w:rFonts w:hint="eastAsia" w:ascii="宋体" w:hAnsi="宋体" w:eastAsia="宋体" w:cs="宋体"/>
                <w:b/>
                <w:highlight w:val="none"/>
              </w:rPr>
              <w:t>分值</w:t>
            </w:r>
          </w:p>
        </w:tc>
        <w:tc>
          <w:tcPr>
            <w:tcW w:w="6073" w:type="dxa"/>
            <w:vAlign w:val="center"/>
          </w:tcPr>
          <w:p>
            <w:pPr>
              <w:widowControl/>
              <w:ind w:firstLine="0" w:firstLineChars="0"/>
              <w:jc w:val="center"/>
              <w:rPr>
                <w:rFonts w:hint="eastAsia" w:ascii="宋体" w:hAnsi="宋体" w:eastAsia="宋体" w:cs="宋体"/>
                <w:b/>
                <w:highlight w:val="none"/>
              </w:rPr>
            </w:pPr>
            <w:r>
              <w:rPr>
                <w:rFonts w:hint="eastAsia" w:ascii="宋体" w:hAnsi="宋体" w:eastAsia="宋体" w:cs="宋体"/>
                <w:b/>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vMerge w:val="restart"/>
            <w:vAlign w:val="center"/>
          </w:tcPr>
          <w:p>
            <w:pPr>
              <w:widowControl/>
              <w:ind w:firstLine="0" w:firstLineChars="0"/>
              <w:jc w:val="center"/>
              <w:rPr>
                <w:rFonts w:hint="default" w:ascii="宋体" w:hAnsi="宋体" w:eastAsia="宋体" w:cs="宋体"/>
                <w:b/>
                <w:highlight w:val="none"/>
                <w:lang w:val="en-US" w:eastAsia="zh-CN"/>
              </w:rPr>
            </w:pPr>
            <w:r>
              <w:rPr>
                <w:rFonts w:hint="eastAsia" w:ascii="宋体" w:hAnsi="宋体" w:eastAsia="宋体" w:cs="宋体"/>
                <w:b/>
                <w:highlight w:val="none"/>
                <w:lang w:val="en-US" w:eastAsia="zh-CN"/>
              </w:rPr>
              <w:t>一、</w:t>
            </w:r>
            <w:r>
              <w:rPr>
                <w:rFonts w:hint="eastAsia" w:ascii="宋体" w:hAnsi="宋体" w:eastAsia="宋体" w:cs="宋体"/>
                <w:b/>
                <w:highlight w:val="none"/>
              </w:rPr>
              <w:t>机构实力指标</w:t>
            </w:r>
            <w:r>
              <w:rPr>
                <w:rFonts w:hint="eastAsia" w:ascii="宋体" w:hAnsi="宋体" w:cs="宋体"/>
                <w:b/>
                <w:highlight w:val="none"/>
                <w:lang w:eastAsia="zh-CN"/>
              </w:rPr>
              <w:t>（</w:t>
            </w:r>
            <w:r>
              <w:rPr>
                <w:rFonts w:hint="eastAsia" w:ascii="宋体" w:hAnsi="宋体" w:cs="宋体"/>
                <w:b/>
                <w:highlight w:val="none"/>
                <w:lang w:val="en-US" w:eastAsia="zh-CN"/>
              </w:rPr>
              <w:t>16分）</w:t>
            </w:r>
          </w:p>
        </w:tc>
        <w:tc>
          <w:tcPr>
            <w:tcW w:w="957" w:type="dxa"/>
            <w:vMerge w:val="restart"/>
            <w:vAlign w:val="center"/>
          </w:tcPr>
          <w:p>
            <w:pPr>
              <w:widowControl/>
              <w:ind w:firstLine="0" w:firstLineChars="0"/>
              <w:jc w:val="center"/>
              <w:rPr>
                <w:rFonts w:hint="eastAsia" w:ascii="宋体" w:hAnsi="宋体" w:eastAsia="宋体" w:cs="宋体"/>
                <w:highlight w:val="none"/>
                <w:lang w:val="en-US" w:eastAsia="zh-CN"/>
              </w:rPr>
            </w:pPr>
          </w:p>
          <w:p>
            <w:pPr>
              <w:widowControl/>
              <w:ind w:firstLine="0" w:firstLineChars="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项目团队组成人员</w:t>
            </w:r>
          </w:p>
        </w:tc>
        <w:tc>
          <w:tcPr>
            <w:tcW w:w="751" w:type="dxa"/>
            <w:vAlign w:val="center"/>
          </w:tcPr>
          <w:p>
            <w:pPr>
              <w:widowControl/>
              <w:ind w:firstLine="0" w:firstLineChars="0"/>
              <w:jc w:val="center"/>
              <w:rPr>
                <w:rFonts w:hint="eastAsia" w:ascii="宋体" w:hAnsi="宋体" w:eastAsia="宋体" w:cs="宋体"/>
                <w:highlight w:val="none"/>
                <w:lang w:val="en-US" w:eastAsia="zh-CN"/>
              </w:rPr>
            </w:pPr>
          </w:p>
          <w:p>
            <w:pPr>
              <w:widowControl/>
              <w:ind w:firstLine="0" w:firstLineChars="0"/>
              <w:jc w:val="center"/>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lang w:val="en-US" w:eastAsia="zh-CN"/>
              </w:rPr>
              <w:t>分</w:t>
            </w:r>
          </w:p>
        </w:tc>
        <w:tc>
          <w:tcPr>
            <w:tcW w:w="6073" w:type="dxa"/>
            <w:vAlign w:val="center"/>
          </w:tcPr>
          <w:p>
            <w:pPr>
              <w:rPr>
                <w:highlight w:val="none"/>
              </w:rPr>
            </w:pPr>
          </w:p>
          <w:p>
            <w:pPr>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rPr>
              <w:t>投标</w:t>
            </w:r>
            <w:r>
              <w:rPr>
                <w:rFonts w:hint="eastAsia" w:ascii="宋体" w:hAnsi="宋体" w:cs="宋体"/>
                <w:b w:val="0"/>
                <w:bCs w:val="0"/>
                <w:sz w:val="21"/>
                <w:szCs w:val="21"/>
                <w:highlight w:val="none"/>
                <w:lang w:val="en-US" w:eastAsia="zh-CN"/>
              </w:rPr>
              <w:t>人</w:t>
            </w:r>
            <w:r>
              <w:rPr>
                <w:rFonts w:hint="eastAsia" w:ascii="宋体" w:hAnsi="宋体" w:eastAsia="宋体" w:cs="宋体"/>
                <w:b w:val="0"/>
                <w:bCs w:val="0"/>
                <w:sz w:val="21"/>
                <w:szCs w:val="21"/>
                <w:highlight w:val="none"/>
                <w:lang w:val="en-US"/>
              </w:rPr>
              <w:t xml:space="preserve">注册会计师人数在20人（含）以上得 1分，30人（含以上得 </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rPr>
              <w:t>分，50人（含）以上得</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rPr>
              <w:t>分，其余不得分。</w:t>
            </w:r>
          </w:p>
          <w:p>
            <w:pPr>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rPr>
              <w:t>（须提供相关人员的执业资格证书和</w:t>
            </w:r>
            <w:r>
              <w:rPr>
                <w:rFonts w:hint="eastAsia" w:ascii="宋体" w:hAnsi="宋体" w:eastAsia="宋体" w:cs="宋体"/>
                <w:b w:val="0"/>
                <w:bCs w:val="0"/>
                <w:sz w:val="21"/>
                <w:szCs w:val="21"/>
                <w:highlight w:val="none"/>
                <w:lang w:val="en-US" w:eastAsia="zh-CN"/>
              </w:rPr>
              <w:t>社保缴纳证明材料</w:t>
            </w:r>
            <w:r>
              <w:rPr>
                <w:rFonts w:hint="eastAsia" w:ascii="宋体" w:hAnsi="宋体" w:eastAsia="宋体" w:cs="宋体"/>
                <w:b w:val="0"/>
                <w:bCs w:val="0"/>
                <w:sz w:val="21"/>
                <w:szCs w:val="21"/>
                <w:highlight w:val="none"/>
                <w:lang w:val="en-US"/>
              </w:rPr>
              <w:t>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lang w:val="en-US" w:eastAsia="zh-CN"/>
              </w:rPr>
            </w:pPr>
          </w:p>
        </w:tc>
        <w:tc>
          <w:tcPr>
            <w:tcW w:w="957" w:type="dxa"/>
            <w:vMerge w:val="continue"/>
            <w:vAlign w:val="center"/>
          </w:tcPr>
          <w:p>
            <w:pPr>
              <w:widowControl/>
              <w:ind w:firstLine="0" w:firstLineChars="0"/>
              <w:jc w:val="center"/>
              <w:rPr>
                <w:rFonts w:hint="eastAsia" w:ascii="宋体" w:hAnsi="宋体" w:eastAsia="宋体" w:cs="宋体"/>
                <w:highlight w:val="none"/>
                <w:lang w:val="en-US" w:eastAsia="zh-CN"/>
              </w:rPr>
            </w:pPr>
          </w:p>
        </w:tc>
        <w:tc>
          <w:tcPr>
            <w:tcW w:w="751" w:type="dxa"/>
            <w:vAlign w:val="center"/>
          </w:tcPr>
          <w:p>
            <w:pPr>
              <w:widowControl/>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3分</w:t>
            </w:r>
          </w:p>
        </w:tc>
        <w:tc>
          <w:tcPr>
            <w:tcW w:w="6073" w:type="dxa"/>
            <w:vAlign w:val="center"/>
          </w:tcPr>
          <w:p>
            <w:pPr>
              <w:pStyle w:val="2"/>
              <w:spacing w:line="288" w:lineRule="auto"/>
              <w:ind w:left="0" w:leftChars="0" w:firstLine="0"/>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rPr>
              <w:t>项目负责人评价：</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2.1</w:t>
            </w:r>
            <w:r>
              <w:rPr>
                <w:rFonts w:hint="eastAsia" w:ascii="宋体" w:hAnsi="宋体" w:eastAsia="宋体" w:cs="宋体"/>
                <w:b w:val="0"/>
                <w:bCs w:val="0"/>
                <w:sz w:val="21"/>
                <w:szCs w:val="21"/>
                <w:highlight w:val="none"/>
                <w:lang w:val="en-US"/>
              </w:rPr>
              <w:t>具有高级职称的得1分；具有二个（含）以上执业资格的得1分</w:t>
            </w:r>
            <w:r>
              <w:rPr>
                <w:rFonts w:hint="eastAsia" w:ascii="宋体" w:hAnsi="宋体" w:cs="宋体"/>
                <w:b w:val="0"/>
                <w:bCs w:val="0"/>
                <w:sz w:val="21"/>
                <w:szCs w:val="21"/>
                <w:highlight w:val="none"/>
                <w:lang w:val="en-US" w:eastAsia="zh-CN"/>
              </w:rPr>
              <w:t>。</w:t>
            </w:r>
            <w:r>
              <w:rPr>
                <w:rFonts w:hint="eastAsia" w:ascii="宋体" w:hAnsi="宋体" w:eastAsia="宋体" w:cs="宋体"/>
                <w:i w:val="0"/>
                <w:iCs w:val="0"/>
                <w:highlight w:val="none"/>
              </w:rPr>
              <w:t>（</w:t>
            </w:r>
            <w:r>
              <w:rPr>
                <w:rFonts w:hint="eastAsia" w:ascii="宋体" w:hAnsi="宋体" w:eastAsia="宋体" w:cs="宋体"/>
                <w:i w:val="0"/>
                <w:iCs w:val="0"/>
                <w:szCs w:val="21"/>
                <w:highlight w:val="none"/>
              </w:rPr>
              <w:t>执业资格</w:t>
            </w:r>
            <w:r>
              <w:rPr>
                <w:rFonts w:hint="eastAsia" w:ascii="宋体" w:hAnsi="宋体" w:eastAsia="宋体" w:cs="宋体"/>
                <w:i w:val="0"/>
                <w:iCs w:val="0"/>
                <w:szCs w:val="21"/>
                <w:highlight w:val="none"/>
                <w:lang w:eastAsia="zh-CN"/>
              </w:rPr>
              <w:t>：</w:t>
            </w:r>
            <w:r>
              <w:rPr>
                <w:rFonts w:hint="eastAsia" w:ascii="宋体" w:hAnsi="宋体" w:eastAsia="宋体" w:cs="宋体"/>
                <w:i w:val="0"/>
                <w:iCs w:val="0"/>
                <w:highlight w:val="none"/>
              </w:rPr>
              <w:t>可提供行业相关的注册执业资格</w:t>
            </w:r>
            <w:r>
              <w:rPr>
                <w:rFonts w:hint="eastAsia" w:ascii="宋体" w:hAnsi="宋体" w:cs="宋体"/>
                <w:i w:val="0"/>
                <w:iCs w:val="0"/>
                <w:highlight w:val="none"/>
                <w:lang w:eastAsia="zh-CN"/>
              </w:rPr>
              <w:t>，</w:t>
            </w:r>
            <w:r>
              <w:rPr>
                <w:rFonts w:hint="eastAsia" w:ascii="宋体" w:hAnsi="宋体" w:eastAsia="宋体" w:cs="宋体"/>
                <w:i w:val="0"/>
                <w:iCs w:val="0"/>
                <w:szCs w:val="21"/>
                <w:highlight w:val="none"/>
              </w:rPr>
              <w:t>高级职称</w:t>
            </w:r>
            <w:r>
              <w:rPr>
                <w:rFonts w:hint="eastAsia" w:ascii="宋体" w:hAnsi="宋体" w:eastAsia="宋体" w:cs="宋体"/>
                <w:i w:val="0"/>
                <w:iCs w:val="0"/>
                <w:szCs w:val="21"/>
                <w:highlight w:val="none"/>
                <w:lang w:eastAsia="zh-CN"/>
              </w:rPr>
              <w:t>：</w:t>
            </w:r>
            <w:r>
              <w:rPr>
                <w:rFonts w:hint="eastAsia" w:ascii="宋体" w:hAnsi="宋体" w:eastAsia="宋体" w:cs="宋体"/>
                <w:i w:val="0"/>
                <w:iCs w:val="0"/>
                <w:highlight w:val="none"/>
              </w:rPr>
              <w:t>提供相关人员职称证书材料扫描件并加盖投标人公章）</w:t>
            </w:r>
          </w:p>
          <w:p>
            <w:pPr>
              <w:pStyle w:val="2"/>
              <w:spacing w:line="288" w:lineRule="auto"/>
              <w:ind w:left="0" w:leftChars="0" w:firstLine="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lang w:val="en-US"/>
              </w:rPr>
              <w:t>具备同类项目财务会计专业服务业绩的每个项目得1分</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rPr>
              <w:t>（须提供签字报告</w:t>
            </w:r>
            <w:r>
              <w:rPr>
                <w:rFonts w:hint="eastAsia" w:ascii="宋体" w:hAnsi="宋体" w:eastAsia="宋体" w:cs="宋体"/>
                <w:b w:val="0"/>
                <w:bCs w:val="0"/>
                <w:sz w:val="21"/>
                <w:szCs w:val="21"/>
                <w:highlight w:val="none"/>
                <w:lang w:val="en-US" w:eastAsia="zh-CN"/>
              </w:rPr>
              <w:t>关健页</w:t>
            </w:r>
            <w:r>
              <w:rPr>
                <w:rFonts w:hint="eastAsia" w:ascii="宋体" w:hAnsi="宋体" w:eastAsia="宋体" w:cs="宋体"/>
                <w:b w:val="0"/>
                <w:bCs w:val="0"/>
                <w:sz w:val="21"/>
                <w:szCs w:val="21"/>
                <w:highlight w:val="none"/>
                <w:lang w:val="en-US"/>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lang w:val="en-US" w:eastAsia="zh-CN"/>
              </w:rPr>
            </w:pPr>
          </w:p>
        </w:tc>
        <w:tc>
          <w:tcPr>
            <w:tcW w:w="957" w:type="dxa"/>
            <w:vMerge w:val="continue"/>
            <w:vAlign w:val="center"/>
          </w:tcPr>
          <w:p>
            <w:pPr>
              <w:widowControl/>
              <w:ind w:firstLine="0" w:firstLineChars="0"/>
              <w:jc w:val="center"/>
              <w:rPr>
                <w:rFonts w:hint="eastAsia" w:ascii="宋体" w:hAnsi="宋体" w:eastAsia="宋体" w:cs="宋体"/>
                <w:highlight w:val="none"/>
                <w:lang w:val="en-US" w:eastAsia="zh-CN"/>
              </w:rPr>
            </w:pPr>
          </w:p>
        </w:tc>
        <w:tc>
          <w:tcPr>
            <w:tcW w:w="751" w:type="dxa"/>
            <w:vAlign w:val="center"/>
          </w:tcPr>
          <w:p>
            <w:pPr>
              <w:widowControl/>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8分</w:t>
            </w:r>
          </w:p>
        </w:tc>
        <w:tc>
          <w:tcPr>
            <w:tcW w:w="6073" w:type="dxa"/>
            <w:vAlign w:val="center"/>
          </w:tcPr>
          <w:p>
            <w:pPr>
              <w:widowControl/>
              <w:numPr>
                <w:ilvl w:val="0"/>
                <w:numId w:val="5"/>
              </w:numPr>
              <w:adjustRightIn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拟派本项目技术团队（除项目负责人外）人数在5人以下得1分，5人（含）-8人得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分，8人（含）-10人得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分，10人及以上得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widowControl/>
              <w:numPr>
                <w:ilvl w:val="-1"/>
                <w:numId w:val="0"/>
              </w:numPr>
              <w:adjustRightIn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其中：具有注册会计师执业资格的，每1个人加1分，最高</w:t>
            </w:r>
            <w:r>
              <w:rPr>
                <w:rFonts w:hint="eastAsia" w:ascii="宋体" w:hAnsi="宋体" w:eastAsia="宋体" w:cs="宋体"/>
                <w:sz w:val="21"/>
                <w:szCs w:val="21"/>
                <w:highlight w:val="none"/>
                <w:lang w:eastAsia="zh-CN"/>
              </w:rPr>
              <w:t>加</w:t>
            </w:r>
            <w:r>
              <w:rPr>
                <w:rFonts w:hint="eastAsia" w:ascii="宋体" w:hAnsi="宋体" w:eastAsia="宋体" w:cs="宋体"/>
                <w:sz w:val="21"/>
                <w:szCs w:val="21"/>
                <w:highlight w:val="none"/>
                <w:lang w:val="en-US" w:eastAsia="zh-CN"/>
              </w:rPr>
              <w:t>4分；</w:t>
            </w:r>
          </w:p>
          <w:p>
            <w:pPr>
              <w:widowControl/>
              <w:numPr>
                <w:ilvl w:val="-1"/>
                <w:numId w:val="0"/>
              </w:numPr>
              <w:adjustRightIn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本项累计</w:t>
            </w:r>
            <w:r>
              <w:rPr>
                <w:rFonts w:hint="eastAsia" w:ascii="宋体" w:hAnsi="宋体" w:eastAsia="宋体" w:cs="宋体"/>
                <w:sz w:val="21"/>
                <w:szCs w:val="21"/>
                <w:highlight w:val="none"/>
              </w:rPr>
              <w:t>不超过</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pPr>
              <w:widowControl/>
              <w:numPr>
                <w:ilvl w:val="-1"/>
                <w:numId w:val="0"/>
              </w:numPr>
              <w:adjustRightIn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须提供相关人员的</w:t>
            </w:r>
            <w:r>
              <w:rPr>
                <w:rFonts w:hint="eastAsia" w:ascii="宋体" w:hAnsi="宋体" w:cs="宋体"/>
                <w:sz w:val="21"/>
                <w:szCs w:val="21"/>
                <w:highlight w:val="none"/>
                <w:lang w:eastAsia="zh-CN"/>
              </w:rPr>
              <w:t>注册会计师</w:t>
            </w:r>
            <w:r>
              <w:rPr>
                <w:rFonts w:hint="eastAsia" w:ascii="宋体" w:hAnsi="宋体" w:eastAsia="宋体" w:cs="宋体"/>
                <w:sz w:val="21"/>
                <w:szCs w:val="21"/>
                <w:highlight w:val="none"/>
              </w:rPr>
              <w:t>执业资格证书</w:t>
            </w:r>
            <w:r>
              <w:rPr>
                <w:rFonts w:hint="eastAsia" w:ascii="宋体" w:hAnsi="宋体" w:cs="宋体"/>
                <w:sz w:val="21"/>
                <w:szCs w:val="21"/>
                <w:highlight w:val="none"/>
                <w:lang w:eastAsia="zh-CN"/>
              </w:rPr>
              <w:t>复印</w:t>
            </w:r>
            <w:r>
              <w:rPr>
                <w:rFonts w:hint="eastAsia" w:ascii="宋体" w:hAnsi="宋体" w:eastAsia="宋体" w:cs="宋体"/>
                <w:sz w:val="21"/>
                <w:szCs w:val="21"/>
                <w:highlight w:val="none"/>
              </w:rPr>
              <w:t>件并加盖投标人公章</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475" w:type="dxa"/>
            <w:vMerge w:val="restart"/>
            <w:vAlign w:val="center"/>
          </w:tcPr>
          <w:p>
            <w:pPr>
              <w:widowControl/>
              <w:ind w:firstLine="0" w:firstLineChars="0"/>
              <w:jc w:val="center"/>
              <w:rPr>
                <w:rFonts w:hint="eastAsia" w:ascii="宋体" w:hAnsi="宋体" w:eastAsia="宋体" w:cs="宋体"/>
                <w:b/>
                <w:highlight w:val="none"/>
              </w:rPr>
            </w:pPr>
            <w:r>
              <w:rPr>
                <w:rFonts w:hint="eastAsia" w:ascii="宋体" w:hAnsi="宋体" w:eastAsia="宋体" w:cs="宋体"/>
                <w:b/>
                <w:highlight w:val="none"/>
                <w:lang w:val="en-US" w:eastAsia="zh-CN"/>
              </w:rPr>
              <w:t>二、行业经验指标</w:t>
            </w:r>
          </w:p>
        </w:tc>
        <w:tc>
          <w:tcPr>
            <w:tcW w:w="957" w:type="dxa"/>
            <w:vMerge w:val="restart"/>
            <w:vAlign w:val="center"/>
          </w:tcPr>
          <w:p>
            <w:pPr>
              <w:widowControl/>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出具报告情况</w:t>
            </w:r>
          </w:p>
        </w:tc>
        <w:tc>
          <w:tcPr>
            <w:tcW w:w="751" w:type="dxa"/>
            <w:vAlign w:val="center"/>
          </w:tcPr>
          <w:p>
            <w:pPr>
              <w:widowControl/>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cs="宋体"/>
                <w:highlight w:val="none"/>
                <w:lang w:val="en-US" w:eastAsia="zh-CN"/>
              </w:rPr>
              <w:t>0</w:t>
            </w:r>
            <w:r>
              <w:rPr>
                <w:rFonts w:hint="eastAsia" w:ascii="宋体" w:hAnsi="宋体" w:eastAsia="宋体" w:cs="宋体"/>
                <w:highlight w:val="none"/>
                <w:lang w:val="en-US" w:eastAsia="zh-CN"/>
              </w:rPr>
              <w:t>分</w:t>
            </w:r>
          </w:p>
        </w:tc>
        <w:tc>
          <w:tcPr>
            <w:tcW w:w="6073" w:type="dxa"/>
            <w:vAlign w:val="center"/>
          </w:tcPr>
          <w:p>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投标人自202</w:t>
            </w:r>
            <w:r>
              <w:rPr>
                <w:rFonts w:hint="eastAsia" w:ascii="宋体" w:hAnsi="宋体" w:eastAsia="宋体" w:cs="宋体"/>
                <w:highlight w:val="none"/>
                <w:lang w:val="en-US" w:eastAsia="zh-CN"/>
              </w:rPr>
              <w:t>3</w:t>
            </w:r>
            <w:r>
              <w:rPr>
                <w:rFonts w:hint="eastAsia" w:ascii="宋体" w:hAnsi="宋体" w:eastAsia="宋体" w:cs="宋体"/>
                <w:highlight w:val="none"/>
              </w:rPr>
              <w:t>年以来，在浙江省范围内出具</w:t>
            </w:r>
            <w:r>
              <w:rPr>
                <w:rFonts w:hint="eastAsia" w:ascii="宋体" w:hAnsi="宋体" w:eastAsia="宋体" w:cs="宋体"/>
                <w:highlight w:val="none"/>
                <w:lang w:val="en-US" w:eastAsia="zh-CN"/>
              </w:rPr>
              <w:t>专项债券财务评价</w:t>
            </w:r>
            <w:r>
              <w:rPr>
                <w:rFonts w:hint="eastAsia" w:ascii="宋体" w:hAnsi="宋体" w:eastAsia="宋体" w:cs="宋体"/>
                <w:highlight w:val="none"/>
              </w:rPr>
              <w:t>报告数量在1个及以上的得</w:t>
            </w:r>
            <w:r>
              <w:rPr>
                <w:rFonts w:hint="eastAsia" w:ascii="宋体" w:hAnsi="宋体" w:eastAsia="宋体" w:cs="宋体"/>
                <w:highlight w:val="none"/>
                <w:lang w:val="en-US" w:eastAsia="zh-CN"/>
              </w:rPr>
              <w:t>3</w:t>
            </w:r>
            <w:r>
              <w:rPr>
                <w:rFonts w:hint="eastAsia" w:ascii="宋体" w:hAnsi="宋体" w:eastAsia="宋体" w:cs="宋体"/>
                <w:highlight w:val="none"/>
              </w:rPr>
              <w:t>分，</w:t>
            </w:r>
            <w:r>
              <w:rPr>
                <w:rFonts w:hint="eastAsia" w:ascii="宋体" w:hAnsi="宋体" w:eastAsia="宋体" w:cs="宋体"/>
                <w:highlight w:val="none"/>
                <w:lang w:val="en-US" w:eastAsia="zh-CN"/>
              </w:rPr>
              <w:t>5</w:t>
            </w:r>
            <w:r>
              <w:rPr>
                <w:rFonts w:hint="eastAsia" w:ascii="宋体" w:hAnsi="宋体" w:eastAsia="宋体" w:cs="宋体"/>
                <w:highlight w:val="none"/>
              </w:rPr>
              <w:t>个及以上的得</w:t>
            </w:r>
            <w:r>
              <w:rPr>
                <w:rFonts w:hint="eastAsia" w:ascii="宋体" w:hAnsi="宋体" w:eastAsia="宋体" w:cs="宋体"/>
                <w:highlight w:val="none"/>
                <w:lang w:val="en-US" w:eastAsia="zh-CN"/>
              </w:rPr>
              <w:t>5</w:t>
            </w:r>
            <w:r>
              <w:rPr>
                <w:rFonts w:hint="eastAsia" w:ascii="宋体" w:hAnsi="宋体" w:eastAsia="宋体" w:cs="宋体"/>
                <w:highlight w:val="none"/>
              </w:rPr>
              <w:t>分，</w:t>
            </w:r>
            <w:r>
              <w:rPr>
                <w:rFonts w:hint="eastAsia" w:ascii="宋体" w:hAnsi="宋体" w:eastAsia="宋体" w:cs="宋体"/>
                <w:highlight w:val="none"/>
                <w:lang w:val="en-US" w:eastAsia="zh-CN"/>
              </w:rPr>
              <w:t>20</w:t>
            </w:r>
            <w:r>
              <w:rPr>
                <w:rFonts w:hint="eastAsia" w:ascii="宋体" w:hAnsi="宋体" w:eastAsia="宋体" w:cs="宋体"/>
                <w:highlight w:val="none"/>
              </w:rPr>
              <w:t>个及以上的得</w:t>
            </w:r>
            <w:r>
              <w:rPr>
                <w:rFonts w:hint="eastAsia" w:ascii="宋体" w:hAnsi="宋体" w:eastAsia="宋体" w:cs="宋体"/>
                <w:highlight w:val="none"/>
                <w:lang w:val="en-US" w:eastAsia="zh-CN"/>
              </w:rPr>
              <w:t>10</w:t>
            </w:r>
            <w:r>
              <w:rPr>
                <w:rFonts w:hint="eastAsia" w:ascii="宋体" w:hAnsi="宋体" w:eastAsia="宋体" w:cs="宋体"/>
                <w:highlight w:val="none"/>
              </w:rPr>
              <w:t>分，否则不得分。（证明材料：供应商须提供项目明细清单&lt;含发行地区、项目名称、发债金额等要素&gt;、</w:t>
            </w:r>
            <w:r>
              <w:rPr>
                <w:rFonts w:hint="eastAsia" w:ascii="宋体" w:hAnsi="宋体" w:eastAsia="宋体" w:cs="宋体"/>
                <w:highlight w:val="none"/>
                <w:lang w:val="en-US" w:eastAsia="zh-CN"/>
              </w:rPr>
              <w:t>相关网站</w:t>
            </w:r>
            <w:r>
              <w:rPr>
                <w:rFonts w:hint="eastAsia" w:ascii="宋体" w:hAnsi="宋体" w:eastAsia="宋体" w:cs="宋体"/>
                <w:highlight w:val="none"/>
              </w:rPr>
              <w:t>披露截图，并加盖投标人公章</w:t>
            </w:r>
            <w:r>
              <w:rPr>
                <w:rFonts w:hint="eastAsia" w:ascii="宋体" w:hAnsi="宋体" w:eastAsia="宋体" w:cs="宋体"/>
                <w:highlight w:val="none"/>
                <w:lang w:val="en-US" w:eastAsia="zh-CN"/>
              </w:rPr>
              <w:t>&lt;以分支机构或其他合作单位名义出具不视为投标人业绩&gt;</w:t>
            </w:r>
            <w:r>
              <w:rPr>
                <w:rFonts w:hint="eastAsia" w:ascii="宋体" w:hAnsi="宋体" w:eastAsia="宋体" w:cs="宋体"/>
                <w:highlight w:val="none"/>
              </w:rPr>
              <w:t>）（0-</w:t>
            </w:r>
            <w:r>
              <w:rPr>
                <w:rFonts w:hint="eastAsia" w:ascii="宋体" w:hAnsi="宋体" w:eastAsia="宋体" w:cs="宋体"/>
                <w:highlight w:val="none"/>
                <w:lang w:val="en-US" w:eastAsia="zh-CN"/>
              </w:rPr>
              <w:t>10</w:t>
            </w:r>
            <w:r>
              <w:rPr>
                <w:rFonts w:hint="eastAsia" w:ascii="宋体" w:hAnsi="宋体" w:eastAsia="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lang w:val="en-US" w:eastAsia="zh-CN"/>
              </w:rPr>
            </w:pPr>
          </w:p>
        </w:tc>
        <w:tc>
          <w:tcPr>
            <w:tcW w:w="957" w:type="dxa"/>
            <w:vMerge w:val="continue"/>
            <w:vAlign w:val="center"/>
          </w:tcPr>
          <w:p>
            <w:pPr>
              <w:widowControl/>
              <w:ind w:firstLine="0" w:firstLineChars="0"/>
              <w:jc w:val="center"/>
              <w:rPr>
                <w:rFonts w:hint="eastAsia" w:ascii="宋体" w:hAnsi="宋体" w:eastAsia="宋体" w:cs="宋体"/>
                <w:highlight w:val="none"/>
                <w:lang w:val="en-US" w:eastAsia="zh-CN"/>
              </w:rPr>
            </w:pPr>
          </w:p>
        </w:tc>
        <w:tc>
          <w:tcPr>
            <w:tcW w:w="751" w:type="dxa"/>
            <w:vAlign w:val="center"/>
          </w:tcPr>
          <w:p>
            <w:pPr>
              <w:widowControl/>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3分</w:t>
            </w:r>
          </w:p>
        </w:tc>
        <w:tc>
          <w:tcPr>
            <w:tcW w:w="6073" w:type="dxa"/>
            <w:vAlign w:val="center"/>
          </w:tcPr>
          <w:p>
            <w:pPr>
              <w:widowControl/>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投标人自202</w:t>
            </w:r>
            <w:r>
              <w:rPr>
                <w:rFonts w:hint="eastAsia" w:ascii="宋体" w:hAnsi="宋体" w:eastAsia="宋体" w:cs="宋体"/>
                <w:highlight w:val="none"/>
                <w:lang w:val="en-US" w:eastAsia="zh-CN"/>
              </w:rPr>
              <w:t>3</w:t>
            </w:r>
            <w:r>
              <w:rPr>
                <w:rFonts w:hint="eastAsia" w:ascii="宋体" w:hAnsi="宋体" w:eastAsia="宋体" w:cs="宋体"/>
                <w:highlight w:val="none"/>
              </w:rPr>
              <w:t>年1月1日以来为政府专项债券业务出具的专业报告，装帧美观、排版精良、行文规范的，得</w:t>
            </w:r>
            <w:r>
              <w:rPr>
                <w:rFonts w:hint="eastAsia" w:ascii="宋体" w:hAnsi="宋体" w:cs="宋体"/>
                <w:highlight w:val="none"/>
                <w:lang w:val="en-US" w:eastAsia="zh-CN"/>
              </w:rPr>
              <w:t>3</w:t>
            </w:r>
            <w:r>
              <w:rPr>
                <w:rFonts w:hint="eastAsia" w:ascii="宋体" w:hAnsi="宋体" w:eastAsia="宋体" w:cs="宋体"/>
                <w:highlight w:val="none"/>
              </w:rPr>
              <w:t>分；总体格式较为统一、行文较为规范的，得</w:t>
            </w:r>
            <w:r>
              <w:rPr>
                <w:rFonts w:hint="eastAsia" w:ascii="宋体" w:hAnsi="宋体" w:eastAsia="宋体" w:cs="宋体"/>
                <w:highlight w:val="none"/>
                <w:lang w:val="en-US" w:eastAsia="zh-CN"/>
              </w:rPr>
              <w:t>1</w:t>
            </w:r>
            <w:r>
              <w:rPr>
                <w:rFonts w:hint="eastAsia" w:ascii="宋体" w:hAnsi="宋体" w:eastAsia="宋体" w:cs="宋体"/>
                <w:highlight w:val="none"/>
              </w:rPr>
              <w:t>分；投标人未提供专业报告，或者专业报告总体格式不统一、行文不规范的，不得分。（须提供任意专业报告原件</w:t>
            </w:r>
            <w:r>
              <w:rPr>
                <w:rFonts w:hint="eastAsia" w:ascii="宋体" w:hAnsi="宋体" w:eastAsia="宋体" w:cs="宋体"/>
                <w:highlight w:val="none"/>
                <w:lang w:val="en-US" w:eastAsia="zh-CN"/>
              </w:rPr>
              <w:t>扫描件</w:t>
            </w:r>
            <w:r>
              <w:rPr>
                <w:rFonts w:hint="eastAsia" w:ascii="宋体" w:hAnsi="宋体" w:eastAsia="宋体" w:cs="宋体"/>
                <w:highlight w:val="none"/>
              </w:rPr>
              <w:t>一份，并加盖投标人公章</w:t>
            </w:r>
            <w:r>
              <w:rPr>
                <w:rFonts w:hint="eastAsia" w:ascii="宋体" w:hAnsi="宋体" w:cs="宋体"/>
                <w:szCs w:val="21"/>
                <w:highlight w:val="none"/>
                <w:lang w:val="en-US" w:eastAsia="zh-CN"/>
              </w:rPr>
              <w:t>，时间以报告时间为准。）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代表性项目</w:t>
            </w:r>
          </w:p>
        </w:tc>
        <w:tc>
          <w:tcPr>
            <w:tcW w:w="751"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12分</w:t>
            </w:r>
          </w:p>
        </w:tc>
        <w:tc>
          <w:tcPr>
            <w:tcW w:w="6073" w:type="dxa"/>
            <w:vAlign w:val="center"/>
          </w:tcPr>
          <w:p>
            <w:pPr>
              <w:widowControl/>
              <w:numPr>
                <w:ilvl w:val="0"/>
                <w:numId w:val="0"/>
              </w:num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投标人自2021年1月1日以来，在浙江省范围内出具的代表性或创新性专项债券财务评价报告。项目确具有代表性或创新性的，每个项目得3分，最高得12分；每个项目类型最高得</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分，同个项目类型不重复记分。（需提供财务评价报告正式版以及项目发行成功的证明材料并加盖投标人公章</w:t>
            </w:r>
            <w:r>
              <w:rPr>
                <w:rFonts w:hint="eastAsia" w:ascii="宋体" w:hAnsi="宋体" w:cs="宋体"/>
                <w:szCs w:val="21"/>
                <w:highlight w:val="none"/>
                <w:lang w:val="en-US" w:eastAsia="zh-CN"/>
              </w:rPr>
              <w:t>，时间以报告时间为准。）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default" w:ascii="宋体" w:hAnsi="宋体" w:eastAsia="宋体" w:cs="宋体"/>
                <w:highlight w:val="none"/>
                <w:lang w:val="en-US" w:eastAsia="zh-CN"/>
              </w:rPr>
            </w:pPr>
            <w:r>
              <w:rPr>
                <w:rFonts w:hint="eastAsia" w:ascii="宋体" w:hAnsi="宋体" w:eastAsia="宋体" w:cs="宋体"/>
                <w:szCs w:val="21"/>
                <w:highlight w:val="none"/>
                <w:lang w:val="en-US" w:eastAsia="zh-CN"/>
              </w:rPr>
              <w:t>专项债券财务评价</w:t>
            </w:r>
            <w:r>
              <w:rPr>
                <w:rFonts w:hint="eastAsia" w:ascii="宋体" w:hAnsi="宋体" w:cs="宋体"/>
                <w:highlight w:val="none"/>
                <w:lang w:val="en-US" w:eastAsia="zh-CN"/>
              </w:rPr>
              <w:t>报告能力</w:t>
            </w:r>
          </w:p>
        </w:tc>
        <w:tc>
          <w:tcPr>
            <w:tcW w:w="751"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6分</w:t>
            </w:r>
          </w:p>
        </w:tc>
        <w:tc>
          <w:tcPr>
            <w:tcW w:w="6073" w:type="dxa"/>
            <w:vAlign w:val="center"/>
          </w:tcPr>
          <w:p>
            <w:pPr>
              <w:widowControl/>
              <w:numPr>
                <w:ilvl w:val="0"/>
                <w:numId w:val="0"/>
              </w:numPr>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投标人在2022年1月1日以来，在浙江省范围内出具的专项债券财务评价报告中，存在总需求为10亿元以上的项目，每个项目得2分，最高6分。（提供相关报告以及项目发行成功的证明材料</w:t>
            </w:r>
            <w:r>
              <w:rPr>
                <w:rFonts w:hint="eastAsia" w:ascii="宋体" w:hAnsi="宋体" w:cs="宋体"/>
                <w:szCs w:val="21"/>
                <w:highlight w:val="none"/>
                <w:lang w:val="en-US" w:eastAsia="zh-CN"/>
              </w:rPr>
              <w:t>，</w:t>
            </w:r>
            <w:r>
              <w:rPr>
                <w:rFonts w:hint="eastAsia" w:ascii="宋体" w:hAnsi="宋体" w:eastAsia="宋体" w:cs="宋体"/>
                <w:b/>
                <w:bCs/>
                <w:i w:val="0"/>
                <w:iCs w:val="0"/>
                <w:highlight w:val="none"/>
              </w:rPr>
              <w:t>并加盖投标人公章</w:t>
            </w:r>
            <w:r>
              <w:rPr>
                <w:rFonts w:hint="eastAsia" w:ascii="宋体" w:hAnsi="宋体" w:cs="宋体"/>
                <w:szCs w:val="21"/>
                <w:highlight w:val="none"/>
                <w:lang w:val="en-US" w:eastAsia="zh-CN"/>
              </w:rPr>
              <w:t>，时间以报告时间为准。）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rPr>
            </w:pPr>
            <w:r>
              <w:rPr>
                <w:rFonts w:hint="eastAsia" w:ascii="宋体" w:hAnsi="宋体" w:eastAsia="宋体" w:cs="宋体"/>
                <w:highlight w:val="none"/>
              </w:rPr>
              <w:t>支持政府相关工作</w:t>
            </w:r>
          </w:p>
        </w:tc>
        <w:tc>
          <w:tcPr>
            <w:tcW w:w="751" w:type="dxa"/>
            <w:vAlign w:val="center"/>
          </w:tcPr>
          <w:p>
            <w:pPr>
              <w:widowControl/>
              <w:ind w:firstLine="0" w:firstLineChars="0"/>
              <w:jc w:val="center"/>
              <w:rPr>
                <w:rFonts w:hint="eastAsia" w:ascii="宋体" w:hAnsi="宋体" w:eastAsia="宋体" w:cs="宋体"/>
                <w:highlight w:val="none"/>
                <w:lang w:eastAsia="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分</w:t>
            </w:r>
          </w:p>
        </w:tc>
        <w:tc>
          <w:tcPr>
            <w:tcW w:w="6073" w:type="dxa"/>
            <w:vAlign w:val="center"/>
          </w:tcPr>
          <w:p>
            <w:pPr>
              <w:widowControl/>
              <w:numPr>
                <w:ilvl w:val="0"/>
                <w:numId w:val="0"/>
              </w:numPr>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投标人对</w:t>
            </w:r>
            <w:r>
              <w:rPr>
                <w:rFonts w:hint="eastAsia" w:ascii="宋体" w:hAnsi="宋体" w:eastAsia="宋体" w:cs="宋体"/>
                <w:szCs w:val="21"/>
                <w:highlight w:val="none"/>
                <w:lang w:val="en-US" w:eastAsia="zh-CN"/>
              </w:rPr>
              <w:t>余杭区</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年度政府专项债券发行项目的了解及工作重点难点情况分析，非常清楚得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分，比较清楚得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分，一般清楚得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（0-4分）</w:t>
            </w:r>
          </w:p>
          <w:p>
            <w:pPr>
              <w:widowControl/>
              <w:numPr>
                <w:ilvl w:val="0"/>
                <w:numId w:val="0"/>
              </w:numPr>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投标人对浙江省政府专项债券发行申报要求的了解，并根据投标人过往同类项目服务经验，分析执业过程中常见的问题并提出合理的工作程序或其他合理化建议，每条合理化建议得</w:t>
            </w:r>
            <w:r>
              <w:rPr>
                <w:rFonts w:hint="eastAsia" w:ascii="宋体" w:hAnsi="宋体" w:cs="宋体"/>
                <w:szCs w:val="21"/>
                <w:highlight w:val="none"/>
                <w:lang w:val="en-US" w:eastAsia="zh-CN"/>
              </w:rPr>
              <w:t>1</w:t>
            </w:r>
            <w:r>
              <w:rPr>
                <w:rFonts w:hint="eastAsia" w:ascii="宋体" w:hAnsi="宋体" w:eastAsia="宋体" w:cs="宋体"/>
                <w:szCs w:val="21"/>
                <w:highlight w:val="none"/>
              </w:rPr>
              <w:t>分，最高不超过</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75" w:type="dxa"/>
            <w:vMerge w:val="restart"/>
            <w:vAlign w:val="center"/>
          </w:tcPr>
          <w:p>
            <w:pPr>
              <w:widowControl/>
              <w:ind w:firstLine="0" w:firstLineChars="0"/>
              <w:jc w:val="center"/>
              <w:rPr>
                <w:rFonts w:hint="eastAsia" w:ascii="宋体" w:hAnsi="宋体" w:eastAsia="宋体" w:cs="宋体"/>
                <w:b/>
                <w:highlight w:val="none"/>
              </w:rPr>
            </w:pPr>
            <w:r>
              <w:rPr>
                <w:rFonts w:hint="eastAsia" w:ascii="宋体" w:hAnsi="宋体" w:eastAsia="宋体" w:cs="宋体"/>
                <w:b/>
                <w:highlight w:val="none"/>
                <w:lang w:val="en-US" w:eastAsia="zh-CN"/>
              </w:rPr>
              <w:t>三、服务方案</w:t>
            </w:r>
          </w:p>
        </w:tc>
        <w:tc>
          <w:tcPr>
            <w:tcW w:w="957" w:type="dxa"/>
            <w:vMerge w:val="restart"/>
            <w:vAlign w:val="center"/>
          </w:tcPr>
          <w:p>
            <w:pPr>
              <w:ind w:leftChars="-8" w:hanging="16" w:hangingChars="8"/>
              <w:jc w:val="center"/>
              <w:rPr>
                <w:rFonts w:hint="eastAsia" w:ascii="宋体" w:hAnsi="宋体" w:eastAsia="宋体" w:cs="宋体"/>
                <w:b/>
                <w:bCs/>
                <w:highlight w:val="none"/>
                <w:lang w:eastAsia="zh-CN"/>
              </w:rPr>
            </w:pPr>
            <w:r>
              <w:rPr>
                <w:rFonts w:hint="eastAsia" w:ascii="宋体" w:hAnsi="宋体" w:eastAsia="宋体" w:cs="宋体"/>
                <w:highlight w:val="none"/>
                <w:lang w:val="en-US" w:eastAsia="zh-CN"/>
              </w:rPr>
              <w:t>时效性</w:t>
            </w:r>
          </w:p>
        </w:tc>
        <w:tc>
          <w:tcPr>
            <w:tcW w:w="751" w:type="dxa"/>
            <w:vMerge w:val="restart"/>
            <w:vAlign w:val="center"/>
          </w:tcPr>
          <w:p>
            <w:pPr>
              <w:ind w:leftChars="-8" w:hanging="16" w:hangingChars="8"/>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15分</w:t>
            </w:r>
          </w:p>
        </w:tc>
        <w:tc>
          <w:tcPr>
            <w:tcW w:w="6073" w:type="dxa"/>
            <w:vAlign w:val="center"/>
          </w:tcPr>
          <w:p>
            <w:pPr>
              <w:widowControl/>
              <w:numPr>
                <w:ilvl w:val="-1"/>
                <w:numId w:val="0"/>
              </w:numPr>
              <w:ind w:leftChars="0" w:firstLine="0" w:firstLineChars="0"/>
              <w:rPr>
                <w:rFonts w:hint="eastAsia" w:ascii="宋体" w:hAnsi="宋体" w:eastAsia="宋体" w:cs="宋体"/>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投标人承诺</w:t>
            </w:r>
            <w:r>
              <w:rPr>
                <w:rFonts w:hint="eastAsia" w:ascii="宋体" w:hAnsi="宋体" w:eastAsia="宋体" w:cs="宋体"/>
                <w:szCs w:val="21"/>
                <w:highlight w:val="none"/>
                <w:lang w:val="en-US" w:eastAsia="zh-CN"/>
              </w:rPr>
              <w:t>出具财评报告初稿</w:t>
            </w:r>
            <w:r>
              <w:rPr>
                <w:rFonts w:hint="eastAsia" w:ascii="宋体" w:hAnsi="宋体" w:eastAsia="宋体" w:cs="宋体"/>
                <w:szCs w:val="21"/>
                <w:highlight w:val="none"/>
              </w:rPr>
              <w:t>工作时效为5天以内的，得5分；承诺工作时效为6-10天的，得2分；承诺工作时效超过11天的，不得分。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出具承诺书并加盖投标人公章，否则不得分</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lang w:val="en-US" w:eastAsia="zh-CN"/>
              </w:rPr>
            </w:pPr>
          </w:p>
        </w:tc>
        <w:tc>
          <w:tcPr>
            <w:tcW w:w="957" w:type="dxa"/>
            <w:vMerge w:val="continue"/>
            <w:vAlign w:val="center"/>
          </w:tcPr>
          <w:p>
            <w:pPr>
              <w:ind w:leftChars="-8" w:hanging="16" w:hangingChars="8"/>
              <w:jc w:val="center"/>
              <w:rPr>
                <w:rFonts w:hint="eastAsia" w:ascii="宋体" w:hAnsi="宋体" w:eastAsia="宋体" w:cs="宋体"/>
                <w:highlight w:val="none"/>
                <w:lang w:val="en-US" w:eastAsia="zh-CN"/>
              </w:rPr>
            </w:pPr>
          </w:p>
        </w:tc>
        <w:tc>
          <w:tcPr>
            <w:tcW w:w="751" w:type="dxa"/>
            <w:vMerge w:val="continue"/>
            <w:vAlign w:val="center"/>
          </w:tcPr>
          <w:p>
            <w:pPr>
              <w:ind w:leftChars="-8" w:hanging="16" w:hangingChars="8"/>
              <w:jc w:val="center"/>
              <w:rPr>
                <w:rFonts w:hint="eastAsia" w:ascii="宋体" w:hAnsi="宋体" w:eastAsia="宋体" w:cs="宋体"/>
                <w:highlight w:val="none"/>
                <w:lang w:val="en-US" w:eastAsia="zh-CN"/>
              </w:rPr>
            </w:pPr>
          </w:p>
        </w:tc>
        <w:tc>
          <w:tcPr>
            <w:tcW w:w="6073" w:type="dxa"/>
            <w:vAlign w:val="center"/>
          </w:tcPr>
          <w:p>
            <w:pPr>
              <w:widowControl/>
              <w:numPr>
                <w:ilvl w:val="0"/>
                <w:numId w:val="0"/>
              </w:numPr>
              <w:ind w:leftChars="0" w:firstLine="0" w:firstLineChars="0"/>
              <w:rPr>
                <w:rFonts w:hint="eastAsia" w:ascii="宋体" w:hAnsi="宋体" w:eastAsia="宋体" w:cs="宋体"/>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投标人承诺</w:t>
            </w:r>
            <w:r>
              <w:rPr>
                <w:rFonts w:hint="eastAsia" w:ascii="宋体" w:hAnsi="宋体" w:eastAsia="宋体" w:cs="宋体"/>
                <w:szCs w:val="21"/>
                <w:highlight w:val="none"/>
                <w:lang w:val="en-US" w:eastAsia="zh-CN"/>
              </w:rPr>
              <w:t>在初稿基础上修改及出具盖章正式版</w:t>
            </w:r>
            <w:r>
              <w:rPr>
                <w:rFonts w:hint="eastAsia" w:ascii="宋体" w:hAnsi="宋体" w:eastAsia="宋体" w:cs="宋体"/>
                <w:szCs w:val="21"/>
                <w:highlight w:val="none"/>
              </w:rPr>
              <w:t>工作时效为</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天以内的，得5分；承诺工作时效为</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天的，得2分；承诺工作时效超过</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天的，不得分。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出具承诺书并加盖投标人公章，否则不得分</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lang w:val="en-US" w:eastAsia="zh-CN"/>
              </w:rPr>
            </w:pPr>
          </w:p>
        </w:tc>
        <w:tc>
          <w:tcPr>
            <w:tcW w:w="957" w:type="dxa"/>
            <w:vMerge w:val="continue"/>
            <w:vAlign w:val="center"/>
          </w:tcPr>
          <w:p>
            <w:pPr>
              <w:ind w:leftChars="-8" w:hanging="16" w:hangingChars="8"/>
              <w:jc w:val="center"/>
              <w:rPr>
                <w:rFonts w:hint="eastAsia" w:ascii="宋体" w:hAnsi="宋体" w:eastAsia="宋体" w:cs="宋体"/>
                <w:highlight w:val="none"/>
                <w:lang w:val="en-US" w:eastAsia="zh-CN"/>
              </w:rPr>
            </w:pPr>
          </w:p>
        </w:tc>
        <w:tc>
          <w:tcPr>
            <w:tcW w:w="751" w:type="dxa"/>
            <w:vMerge w:val="continue"/>
            <w:vAlign w:val="center"/>
          </w:tcPr>
          <w:p>
            <w:pPr>
              <w:ind w:leftChars="-8" w:hanging="16" w:hangingChars="8"/>
              <w:jc w:val="center"/>
              <w:rPr>
                <w:rFonts w:hint="eastAsia" w:ascii="宋体" w:hAnsi="宋体" w:eastAsia="宋体" w:cs="宋体"/>
                <w:highlight w:val="none"/>
                <w:lang w:val="en-US" w:eastAsia="zh-CN"/>
              </w:rPr>
            </w:pPr>
          </w:p>
        </w:tc>
        <w:tc>
          <w:tcPr>
            <w:tcW w:w="6073" w:type="dxa"/>
            <w:vAlign w:val="center"/>
          </w:tcPr>
          <w:p>
            <w:pPr>
              <w:widowControl/>
              <w:numPr>
                <w:ilvl w:val="0"/>
                <w:numId w:val="0"/>
              </w:numP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.投标人承诺接受采购人的考核并接受考核结果的运用，得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分；否则不得分。</w:t>
            </w:r>
          </w:p>
          <w:p>
            <w:pPr>
              <w:ind w:leftChars="-10" w:hanging="21" w:hangingChars="1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出具承诺书并加盖投标人公章，否则不得分</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现场服务</w:t>
            </w:r>
          </w:p>
        </w:tc>
        <w:tc>
          <w:tcPr>
            <w:tcW w:w="751" w:type="dxa"/>
            <w:vAlign w:val="center"/>
          </w:tcPr>
          <w:p>
            <w:pPr>
              <w:widowControl/>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5分</w:t>
            </w:r>
          </w:p>
        </w:tc>
        <w:tc>
          <w:tcPr>
            <w:tcW w:w="6073" w:type="dxa"/>
            <w:vAlign w:val="center"/>
          </w:tcPr>
          <w:p>
            <w:pPr>
              <w:widowControl/>
              <w:ind w:firstLine="0" w:firstLineChars="0"/>
              <w:rPr>
                <w:rFonts w:hint="eastAsia" w:ascii="宋体" w:hAnsi="宋体" w:eastAsia="宋体" w:cs="宋体"/>
                <w:highlight w:val="none"/>
              </w:rPr>
            </w:pPr>
            <w:r>
              <w:rPr>
                <w:rFonts w:hint="eastAsia" w:ascii="宋体" w:hAnsi="宋体" w:eastAsia="宋体" w:cs="宋体"/>
                <w:szCs w:val="21"/>
                <w:highlight w:val="none"/>
              </w:rPr>
              <w:t>投标人可实现的现场服务情况，承诺全年可提供的在</w:t>
            </w:r>
            <w:r>
              <w:rPr>
                <w:rFonts w:hint="eastAsia" w:ascii="宋体" w:hAnsi="宋体" w:eastAsia="宋体" w:cs="宋体"/>
                <w:szCs w:val="21"/>
                <w:highlight w:val="none"/>
                <w:lang w:val="en-US" w:eastAsia="zh-CN"/>
              </w:rPr>
              <w:t>杭州市余杭区财政局</w:t>
            </w:r>
            <w:r>
              <w:rPr>
                <w:rFonts w:hint="eastAsia" w:ascii="宋体" w:hAnsi="宋体" w:eastAsia="宋体" w:cs="宋体"/>
                <w:szCs w:val="21"/>
                <w:highlight w:val="none"/>
              </w:rPr>
              <w:t>现场服务的天数，每1天得0.5分，最高不超过5分。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整体服务方案</w:t>
            </w:r>
          </w:p>
        </w:tc>
        <w:tc>
          <w:tcPr>
            <w:tcW w:w="751" w:type="dxa"/>
            <w:vAlign w:val="center"/>
          </w:tcPr>
          <w:p>
            <w:pPr>
              <w:widowControl/>
              <w:ind w:firstLine="0" w:firstLineChars="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4分</w:t>
            </w:r>
          </w:p>
        </w:tc>
        <w:tc>
          <w:tcPr>
            <w:tcW w:w="6073" w:type="dxa"/>
            <w:vAlign w:val="center"/>
          </w:tcPr>
          <w:p>
            <w:pPr>
              <w:widowControl/>
              <w:ind w:firstLine="0" w:firstLineChars="0"/>
              <w:rPr>
                <w:rFonts w:hint="eastAsia" w:ascii="宋体" w:hAnsi="宋体" w:eastAsia="宋体" w:cs="宋体"/>
                <w:highlight w:val="none"/>
              </w:rPr>
            </w:pPr>
            <w:r>
              <w:rPr>
                <w:rFonts w:hint="eastAsia" w:ascii="宋体" w:hAnsi="宋体" w:eastAsia="宋体" w:cs="宋体"/>
                <w:highlight w:val="none"/>
              </w:rPr>
              <w:t>具有完善、针对性强的地方政府专项债券收益与融资自求平衡方案财务咨询服务整体服务方案，充分考虑项目的特性，充分理解和掌握相应政策规定与制度, 视其合理可行性</w:t>
            </w:r>
            <w:r>
              <w:rPr>
                <w:rFonts w:hint="eastAsia" w:ascii="宋体" w:hAnsi="宋体" w:eastAsia="宋体" w:cs="宋体"/>
                <w:highlight w:val="none"/>
                <w:lang w:val="en-US" w:eastAsia="zh-CN"/>
              </w:rPr>
              <w:t>进行打分，理解充分、</w:t>
            </w:r>
            <w:r>
              <w:rPr>
                <w:rFonts w:hint="eastAsia" w:ascii="宋体" w:hAnsi="宋体" w:eastAsia="宋体" w:cs="宋体"/>
                <w:b w:val="0"/>
                <w:bCs w:val="0"/>
                <w:sz w:val="21"/>
                <w:szCs w:val="24"/>
                <w:highlight w:val="none"/>
                <w:lang w:val="en-US" w:eastAsia="zh-CN"/>
              </w:rPr>
              <w:t>方案合理性高</w:t>
            </w:r>
            <w:r>
              <w:rPr>
                <w:rFonts w:hint="eastAsia" w:ascii="宋体" w:hAnsi="宋体" w:eastAsia="宋体" w:cs="宋体"/>
                <w:b w:val="0"/>
                <w:bCs w:val="0"/>
                <w:sz w:val="21"/>
                <w:szCs w:val="24"/>
                <w:highlight w:val="none"/>
                <w:u w:val="none"/>
                <w:lang w:val="en-US" w:eastAsia="zh-CN"/>
              </w:rPr>
              <w:t>的得4分；理解不够全面，</w:t>
            </w:r>
            <w:r>
              <w:rPr>
                <w:rFonts w:hint="eastAsia" w:ascii="宋体" w:hAnsi="宋体" w:eastAsia="宋体" w:cs="宋体"/>
                <w:b w:val="0"/>
                <w:bCs w:val="0"/>
                <w:sz w:val="21"/>
                <w:szCs w:val="24"/>
                <w:highlight w:val="none"/>
                <w:lang w:val="en-US" w:eastAsia="zh-CN"/>
              </w:rPr>
              <w:t>方案合理性一般</w:t>
            </w:r>
            <w:r>
              <w:rPr>
                <w:rFonts w:hint="eastAsia" w:ascii="宋体" w:hAnsi="宋体" w:eastAsia="宋体" w:cs="宋体"/>
                <w:b w:val="0"/>
                <w:bCs w:val="0"/>
                <w:sz w:val="21"/>
                <w:szCs w:val="24"/>
                <w:highlight w:val="none"/>
                <w:u w:val="none"/>
                <w:lang w:val="en-US" w:eastAsia="zh-CN"/>
              </w:rPr>
              <w:t>的得</w:t>
            </w:r>
            <w:r>
              <w:rPr>
                <w:rFonts w:hint="eastAsia" w:ascii="宋体" w:hAnsi="宋体" w:eastAsia="宋体" w:cs="宋体"/>
                <w:b w:val="0"/>
                <w:bCs w:val="0"/>
                <w:kern w:val="2"/>
                <w:sz w:val="21"/>
                <w:szCs w:val="24"/>
                <w:highlight w:val="none"/>
                <w:lang w:val="en-US" w:eastAsia="zh-CN"/>
              </w:rPr>
              <w:t>2分；理解程度低，</w:t>
            </w:r>
            <w:r>
              <w:rPr>
                <w:rFonts w:hint="eastAsia" w:ascii="宋体" w:hAnsi="宋体" w:eastAsia="宋体" w:cs="宋体"/>
                <w:b w:val="0"/>
                <w:bCs w:val="0"/>
                <w:sz w:val="21"/>
                <w:szCs w:val="24"/>
                <w:highlight w:val="none"/>
                <w:lang w:val="en-US" w:eastAsia="zh-CN"/>
              </w:rPr>
              <w:t>合理性较低的得1分</w:t>
            </w:r>
            <w:r>
              <w:rPr>
                <w:rFonts w:hint="eastAsia" w:ascii="宋体" w:hAnsi="宋体" w:cs="宋体"/>
                <w:b w:val="0"/>
                <w:bCs w:val="0"/>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审核制度</w:t>
            </w:r>
          </w:p>
        </w:tc>
        <w:tc>
          <w:tcPr>
            <w:tcW w:w="751"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分</w:t>
            </w:r>
          </w:p>
        </w:tc>
        <w:tc>
          <w:tcPr>
            <w:tcW w:w="6073" w:type="dxa"/>
            <w:vAlign w:val="center"/>
          </w:tcPr>
          <w:p>
            <w:pPr>
              <w:widowControl/>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根据投标人对报告质量审核主要关注点的描述，全面、详实、可操作的，得</w:t>
            </w:r>
            <w:r>
              <w:rPr>
                <w:rFonts w:hint="eastAsia" w:ascii="宋体" w:hAnsi="宋体" w:cs="宋体"/>
                <w:highlight w:val="none"/>
                <w:lang w:val="en-US" w:eastAsia="zh-CN"/>
              </w:rPr>
              <w:t>3</w:t>
            </w:r>
            <w:r>
              <w:rPr>
                <w:rFonts w:hint="eastAsia" w:ascii="宋体" w:hAnsi="宋体" w:eastAsia="宋体" w:cs="宋体"/>
                <w:highlight w:val="none"/>
                <w:lang w:val="en-US" w:eastAsia="zh-CN"/>
              </w:rPr>
              <w:t>分；描述情况比较清楚的，得2分；描述情况一般的得</w:t>
            </w:r>
            <w:r>
              <w:rPr>
                <w:rFonts w:hint="eastAsia" w:ascii="宋体" w:hAnsi="宋体" w:cs="宋体"/>
                <w:highlight w:val="none"/>
                <w:lang w:val="en-US" w:eastAsia="zh-CN"/>
              </w:rPr>
              <w:t>1</w:t>
            </w:r>
            <w:r>
              <w:rPr>
                <w:rFonts w:hint="eastAsia" w:ascii="宋体" w:hAnsi="宋体" w:eastAsia="宋体" w:cs="宋体"/>
                <w:highlight w:val="none"/>
                <w:lang w:val="en-US" w:eastAsia="zh-CN"/>
              </w:rPr>
              <w:t>分。本项最多得</w:t>
            </w:r>
            <w:r>
              <w:rPr>
                <w:rFonts w:hint="eastAsia" w:ascii="宋体" w:hAnsi="宋体" w:cs="宋体"/>
                <w:highlight w:val="none"/>
                <w:lang w:val="en-US" w:eastAsia="zh-CN"/>
              </w:rPr>
              <w:t>3</w:t>
            </w:r>
            <w:r>
              <w:rPr>
                <w:rFonts w:hint="eastAsia" w:ascii="宋体" w:hAnsi="宋体" w:eastAsia="宋体" w:cs="宋体"/>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保密制度</w:t>
            </w:r>
          </w:p>
        </w:tc>
        <w:tc>
          <w:tcPr>
            <w:tcW w:w="751"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分</w:t>
            </w:r>
          </w:p>
        </w:tc>
        <w:tc>
          <w:tcPr>
            <w:tcW w:w="6073" w:type="dxa"/>
            <w:vAlign w:val="center"/>
          </w:tcPr>
          <w:p>
            <w:pPr>
              <w:widowControl/>
              <w:ind w:firstLine="0" w:firstLineChars="0"/>
              <w:rPr>
                <w:rFonts w:hint="eastAsia" w:ascii="宋体" w:hAnsi="宋体" w:eastAsia="宋体" w:cs="宋体"/>
                <w:highlight w:val="none"/>
                <w:lang w:val="en-US" w:eastAsia="zh-CN"/>
              </w:rPr>
            </w:pPr>
            <w:r>
              <w:rPr>
                <w:rFonts w:hint="eastAsia" w:ascii="宋体" w:hAnsi="宋体" w:cs="宋体"/>
                <w:sz w:val="21"/>
                <w:szCs w:val="24"/>
                <w:highlight w:val="none"/>
              </w:rPr>
              <w:t>投标人须为保证本项目评估过程中的保密性，</w:t>
            </w:r>
            <w:r>
              <w:rPr>
                <w:rFonts w:hint="eastAsia" w:ascii="宋体" w:hAnsi="宋体" w:cs="宋体"/>
                <w:bCs w:val="0"/>
                <w:sz w:val="21"/>
                <w:szCs w:val="24"/>
                <w:highlight w:val="none"/>
              </w:rPr>
              <w:t>制定整个项目实施过程中的涉密信息、资料保密措施方案，由评委会根据保密措施方案打分。投标人提供的内容</w:t>
            </w:r>
            <w:r>
              <w:rPr>
                <w:rFonts w:hint="eastAsia" w:ascii="宋体" w:hAnsi="宋体" w:cs="宋体"/>
                <w:sz w:val="21"/>
                <w:szCs w:val="24"/>
                <w:highlight w:val="none"/>
              </w:rPr>
              <w:t>具有针对性、利于项目实施的，得</w:t>
            </w:r>
            <w:r>
              <w:rPr>
                <w:rFonts w:hint="eastAsia" w:ascii="宋体" w:hAnsi="宋体" w:cs="宋体"/>
                <w:sz w:val="21"/>
                <w:szCs w:val="24"/>
                <w:highlight w:val="none"/>
                <w:lang w:val="en-US" w:eastAsia="zh-CN"/>
              </w:rPr>
              <w:t>3</w:t>
            </w:r>
            <w:r>
              <w:rPr>
                <w:rFonts w:hint="eastAsia" w:ascii="宋体" w:hAnsi="宋体" w:cs="宋体"/>
                <w:sz w:val="21"/>
                <w:szCs w:val="24"/>
                <w:highlight w:val="none"/>
              </w:rPr>
              <w:t>分；针对性较弱，基本满足项目实施的，得</w:t>
            </w:r>
            <w:r>
              <w:rPr>
                <w:rFonts w:hint="eastAsia" w:ascii="宋体" w:hAnsi="宋体" w:cs="宋体"/>
                <w:sz w:val="21"/>
                <w:szCs w:val="24"/>
                <w:highlight w:val="none"/>
                <w:lang w:val="en-US" w:eastAsia="zh-CN"/>
              </w:rPr>
              <w:t>2</w:t>
            </w:r>
            <w:r>
              <w:rPr>
                <w:rFonts w:hint="eastAsia" w:ascii="宋体" w:hAnsi="宋体" w:cs="宋体"/>
                <w:sz w:val="21"/>
                <w:szCs w:val="24"/>
                <w:highlight w:val="none"/>
              </w:rPr>
              <w:t>分；内容提供较为简单、存在缺漏的，</w:t>
            </w:r>
            <w:r>
              <w:rPr>
                <w:rFonts w:hint="eastAsia" w:ascii="宋体" w:hAnsi="宋体" w:cs="宋体"/>
                <w:sz w:val="21"/>
                <w:szCs w:val="24"/>
                <w:highlight w:val="none"/>
                <w:lang w:eastAsia="zh-CN"/>
              </w:rPr>
              <w:t>不得分</w:t>
            </w:r>
            <w:r>
              <w:rPr>
                <w:rFonts w:hint="eastAsia" w:ascii="宋体" w:hAnsi="宋体" w:cs="宋体"/>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75" w:type="dxa"/>
            <w:vMerge w:val="continue"/>
            <w:vAlign w:val="center"/>
          </w:tcPr>
          <w:p>
            <w:pPr>
              <w:widowControl/>
              <w:ind w:firstLine="0" w:firstLineChars="0"/>
              <w:jc w:val="center"/>
              <w:rPr>
                <w:rFonts w:hint="eastAsia" w:ascii="宋体" w:hAnsi="宋体" w:eastAsia="宋体" w:cs="宋体"/>
                <w:b/>
                <w:highlight w:val="none"/>
              </w:rPr>
            </w:pPr>
          </w:p>
        </w:tc>
        <w:tc>
          <w:tcPr>
            <w:tcW w:w="957"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附加值</w:t>
            </w:r>
          </w:p>
        </w:tc>
        <w:tc>
          <w:tcPr>
            <w:tcW w:w="751" w:type="dxa"/>
            <w:vAlign w:val="center"/>
          </w:tcPr>
          <w:p>
            <w:pPr>
              <w:widowControl/>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5</w:t>
            </w:r>
            <w:r>
              <w:rPr>
                <w:rFonts w:hint="eastAsia" w:ascii="宋体" w:hAnsi="宋体" w:eastAsia="宋体" w:cs="宋体"/>
                <w:highlight w:val="none"/>
                <w:lang w:val="en-US" w:eastAsia="zh-CN"/>
              </w:rPr>
              <w:t>分</w:t>
            </w:r>
          </w:p>
        </w:tc>
        <w:tc>
          <w:tcPr>
            <w:tcW w:w="6073" w:type="dxa"/>
            <w:vAlign w:val="center"/>
          </w:tcPr>
          <w:p>
            <w:pPr>
              <w:widowControl/>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承诺在出具财务评价报告基础上附加免费出具项目实施方案的，得</w:t>
            </w:r>
            <w:r>
              <w:rPr>
                <w:rFonts w:hint="eastAsia" w:ascii="宋体" w:hAnsi="宋体" w:cs="宋体"/>
                <w:highlight w:val="none"/>
                <w:lang w:val="en-US" w:eastAsia="zh-CN"/>
              </w:rPr>
              <w:t>5</w:t>
            </w:r>
            <w:r>
              <w:rPr>
                <w:rFonts w:hint="eastAsia" w:ascii="宋体" w:hAnsi="宋体" w:eastAsia="宋体" w:cs="宋体"/>
                <w:highlight w:val="none"/>
                <w:lang w:val="en-US" w:eastAsia="zh-CN"/>
              </w:rPr>
              <w:t>分，否则不得分。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出具承诺书并加盖投标人公章</w:t>
            </w:r>
            <w:r>
              <w:rPr>
                <w:rFonts w:hint="eastAsia" w:ascii="宋体" w:hAnsi="宋体" w:cs="宋体"/>
                <w:highlight w:val="none"/>
                <w:lang w:val="en-US" w:eastAsia="zh-CN"/>
              </w:rPr>
              <w:t>。</w:t>
            </w:r>
            <w:r>
              <w:rPr>
                <w:rFonts w:hint="eastAsia" w:ascii="宋体" w:hAnsi="宋体" w:eastAsia="宋体" w:cs="宋体"/>
                <w:highlight w:val="none"/>
                <w:lang w:eastAsia="zh-CN"/>
              </w:rPr>
              <w:t>）</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评标委员会根据</w:t>
      </w:r>
      <w:r>
        <w:rPr>
          <w:rFonts w:hint="eastAsia" w:ascii="宋体" w:hAnsi="宋体" w:cs="宋体"/>
          <w:color w:val="auto"/>
          <w:sz w:val="24"/>
          <w:highlight w:val="none"/>
          <w:lang w:eastAsia="zh-CN"/>
        </w:rPr>
        <w:t>商务技术</w:t>
      </w:r>
      <w:r>
        <w:rPr>
          <w:rFonts w:hint="eastAsia" w:ascii="宋体" w:hAnsi="宋体" w:eastAsia="宋体" w:cs="宋体"/>
          <w:color w:val="auto"/>
          <w:sz w:val="24"/>
          <w:highlight w:val="none"/>
        </w:rPr>
        <w:t>评分细则，对各供应商的商务技术文件进行书面审核和评论后，由各专家独立酌情打分，打分时保留小数1位，每人一份评分表，并签名。</w:t>
      </w:r>
    </w:p>
    <w:p>
      <w:pPr>
        <w:numPr>
          <w:numId w:val="0"/>
        </w:numPr>
        <w:spacing w:line="360" w:lineRule="auto"/>
        <w:ind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投标</w:t>
      </w:r>
      <w:r>
        <w:rPr>
          <w:rFonts w:hint="eastAsia" w:ascii="宋体" w:hAnsi="宋体" w:cs="宋体"/>
          <w:b/>
          <w:bCs/>
          <w:color w:val="auto"/>
          <w:sz w:val="24"/>
          <w:highlight w:val="none"/>
          <w:lang w:val="en-US" w:eastAsia="zh-CN"/>
        </w:rPr>
        <w:t>人</w:t>
      </w:r>
      <w:r>
        <w:rPr>
          <w:rFonts w:hint="eastAsia" w:ascii="宋体" w:hAnsi="宋体" w:eastAsia="宋体" w:cs="宋体"/>
          <w:b/>
          <w:bCs/>
          <w:color w:val="auto"/>
          <w:sz w:val="24"/>
          <w:highlight w:val="none"/>
          <w:lang w:val="en-US" w:eastAsia="zh-CN"/>
        </w:rPr>
        <w:t>若以分公司名义参与投标，则上述评分表中</w:t>
      </w:r>
      <w:r>
        <w:rPr>
          <w:rFonts w:hint="eastAsia" w:ascii="宋体" w:hAnsi="宋体" w:cs="宋体"/>
          <w:b/>
          <w:bCs/>
          <w:color w:val="auto"/>
          <w:sz w:val="24"/>
          <w:highlight w:val="none"/>
          <w:lang w:val="en-US" w:eastAsia="zh-CN"/>
        </w:rPr>
        <w:t>的人员或业绩</w:t>
      </w:r>
      <w:r>
        <w:rPr>
          <w:rFonts w:hint="eastAsia" w:ascii="宋体" w:hAnsi="宋体" w:eastAsia="宋体" w:cs="宋体"/>
          <w:b/>
          <w:bCs/>
          <w:color w:val="auto"/>
          <w:sz w:val="24"/>
          <w:highlight w:val="none"/>
          <w:lang w:val="en-US" w:eastAsia="zh-CN"/>
        </w:rPr>
        <w:t>数据</w:t>
      </w:r>
      <w:r>
        <w:rPr>
          <w:rFonts w:hint="eastAsia" w:ascii="宋体" w:hAnsi="宋体" w:cs="宋体"/>
          <w:b/>
          <w:bCs/>
          <w:color w:val="auto"/>
          <w:sz w:val="24"/>
          <w:highlight w:val="none"/>
          <w:lang w:val="en-US" w:eastAsia="zh-CN"/>
        </w:rPr>
        <w:t>要求为分公司承接或具有，方认可得分；若投标人提供的人员或业绩数据为总公司或其他分公司承接或具有，分值不予认可。</w:t>
      </w:r>
    </w:p>
    <w:p>
      <w:pPr>
        <w:numPr>
          <w:numId w:val="0"/>
        </w:numPr>
        <w:spacing w:line="360" w:lineRule="auto"/>
        <w:ind w:leftChars="0" w:firstLine="480" w:firstLineChars="200"/>
        <w:rPr>
          <w:rFonts w:hint="eastAsia" w:ascii="宋体" w:hAnsi="宋体" w:eastAsia="宋体" w:cs="宋体"/>
          <w:color w:val="auto"/>
          <w:sz w:val="24"/>
          <w:highlight w:val="none"/>
        </w:rPr>
      </w:pPr>
    </w:p>
    <w:p>
      <w:pPr>
        <w:numPr>
          <w:numId w:val="0"/>
        </w:numPr>
        <w:spacing w:line="360" w:lineRule="auto"/>
        <w:ind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供应商商务技术得分为评标委员会所有成员的有效评分的算术平均值，计算时保留小数2位。</w:t>
      </w:r>
    </w:p>
    <w:p>
      <w:pPr>
        <w:numPr>
          <w:ilvl w:val="-1"/>
          <w:numId w:val="0"/>
        </w:numPr>
        <w:adjustRightInd/>
        <w:spacing w:line="360" w:lineRule="auto"/>
        <w:ind w:left="0" w:firstLine="482" w:firstLineChars="2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lang w:val="en-US" w:eastAsia="zh-CN"/>
        </w:rPr>
        <w:t>三</w:t>
      </w: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rPr>
        <w:t xml:space="preserve">报价标评审 </w:t>
      </w:r>
    </w:p>
    <w:p>
      <w:pPr>
        <w:shd w:val="clear" w:color="auto" w:fill="auto"/>
        <w:spacing w:line="360" w:lineRule="auto"/>
        <w:ind w:firstLine="480" w:firstLineChars="200"/>
        <w:rPr>
          <w:rFonts w:hint="eastAsia" w:ascii="宋体" w:hAnsi="宋体" w:eastAsia="宋体" w:cs="宋体"/>
          <w:i w:val="0"/>
          <w:iCs w:val="0"/>
          <w:sz w:val="24"/>
          <w:szCs w:val="24"/>
          <w:highlight w:val="none"/>
          <w:shd w:val="clear" w:color="auto" w:fill="auto"/>
        </w:rPr>
      </w:pPr>
      <w:r>
        <w:rPr>
          <w:rFonts w:hint="eastAsia" w:ascii="宋体" w:hAnsi="宋体" w:eastAsia="宋体" w:cs="宋体"/>
          <w:i w:val="0"/>
          <w:iCs w:val="0"/>
          <w:sz w:val="24"/>
          <w:szCs w:val="24"/>
          <w:highlight w:val="none"/>
          <w:shd w:val="clear" w:color="auto" w:fill="auto"/>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p>
      <w:pPr>
        <w:shd w:val="clear" w:color="auto" w:fill="auto"/>
        <w:spacing w:line="360" w:lineRule="auto"/>
        <w:ind w:firstLine="480" w:firstLineChars="200"/>
        <w:rPr>
          <w:rFonts w:hint="eastAsia" w:ascii="宋体" w:hAnsi="宋体" w:eastAsia="宋体" w:cs="宋体"/>
          <w:i w:val="0"/>
          <w:iCs w:val="0"/>
          <w:sz w:val="24"/>
          <w:szCs w:val="24"/>
          <w:highlight w:val="none"/>
          <w:shd w:val="clear" w:color="auto" w:fill="auto"/>
        </w:rPr>
      </w:pPr>
      <w:r>
        <w:rPr>
          <w:rFonts w:hint="eastAsia" w:ascii="宋体" w:hAnsi="宋体" w:eastAsia="宋体" w:cs="宋体"/>
          <w:i w:val="0"/>
          <w:iCs w:val="0"/>
          <w:sz w:val="24"/>
          <w:szCs w:val="24"/>
          <w:highlight w:val="none"/>
          <w:shd w:val="clear" w:color="auto" w:fill="auto"/>
        </w:rPr>
        <w:t>投标价格分计算方法：满足招标文件要求且投标价格</w:t>
      </w:r>
      <w:r>
        <w:rPr>
          <w:rFonts w:hint="eastAsia" w:ascii="宋体" w:hAnsi="宋体" w:cs="宋体"/>
          <w:i w:val="0"/>
          <w:iCs w:val="0"/>
          <w:sz w:val="24"/>
          <w:szCs w:val="24"/>
          <w:highlight w:val="none"/>
          <w:shd w:val="clear" w:color="auto" w:fill="auto"/>
          <w:lang w:eastAsia="zh-CN"/>
        </w:rPr>
        <w:t>单价</w:t>
      </w:r>
      <w:r>
        <w:rPr>
          <w:rFonts w:hint="eastAsia" w:ascii="宋体" w:hAnsi="宋体" w:eastAsia="宋体" w:cs="宋体"/>
          <w:i w:val="0"/>
          <w:iCs w:val="0"/>
          <w:sz w:val="24"/>
          <w:szCs w:val="24"/>
          <w:highlight w:val="none"/>
          <w:shd w:val="clear" w:color="auto" w:fill="auto"/>
        </w:rPr>
        <w:t>最低的投标报价为评标基准价，其他投标人的价格分统一按照下列公式计算：</w:t>
      </w:r>
    </w:p>
    <w:p>
      <w:pPr>
        <w:shd w:val="clear" w:color="auto" w:fill="auto"/>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bCs/>
          <w:i w:val="0"/>
          <w:iCs w:val="0"/>
          <w:sz w:val="24"/>
          <w:szCs w:val="24"/>
          <w:highlight w:val="none"/>
          <w:shd w:val="clear" w:color="auto" w:fill="auto"/>
        </w:rPr>
        <w:t>投标报价得分=(评标基准价／投标报价)×价格权值</w:t>
      </w:r>
      <w:r>
        <w:rPr>
          <w:rFonts w:hint="eastAsia" w:ascii="宋体" w:hAnsi="宋体" w:eastAsia="宋体" w:cs="宋体"/>
          <w:b/>
          <w:bCs/>
          <w:i w:val="0"/>
          <w:iCs w:val="0"/>
          <w:sz w:val="24"/>
          <w:szCs w:val="24"/>
          <w:highlight w:val="none"/>
          <w:shd w:val="clear" w:color="auto" w:fill="auto"/>
          <w:lang w:val="en-US" w:eastAsia="zh-CN"/>
        </w:rPr>
        <w:t>10</w:t>
      </w:r>
      <w:r>
        <w:rPr>
          <w:rFonts w:hint="eastAsia" w:ascii="宋体" w:hAnsi="宋体" w:eastAsia="宋体" w:cs="宋体"/>
          <w:b/>
          <w:bCs/>
          <w:i w:val="0"/>
          <w:iCs w:val="0"/>
          <w:sz w:val="24"/>
          <w:szCs w:val="24"/>
          <w:highlight w:val="none"/>
          <w:shd w:val="clear" w:color="auto" w:fill="auto"/>
        </w:rPr>
        <w:t>%×100（精确到小数点后二位）。</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各供应商根据自身实际情况明确服务项的报价，所有单价报价不高于征集文件明确的最高单价限价即为报价审查合格。任何一项单价报价高于最高限价的为无效报价，作无效响应。</w:t>
      </w:r>
    </w:p>
    <w:p>
      <w:pPr>
        <w:keepNext w:val="0"/>
        <w:keepLines w:val="0"/>
        <w:pageBreakBefore w:val="0"/>
        <w:widowControl w:val="0"/>
        <w:numPr>
          <w:ilvl w:val="0"/>
          <w:numId w:val="6"/>
        </w:numPr>
        <w:kinsoku/>
        <w:wordWrap/>
        <w:overflowPunct/>
        <w:topLinePunct w:val="0"/>
        <w:autoSpaceDE/>
        <w:autoSpaceDN/>
        <w:bidi w:val="0"/>
        <w:adjustRightInd/>
        <w:spacing w:line="360" w:lineRule="auto"/>
        <w:ind w:firstLine="482" w:firstLineChars="200"/>
        <w:textAlignment w:val="auto"/>
        <w:rPr>
          <w:rFonts w:hint="eastAsia" w:ascii="宋体" w:hAnsi="宋体" w:cs="宋体-PUA"/>
          <w:b/>
          <w:bCs/>
          <w:color w:val="000000" w:themeColor="text1"/>
          <w:sz w:val="24"/>
          <w:highlight w:val="none"/>
        </w:rPr>
      </w:pPr>
      <w:r>
        <w:rPr>
          <w:rFonts w:hint="eastAsia" w:ascii="宋体" w:hAnsi="宋体" w:cs="宋体-PUA"/>
          <w:b/>
          <w:bCs/>
          <w:color w:val="000000" w:themeColor="text1"/>
          <w:sz w:val="24"/>
          <w:highlight w:val="none"/>
        </w:rPr>
        <w:t>定标原则：</w:t>
      </w:r>
    </w:p>
    <w:p>
      <w:pPr>
        <w:keepNext w:val="0"/>
        <w:keepLines w:val="0"/>
        <w:pageBreakBefore w:val="0"/>
        <w:widowControl w:val="0"/>
        <w:numPr>
          <w:ilvl w:val="0"/>
          <w:numId w:val="7"/>
        </w:numPr>
        <w:kinsoku/>
        <w:wordWrap/>
        <w:overflowPunct/>
        <w:topLinePunct w:val="0"/>
        <w:autoSpaceDE/>
        <w:autoSpaceDN/>
        <w:bidi w:val="0"/>
        <w:adjustRightInd/>
        <w:spacing w:line="520" w:lineRule="exact"/>
        <w:ind w:firstLine="480" w:firstLineChars="200"/>
        <w:textAlignment w:val="auto"/>
        <w:rPr>
          <w:rFonts w:hint="eastAsia" w:ascii="宋体" w:hAnsi="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评标委员会根据排序从后往前按比例淘汰单位（淘汰比例为进入排序单位数量的20%，且至少淘汰一家供应商，向上取整数）</w:t>
      </w:r>
      <w:r>
        <w:rPr>
          <w:rFonts w:hint="eastAsia" w:ascii="宋体" w:hAnsi="宋体" w:cs="宋体"/>
          <w:b w:val="0"/>
          <w:bCs w:val="0"/>
          <w:color w:val="000000" w:themeColor="text1"/>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如参加投标单位家数为3家及以下时，则重新组织招标。</w:t>
      </w:r>
    </w:p>
    <w:p>
      <w:pPr>
        <w:keepNext w:val="0"/>
        <w:keepLines w:val="0"/>
        <w:pageBreakBefore w:val="0"/>
        <w:widowControl w:val="0"/>
        <w:numPr>
          <w:ilvl w:val="0"/>
          <w:numId w:val="7"/>
        </w:numP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定标程序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1）评标委员会将评标情况写出书面评审报告，并按照综合评分的高低排列顺序</w:t>
      </w:r>
      <w:r>
        <w:rPr>
          <w:rFonts w:hint="eastAsia" w:ascii="宋体" w:hAnsi="宋体" w:eastAsia="宋体" w:cs="宋体"/>
          <w:color w:val="000000" w:themeColor="text1"/>
          <w:sz w:val="24"/>
          <w:highlight w:val="none"/>
          <w:lang w:eastAsia="zh-CN"/>
        </w:rPr>
        <w:t>按定标原则</w:t>
      </w:r>
      <w:r>
        <w:rPr>
          <w:rFonts w:hint="eastAsia" w:ascii="宋体" w:hAnsi="宋体" w:eastAsia="宋体" w:cs="宋体"/>
          <w:color w:val="000000" w:themeColor="text1"/>
          <w:sz w:val="24"/>
          <w:highlight w:val="none"/>
        </w:rPr>
        <w:t>推荐入围</w:t>
      </w:r>
      <w:r>
        <w:rPr>
          <w:rFonts w:hint="eastAsia" w:ascii="宋体" w:hAnsi="宋体" w:eastAsia="宋体" w:cs="宋体"/>
          <w:color w:val="000000" w:themeColor="text1"/>
          <w:sz w:val="24"/>
          <w:highlight w:val="none"/>
          <w:lang w:eastAsia="zh-CN"/>
        </w:rPr>
        <w:t>服务单位。</w:t>
      </w:r>
      <w:r>
        <w:rPr>
          <w:rFonts w:hint="eastAsia" w:ascii="宋体" w:hAnsi="宋体" w:cs="宋体"/>
          <w:color w:val="000000" w:themeColor="text1"/>
          <w:sz w:val="24"/>
          <w:highlight w:val="none"/>
          <w:lang w:eastAsia="zh-CN"/>
        </w:rPr>
        <w:t>其他要求详见前附表。</w:t>
      </w:r>
    </w:p>
    <w:p>
      <w:pPr>
        <w:pStyle w:val="19"/>
        <w:keepNext w:val="0"/>
        <w:keepLines w:val="0"/>
        <w:pageBreakBefore w:val="0"/>
        <w:widowControl w:val="0"/>
        <w:numPr>
          <w:ilvl w:val="0"/>
          <w:numId w:val="0"/>
        </w:numPr>
        <w:kinsoku/>
        <w:wordWrap/>
        <w:overflowPunct/>
        <w:topLinePunct w:val="0"/>
        <w:autoSpaceDE/>
        <w:autoSpaceDN/>
        <w:bidi w:val="0"/>
        <w:adjustRightInd/>
        <w:spacing w:after="0" w:line="52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pacing w:val="0"/>
          <w:sz w:val="24"/>
          <w:highlight w:val="none"/>
          <w:lang w:val="en-US" w:eastAsia="zh-CN"/>
        </w:rPr>
        <w:t>入围单位</w:t>
      </w:r>
      <w:r>
        <w:rPr>
          <w:rFonts w:hint="eastAsia" w:ascii="宋体" w:hAnsi="宋体" w:eastAsia="宋体" w:cs="宋体"/>
          <w:b w:val="0"/>
          <w:bCs w:val="0"/>
          <w:color w:val="000000" w:themeColor="text1"/>
          <w:spacing w:val="0"/>
          <w:sz w:val="24"/>
          <w:highlight w:val="none"/>
          <w:lang w:eastAsia="zh-CN"/>
        </w:rPr>
        <w:t>具体服务项目的分派规则如下：</w:t>
      </w:r>
      <w:r>
        <w:rPr>
          <w:rFonts w:hint="eastAsia" w:ascii="宋体" w:hAnsi="宋体" w:eastAsia="宋体" w:cs="宋体"/>
          <w:b w:val="0"/>
          <w:bCs w:val="0"/>
          <w:color w:val="000000" w:themeColor="text1"/>
          <w:sz w:val="24"/>
          <w:szCs w:val="24"/>
          <w:highlight w:val="none"/>
          <w:lang w:val="en-US" w:eastAsia="zh-CN"/>
        </w:rPr>
        <w:t>原则上每个项目实施前由实施单位根据实际需要</w:t>
      </w:r>
      <w:r>
        <w:rPr>
          <w:rFonts w:hint="eastAsia" w:hAnsi="宋体" w:cs="宋体"/>
          <w:b w:val="0"/>
          <w:bCs w:val="0"/>
          <w:color w:val="000000" w:themeColor="text1"/>
          <w:sz w:val="24"/>
          <w:szCs w:val="24"/>
          <w:highlight w:val="none"/>
          <w:lang w:val="en-US" w:eastAsia="zh-CN"/>
        </w:rPr>
        <w:t>进行</w:t>
      </w:r>
      <w:r>
        <w:rPr>
          <w:rFonts w:hint="eastAsia" w:ascii="宋体" w:hAnsi="宋体" w:eastAsia="宋体" w:cs="宋体"/>
          <w:i w:val="0"/>
          <w:iCs w:val="0"/>
          <w:color w:val="auto"/>
          <w:sz w:val="24"/>
          <w:highlight w:val="none"/>
        </w:rPr>
        <w:sym w:font="Wingdings 2" w:char="0052"/>
      </w:r>
      <w:r>
        <w:rPr>
          <w:rFonts w:hint="eastAsia" w:ascii="宋体" w:hAnsi="宋体" w:eastAsia="宋体" w:cs="宋体"/>
          <w:i w:val="0"/>
          <w:iCs w:val="0"/>
          <w:color w:val="auto"/>
          <w:sz w:val="24"/>
          <w:highlight w:val="none"/>
        </w:rPr>
        <w:t xml:space="preserve">直接选定 </w:t>
      </w:r>
      <w:r>
        <w:rPr>
          <w:rFonts w:hint="eastAsia" w:ascii="宋体" w:hAnsi="宋体" w:eastAsia="宋体" w:cs="宋体"/>
          <w:i w:val="0"/>
          <w:iCs w:val="0"/>
          <w:color w:val="auto"/>
          <w:sz w:val="24"/>
          <w:highlight w:val="none"/>
          <w:lang w:eastAsia="zh-CN"/>
        </w:rPr>
        <w:t>或</w:t>
      </w:r>
      <w:r>
        <w:rPr>
          <w:rFonts w:hint="eastAsia" w:ascii="宋体" w:hAnsi="宋体" w:eastAsia="宋体" w:cs="宋体"/>
          <w:i w:val="0"/>
          <w:iCs w:val="0"/>
          <w:color w:val="auto"/>
          <w:sz w:val="24"/>
          <w:highlight w:val="none"/>
        </w:rPr>
        <w:t xml:space="preserve"> </w:t>
      </w:r>
      <w:r>
        <w:rPr>
          <w:rFonts w:hint="eastAsia" w:ascii="宋体" w:hAnsi="宋体" w:eastAsia="宋体" w:cs="宋体"/>
          <w:i w:val="0"/>
          <w:iCs w:val="0"/>
          <w:color w:val="auto"/>
          <w:sz w:val="24"/>
          <w:highlight w:val="none"/>
        </w:rPr>
        <w:sym w:font="Wingdings 2" w:char="0052"/>
      </w:r>
      <w:r>
        <w:rPr>
          <w:rFonts w:hint="eastAsia" w:ascii="宋体" w:hAnsi="宋体" w:eastAsia="宋体" w:cs="宋体"/>
          <w:i w:val="0"/>
          <w:iCs w:val="0"/>
          <w:color w:val="auto"/>
          <w:sz w:val="24"/>
          <w:highlight w:val="none"/>
        </w:rPr>
        <w:t>二次竞价</w:t>
      </w:r>
      <w:r>
        <w:rPr>
          <w:rFonts w:hint="eastAsia" w:ascii="宋体" w:hAnsi="宋体" w:eastAsia="宋体" w:cs="宋体"/>
          <w:i w:val="0"/>
          <w:iCs w:val="0"/>
          <w:color w:val="auto"/>
          <w:sz w:val="24"/>
          <w:highlight w:val="none"/>
          <w:lang w:eastAsia="zh-CN"/>
        </w:rPr>
        <w:t>。</w:t>
      </w:r>
    </w:p>
    <w:p>
      <w:pPr>
        <w:pStyle w:val="35"/>
        <w:keepNext w:val="0"/>
        <w:keepLines w:val="0"/>
        <w:pageBreakBefore w:val="0"/>
        <w:kinsoku/>
        <w:wordWrap/>
        <w:topLinePunct w:val="0"/>
        <w:bidi w:val="0"/>
        <w:snapToGrid w:val="0"/>
        <w:spacing w:line="52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2）根据评标委员会确定的入围</w:t>
      </w:r>
      <w:r>
        <w:rPr>
          <w:rFonts w:hint="eastAsia" w:ascii="宋体" w:hAnsi="宋体" w:eastAsia="宋体" w:cs="宋体"/>
          <w:color w:val="000000" w:themeColor="text1"/>
          <w:sz w:val="24"/>
          <w:highlight w:val="none"/>
          <w:lang w:eastAsia="zh-CN"/>
        </w:rPr>
        <w:t>单位</w:t>
      </w:r>
      <w:r>
        <w:rPr>
          <w:rFonts w:hint="eastAsia" w:ascii="宋体" w:hAnsi="宋体" w:eastAsia="宋体" w:cs="宋体"/>
          <w:color w:val="000000" w:themeColor="text1"/>
          <w:sz w:val="24"/>
          <w:highlight w:val="none"/>
        </w:rPr>
        <w:t>，采购代理机构在浙江政府采购网（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"http://www.zjzfcg.gov.cn/"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 w:val="24"/>
          <w:highlight w:val="none"/>
        </w:rPr>
        <w:t>www.zjzfcg.gov.cn</w:t>
      </w:r>
      <w:r>
        <w:rPr>
          <w:rFonts w:hint="eastAsia" w:ascii="宋体" w:hAnsi="宋体" w:eastAsia="宋体" w:cs="宋体"/>
          <w:color w:val="000000" w:themeColor="text1"/>
          <w:sz w:val="24"/>
          <w:highlight w:val="none"/>
        </w:rPr>
        <w:fldChar w:fldCharType="end"/>
      </w:r>
      <w:r>
        <w:rPr>
          <w:rFonts w:hint="eastAsia" w:ascii="宋体" w:hAnsi="宋体" w:eastAsia="宋体" w:cs="宋体"/>
          <w:color w:val="000000" w:themeColor="text1"/>
          <w:sz w:val="24"/>
          <w:highlight w:val="none"/>
        </w:rPr>
        <w:t>）上发布入围</w:t>
      </w:r>
      <w:r>
        <w:rPr>
          <w:rFonts w:hint="eastAsia" w:ascii="宋体" w:hAnsi="宋体" w:eastAsia="宋体" w:cs="宋体"/>
          <w:color w:val="000000" w:themeColor="text1"/>
          <w:sz w:val="24"/>
          <w:highlight w:val="none"/>
          <w:lang w:eastAsia="zh-CN"/>
        </w:rPr>
        <w:t>结果公告</w:t>
      </w:r>
      <w:r>
        <w:rPr>
          <w:rFonts w:hint="eastAsia" w:ascii="宋体" w:hAnsi="宋体" w:eastAsia="宋体" w:cs="宋体"/>
          <w:color w:val="000000" w:themeColor="text1"/>
          <w:sz w:val="24"/>
          <w:highlight w:val="none"/>
        </w:rPr>
        <w:t>。</w:t>
      </w:r>
    </w:p>
    <w:p>
      <w:pPr>
        <w:keepNext w:val="0"/>
        <w:keepLines w:val="0"/>
        <w:pageBreakBefore w:val="0"/>
        <w:tabs>
          <w:tab w:val="left" w:pos="360"/>
          <w:tab w:val="left" w:pos="840"/>
        </w:tabs>
        <w:kinsoku/>
        <w:wordWrap/>
        <w:topLinePunct w:val="0"/>
        <w:bidi w:val="0"/>
        <w:spacing w:line="52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3）采购代理机构不解释入围或落标原因，不退回投标文件和其他投标资料。</w:t>
      </w:r>
    </w:p>
    <w:bookmarkEnd w:id="441"/>
    <w:p>
      <w:pPr>
        <w:adjustRightInd/>
        <w:spacing w:line="400" w:lineRule="exact"/>
        <w:ind w:firstLine="723" w:firstLineChars="200"/>
        <w:rPr>
          <w:rFonts w:hint="eastAsia" w:ascii="宋体" w:hAnsi="宋体" w:eastAsia="宋体" w:cs="宋体"/>
          <w:b/>
          <w:color w:val="auto"/>
          <w:sz w:val="36"/>
          <w:szCs w:val="36"/>
          <w:highlight w:val="none"/>
        </w:rPr>
      </w:pPr>
      <w:bookmarkStart w:id="454" w:name="_Toc12903"/>
      <w:bookmarkStart w:id="455" w:name="_Toc28629"/>
      <w:bookmarkStart w:id="456" w:name="_Toc22290"/>
      <w:bookmarkStart w:id="457" w:name="_Toc27563"/>
      <w:bookmarkStart w:id="458" w:name="第五部分"/>
      <w:bookmarkStart w:id="459" w:name="_Toc86217003"/>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2"/>
          <w:szCs w:val="32"/>
          <w:highlight w:val="none"/>
        </w:rPr>
      </w:pPr>
      <w:bookmarkStart w:id="460" w:name="_Toc6922"/>
      <w:bookmarkStart w:id="461" w:name="_Toc9072"/>
      <w:bookmarkStart w:id="462" w:name="_Toc30488"/>
      <w:bookmarkStart w:id="463" w:name="_Toc12505"/>
      <w:bookmarkStart w:id="464" w:name="_Toc5846"/>
      <w:bookmarkStart w:id="465" w:name="_Toc8078"/>
      <w:bookmarkStart w:id="466" w:name="_Toc3870"/>
      <w:bookmarkStart w:id="467" w:name="_Toc27784"/>
      <w:r>
        <w:rPr>
          <w:rFonts w:hint="eastAsia" w:ascii="宋体" w:hAnsi="宋体" w:eastAsia="宋体" w:cs="宋体"/>
          <w:b/>
          <w:color w:val="auto"/>
          <w:sz w:val="32"/>
          <w:szCs w:val="32"/>
          <w:highlight w:val="none"/>
        </w:rPr>
        <w:t>第五章 拟签订的合同文本</w:t>
      </w:r>
      <w:bookmarkEnd w:id="454"/>
      <w:bookmarkEnd w:id="455"/>
      <w:bookmarkEnd w:id="456"/>
      <w:bookmarkEnd w:id="457"/>
      <w:bookmarkEnd w:id="460"/>
      <w:bookmarkEnd w:id="461"/>
      <w:bookmarkEnd w:id="462"/>
      <w:bookmarkEnd w:id="463"/>
      <w:bookmarkEnd w:id="464"/>
      <w:bookmarkEnd w:id="465"/>
      <w:bookmarkEnd w:id="466"/>
      <w:bookmarkEnd w:id="467"/>
    </w:p>
    <w:p>
      <w:pPr>
        <w:pStyle w:val="35"/>
        <w:spacing w:line="400" w:lineRule="exact"/>
        <w:jc w:val="center"/>
        <w:rPr>
          <w:rStyle w:val="977"/>
          <w:rFonts w:hint="eastAsia" w:ascii="宋体" w:hAnsi="宋体" w:eastAsia="宋体" w:cs="宋体"/>
          <w:i w:val="0"/>
          <w:iCs w:val="0"/>
          <w:color w:val="auto"/>
          <w:sz w:val="30"/>
          <w:szCs w:val="30"/>
          <w:highlight w:val="none"/>
        </w:rPr>
      </w:pPr>
      <w:bookmarkStart w:id="468" w:name="_Toc17376"/>
      <w:bookmarkStart w:id="469" w:name="_Toc25425"/>
      <w:bookmarkStart w:id="470" w:name="_Toc27544"/>
      <w:bookmarkStart w:id="471" w:name="_Toc23526"/>
      <w:bookmarkStart w:id="472" w:name="_Toc3441"/>
      <w:r>
        <w:rPr>
          <w:rStyle w:val="977"/>
          <w:rFonts w:hint="eastAsia" w:ascii="宋体" w:hAnsi="宋体" w:eastAsia="宋体" w:cs="宋体"/>
          <w:i w:val="0"/>
          <w:iCs w:val="0"/>
          <w:color w:val="auto"/>
          <w:sz w:val="30"/>
          <w:szCs w:val="30"/>
          <w:highlight w:val="none"/>
        </w:rPr>
        <w:t xml:space="preserve"> </w:t>
      </w:r>
      <w:r>
        <w:rPr>
          <w:rStyle w:val="977"/>
          <w:rFonts w:hint="eastAsia" w:ascii="宋体" w:hAnsi="宋体" w:eastAsia="宋体" w:cs="宋体"/>
          <w:i w:val="0"/>
          <w:iCs w:val="0"/>
          <w:color w:val="auto"/>
          <w:highlight w:val="none"/>
        </w:rPr>
        <w:t>（可根据中标实际情况调整）</w:t>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框架协议</w:t>
      </w:r>
    </w:p>
    <w:p>
      <w:pPr>
        <w:pStyle w:val="565"/>
        <w:spacing w:line="400" w:lineRule="exact"/>
        <w:rPr>
          <w:rStyle w:val="977"/>
          <w:rFonts w:hint="eastAsia" w:ascii="宋体" w:hAnsi="宋体" w:eastAsia="宋体" w:cs="宋体"/>
          <w:bCs/>
          <w:color w:val="auto"/>
          <w:sz w:val="24"/>
          <w:szCs w:val="24"/>
          <w:highlight w:val="none"/>
        </w:rPr>
      </w:pPr>
    </w:p>
    <w:p>
      <w:pPr>
        <w:pStyle w:val="565"/>
        <w:spacing w:line="400" w:lineRule="exact"/>
        <w:rPr>
          <w:rStyle w:val="977"/>
          <w:rFonts w:hint="eastAsia" w:ascii="宋体" w:hAnsi="宋体" w:eastAsia="宋体" w:cs="宋体"/>
          <w:color w:val="auto"/>
          <w:sz w:val="24"/>
          <w:szCs w:val="24"/>
          <w:highlight w:val="none"/>
        </w:rPr>
      </w:pPr>
      <w:r>
        <w:rPr>
          <w:rStyle w:val="977"/>
          <w:rFonts w:hint="eastAsia" w:ascii="宋体" w:hAnsi="宋体" w:eastAsia="宋体" w:cs="宋体"/>
          <w:bCs/>
          <w:color w:val="auto"/>
          <w:sz w:val="24"/>
          <w:szCs w:val="24"/>
          <w:highlight w:val="none"/>
        </w:rPr>
        <w:t>甲方</w:t>
      </w:r>
      <w:r>
        <w:rPr>
          <w:rStyle w:val="977"/>
          <w:rFonts w:hint="eastAsia" w:ascii="宋体" w:hAnsi="宋体" w:eastAsia="宋体" w:cs="宋体"/>
          <w:color w:val="auto"/>
          <w:sz w:val="24"/>
          <w:szCs w:val="24"/>
          <w:highlight w:val="none"/>
        </w:rPr>
        <w:t>（征集人）：</w:t>
      </w:r>
      <w:r>
        <w:rPr>
          <w:rStyle w:val="977"/>
          <w:rFonts w:hint="eastAsia" w:ascii="宋体" w:hAnsi="宋体" w:eastAsia="宋体" w:cs="宋体"/>
          <w:color w:val="auto"/>
          <w:sz w:val="24"/>
          <w:szCs w:val="24"/>
          <w:highlight w:val="none"/>
          <w:lang w:val="en-US" w:eastAsia="zh-CN"/>
        </w:rPr>
        <w:t>杭州</w:t>
      </w:r>
      <w:r>
        <w:rPr>
          <w:rStyle w:val="977"/>
          <w:rFonts w:hint="eastAsia" w:ascii="宋体" w:hAnsi="宋体" w:eastAsia="宋体" w:cs="宋体"/>
          <w:color w:val="auto"/>
          <w:sz w:val="24"/>
          <w:szCs w:val="24"/>
          <w:highlight w:val="none"/>
        </w:rPr>
        <w:t>市</w:t>
      </w:r>
      <w:r>
        <w:rPr>
          <w:rStyle w:val="977"/>
          <w:rFonts w:hint="eastAsia" w:ascii="宋体" w:hAnsi="宋体" w:eastAsia="宋体" w:cs="宋体"/>
          <w:color w:val="auto"/>
          <w:sz w:val="24"/>
          <w:szCs w:val="24"/>
          <w:highlight w:val="none"/>
          <w:lang w:val="en-US" w:eastAsia="zh-CN"/>
        </w:rPr>
        <w:t>余杭区</w:t>
      </w:r>
      <w:r>
        <w:rPr>
          <w:rStyle w:val="977"/>
          <w:rFonts w:hint="eastAsia" w:ascii="宋体" w:hAnsi="宋体" w:eastAsia="宋体" w:cs="宋体"/>
          <w:color w:val="auto"/>
          <w:sz w:val="24"/>
          <w:szCs w:val="24"/>
          <w:highlight w:val="none"/>
        </w:rPr>
        <w:t>财政局</w:t>
      </w:r>
    </w:p>
    <w:p>
      <w:pPr>
        <w:pStyle w:val="565"/>
        <w:spacing w:line="400" w:lineRule="exact"/>
        <w:rPr>
          <w:rStyle w:val="977"/>
          <w:rFonts w:hint="eastAsia" w:ascii="宋体" w:hAnsi="宋体" w:eastAsia="宋体" w:cs="宋体"/>
          <w:color w:val="auto"/>
          <w:sz w:val="24"/>
          <w:szCs w:val="24"/>
          <w:highlight w:val="none"/>
        </w:rPr>
      </w:pPr>
      <w:r>
        <w:rPr>
          <w:rStyle w:val="977"/>
          <w:rFonts w:hint="eastAsia" w:ascii="宋体" w:hAnsi="宋体" w:eastAsia="宋体" w:cs="宋体"/>
          <w:bCs/>
          <w:color w:val="auto"/>
          <w:sz w:val="24"/>
          <w:szCs w:val="24"/>
          <w:highlight w:val="none"/>
        </w:rPr>
        <w:t>乙方</w:t>
      </w:r>
      <w:r>
        <w:rPr>
          <w:rStyle w:val="977"/>
          <w:rFonts w:hint="eastAsia" w:ascii="宋体" w:hAnsi="宋体" w:eastAsia="宋体" w:cs="宋体"/>
          <w:color w:val="auto"/>
          <w:sz w:val="24"/>
          <w:szCs w:val="24"/>
          <w:highlight w:val="none"/>
        </w:rPr>
        <w:t>（供应商）：</w:t>
      </w:r>
    </w:p>
    <w:p>
      <w:pPr>
        <w:pStyle w:val="35"/>
        <w:spacing w:line="400" w:lineRule="exact"/>
        <w:ind w:left="105" w:leftChars="50" w:firstLine="600" w:firstLineChars="250"/>
        <w:rPr>
          <w:rStyle w:val="977"/>
          <w:rFonts w:hint="eastAsia" w:ascii="宋体" w:hAnsi="宋体" w:eastAsia="宋体" w:cs="宋体"/>
          <w:color w:val="auto"/>
          <w:kern w:val="0"/>
          <w:sz w:val="24"/>
          <w:szCs w:val="24"/>
          <w:highlight w:val="none"/>
        </w:rPr>
      </w:pPr>
      <w:r>
        <w:rPr>
          <w:rStyle w:val="977"/>
          <w:rFonts w:hint="eastAsia" w:ascii="宋体" w:hAnsi="宋体" w:eastAsia="宋体" w:cs="宋体"/>
          <w:color w:val="auto"/>
          <w:kern w:val="0"/>
          <w:sz w:val="24"/>
          <w:szCs w:val="24"/>
          <w:highlight w:val="none"/>
        </w:rPr>
        <w:t>甲、乙双方根据</w:t>
      </w:r>
      <w:r>
        <w:rPr>
          <w:rStyle w:val="977"/>
          <w:rFonts w:hint="eastAsia" w:ascii="宋体" w:hAnsi="宋体" w:eastAsia="宋体" w:cs="宋体"/>
          <w:color w:val="auto"/>
          <w:kern w:val="0"/>
          <w:sz w:val="24"/>
          <w:szCs w:val="24"/>
          <w:highlight w:val="none"/>
          <w:lang w:val="en-US" w:eastAsia="zh-CN"/>
        </w:rPr>
        <w:t>杭州市余杭区</w:t>
      </w:r>
      <w:r>
        <w:rPr>
          <w:rStyle w:val="977"/>
          <w:rFonts w:hint="eastAsia" w:ascii="宋体" w:hAnsi="宋体" w:eastAsia="宋体" w:cs="宋体"/>
          <w:color w:val="auto"/>
          <w:kern w:val="0"/>
          <w:sz w:val="24"/>
          <w:szCs w:val="24"/>
          <w:highlight w:val="none"/>
        </w:rPr>
        <w:t>2023-2025年度专项债券发行准备财务会计专业服务采购项目（项目编号：</w:t>
      </w:r>
      <w:r>
        <w:rPr>
          <w:rStyle w:val="977"/>
          <w:rFonts w:hint="eastAsia" w:hAnsi="宋体" w:cs="宋体"/>
          <w:color w:val="auto"/>
          <w:kern w:val="0"/>
          <w:sz w:val="24"/>
          <w:szCs w:val="24"/>
          <w:highlight w:val="none"/>
          <w:lang w:val="en-US" w:eastAsia="zh-CN"/>
        </w:rPr>
        <w:t xml:space="preserve">        </w:t>
      </w:r>
      <w:r>
        <w:rPr>
          <w:rStyle w:val="977"/>
          <w:rFonts w:hint="eastAsia" w:ascii="宋体" w:hAnsi="宋体" w:eastAsia="宋体" w:cs="宋体"/>
          <w:color w:val="auto"/>
          <w:kern w:val="0"/>
          <w:sz w:val="24"/>
          <w:szCs w:val="24"/>
          <w:highlight w:val="none"/>
        </w:rPr>
        <w:t>）公开征集的结果，签署本协议。</w:t>
      </w:r>
    </w:p>
    <w:p>
      <w:pPr>
        <w:pStyle w:val="35"/>
        <w:spacing w:line="400" w:lineRule="exact"/>
        <w:ind w:firstLine="480" w:firstLineChars="200"/>
        <w:rPr>
          <w:rStyle w:val="977"/>
          <w:rFonts w:hint="eastAsia" w:ascii="宋体" w:hAnsi="宋体" w:eastAsia="宋体" w:cs="宋体"/>
          <w:b/>
          <w:bCs/>
          <w:color w:val="auto"/>
          <w:sz w:val="24"/>
          <w:szCs w:val="24"/>
          <w:highlight w:val="none"/>
        </w:rPr>
      </w:pPr>
      <w:r>
        <w:rPr>
          <w:rStyle w:val="977"/>
          <w:rFonts w:hint="eastAsia" w:ascii="宋体" w:hAnsi="宋体" w:eastAsia="宋体" w:cs="宋体"/>
          <w:bCs/>
          <w:color w:val="auto"/>
          <w:kern w:val="0"/>
          <w:sz w:val="24"/>
          <w:szCs w:val="24"/>
          <w:highlight w:val="none"/>
        </w:rPr>
        <w:t>一、服务清单</w:t>
      </w:r>
      <w:r>
        <w:rPr>
          <w:rStyle w:val="977"/>
          <w:rFonts w:hint="eastAsia" w:ascii="宋体" w:hAnsi="宋体" w:eastAsia="宋体" w:cs="宋体"/>
          <w:bCs/>
          <w:color w:val="auto"/>
          <w:sz w:val="24"/>
          <w:szCs w:val="24"/>
          <w:highlight w:val="none"/>
        </w:rPr>
        <w:t>及协议单价：</w:t>
      </w:r>
    </w:p>
    <w:tbl>
      <w:tblPr>
        <w:tblStyle w:val="64"/>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6140"/>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atLeas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14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c>
          <w:tcPr>
            <w:tcW w:w="161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rPr>
            </w:pPr>
            <w:r>
              <w:rPr>
                <w:rStyle w:val="977"/>
                <w:rFonts w:hint="eastAsia" w:ascii="宋体" w:hAnsi="宋体" w:eastAsia="宋体" w:cs="宋体"/>
                <w:bCs/>
                <w:color w:val="auto"/>
                <w:sz w:val="24"/>
                <w:highlight w:val="none"/>
              </w:rPr>
              <w:t>协议单价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exac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14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出具加盖第三方中介机构公章的财务评估报告（正式稿）并首次成功发行专项债的项目</w:t>
            </w:r>
          </w:p>
        </w:tc>
        <w:tc>
          <w:tcPr>
            <w:tcW w:w="161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万元/个</w:t>
            </w:r>
          </w:p>
        </w:tc>
      </w:tr>
    </w:tbl>
    <w:p>
      <w:pPr>
        <w:spacing w:line="400" w:lineRule="exact"/>
        <w:ind w:firstLine="482" w:firstLineChars="200"/>
        <w:rPr>
          <w:rStyle w:val="977"/>
          <w:rFonts w:hint="eastAsia" w:ascii="宋体" w:hAnsi="宋体" w:eastAsia="宋体" w:cs="宋体"/>
          <w:b/>
          <w:bCs/>
          <w:color w:val="auto"/>
          <w:sz w:val="24"/>
          <w:szCs w:val="24"/>
          <w:highlight w:val="none"/>
        </w:rPr>
      </w:pPr>
      <w:r>
        <w:rPr>
          <w:rStyle w:val="977"/>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highlight w:val="none"/>
        </w:rPr>
        <w:t>已出具财务评估报告但未发行成功的项目按中标价的</w:t>
      </w:r>
      <w:r>
        <w:rPr>
          <w:rFonts w:hint="eastAsia" w:ascii="宋体" w:hAnsi="宋体" w:eastAsia="宋体" w:cs="宋体"/>
          <w:b/>
          <w:bCs/>
          <w:color w:val="auto"/>
          <w:kern w:val="0"/>
          <w:sz w:val="24"/>
          <w:highlight w:val="none"/>
          <w:lang w:val="en-US" w:eastAsia="zh-CN"/>
        </w:rPr>
        <w:t>20</w:t>
      </w:r>
      <w:r>
        <w:rPr>
          <w:rFonts w:hint="eastAsia" w:ascii="宋体" w:hAnsi="宋体" w:eastAsia="宋体" w:cs="宋体"/>
          <w:b/>
          <w:bCs/>
          <w:color w:val="auto"/>
          <w:kern w:val="0"/>
          <w:sz w:val="24"/>
          <w:highlight w:val="none"/>
        </w:rPr>
        <w:t>%计算收费</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发行成功的专项债项目后续再次发行成功，重新出具</w:t>
      </w:r>
      <w:r>
        <w:rPr>
          <w:rFonts w:hint="eastAsia" w:ascii="宋体" w:hAnsi="宋体" w:eastAsia="宋体" w:cs="宋体"/>
          <w:b/>
          <w:bCs/>
          <w:color w:val="auto"/>
          <w:kern w:val="0"/>
          <w:sz w:val="24"/>
          <w:highlight w:val="none"/>
        </w:rPr>
        <w:t>财务评估报告</w:t>
      </w:r>
      <w:r>
        <w:rPr>
          <w:rFonts w:hint="eastAsia" w:ascii="宋体" w:hAnsi="宋体" w:eastAsia="宋体" w:cs="宋体"/>
          <w:b/>
          <w:bCs/>
          <w:color w:val="auto"/>
          <w:kern w:val="0"/>
          <w:sz w:val="24"/>
          <w:highlight w:val="none"/>
          <w:lang w:val="en-US" w:eastAsia="zh-CN"/>
        </w:rPr>
        <w:t>的，按中标价的20%计算收费</w:t>
      </w:r>
      <w:r>
        <w:rPr>
          <w:rStyle w:val="977"/>
          <w:rFonts w:hint="eastAsia" w:ascii="宋体" w:hAnsi="宋体" w:eastAsia="宋体" w:cs="宋体"/>
          <w:b/>
          <w:bCs/>
          <w:color w:val="auto"/>
          <w:sz w:val="24"/>
          <w:szCs w:val="24"/>
          <w:highlight w:val="none"/>
        </w:rPr>
        <w:t>，对该发行批次该项目的收费不得高于中标价。</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2.制作项目实施方案、出具财评报告初稿及资金平衡表等工作，要求第三方中介机构不得另行收费。</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杭州市余杭区财政局及余杭区</w:t>
      </w:r>
      <w:r>
        <w:rPr>
          <w:rFonts w:hint="eastAsia" w:ascii="宋体" w:hAnsi="宋体" w:eastAsia="宋体" w:cs="宋体"/>
          <w:color w:val="auto"/>
          <w:kern w:val="0"/>
          <w:sz w:val="24"/>
          <w:highlight w:val="none"/>
          <w:lang w:eastAsia="zh-CN"/>
        </w:rPr>
        <w:t>各部门（单位）</w:t>
      </w:r>
      <w:r>
        <w:rPr>
          <w:rFonts w:hint="eastAsia" w:ascii="宋体" w:hAnsi="宋体" w:eastAsia="宋体" w:cs="宋体"/>
          <w:color w:val="auto"/>
          <w:kern w:val="0"/>
          <w:sz w:val="24"/>
          <w:highlight w:val="none"/>
        </w:rPr>
        <w:t>可在入围的会计师事务所中，自行确定服务机构。</w:t>
      </w:r>
    </w:p>
    <w:p>
      <w:pPr>
        <w:pStyle w:val="565"/>
        <w:spacing w:line="400" w:lineRule="exact"/>
        <w:ind w:firstLine="480" w:firstLineChars="200"/>
        <w:rPr>
          <w:rStyle w:val="977"/>
          <w:rFonts w:hint="eastAsia" w:ascii="宋体" w:hAnsi="宋体" w:eastAsia="宋体" w:cs="宋体"/>
          <w:color w:val="auto"/>
          <w:sz w:val="24"/>
          <w:szCs w:val="24"/>
          <w:highlight w:val="none"/>
        </w:rPr>
      </w:pPr>
      <w:r>
        <w:rPr>
          <w:rStyle w:val="977"/>
          <w:rFonts w:hint="eastAsia" w:ascii="宋体" w:hAnsi="宋体" w:eastAsia="宋体" w:cs="宋体"/>
          <w:color w:val="auto"/>
          <w:sz w:val="24"/>
          <w:szCs w:val="24"/>
          <w:highlight w:val="none"/>
        </w:rPr>
        <w:t>4.以上入围单价包含所需的一切费用。</w:t>
      </w:r>
    </w:p>
    <w:p>
      <w:pPr>
        <w:pStyle w:val="633"/>
        <w:spacing w:line="400" w:lineRule="exact"/>
        <w:ind w:firstLine="480"/>
        <w:rPr>
          <w:rStyle w:val="977"/>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5.本次采购由甲方统一进行框架协议采购，实际服务合同</w:t>
      </w:r>
      <w:r>
        <w:rPr>
          <w:rFonts w:hint="eastAsia" w:ascii="宋体" w:hAnsi="宋体" w:eastAsia="宋体" w:cs="宋体"/>
          <w:color w:val="auto"/>
          <w:kern w:val="0"/>
          <w:sz w:val="24"/>
          <w:highlight w:val="none"/>
          <w:lang w:val="en-US" w:eastAsia="zh-CN"/>
        </w:rPr>
        <w:t>杭州市余杭区财政局及余杭区</w:t>
      </w:r>
      <w:r>
        <w:rPr>
          <w:rFonts w:hint="eastAsia" w:ascii="宋体" w:hAnsi="宋体" w:eastAsia="宋体" w:cs="宋体"/>
          <w:color w:val="auto"/>
          <w:kern w:val="0"/>
          <w:sz w:val="24"/>
          <w:highlight w:val="none"/>
          <w:lang w:eastAsia="zh-CN"/>
        </w:rPr>
        <w:t>各部门（单位）</w:t>
      </w:r>
      <w:r>
        <w:rPr>
          <w:rFonts w:hint="eastAsia" w:ascii="宋体" w:hAnsi="宋体" w:eastAsia="宋体" w:cs="宋体"/>
          <w:color w:val="auto"/>
          <w:sz w:val="24"/>
          <w:szCs w:val="24"/>
          <w:highlight w:val="none"/>
        </w:rPr>
        <w:t>根据自行签订。</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kern w:val="0"/>
          <w:sz w:val="24"/>
          <w:highlight w:val="none"/>
        </w:rPr>
        <w:t>直接选定</w:t>
      </w:r>
      <w:r>
        <w:rPr>
          <w:rFonts w:hint="eastAsia" w:ascii="宋体" w:hAnsi="宋体" w:eastAsia="宋体" w:cs="宋体"/>
          <w:color w:val="auto"/>
          <w:kern w:val="0"/>
          <w:sz w:val="24"/>
          <w:highlight w:val="none"/>
          <w:lang w:val="en-US" w:eastAsia="zh-CN"/>
        </w:rPr>
        <w:t>或二次竞价方式确定</w:t>
      </w:r>
      <w:r>
        <w:rPr>
          <w:rFonts w:hint="eastAsia" w:ascii="宋体" w:hAnsi="宋体" w:eastAsia="宋体" w:cs="宋体"/>
          <w:color w:val="auto"/>
          <w:kern w:val="0"/>
          <w:sz w:val="24"/>
          <w:highlight w:val="none"/>
        </w:rPr>
        <w:t>1家或以上供应商签订服务合同，且服务价格不得高于本框架入围价格。</w:t>
      </w:r>
    </w:p>
    <w:p>
      <w:pPr>
        <w:pStyle w:val="35"/>
        <w:spacing w:line="400" w:lineRule="exact"/>
        <w:ind w:firstLine="480" w:firstLineChars="200"/>
        <w:rPr>
          <w:rStyle w:val="977"/>
          <w:rFonts w:hint="eastAsia" w:ascii="宋体" w:hAnsi="宋体" w:eastAsia="宋体" w:cs="宋体"/>
          <w:b/>
          <w:bCs/>
          <w:color w:val="auto"/>
          <w:kern w:val="0"/>
          <w:sz w:val="24"/>
          <w:szCs w:val="24"/>
          <w:highlight w:val="none"/>
        </w:rPr>
      </w:pPr>
      <w:r>
        <w:rPr>
          <w:rStyle w:val="977"/>
          <w:rFonts w:hint="eastAsia" w:ascii="宋体" w:hAnsi="宋体" w:eastAsia="宋体" w:cs="宋体"/>
          <w:bCs/>
          <w:color w:val="auto"/>
          <w:kern w:val="0"/>
          <w:sz w:val="24"/>
          <w:szCs w:val="24"/>
          <w:highlight w:val="none"/>
        </w:rPr>
        <w:t>二、服务内容及要求</w:t>
      </w:r>
      <w:r>
        <w:rPr>
          <w:rStyle w:val="977"/>
          <w:rFonts w:hint="eastAsia" w:ascii="宋体" w:hAnsi="宋体" w:eastAsia="宋体" w:cs="宋体"/>
          <w:b/>
          <w:bCs/>
          <w:color w:val="auto"/>
          <w:kern w:val="0"/>
          <w:sz w:val="24"/>
          <w:szCs w:val="24"/>
          <w:highlight w:val="none"/>
        </w:rPr>
        <w:t>：</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（一）服务内容。</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在债券需求申报阶段，会计师事务所需开展项目调查、数据收集整理、现金流测算等工作，评估专项债券项目的预期收益与融资自求平衡情况，并在财政部门要求的时间内出具专项债项目实施方案、财评报告（初稿）及资金平衡表，用于向上级部门申报专项债券需求。</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2.在债券发行准备阶段，会计师事务所需按照财政部门的反馈意见，修改完善专项债项目实施方案（含绩效评价），并在财政部门要求的时间内出具加盖公章的财评报告正式稿，用于向社会披露债券项目信息。</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（3）会计师事务所需与财政部门招选的律师事务所密切合作、相互配合，协助对方及时出具债券发行所需文本材料。</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（4）现场参与财政部门组织的专项债券项目联审工作。</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（5）财政部门要求的其他专项债券发行前期准备工作，包括但不限对重大项目前期谋划提供现场辅导，协助进行项目收支预算表、募投信息表、信息披露表等发行所需资料的填报及核对。</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（二）服务要求。</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专项债券发行必须符合相关法律、行政法规和规范性文件的要求。供应商在中标后应在人员安排上及时给予保障，负责人与项目组主要成员必须是本单位人员，且投标文件中已确定的人员名单，在服务期内原则上不得更换，如有调整需征得征集人的同意。在接到征集人委托任务后应及时开展工作并出具各种专业报告。专业报告包括纸质和电子版两种形式，数量根据征集人在发债过程中的实际需要而定。</w:t>
      </w:r>
    </w:p>
    <w:p>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委托方有权对中标机构的服务质量和完成时效进行考核评价，评价内容包括及时性、准确性、完整性、合规性和配合度等，视评价情况酌情扣减相应项目的费用。</w:t>
      </w:r>
    </w:p>
    <w:p>
      <w:pPr>
        <w:pStyle w:val="35"/>
        <w:spacing w:line="400" w:lineRule="exact"/>
        <w:ind w:firstLine="480" w:firstLineChars="200"/>
        <w:rPr>
          <w:rFonts w:hint="eastAsia" w:ascii="宋体" w:hAnsi="宋体" w:eastAsia="宋体" w:cs="宋体"/>
          <w:color w:val="auto"/>
          <w:sz w:val="24"/>
          <w:highlight w:val="none"/>
        </w:rPr>
      </w:pPr>
      <w:r>
        <w:rPr>
          <w:rStyle w:val="977"/>
          <w:rFonts w:hint="eastAsia" w:ascii="宋体" w:hAnsi="宋体" w:eastAsia="宋体" w:cs="宋体"/>
          <w:bCs/>
          <w:color w:val="auto"/>
          <w:kern w:val="0"/>
          <w:sz w:val="24"/>
          <w:szCs w:val="24"/>
          <w:highlight w:val="none"/>
        </w:rPr>
        <w:t>三、服务期限：</w:t>
      </w:r>
      <w:r>
        <w:rPr>
          <w:rFonts w:hint="eastAsia" w:ascii="宋体" w:hAnsi="宋体" w:eastAsia="宋体" w:cs="宋体"/>
          <w:color w:val="auto"/>
          <w:sz w:val="24"/>
          <w:highlight w:val="none"/>
        </w:rPr>
        <w:t>2023-2025年，总服务期限不超过24个月，即二年。</w:t>
      </w:r>
      <w:r>
        <w:rPr>
          <w:rFonts w:hint="eastAsia" w:ascii="宋体" w:hAnsi="宋体" w:eastAsia="宋体" w:cs="宋体"/>
          <w:color w:val="auto"/>
          <w:sz w:val="24"/>
          <w:highlight w:val="none"/>
          <w:lang w:eastAsia="zh-CN"/>
        </w:rPr>
        <w:t>自</w:t>
      </w:r>
      <w:r>
        <w:rPr>
          <w:rFonts w:hint="eastAsia" w:ascii="宋体" w:hAnsi="宋体" w:eastAsia="宋体" w:cs="宋体"/>
          <w:color w:val="auto"/>
          <w:sz w:val="24"/>
          <w:highlight w:val="none"/>
          <w:lang w:val="en-US" w:eastAsia="zh-CN"/>
        </w:rPr>
        <w:t xml:space="preserve">  年  月  日至  年  月  日止</w:t>
      </w:r>
      <w:r>
        <w:rPr>
          <w:rFonts w:hint="eastAsia" w:ascii="宋体" w:hAnsi="宋体" w:eastAsia="宋体" w:cs="宋体"/>
          <w:color w:val="auto"/>
          <w:sz w:val="24"/>
          <w:highlight w:val="none"/>
        </w:rPr>
        <w:t>。合同每年一签，每年协议期满，根据考核情况及相关政策不变的情况下，可协商续签下一年度服务合同。甲方也有权重新组织采购。 续签合同期间的专业服务费收费标准维持不变。</w:t>
      </w:r>
    </w:p>
    <w:p>
      <w:pPr>
        <w:pStyle w:val="35"/>
        <w:spacing w:line="400" w:lineRule="exact"/>
        <w:ind w:firstLine="480" w:firstLineChars="200"/>
        <w:rPr>
          <w:rStyle w:val="977"/>
          <w:rFonts w:hint="eastAsia" w:ascii="宋体" w:hAnsi="宋体" w:eastAsia="宋体" w:cs="宋体"/>
          <w:bCs/>
          <w:color w:val="auto"/>
          <w:kern w:val="0"/>
          <w:sz w:val="24"/>
          <w:szCs w:val="24"/>
          <w:highlight w:val="none"/>
        </w:rPr>
      </w:pPr>
      <w:r>
        <w:rPr>
          <w:rStyle w:val="977"/>
          <w:rFonts w:hint="eastAsia" w:ascii="宋体" w:hAnsi="宋体" w:eastAsia="宋体" w:cs="宋体"/>
          <w:bCs/>
          <w:color w:val="auto"/>
          <w:kern w:val="0"/>
          <w:sz w:val="24"/>
          <w:szCs w:val="24"/>
          <w:highlight w:val="none"/>
        </w:rPr>
        <w:t>四、甲方责任与义务</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甲方的责任是提出项目服务的任务、工期要求等相关事项，协调工作过程中出现的有关问题。甲方的义务是对乙方的工作过程与结果进行监督，并对乙方的服务质量进行检查复核。</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五、乙方责任与义务</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1.乙方及其委派的工作人员应勤勉尽责，严格遵守执业规范和职业道德，按规定和约定履行义务，并就其自身的工作成果承担相应的责任。</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2.在政府专项债券发行过程中，乙方不得损害发行人的利益，也不得以欺诈、操纵市场等行为获取不正当利益。</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3.乙方出具的各种专业报告必须符合政府专项债券发行要求和相关法律法规，以及浙江省财政厅的申报要求；</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4.乙方及其委派的工作人员应履行保密义务，对执业过程中所获得的相关信息予以保密，不得私自对外泄露；</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5.乙方应与其他中介机构密切配合，共同推进债券发行工作，不得推诿、敷衍、拖延；</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6、服务响应：</w:t>
      </w:r>
    </w:p>
    <w:p>
      <w:pPr>
        <w:spacing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（1）乙方在入围后应在人员安排上给予及时保障，负责人与项目组主要成员必须是本单位人员，且响应文件中已确定的人员名单，在服务期内原则上不得更换，如有调整需征得甲方的同意。</w:t>
      </w:r>
    </w:p>
    <w:p>
      <w:pPr>
        <w:spacing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（2）在接到甲方委托任务后应及时开展工作并出具各种专业报告。专业报告包括纸质和电子版两种形式，数量根据甲方在发债过程中的实际需要量而定。</w:t>
      </w:r>
    </w:p>
    <w:p>
      <w:pPr>
        <w:snapToGrid w:val="0"/>
        <w:spacing w:line="460" w:lineRule="exact"/>
        <w:ind w:firstLine="480" w:firstLineChars="200"/>
        <w:rPr>
          <w:rFonts w:hint="eastAsia" w:ascii="宋体" w:hAnsi="宋体" w:eastAsia="宋体" w:cs="宋体"/>
          <w:color w:val="auto"/>
          <w:sz w:val="24"/>
          <w:highlight w:val="none"/>
        </w:rPr>
      </w:pPr>
      <w:r>
        <w:rPr>
          <w:rStyle w:val="977"/>
          <w:rFonts w:hint="eastAsia" w:ascii="宋体" w:hAnsi="宋体" w:eastAsia="宋体" w:cs="宋体"/>
          <w:bCs/>
          <w:color w:val="auto"/>
          <w:kern w:val="0"/>
          <w:sz w:val="24"/>
          <w:highlight w:val="none"/>
        </w:rPr>
        <w:t>六、</w:t>
      </w:r>
      <w:r>
        <w:rPr>
          <w:rFonts w:hint="eastAsia" w:ascii="宋体" w:hAnsi="宋体" w:eastAsia="宋体" w:cs="宋体"/>
          <w:color w:val="auto"/>
          <w:sz w:val="24"/>
          <w:highlight w:val="none"/>
        </w:rPr>
        <w:t>付款方式</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1.专业服务费一年结算一次，于每年度12月15日前结算本年度的应付专业服务费，结算金额经双方确认后20个工作日内完成支出。</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.由于</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原因致使本次政府专项债券发行失败的，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rPr>
        <w:t>有权拒付（或追回已付的）专业服务费；给</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rPr>
        <w:t>造成损失的，应予以赔偿。</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办理专业服务费结算时，需出具正式税务发票。</w:t>
      </w:r>
    </w:p>
    <w:p>
      <w:pPr>
        <w:pStyle w:val="18"/>
        <w:spacing w:line="460" w:lineRule="exact"/>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七、双方都有责任保守所知晓的对方的商业秘密，不得向第三方泄露。任何一方违反此协议，给对方造成损失，须承担赔偿责任。</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八、本协议在执行中，因乙方违约、解体或违反本协议中的有关条款，甲方有权立即终止协议。</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在执业过程中发现以下情形之一的，甲方有权更换会计师事务所：</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1.在投标中故意隐瞒与投标书不符的重大事实的；</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2.将中标业务转包或分包给其他会计师事务所的；</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3.无法完成或拒不完成本项目约定服务内容的；</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4.在服务期间因违法、违规行为被国家有关主管部门给予重大行政处罚的；</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5.严重违反有关规定，且拒不改正的；</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6.其他严重违法、违规行为。</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九、免责条件</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1.双方任何一方由于严重火灾、水灾、台风、地震、不可遇见事故及其它双方均认可的不可抗力因素所造成的损失和影响，双方互不承担责任。</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2.受不可抗力因素影响的一方应在不可抗力发生后3天内书面告知另一方，并在事故发生后7天内，向另一方出具有效的事实证明材料。</w:t>
      </w:r>
    </w:p>
    <w:p>
      <w:pPr>
        <w:pStyle w:val="18"/>
        <w:spacing w:line="4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3.如遇上级部门政策调整，本合同自动终止。</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十、纠纷解决方式</w:t>
      </w:r>
    </w:p>
    <w:p>
      <w:pPr>
        <w:pStyle w:val="35"/>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1.凡与本合同有关的任何纠纷，买、卖双方应通过友好协商，妥善解决。如通过协商仍不能解决时，应向甲方所在地的人民法院诉讼解决。</w:t>
      </w:r>
    </w:p>
    <w:p>
      <w:pPr>
        <w:pStyle w:val="35"/>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2.诉讼费及律师费除法院另有裁决外，由败诉方承担。</w:t>
      </w:r>
    </w:p>
    <w:p>
      <w:pPr>
        <w:pStyle w:val="35"/>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3.在诉讼期间，除正在进行诉讼的部分外，本合同其他部分应继续执行。</w:t>
      </w:r>
    </w:p>
    <w:p>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十一、合同生效及其它</w:t>
      </w:r>
    </w:p>
    <w:p>
      <w:pPr>
        <w:pStyle w:val="633"/>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1.协议经甲、乙双方签名并加盖单位公章后生效。</w:t>
      </w:r>
    </w:p>
    <w:p>
      <w:pPr>
        <w:pStyle w:val="633"/>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2.协议执行中涉及采购资金和采购内容修改或补充的，须经财政部门审批，并签书面补充协议，经报政府采购监督管理部门备案后，方可作为主协议不可分割的一部分。</w:t>
      </w:r>
    </w:p>
    <w:p>
      <w:pPr>
        <w:pStyle w:val="633"/>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3.征集文件、乙方的响应文件与本协议具有同等法律效力。</w:t>
      </w:r>
    </w:p>
    <w:p>
      <w:pPr>
        <w:pStyle w:val="633"/>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4.本协议未尽事宜，遵照《中华人民共和国民法典》有关条文执行。</w:t>
      </w:r>
    </w:p>
    <w:p>
      <w:pPr>
        <w:pStyle w:val="633"/>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5.本协议一式五份，具有同等法律效力，甲、乙双方各执二份，备案一份。</w:t>
      </w:r>
    </w:p>
    <w:p>
      <w:pPr>
        <w:pStyle w:val="35"/>
        <w:spacing w:line="400" w:lineRule="exact"/>
        <w:ind w:firstLine="480" w:firstLineChars="200"/>
        <w:rPr>
          <w:rStyle w:val="977"/>
          <w:rFonts w:hint="eastAsia" w:ascii="宋体" w:hAnsi="宋体" w:eastAsia="宋体" w:cs="宋体"/>
          <w:bCs/>
          <w:color w:val="auto"/>
          <w:kern w:val="0"/>
          <w:sz w:val="24"/>
          <w:szCs w:val="24"/>
          <w:highlight w:val="none"/>
        </w:rPr>
      </w:pPr>
    </w:p>
    <w:p>
      <w:pPr>
        <w:pStyle w:val="35"/>
        <w:spacing w:line="400" w:lineRule="exact"/>
        <w:ind w:firstLine="480" w:firstLineChars="200"/>
        <w:rPr>
          <w:rStyle w:val="977"/>
          <w:rFonts w:hint="eastAsia" w:ascii="宋体" w:hAnsi="宋体" w:eastAsia="宋体" w:cs="宋体"/>
          <w:bCs/>
          <w:color w:val="auto"/>
          <w:kern w:val="0"/>
          <w:sz w:val="24"/>
          <w:szCs w:val="24"/>
          <w:highlight w:val="none"/>
        </w:rPr>
      </w:pPr>
    </w:p>
    <w:tbl>
      <w:tblPr>
        <w:tblStyle w:val="6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3" w:hRule="atLeast"/>
          <w:jc w:val="center"/>
        </w:trPr>
        <w:tc>
          <w:tcPr>
            <w:tcW w:w="4705"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甲方（采购）</w:t>
            </w:r>
            <w:r>
              <w:rPr>
                <w:rFonts w:hint="eastAsia" w:ascii="宋体" w:hAnsi="宋体" w:eastAsia="宋体" w:cs="宋体"/>
                <w:b/>
                <w:bCs/>
                <w:color w:val="auto"/>
                <w:sz w:val="24"/>
                <w:highlight w:val="none"/>
                <w:lang w:eastAsia="zh-CN"/>
              </w:rPr>
              <w:t>：</w:t>
            </w:r>
          </w:p>
          <w:p>
            <w:pPr>
              <w:spacing w:line="360" w:lineRule="auto"/>
              <w:ind w:left="-171"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spacing w:line="360" w:lineRule="auto"/>
              <w:ind w:left="-171"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法定（委托）代表人</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p>
        </w:tc>
        <w:tc>
          <w:tcPr>
            <w:tcW w:w="4714"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乙方（服务）</w:t>
            </w:r>
            <w:r>
              <w:rPr>
                <w:rFonts w:hint="eastAsia" w:ascii="宋体" w:hAnsi="宋体" w:eastAsia="宋体" w:cs="宋体"/>
                <w:b/>
                <w:bCs/>
                <w:color w:val="auto"/>
                <w:sz w:val="24"/>
                <w:highlight w:val="none"/>
                <w:lang w:eastAsia="zh-CN"/>
              </w:rPr>
              <w:t>：</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法定（委托）代表人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p>
        </w:tc>
      </w:tr>
    </w:tbl>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Cs/>
          <w:color w:val="auto"/>
          <w:sz w:val="24"/>
          <w:highlight w:val="none"/>
        </w:rPr>
        <w:t xml:space="preserve">                                          合同签订时间：   年   月  日  </w:t>
      </w:r>
    </w:p>
    <w:p>
      <w:pPr>
        <w:autoSpaceDE w:val="0"/>
        <w:autoSpaceDN w:val="0"/>
        <w:snapToGrid w:val="0"/>
        <w:spacing w:before="31" w:beforeLines="10" w:line="400" w:lineRule="atLeast"/>
        <w:jc w:val="left"/>
        <w:textAlignment w:val="bottom"/>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28"/>
          <w:szCs w:val="28"/>
          <w:highlight w:val="none"/>
        </w:rPr>
        <w:t xml:space="preserve"> </w:t>
      </w:r>
    </w:p>
    <w:p>
      <w:pPr>
        <w:rPr>
          <w:rFonts w:hint="eastAsia" w:ascii="宋体" w:hAnsi="宋体" w:eastAsia="宋体" w:cs="宋体"/>
          <w:b/>
          <w:i w:val="0"/>
          <w:iCs w:val="0"/>
          <w:color w:val="auto"/>
          <w:sz w:val="32"/>
          <w:szCs w:val="32"/>
          <w:highlight w:val="none"/>
        </w:rPr>
      </w:pPr>
    </w:p>
    <w:p>
      <w:pPr>
        <w:spacing w:line="360" w:lineRule="auto"/>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br w:type="page"/>
      </w:r>
    </w:p>
    <w:p>
      <w:pPr>
        <w:spacing w:line="360" w:lineRule="auto"/>
        <w:jc w:val="center"/>
        <w:rPr>
          <w:rFonts w:hint="eastAsia" w:ascii="宋体" w:hAnsi="宋体" w:eastAsia="宋体" w:cs="宋体"/>
          <w:b/>
          <w:i w:val="0"/>
          <w:iCs w:val="0"/>
          <w:color w:val="auto"/>
          <w:sz w:val="32"/>
          <w:szCs w:val="32"/>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杭州市余杭区</w:t>
      </w:r>
      <w:r>
        <w:rPr>
          <w:rFonts w:hint="eastAsia" w:ascii="宋体" w:hAnsi="宋体" w:eastAsia="宋体" w:cs="宋体"/>
          <w:b/>
          <w:color w:val="auto"/>
          <w:sz w:val="36"/>
          <w:szCs w:val="36"/>
          <w:highlight w:val="none"/>
        </w:rPr>
        <w:t>2023-2025年度专项债券发行准备财务会计专业服务采购项目</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服 务 合 同</w:t>
      </w:r>
    </w:p>
    <w:p>
      <w:pPr>
        <w:pStyle w:val="35"/>
        <w:snapToGrid w:val="0"/>
        <w:spacing w:line="360" w:lineRule="auto"/>
        <w:ind w:firstLine="1890" w:firstLineChars="900"/>
        <w:rPr>
          <w:rFonts w:hint="eastAsia" w:ascii="宋体" w:hAnsi="宋体" w:eastAsia="宋体" w:cs="宋体"/>
          <w:color w:val="auto"/>
          <w:kern w:val="0"/>
          <w:highlight w:val="none"/>
        </w:rPr>
      </w:pPr>
    </w:p>
    <w:p>
      <w:pPr>
        <w:pStyle w:val="35"/>
        <w:snapToGrid w:val="0"/>
        <w:spacing w:line="360" w:lineRule="auto"/>
        <w:ind w:firstLine="1890" w:firstLineChars="900"/>
        <w:rPr>
          <w:rFonts w:hint="eastAsia" w:ascii="宋体" w:hAnsi="宋体" w:eastAsia="宋体" w:cs="宋体"/>
          <w:color w:val="auto"/>
          <w:kern w:val="0"/>
          <w:highlight w:val="none"/>
        </w:rPr>
      </w:pPr>
    </w:p>
    <w:p>
      <w:pPr>
        <w:pStyle w:val="35"/>
        <w:snapToGrid w:val="0"/>
        <w:spacing w:line="360" w:lineRule="auto"/>
        <w:ind w:firstLine="1890" w:firstLineChars="9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 xml:space="preserve"> </w:t>
      </w:r>
    </w:p>
    <w:p>
      <w:pPr>
        <w:autoSpaceDE w:val="0"/>
        <w:autoSpaceDN w:val="0"/>
        <w:snapToGrid w:val="0"/>
        <w:spacing w:before="312" w:beforeLines="100"/>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ab/>
      </w:r>
    </w:p>
    <w:p>
      <w:pPr>
        <w:autoSpaceDE w:val="0"/>
        <w:autoSpaceDN w:val="0"/>
        <w:snapToGrid w:val="0"/>
        <w:spacing w:before="312" w:beforeLines="100"/>
        <w:textAlignment w:val="bottom"/>
        <w:rPr>
          <w:rFonts w:hint="eastAsia" w:ascii="宋体" w:hAnsi="宋体" w:eastAsia="宋体" w:cs="宋体"/>
          <w:color w:val="auto"/>
          <w:kern w:val="0"/>
          <w:sz w:val="28"/>
          <w:szCs w:val="28"/>
          <w:highlight w:val="none"/>
        </w:rPr>
      </w:pPr>
    </w:p>
    <w:p>
      <w:pPr>
        <w:autoSpaceDE w:val="0"/>
        <w:autoSpaceDN w:val="0"/>
        <w:snapToGrid w:val="0"/>
        <w:spacing w:before="312" w:beforeLines="100"/>
        <w:textAlignment w:val="bottom"/>
        <w:rPr>
          <w:rFonts w:hint="eastAsia" w:ascii="宋体" w:hAnsi="宋体" w:eastAsia="宋体" w:cs="宋体"/>
          <w:color w:val="auto"/>
          <w:kern w:val="0"/>
          <w:sz w:val="28"/>
          <w:szCs w:val="28"/>
          <w:highlight w:val="none"/>
        </w:rPr>
      </w:pPr>
    </w:p>
    <w:p>
      <w:pPr>
        <w:autoSpaceDE w:val="0"/>
        <w:autoSpaceDN w:val="0"/>
        <w:snapToGrid w:val="0"/>
        <w:spacing w:before="312" w:beforeLines="100"/>
        <w:textAlignment w:val="bottom"/>
        <w:rPr>
          <w:rFonts w:hint="eastAsia" w:ascii="宋体" w:hAnsi="宋体" w:eastAsia="宋体" w:cs="宋体"/>
          <w:color w:val="auto"/>
          <w:kern w:val="0"/>
          <w:sz w:val="28"/>
          <w:szCs w:val="28"/>
          <w:highlight w:val="none"/>
        </w:rPr>
      </w:pPr>
    </w:p>
    <w:p>
      <w:pPr>
        <w:autoSpaceDE w:val="0"/>
        <w:autoSpaceDN w:val="0"/>
        <w:snapToGrid w:val="0"/>
        <w:spacing w:before="312" w:beforeLines="100"/>
        <w:textAlignment w:val="bottom"/>
        <w:rPr>
          <w:rFonts w:hint="eastAsia" w:ascii="宋体" w:hAnsi="宋体" w:eastAsia="宋体" w:cs="宋体"/>
          <w:color w:val="auto"/>
          <w:kern w:val="0"/>
          <w:sz w:val="28"/>
          <w:szCs w:val="28"/>
          <w:highlight w:val="none"/>
        </w:rPr>
      </w:pPr>
    </w:p>
    <w:p>
      <w:pPr>
        <w:autoSpaceDE w:val="0"/>
        <w:autoSpaceDN w:val="0"/>
        <w:snapToGrid w:val="0"/>
        <w:spacing w:before="312" w:beforeLines="100"/>
        <w:ind w:firstLine="1120" w:firstLineChars="400"/>
        <w:textAlignment w:val="bottom"/>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 xml:space="preserve">甲方（采购方）： </w:t>
      </w:r>
    </w:p>
    <w:p>
      <w:pPr>
        <w:autoSpaceDE w:val="0"/>
        <w:autoSpaceDN w:val="0"/>
        <w:snapToGrid w:val="0"/>
        <w:spacing w:before="312" w:beforeLines="100"/>
        <w:ind w:firstLine="980" w:firstLineChars="350"/>
        <w:textAlignment w:val="bottom"/>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 xml:space="preserve"> 乙方（服务方）： </w:t>
      </w:r>
    </w:p>
    <w:p>
      <w:pPr>
        <w:autoSpaceDE w:val="0"/>
        <w:autoSpaceDN w:val="0"/>
        <w:snapToGrid w:val="0"/>
        <w:spacing w:before="312" w:beforeLines="100"/>
        <w:ind w:right="206" w:rightChars="98" w:firstLine="980" w:firstLineChars="350"/>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签署地点：</w:t>
      </w:r>
    </w:p>
    <w:p>
      <w:pPr>
        <w:autoSpaceDE w:val="0"/>
        <w:autoSpaceDN w:val="0"/>
        <w:snapToGrid w:val="0"/>
        <w:spacing w:before="312" w:beforeLines="100"/>
        <w:ind w:right="206" w:rightChars="98"/>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 xml:space="preserve">  签署日期：</w:t>
      </w:r>
    </w:p>
    <w:p>
      <w:pPr>
        <w:pStyle w:val="35"/>
        <w:snapToGrid w:val="0"/>
        <w:jc w:val="left"/>
        <w:rPr>
          <w:rFonts w:hint="eastAsia" w:ascii="宋体" w:hAnsi="宋体" w:eastAsia="宋体" w:cs="宋体"/>
          <w:color w:val="auto"/>
          <w:kern w:val="0"/>
          <w:sz w:val="32"/>
          <w:szCs w:val="32"/>
          <w:highlight w:val="none"/>
        </w:rPr>
      </w:pPr>
    </w:p>
    <w:p>
      <w:pPr>
        <w:widowControl/>
        <w:spacing w:beforeAutospacing="1" w:afterAutospacing="1"/>
        <w:jc w:val="left"/>
        <w:rPr>
          <w:rFonts w:hint="eastAsia" w:ascii="宋体" w:hAnsi="宋体" w:eastAsia="宋体" w:cs="宋体"/>
          <w:color w:val="auto"/>
          <w:kern w:val="0"/>
          <w:sz w:val="24"/>
          <w:highlight w:val="none"/>
        </w:rPr>
        <w:sectPr>
          <w:footerReference r:id="rId12" w:type="default"/>
          <w:pgSz w:w="11906" w:h="16838"/>
          <w:pgMar w:top="1440" w:right="1576" w:bottom="1440" w:left="1576" w:header="720" w:footer="720" w:gutter="0"/>
          <w:pgNumType w:fmt="numberInDash"/>
          <w:cols w:space="720" w:num="1"/>
          <w:docGrid w:type="lines" w:linePitch="312" w:charSpace="0"/>
        </w:sectPr>
      </w:pPr>
    </w:p>
    <w:p>
      <w:pPr>
        <w:adjustRightInd/>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杭州</w:t>
      </w:r>
      <w:r>
        <w:rPr>
          <w:rFonts w:hint="eastAsia" w:ascii="宋体" w:hAnsi="宋体" w:eastAsia="宋体" w:cs="宋体"/>
          <w:color w:val="auto"/>
          <w:sz w:val="24"/>
          <w:highlight w:val="none"/>
        </w:rPr>
        <w:t>市</w:t>
      </w:r>
      <w:r>
        <w:rPr>
          <w:rFonts w:hint="eastAsia" w:ascii="宋体" w:hAnsi="宋体" w:eastAsia="宋体" w:cs="宋体"/>
          <w:color w:val="auto"/>
          <w:sz w:val="24"/>
          <w:highlight w:val="none"/>
          <w:lang w:val="en-US" w:eastAsia="zh-CN"/>
        </w:rPr>
        <w:t>余杭区</w:t>
      </w:r>
      <w:r>
        <w:rPr>
          <w:rFonts w:hint="eastAsia" w:ascii="宋体" w:hAnsi="宋体" w:eastAsia="宋体" w:cs="宋体"/>
          <w:color w:val="auto"/>
          <w:sz w:val="24"/>
          <w:highlight w:val="none"/>
        </w:rPr>
        <w:t>财政局与于_____年_____月_____日签订的</w:t>
      </w:r>
      <w:r>
        <w:rPr>
          <w:rFonts w:hint="eastAsia" w:ascii="宋体" w:hAnsi="宋体" w:eastAsia="宋体" w:cs="宋体"/>
          <w:color w:val="auto"/>
          <w:sz w:val="24"/>
          <w:highlight w:val="none"/>
          <w:lang w:val="en-US" w:eastAsia="zh-CN"/>
        </w:rPr>
        <w:t>杭州市余杭区</w:t>
      </w:r>
      <w:r>
        <w:rPr>
          <w:rFonts w:hint="eastAsia" w:ascii="宋体" w:hAnsi="宋体" w:eastAsia="宋体" w:cs="宋体"/>
          <w:color w:val="auto"/>
          <w:sz w:val="24"/>
          <w:highlight w:val="none"/>
        </w:rPr>
        <w:t>2023-2025年度专项债券发行准备财务会计专业服务采购项目《框架协议》（项目编号：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）要求，并依照《中华人民共和国民法典》等有关法律、行政法规的规定，在平等、公平、诚实和信用的原则下，经乙方与甲方____ 协商一致，签订以下条款并遵照执行。</w:t>
      </w:r>
    </w:p>
    <w:p>
      <w:pPr>
        <w:snapToGrid w:val="0"/>
        <w:spacing w:line="40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w:t>
      </w:r>
      <w:r>
        <w:rPr>
          <w:rStyle w:val="977"/>
          <w:rFonts w:hint="eastAsia" w:ascii="宋体" w:hAnsi="宋体" w:eastAsia="宋体" w:cs="宋体"/>
          <w:b/>
          <w:color w:val="auto"/>
          <w:kern w:val="0"/>
          <w:sz w:val="24"/>
          <w:highlight w:val="none"/>
        </w:rPr>
        <w:t>服务清单</w:t>
      </w:r>
      <w:r>
        <w:rPr>
          <w:rStyle w:val="977"/>
          <w:rFonts w:hint="eastAsia" w:ascii="宋体" w:hAnsi="宋体" w:eastAsia="宋体" w:cs="宋体"/>
          <w:b/>
          <w:color w:val="auto"/>
          <w:sz w:val="24"/>
          <w:highlight w:val="none"/>
        </w:rPr>
        <w:t>及单价</w:t>
      </w:r>
    </w:p>
    <w:tbl>
      <w:tblPr>
        <w:tblStyle w:val="64"/>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6140"/>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14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c>
          <w:tcPr>
            <w:tcW w:w="161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rPr>
            </w:pPr>
            <w:r>
              <w:rPr>
                <w:rStyle w:val="977"/>
                <w:rFonts w:hint="eastAsia" w:ascii="宋体" w:hAnsi="宋体" w:eastAsia="宋体" w:cs="宋体"/>
                <w:bCs/>
                <w:color w:val="auto"/>
                <w:sz w:val="24"/>
                <w:highlight w:val="none"/>
              </w:rPr>
              <w:t>协议单价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exac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614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出具加盖第三方中介机构公章的财务评估报告（正式稿）并首次成功发行专项债的项目</w:t>
            </w:r>
          </w:p>
        </w:tc>
        <w:tc>
          <w:tcPr>
            <w:tcW w:w="161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万元/个</w:t>
            </w:r>
          </w:p>
        </w:tc>
      </w:tr>
    </w:tbl>
    <w:p>
      <w:pPr>
        <w:pStyle w:val="565"/>
        <w:spacing w:line="360" w:lineRule="auto"/>
        <w:ind w:firstLine="482" w:firstLineChars="200"/>
        <w:rPr>
          <w:rStyle w:val="977"/>
          <w:rFonts w:hint="eastAsia" w:ascii="宋体" w:hAnsi="宋体" w:eastAsia="宋体" w:cs="宋体"/>
          <w:b/>
          <w:bCs/>
          <w:color w:val="auto"/>
          <w:sz w:val="24"/>
          <w:szCs w:val="24"/>
          <w:highlight w:val="none"/>
        </w:rPr>
      </w:pPr>
      <w:r>
        <w:rPr>
          <w:rStyle w:val="977"/>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highlight w:val="none"/>
        </w:rPr>
        <w:t>已出具财务评估报告但未发行成功的项目按中标价的</w:t>
      </w:r>
      <w:r>
        <w:rPr>
          <w:rFonts w:hint="eastAsia" w:ascii="宋体" w:hAnsi="宋体" w:eastAsia="宋体" w:cs="宋体"/>
          <w:b/>
          <w:bCs/>
          <w:color w:val="auto"/>
          <w:kern w:val="0"/>
          <w:sz w:val="24"/>
          <w:highlight w:val="none"/>
          <w:lang w:val="en-US" w:eastAsia="zh-CN"/>
        </w:rPr>
        <w:t>20</w:t>
      </w:r>
      <w:r>
        <w:rPr>
          <w:rFonts w:hint="eastAsia" w:ascii="宋体" w:hAnsi="宋体" w:eastAsia="宋体" w:cs="宋体"/>
          <w:b/>
          <w:bCs/>
          <w:color w:val="auto"/>
          <w:kern w:val="0"/>
          <w:sz w:val="24"/>
          <w:highlight w:val="none"/>
        </w:rPr>
        <w:t>%计算收费</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发行成功的专项债项目后续再次发行成功，重新出具</w:t>
      </w:r>
      <w:r>
        <w:rPr>
          <w:rFonts w:hint="eastAsia" w:ascii="宋体" w:hAnsi="宋体" w:eastAsia="宋体" w:cs="宋体"/>
          <w:b/>
          <w:bCs/>
          <w:color w:val="auto"/>
          <w:kern w:val="0"/>
          <w:sz w:val="24"/>
          <w:highlight w:val="none"/>
        </w:rPr>
        <w:t>财务评估报告</w:t>
      </w:r>
      <w:r>
        <w:rPr>
          <w:rFonts w:hint="eastAsia" w:ascii="宋体" w:hAnsi="宋体" w:eastAsia="宋体" w:cs="宋体"/>
          <w:b/>
          <w:bCs/>
          <w:color w:val="auto"/>
          <w:kern w:val="0"/>
          <w:sz w:val="24"/>
          <w:highlight w:val="none"/>
          <w:lang w:val="en-US" w:eastAsia="zh-CN"/>
        </w:rPr>
        <w:t>的，按中标价的20%计算收费</w:t>
      </w:r>
      <w:r>
        <w:rPr>
          <w:rStyle w:val="977"/>
          <w:rFonts w:hint="eastAsia" w:ascii="宋体" w:hAnsi="宋体" w:eastAsia="宋体" w:cs="宋体"/>
          <w:b/>
          <w:bCs/>
          <w:color w:val="auto"/>
          <w:sz w:val="24"/>
          <w:szCs w:val="24"/>
          <w:highlight w:val="none"/>
        </w:rPr>
        <w:t>，对该发行批次该项目的收费不得高于中标价。</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2.制作项目实施方案、出具财评报告初稿及资金平衡表等工作，要求第三方中介机构不得另行收费。</w:t>
      </w:r>
    </w:p>
    <w:p>
      <w:pPr>
        <w:pStyle w:val="565"/>
        <w:spacing w:line="360" w:lineRule="auto"/>
        <w:ind w:firstLine="480" w:firstLineChars="200"/>
        <w:rPr>
          <w:rStyle w:val="977"/>
          <w:rFonts w:hint="eastAsia" w:ascii="宋体" w:hAnsi="宋体" w:eastAsia="宋体" w:cs="宋体"/>
          <w:color w:val="auto"/>
          <w:sz w:val="24"/>
          <w:szCs w:val="24"/>
          <w:highlight w:val="none"/>
        </w:rPr>
      </w:pPr>
      <w:r>
        <w:rPr>
          <w:rStyle w:val="977"/>
          <w:rFonts w:hint="eastAsia" w:ascii="宋体" w:hAnsi="宋体" w:eastAsia="宋体" w:cs="宋体"/>
          <w:color w:val="auto"/>
          <w:sz w:val="24"/>
          <w:szCs w:val="24"/>
          <w:highlight w:val="none"/>
        </w:rPr>
        <w:t>3.以上入围单价包含所需的一切费用。</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4.服务数量：服务期内，具体服务量在实际需要量为准。甲方不保证最低供应数量或金额。</w:t>
      </w:r>
    </w:p>
    <w:p>
      <w:pPr>
        <w:spacing w:line="360" w:lineRule="auto"/>
        <w:ind w:firstLine="480" w:firstLineChars="200"/>
        <w:rPr>
          <w:rFonts w:hint="eastAsia" w:ascii="宋体" w:hAnsi="宋体" w:eastAsia="宋体" w:cs="宋体"/>
          <w:color w:val="auto"/>
          <w:sz w:val="24"/>
          <w:highlight w:val="none"/>
        </w:rPr>
      </w:pPr>
      <w:r>
        <w:rPr>
          <w:rStyle w:val="977"/>
          <w:rFonts w:hint="eastAsia" w:ascii="宋体" w:hAnsi="宋体" w:eastAsia="宋体" w:cs="宋体"/>
          <w:bCs/>
          <w:color w:val="auto"/>
          <w:kern w:val="0"/>
          <w:sz w:val="24"/>
          <w:szCs w:val="24"/>
          <w:highlight w:val="none"/>
          <w:lang w:val="en-US" w:eastAsia="zh-CN"/>
        </w:rPr>
        <w:t>5.</w:t>
      </w:r>
      <w:r>
        <w:rPr>
          <w:rFonts w:hint="eastAsia" w:ascii="宋体" w:hAnsi="宋体" w:eastAsia="宋体" w:cs="宋体"/>
          <w:color w:val="auto"/>
          <w:sz w:val="24"/>
          <w:highlight w:val="none"/>
        </w:rPr>
        <w:t>本项目确定第二阶段成交供应商的方式采用：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sym w:font="Wingdings 2" w:char="00A3"/>
      </w:r>
      <w:r>
        <w:rPr>
          <w:rFonts w:hint="eastAsia" w:ascii="宋体" w:hAnsi="宋体" w:eastAsia="宋体" w:cs="宋体"/>
          <w:b/>
          <w:bCs/>
          <w:color w:val="auto"/>
          <w:sz w:val="24"/>
          <w:highlight w:val="none"/>
        </w:rPr>
        <w:t>直接选定方式。由征集人或者服务对象依据入围产品价格、质量以及服务便利性、用户评价等因素，从入围供应商中直接选定。</w:t>
      </w:r>
    </w:p>
    <w:p>
      <w:pPr>
        <w:pStyle w:val="18"/>
        <w:spacing w:line="360" w:lineRule="auto"/>
        <w:ind w:left="0" w:leftChars="0" w:firstLine="482" w:firstLineChars="200"/>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sym w:font="Wingdings 2" w:char="00A3"/>
      </w:r>
      <w:r>
        <w:rPr>
          <w:rFonts w:hint="eastAsia" w:ascii="宋体" w:hAnsi="宋体" w:eastAsia="宋体" w:cs="宋体"/>
          <w:b/>
          <w:bCs/>
          <w:color w:val="auto"/>
          <w:sz w:val="24"/>
          <w:highlight w:val="none"/>
        </w:rPr>
        <w:t>二次竞价方式。以框架协议约定的入围产品、采购合同文本等为依据，以协议价格为最高限价，征集人明确第二阶段竞价需求，从入围供应商中选择所有符合竞价需求的供应商参与二次竞价，确定报价最低的为成交供应商的方式</w:t>
      </w:r>
      <w:r>
        <w:rPr>
          <w:rFonts w:hint="eastAsia" w:ascii="宋体" w:hAnsi="宋体" w:eastAsia="宋体" w:cs="宋体"/>
          <w:b/>
          <w:bCs/>
          <w:color w:val="auto"/>
          <w:sz w:val="24"/>
          <w:highlight w:val="none"/>
          <w:lang w:eastAsia="zh-CN"/>
        </w:rPr>
        <w:t>。</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二、服务期限</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2023-2025年，总服务期限不超过24个月，即二年。</w:t>
      </w:r>
      <w:r>
        <w:rPr>
          <w:rFonts w:hint="eastAsia" w:ascii="宋体" w:hAnsi="宋体" w:eastAsia="宋体" w:cs="宋体"/>
          <w:color w:val="auto"/>
          <w:sz w:val="24"/>
          <w:highlight w:val="none"/>
          <w:lang w:eastAsia="zh-CN"/>
        </w:rPr>
        <w:t>自</w:t>
      </w:r>
      <w:r>
        <w:rPr>
          <w:rFonts w:hint="eastAsia" w:ascii="宋体" w:hAnsi="宋体" w:eastAsia="宋体" w:cs="宋体"/>
          <w:color w:val="auto"/>
          <w:sz w:val="24"/>
          <w:highlight w:val="none"/>
          <w:lang w:val="en-US" w:eastAsia="zh-CN"/>
        </w:rPr>
        <w:t xml:space="preserve">  年  月  日至  年  月  日止。</w:t>
      </w:r>
      <w:r>
        <w:rPr>
          <w:rFonts w:hint="eastAsia" w:ascii="宋体" w:hAnsi="宋体" w:eastAsia="宋体" w:cs="宋体"/>
          <w:color w:val="auto"/>
          <w:sz w:val="24"/>
          <w:highlight w:val="none"/>
        </w:rPr>
        <w:t>合同每年一签，每年协议期满，根据考核情况及相关政策不变的情况下，可协商续签下一年度服务合同。甲方也有权重新组织采购。 续签合同期间的专业服务费收费标准维持不变。（最终期限需与框架协议期限一致）。</w:t>
      </w:r>
    </w:p>
    <w:p>
      <w:pPr>
        <w:pStyle w:val="35"/>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kern w:val="0"/>
          <w:sz w:val="24"/>
          <w:highlight w:val="none"/>
        </w:rPr>
        <w:t>服务内容及要求</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（一）服务内容。</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在债券需求申报阶段，会计师事务所需开展项目调查、数据收集整理、现金流测算等工作，评估专项债券项目的预期收益与融资自求平衡情况，并在财政部门要求的时间内出具专项债项目实施方案、财评报告（初稿）及资金平衡表，用于向上级部门申报专项债券需求。</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2.在债券发行准备阶段，会计师事务所需按照财政部门的反馈意见，修改完善专项债项目实施方案（含绩效评价），并在财政部门要求的时间内出具加盖公章的财评报告正式稿，用于向社会披露债券项目信息。</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（3）会计师事务所需与财政部门招选的律师事务所密切合作、相互配合，协助对方及时出具债券发行所需文本材料。</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（4）现场参与财政部门组织的专项债券项目联审工作。</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（5）财政部门要求的其他专项债券发行前期准备工作，包括但不限对重大项目前期谋划提供现场辅导，协助进行项目收支预算表、募投信息表、信息披露表等发行所需资料的填报及核对。</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（二）服务要求。</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专项债券发行必须符合相关法律、行政法规和规范性文件的要求。供应商在中标后应在人员安排上及时给予保障，负责人与项目组主要成员必须是本单位人员，且投标文件中已确定的人员名单，在服务期内原则上不得更换，如有调整需征得征集人的同意。在接到征集人委托任务后应及时开展工作并出具各种专业报告。专业报告包括纸质和电子版两种形式，数量根据征集人在发债过程中的实际需要而定。</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委托方有权对中标机构的服务质量和完成时效进行考核评价，评价内容包括及时性、准确性、完整性、合规性和配合度等，视评价情况酌情扣减相应项目的费用。</w:t>
      </w:r>
    </w:p>
    <w:p>
      <w:pPr>
        <w:pStyle w:val="247"/>
        <w:spacing w:line="360" w:lineRule="auto"/>
        <w:ind w:firstLine="482"/>
        <w:rPr>
          <w:rFonts w:hint="eastAsia" w:ascii="宋体" w:hAnsi="宋体" w:eastAsia="宋体" w:cs="宋体"/>
          <w:b/>
          <w:color w:val="auto"/>
          <w:kern w:val="2"/>
          <w:szCs w:val="24"/>
          <w:highlight w:val="none"/>
        </w:rPr>
      </w:pPr>
      <w:r>
        <w:rPr>
          <w:rFonts w:hint="eastAsia" w:ascii="宋体" w:hAnsi="宋体" w:eastAsia="宋体" w:cs="宋体"/>
          <w:b/>
          <w:bCs/>
          <w:color w:val="auto"/>
          <w:highlight w:val="none"/>
        </w:rPr>
        <w:t>四、</w:t>
      </w:r>
      <w:r>
        <w:rPr>
          <w:rFonts w:hint="eastAsia" w:ascii="宋体" w:hAnsi="宋体" w:eastAsia="宋体" w:cs="宋体"/>
          <w:b/>
          <w:color w:val="auto"/>
          <w:kern w:val="2"/>
          <w:szCs w:val="24"/>
          <w:highlight w:val="none"/>
        </w:rPr>
        <w:t>甲方责任与义务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甲方的责任是提出项目服务的任务、工期要求等相关事项，协调工作过程中出现的有关问题。甲方的义务是对乙方的工作过程与结果进行监督，并对乙方的服务质量进行检查复核。</w:t>
      </w:r>
    </w:p>
    <w:p>
      <w:pPr>
        <w:pStyle w:val="247"/>
        <w:spacing w:line="360" w:lineRule="auto"/>
        <w:ind w:firstLine="482"/>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五、乙方责任与义务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1.乙方及其委派的工作人员应勤勉尽责，严格遵守执业规范和职业道德，按规定和约定履行义务，并就其自身的工作成果承担相应的责任。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2.在政府专项债券发行过程中，乙方不得损害发行人的利益，也不得以欺诈、操纵市场等行为获取不正当利益。</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3.乙方出具的各种专业报告必须符合政府专项债券发行要求和相关法律法规，以及浙江省财政厅的申报要求；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4.乙方及其委派的工作人员应履行保密义务，对执业过程中所获得的相关信息予以保密，不得私自对外泄露；</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5.乙方应与其他中介机构密切配合，共同推进债券发行工作，不得推诿、敷衍、拖延；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6、服务响应：</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（1）乙方在入围后应在人员安排上给予及时保障，负责人与项目组主要成员必须是本单位人员，且响应文件中已确定的人员名单，在服务期内原则上不得更换，如有调整需征得甲方的同意。</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（2）在接到甲方委托任务后应及时开展工作并出具各种专业报告。专业报告包括纸质和电子版两种形式，数量根据甲方在发债过程中的实际需要量而定。</w:t>
      </w:r>
    </w:p>
    <w:p>
      <w:pPr>
        <w:autoSpaceDE w:val="0"/>
        <w:autoSpaceDN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六、结算方式</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1.专业服务费一年结算一次，于每年度12月15日前结算本年度的应付专业服务费，结算金额经双方确认后20个工作日内完成支出。</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2.专业服务费由各批次政府专项债券所涉及的财政部门分别进行结算和支付，具体以合同约定为准。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3.由于</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原因致使本次政府专项债券发行失败的，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rPr>
        <w:t>有权拒付（或追回已付的）专业服务费；给</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rPr>
        <w:t>造成损失的，应予以赔偿。</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办理专业服务费结算时，需出具正式税务发票。</w:t>
      </w:r>
    </w:p>
    <w:p>
      <w:pPr>
        <w:pStyle w:val="18"/>
        <w:spacing w:line="360" w:lineRule="auto"/>
        <w:ind w:left="0" w:leftChars="0"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七、</w:t>
      </w:r>
      <w:r>
        <w:rPr>
          <w:rFonts w:hint="eastAsia" w:ascii="宋体" w:hAnsi="宋体" w:eastAsia="宋体" w:cs="宋体"/>
          <w:color w:val="auto"/>
          <w:sz w:val="24"/>
          <w:highlight w:val="none"/>
        </w:rPr>
        <w:t>双方都有责任保守所知晓的对方的商业秘密，不得向第三方泄露。任何一方违反此协议，给对方造成损失，须承担赔偿责任。</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八、</w:t>
      </w:r>
      <w:r>
        <w:rPr>
          <w:rFonts w:hint="eastAsia" w:ascii="宋体" w:hAnsi="宋体" w:eastAsia="宋体" w:cs="宋体"/>
          <w:color w:val="auto"/>
          <w:sz w:val="24"/>
          <w:highlight w:val="none"/>
        </w:rPr>
        <w:t>本协议在执行中，因乙方违约、解体或违反本协议中的有关条款，甲方有权立即终止协议。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在执业过程中发现以下情形之一的，甲方有权更换会计师事务所：</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1.在投标中故意隐瞒与投标书不符的重大事实的；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2.将中标业务转包或分包给其他会计师事务所的；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3.无法完成或拒不完成本项目约定服务内容的；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4.在服务期间因违法、违规行为被国家有关主管部门给予重大行政处罚的；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5.严重违反有关规定，且拒不改正的；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6.其他严重违法、违规行为。</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九、免责条件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1.双方任何一方由于严重火灾、水灾、台风、地震、不可遇见事故及其它双方均认可的不可抗力因素所造成的损失和影响，双方互不承担责任。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2.受不可抗力因素影响的一方应在不可抗力发生后3天内书面告知另一方，并在事故发生后7天内，向另一方出具有效的事实证明材料。</w:t>
      </w:r>
    </w:p>
    <w:p>
      <w:pPr>
        <w:pStyle w:val="18"/>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3.如遇上级部门政策调整，本合同自动终止。</w:t>
      </w:r>
    </w:p>
    <w:p>
      <w:pPr>
        <w:pStyle w:val="35"/>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十、合同纠纷</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1.凡与本合同有关的任何纠纷，买、卖双方应通过友好协商，妥善解决。如通过协商仍不能解决时，应向甲方所在地的人民法院诉讼解决。</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2.诉讼费及律师费除法院另有裁决外，由败诉方承担。</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3.在诉讼期间，除正在进行诉讼的部分外，本合同其他部分应继续执行。</w:t>
      </w:r>
    </w:p>
    <w:p>
      <w:pPr>
        <w:pStyle w:val="35"/>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十一、合同生效及其它</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2.合同修改：甲乙双方的任何一方对合同内容提出修改，均应以书面形式通知对方，达成由双方签署的合同修改书，并经双方确认后生效。其中涉及采购采购内容修改或补充的，须经</w:t>
      </w:r>
      <w:r>
        <w:rPr>
          <w:rFonts w:hint="eastAsia" w:ascii="宋体" w:hAnsi="宋体" w:eastAsia="宋体" w:cs="宋体"/>
          <w:color w:val="auto"/>
          <w:sz w:val="24"/>
          <w:szCs w:val="24"/>
          <w:highlight w:val="none"/>
          <w:lang w:val="en-US" w:eastAsia="zh-CN"/>
        </w:rPr>
        <w:t>杭州</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val="en-US" w:eastAsia="zh-CN"/>
        </w:rPr>
        <w:t>余杭区</w:t>
      </w:r>
      <w:r>
        <w:rPr>
          <w:rFonts w:hint="eastAsia" w:ascii="宋体" w:hAnsi="宋体" w:eastAsia="宋体" w:cs="宋体"/>
          <w:color w:val="auto"/>
          <w:sz w:val="24"/>
          <w:szCs w:val="24"/>
          <w:highlight w:val="none"/>
        </w:rPr>
        <w:t>财政局审批，并与</w:t>
      </w:r>
      <w:r>
        <w:rPr>
          <w:rFonts w:hint="eastAsia" w:ascii="宋体" w:hAnsi="宋体" w:eastAsia="宋体" w:cs="宋体"/>
          <w:color w:val="auto"/>
          <w:sz w:val="24"/>
          <w:szCs w:val="24"/>
          <w:highlight w:val="none"/>
          <w:lang w:val="en-US" w:eastAsia="zh-CN"/>
        </w:rPr>
        <w:t>杭州市余杭区</w:t>
      </w:r>
      <w:r>
        <w:rPr>
          <w:rFonts w:hint="eastAsia" w:ascii="宋体" w:hAnsi="宋体" w:eastAsia="宋体" w:cs="宋体"/>
          <w:color w:val="auto"/>
          <w:sz w:val="24"/>
          <w:szCs w:val="24"/>
          <w:highlight w:val="none"/>
        </w:rPr>
        <w:t>财政局签订书面补充协议后，方可作为主合同不可分割的一部分。</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3.本项目的征集文件与乙方的响应文件均为本主合同不可分割的组成部分。</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4.本合同未尽事宜，遵照《中华人民共和国民法典》有关条文执行。</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5.本合同正本一式肆份，具有同等法律效力，甲、乙双方各执二份。</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35"/>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7.合同附件：考核办法。</w:t>
      </w:r>
    </w:p>
    <w:tbl>
      <w:tblPr>
        <w:tblStyle w:val="6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3" w:hRule="atLeast"/>
          <w:jc w:val="center"/>
        </w:trPr>
        <w:tc>
          <w:tcPr>
            <w:tcW w:w="4705"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甲方（采购）</w:t>
            </w:r>
          </w:p>
          <w:p>
            <w:pPr>
              <w:spacing w:line="360" w:lineRule="auto"/>
              <w:ind w:left="-171"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spacing w:line="360" w:lineRule="auto"/>
              <w:ind w:left="-171"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法定（委托）代表人</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p>
        </w:tc>
        <w:tc>
          <w:tcPr>
            <w:tcW w:w="4714"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乙方（服务）</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法定（委托）代表人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pPr>
              <w:spacing w:line="360" w:lineRule="auto"/>
              <w:ind w:left="-170" w:right="-105" w:rightChars="-50" w:firstLine="163" w:firstLineChars="6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p>
        </w:tc>
      </w:tr>
    </w:tbl>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Cs/>
          <w:color w:val="auto"/>
          <w:sz w:val="24"/>
          <w:highlight w:val="none"/>
        </w:rPr>
        <w:t xml:space="preserve">                                          合同签订时间：   年   月  日  </w:t>
      </w:r>
    </w:p>
    <w:p>
      <w:pPr>
        <w:snapToGrid w:val="0"/>
        <w:spacing w:line="360" w:lineRule="auto"/>
        <w:outlineLvl w:val="1"/>
        <w:rPr>
          <w:rFonts w:hint="eastAsia" w:ascii="宋体" w:hAnsi="宋体" w:eastAsia="宋体" w:cs="宋体"/>
          <w:b/>
          <w:bCs/>
          <w:color w:val="auto"/>
          <w:spacing w:val="30"/>
          <w:sz w:val="28"/>
          <w:szCs w:val="28"/>
          <w:highlight w:val="none"/>
        </w:rPr>
      </w:pPr>
    </w:p>
    <w:p>
      <w:pPr>
        <w:spacing w:line="400" w:lineRule="exact"/>
        <w:ind w:firstLine="482" w:firstLineChars="200"/>
        <w:rPr>
          <w:rFonts w:hint="eastAsia" w:ascii="宋体" w:hAnsi="宋体" w:eastAsia="宋体" w:cs="宋体"/>
          <w:b/>
          <w:bCs/>
          <w:color w:val="auto"/>
          <w:sz w:val="24"/>
          <w:highlight w:val="none"/>
          <w:u w:val="single"/>
        </w:rPr>
      </w:pPr>
    </w:p>
    <w:p>
      <w:pPr>
        <w:spacing w:line="400" w:lineRule="exact"/>
        <w:ind w:firstLine="482" w:firstLineChars="200"/>
        <w:rPr>
          <w:rFonts w:hint="eastAsia" w:ascii="宋体" w:hAnsi="宋体" w:eastAsia="宋体" w:cs="宋体"/>
          <w:b/>
          <w:bCs/>
          <w:color w:val="auto"/>
          <w:sz w:val="24"/>
          <w:highlight w:val="none"/>
          <w:u w:val="single"/>
        </w:rPr>
      </w:pPr>
    </w:p>
    <w:p>
      <w:pPr>
        <w:spacing w:before="120" w:beforeLines="50" w:after="120" w:afterLines="50" w:line="320" w:lineRule="exact"/>
        <w:rPr>
          <w:rFonts w:hint="eastAsia" w:ascii="宋体" w:hAnsi="宋体" w:eastAsia="宋体" w:cs="宋体"/>
          <w:b/>
          <w:color w:val="auto"/>
          <w:sz w:val="36"/>
          <w:szCs w:val="36"/>
          <w:highlight w:val="none"/>
        </w:rPr>
      </w:pPr>
    </w:p>
    <w:p>
      <w:pPr>
        <w:spacing w:line="360" w:lineRule="auto"/>
        <w:rPr>
          <w:rFonts w:hint="eastAsia" w:ascii="宋体" w:hAnsi="宋体" w:eastAsia="宋体" w:cs="宋体"/>
          <w:b/>
          <w:bCs/>
          <w:color w:val="auto"/>
          <w:sz w:val="28"/>
          <w:szCs w:val="28"/>
          <w:highlight w:val="none"/>
        </w:rPr>
      </w:pPr>
      <w:bookmarkStart w:id="473" w:name="_Toc496796639"/>
    </w:p>
    <w:bookmarkEnd w:id="473"/>
    <w:p>
      <w:pPr>
        <w:spacing w:line="360" w:lineRule="auto"/>
        <w:jc w:val="center"/>
        <w:outlineLvl w:val="0"/>
        <w:rPr>
          <w:rFonts w:hint="eastAsia" w:ascii="宋体" w:hAnsi="宋体" w:eastAsia="宋体" w:cs="宋体"/>
          <w:b/>
          <w:color w:val="auto"/>
          <w:sz w:val="48"/>
          <w:szCs w:val="48"/>
          <w:highlight w:val="none"/>
        </w:rPr>
      </w:pPr>
      <w:bookmarkStart w:id="474" w:name="_Toc11410"/>
      <w:bookmarkStart w:id="475" w:name="_Toc1969"/>
      <w:bookmarkStart w:id="476" w:name="_Toc29080"/>
      <w:bookmarkStart w:id="477" w:name="_Toc29063"/>
      <w:bookmarkStart w:id="478" w:name="_Toc6777"/>
      <w:bookmarkStart w:id="479" w:name="_Toc19013"/>
      <w:bookmarkStart w:id="480" w:name="_Toc442"/>
      <w:r>
        <w:rPr>
          <w:rFonts w:hint="eastAsia" w:ascii="宋体" w:hAnsi="宋体" w:eastAsia="宋体" w:cs="宋体"/>
          <w:b/>
          <w:color w:val="auto"/>
          <w:sz w:val="48"/>
          <w:szCs w:val="48"/>
          <w:highlight w:val="none"/>
        </w:rPr>
        <w:t>第</w:t>
      </w:r>
      <w:bookmarkEnd w:id="458"/>
      <w:r>
        <w:rPr>
          <w:rFonts w:hint="eastAsia" w:ascii="宋体" w:hAnsi="宋体" w:eastAsia="宋体" w:cs="宋体"/>
          <w:b/>
          <w:color w:val="auto"/>
          <w:sz w:val="48"/>
          <w:szCs w:val="48"/>
          <w:highlight w:val="none"/>
        </w:rPr>
        <w:t xml:space="preserve">六章 </w:t>
      </w:r>
      <w:bookmarkEnd w:id="459"/>
      <w:r>
        <w:rPr>
          <w:rFonts w:hint="eastAsia" w:ascii="宋体" w:hAnsi="宋体" w:eastAsia="宋体" w:cs="宋体"/>
          <w:b/>
          <w:color w:val="auto"/>
          <w:sz w:val="48"/>
          <w:szCs w:val="48"/>
          <w:highlight w:val="none"/>
        </w:rPr>
        <w:t>应提交的有关格式范例</w:t>
      </w:r>
      <w:bookmarkEnd w:id="468"/>
      <w:bookmarkEnd w:id="469"/>
      <w:bookmarkEnd w:id="470"/>
      <w:bookmarkEnd w:id="471"/>
      <w:bookmarkEnd w:id="472"/>
      <w:bookmarkEnd w:id="474"/>
      <w:bookmarkEnd w:id="475"/>
      <w:bookmarkEnd w:id="476"/>
      <w:bookmarkEnd w:id="477"/>
      <w:bookmarkEnd w:id="478"/>
      <w:bookmarkEnd w:id="479"/>
      <w:bookmarkEnd w:id="480"/>
    </w:p>
    <w:p>
      <w:pPr>
        <w:spacing w:line="360" w:lineRule="auto"/>
        <w:jc w:val="center"/>
        <w:rPr>
          <w:rFonts w:hint="eastAsia" w:ascii="宋体" w:hAnsi="宋体" w:eastAsia="宋体" w:cs="宋体"/>
          <w:b/>
          <w:color w:val="auto"/>
          <w:kern w:val="0"/>
          <w:sz w:val="36"/>
          <w:szCs w:val="36"/>
          <w:highlight w:val="none"/>
        </w:rPr>
      </w:pPr>
    </w:p>
    <w:p>
      <w:pPr>
        <w:pStyle w:val="18"/>
        <w:ind w:firstLine="420"/>
        <w:rPr>
          <w:rFonts w:hint="eastAsia" w:ascii="宋体" w:hAnsi="宋体" w:eastAsia="宋体" w:cs="宋体"/>
          <w:color w:val="auto"/>
          <w:highlight w:val="none"/>
        </w:rPr>
      </w:pPr>
    </w:p>
    <w:p>
      <w:pPr>
        <w:pStyle w:val="18"/>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52"/>
          <w:szCs w:val="52"/>
          <w:highlight w:val="none"/>
          <w:lang w:val="en-US" w:eastAsia="zh-CN"/>
        </w:rPr>
        <w:t>杭州市余杭区</w:t>
      </w:r>
      <w:r>
        <w:rPr>
          <w:rFonts w:hint="eastAsia" w:ascii="宋体" w:hAnsi="宋体" w:eastAsia="宋体" w:cs="宋体"/>
          <w:b/>
          <w:bCs/>
          <w:color w:val="auto"/>
          <w:sz w:val="52"/>
          <w:szCs w:val="52"/>
          <w:highlight w:val="none"/>
        </w:rPr>
        <w:t>2023-2025年度专项债券发行准备财务会计专业服务采购项目</w:t>
      </w: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shd w:val="clear" w:color="auto" w:fill="FFFFFF"/>
        <w:snapToGrid w:val="0"/>
        <w:spacing w:after="50"/>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响 应 文 件</w:t>
      </w:r>
    </w:p>
    <w:p>
      <w:pPr>
        <w:shd w:val="clear" w:color="auto" w:fill="FFFFFF"/>
        <w:snapToGrid w:val="0"/>
        <w:spacing w:after="50"/>
        <w:jc w:val="center"/>
        <w:rPr>
          <w:rFonts w:hint="eastAsia" w:ascii="宋体" w:hAnsi="宋体" w:eastAsia="宋体" w:cs="宋体"/>
          <w:b/>
          <w:color w:val="auto"/>
          <w:sz w:val="52"/>
          <w:szCs w:val="52"/>
          <w:highlight w:val="none"/>
          <w:shd w:val="clear" w:color="auto" w:fill="FFFFFF"/>
        </w:rPr>
      </w:pPr>
    </w:p>
    <w:p>
      <w:pPr>
        <w:shd w:val="clear" w:color="auto" w:fill="FFFFFF"/>
        <w:snapToGrid w:val="0"/>
        <w:spacing w:after="50"/>
        <w:jc w:val="center"/>
        <w:rPr>
          <w:rFonts w:hint="eastAsia" w:ascii="宋体" w:hAnsi="宋体" w:eastAsia="宋体" w:cs="宋体"/>
          <w:b/>
          <w:color w:val="auto"/>
          <w:sz w:val="52"/>
          <w:szCs w:val="52"/>
          <w:highlight w:val="none"/>
          <w:shd w:val="clear" w:color="auto" w:fill="FFFFFF"/>
        </w:rPr>
      </w:pPr>
      <w:r>
        <w:rPr>
          <w:rFonts w:hint="eastAsia" w:ascii="宋体" w:hAnsi="宋体" w:eastAsia="宋体" w:cs="宋体"/>
          <w:b/>
          <w:color w:val="auto"/>
          <w:sz w:val="52"/>
          <w:szCs w:val="52"/>
          <w:highlight w:val="none"/>
          <w:shd w:val="clear" w:color="auto" w:fill="FFFFFF"/>
        </w:rPr>
        <w:t>（资格文件）</w:t>
      </w:r>
    </w:p>
    <w:p>
      <w:pPr>
        <w:shd w:val="clear" w:color="auto" w:fill="FFFFFF"/>
        <w:snapToGrid w:val="0"/>
        <w:spacing w:after="50"/>
        <w:jc w:val="center"/>
        <w:rPr>
          <w:rFonts w:hint="eastAsia" w:ascii="宋体" w:hAnsi="宋体" w:eastAsia="宋体" w:cs="宋体"/>
          <w:b/>
          <w:color w:val="auto"/>
          <w:sz w:val="44"/>
          <w:szCs w:val="44"/>
          <w:highlight w:val="none"/>
        </w:rPr>
      </w:pPr>
    </w:p>
    <w:p>
      <w:pPr>
        <w:shd w:val="clear" w:color="auto" w:fill="FFFFFF"/>
        <w:snapToGrid w:val="0"/>
        <w:spacing w:after="50"/>
        <w:rPr>
          <w:rFonts w:hint="eastAsia" w:ascii="宋体" w:hAnsi="宋体" w:eastAsia="宋体" w:cs="宋体"/>
          <w:bCs/>
          <w:color w:val="auto"/>
          <w:sz w:val="24"/>
          <w:highlight w:val="none"/>
        </w:rPr>
      </w:pPr>
    </w:p>
    <w:p>
      <w:pPr>
        <w:shd w:val="clear" w:color="auto" w:fill="FFFFFF"/>
        <w:snapToGrid w:val="0"/>
        <w:spacing w:after="50"/>
        <w:jc w:val="center"/>
        <w:rPr>
          <w:rFonts w:hint="eastAsia" w:ascii="宋体" w:hAnsi="宋体" w:eastAsia="宋体" w:cs="宋体"/>
          <w:bCs/>
          <w:color w:val="auto"/>
          <w:sz w:val="24"/>
          <w:highlight w:val="none"/>
        </w:rPr>
      </w:pPr>
    </w:p>
    <w:p>
      <w:pPr>
        <w:pStyle w:val="18"/>
        <w:ind w:firstLine="480"/>
        <w:rPr>
          <w:rFonts w:hint="eastAsia" w:ascii="宋体" w:hAnsi="宋体" w:eastAsia="宋体" w:cs="宋体"/>
          <w:bCs/>
          <w:color w:val="auto"/>
          <w:sz w:val="24"/>
          <w:highlight w:val="none"/>
        </w:rPr>
      </w:pPr>
    </w:p>
    <w:p>
      <w:pPr>
        <w:rPr>
          <w:rFonts w:hint="eastAsia" w:ascii="宋体" w:hAnsi="宋体" w:eastAsia="宋体" w:cs="宋体"/>
          <w:bCs/>
          <w:color w:val="auto"/>
          <w:sz w:val="24"/>
          <w:highlight w:val="none"/>
        </w:rPr>
      </w:pPr>
    </w:p>
    <w:p>
      <w:pPr>
        <w:pStyle w:val="18"/>
        <w:ind w:firstLine="480"/>
        <w:rPr>
          <w:rFonts w:hint="eastAsia" w:ascii="宋体" w:hAnsi="宋体" w:eastAsia="宋体" w:cs="宋体"/>
          <w:bCs/>
          <w:color w:val="auto"/>
          <w:sz w:val="24"/>
          <w:highlight w:val="none"/>
        </w:rPr>
      </w:pPr>
    </w:p>
    <w:p>
      <w:pPr>
        <w:rPr>
          <w:rFonts w:hint="eastAsia" w:ascii="宋体" w:hAnsi="宋体" w:eastAsia="宋体" w:cs="宋体"/>
          <w:color w:val="auto"/>
          <w:highlight w:val="none"/>
        </w:rPr>
      </w:pPr>
    </w:p>
    <w:p>
      <w:pPr>
        <w:shd w:val="clear" w:color="auto" w:fill="FFFFFF"/>
        <w:snapToGrid w:val="0"/>
        <w:spacing w:after="50"/>
        <w:rPr>
          <w:rFonts w:hint="eastAsia" w:ascii="宋体" w:hAnsi="宋体" w:eastAsia="宋体" w:cs="宋体"/>
          <w:bCs/>
          <w:color w:val="auto"/>
          <w:sz w:val="24"/>
          <w:szCs w:val="20"/>
          <w:highlight w:val="none"/>
        </w:rPr>
      </w:pP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供应商全称（公章）：</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联系电话：</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p>
    <w:p>
      <w:pPr>
        <w:shd w:val="clear" w:color="auto" w:fill="FFFFFF"/>
        <w:snapToGrid w:val="0"/>
        <w:spacing w:after="50"/>
        <w:ind w:firstLine="5100" w:firstLineChars="1700"/>
        <w:rPr>
          <w:rFonts w:hint="eastAsia" w:ascii="宋体" w:hAnsi="宋体" w:eastAsia="宋体" w:cs="宋体"/>
          <w:color w:val="auto"/>
          <w:sz w:val="28"/>
          <w:szCs w:val="21"/>
          <w:highlight w:val="none"/>
        </w:rPr>
      </w:pPr>
      <w:r>
        <w:rPr>
          <w:rFonts w:hint="eastAsia" w:ascii="宋体" w:hAnsi="宋体" w:eastAsia="宋体" w:cs="宋体"/>
          <w:bCs/>
          <w:color w:val="auto"/>
          <w:sz w:val="30"/>
          <w:szCs w:val="30"/>
          <w:highlight w:val="none"/>
        </w:rPr>
        <w:t xml:space="preserve"> </w:t>
      </w:r>
    </w:p>
    <w:p>
      <w:pPr>
        <w:shd w:val="clear" w:color="auto" w:fill="FFFFFF"/>
        <w:snapToGrid w:val="0"/>
        <w:spacing w:after="50"/>
        <w:ind w:right="670" w:rightChars="319" w:firstLine="645"/>
        <w:jc w:val="right"/>
        <w:rPr>
          <w:rFonts w:hint="eastAsia" w:ascii="宋体" w:hAnsi="宋体" w:eastAsia="宋体" w:cs="宋体"/>
          <w:color w:val="auto"/>
          <w:sz w:val="28"/>
          <w:szCs w:val="21"/>
          <w:highlight w:val="none"/>
        </w:rPr>
      </w:pPr>
      <w:r>
        <w:rPr>
          <w:rFonts w:hint="eastAsia" w:ascii="宋体" w:hAnsi="宋体" w:eastAsia="宋体" w:cs="宋体"/>
          <w:color w:val="auto"/>
          <w:sz w:val="28"/>
          <w:szCs w:val="28"/>
          <w:highlight w:val="none"/>
        </w:rPr>
        <w:t xml:space="preserve">                        年  月  日</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一、满足《中华人民共和国政府采购法》第二十二条规定的资料：</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a.营业执照（或法人登记证书，自然人身份证明）复印件；</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b.符合参加政府采购活动应当具备的一般条件的承诺函；</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二、落实政府采购政策需满足的资格要求：无；</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三、符合供应商特定资格条件的材料：</w:t>
      </w:r>
      <w:r>
        <w:rPr>
          <w:rFonts w:hint="eastAsia" w:ascii="宋体" w:hAnsi="宋体" w:eastAsia="宋体" w:cs="宋体"/>
          <w:b/>
          <w:bCs/>
          <w:i w:val="0"/>
          <w:iCs w:val="0"/>
          <w:color w:val="auto"/>
          <w:kern w:val="0"/>
          <w:sz w:val="24"/>
          <w:highlight w:val="none"/>
          <w:lang w:eastAsia="zh-CN"/>
        </w:rPr>
        <w:t>具有有效的省级或省级以上财政部门颁发的会计师事务所执业证书复印件加盖公章；</w:t>
      </w:r>
    </w:p>
    <w:p>
      <w:pPr>
        <w:snapToGrid w:val="0"/>
        <w:spacing w:line="480" w:lineRule="auto"/>
        <w:ind w:firstLine="480" w:firstLineChars="200"/>
        <w:jc w:val="left"/>
        <w:rPr>
          <w:rFonts w:hint="eastAsia" w:ascii="宋体" w:hAnsi="宋体" w:eastAsia="宋体" w:cs="宋体"/>
          <w:color w:val="auto"/>
          <w:kern w:val="0"/>
          <w:sz w:val="24"/>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p>
    <w:p>
      <w:pPr>
        <w:numPr>
          <w:ilvl w:val="0"/>
          <w:numId w:val="8"/>
        </w:numPr>
        <w:snapToGrid w:val="0"/>
        <w:spacing w:line="288" w:lineRule="auto"/>
        <w:ind w:right="482"/>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i w:val="0"/>
          <w:iCs w:val="0"/>
          <w:color w:val="auto"/>
          <w:kern w:val="0"/>
          <w:sz w:val="30"/>
          <w:szCs w:val="30"/>
          <w:highlight w:val="none"/>
        </w:rPr>
        <w:t>满足《中华人民共和国政府采购法》第二十二条规定的资料：</w:t>
      </w:r>
    </w:p>
    <w:p>
      <w:pPr>
        <w:snapToGrid w:val="0"/>
        <w:spacing w:line="360" w:lineRule="auto"/>
        <w:ind w:firstLine="480" w:firstLineChars="200"/>
        <w:jc w:val="left"/>
        <w:rPr>
          <w:rFonts w:hint="eastAsia" w:ascii="宋体" w:hAnsi="宋体" w:eastAsia="宋体" w:cs="宋体"/>
          <w:i w:val="0"/>
          <w:iCs w:val="0"/>
          <w:color w:val="auto"/>
          <w:kern w:val="0"/>
          <w:sz w:val="24"/>
          <w:highlight w:val="none"/>
        </w:rPr>
      </w:pPr>
    </w:p>
    <w:p>
      <w:pPr>
        <w:snapToGrid w:val="0"/>
        <w:spacing w:line="360" w:lineRule="auto"/>
        <w:ind w:firstLine="482" w:firstLineChars="200"/>
        <w:jc w:val="left"/>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a.营业执照（或法人登记证书，自然人身份证明）复印件</w:t>
      </w:r>
      <w:r>
        <w:rPr>
          <w:rFonts w:hint="eastAsia" w:ascii="宋体" w:hAnsi="宋体" w:eastAsia="宋体" w:cs="宋体"/>
          <w:b/>
          <w:bCs/>
          <w:i w:val="0"/>
          <w:iCs w:val="0"/>
          <w:color w:val="auto"/>
          <w:kern w:val="0"/>
          <w:sz w:val="24"/>
          <w:highlight w:val="none"/>
          <w:lang w:eastAsia="zh-CN"/>
        </w:rPr>
        <w:t>。</w:t>
      </w:r>
    </w:p>
    <w:p>
      <w:pPr>
        <w:snapToGrid w:val="0"/>
        <w:spacing w:before="50" w:after="156" w:line="360" w:lineRule="auto"/>
        <w:jc w:val="left"/>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t>[格式自拟]</w:t>
      </w:r>
    </w:p>
    <w:p>
      <w:pPr>
        <w:snapToGrid w:val="0"/>
        <w:spacing w:line="360" w:lineRule="auto"/>
        <w:ind w:firstLine="482" w:firstLineChars="200"/>
        <w:jc w:val="left"/>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b.符合参加政府采购活动应当具备的一般条件的承诺函；</w:t>
      </w:r>
    </w:p>
    <w:p>
      <w:pPr>
        <w:snapToGrid w:val="0"/>
        <w:spacing w:line="360" w:lineRule="auto"/>
        <w:ind w:firstLine="480" w:firstLineChars="200"/>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lang w:val="en-US" w:eastAsia="zh-CN"/>
        </w:rPr>
        <w:t>杭州市余杭区</w:t>
      </w:r>
      <w:r>
        <w:rPr>
          <w:rFonts w:hint="eastAsia" w:ascii="宋体" w:hAnsi="宋体" w:eastAsia="宋体" w:cs="宋体"/>
          <w:i w:val="0"/>
          <w:iCs w:val="0"/>
          <w:color w:val="auto"/>
          <w:sz w:val="24"/>
          <w:highlight w:val="none"/>
          <w:u w:val="none"/>
        </w:rPr>
        <w:t>财政局：</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w:t>
      </w:r>
      <w:r>
        <w:rPr>
          <w:rFonts w:hint="eastAsia" w:ascii="宋体" w:hAnsi="宋体" w:eastAsia="宋体" w:cs="宋体"/>
          <w:i w:val="0"/>
          <w:iCs w:val="0"/>
          <w:color w:val="auto"/>
          <w:sz w:val="24"/>
          <w:highlight w:val="none"/>
          <w:u w:val="single"/>
        </w:rPr>
        <w:t>（项目名称）</w:t>
      </w:r>
      <w:r>
        <w:rPr>
          <w:rFonts w:hint="eastAsia" w:ascii="宋体" w:hAnsi="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【项目编号：</w:t>
      </w:r>
      <w:r>
        <w:rPr>
          <w:rFonts w:hint="eastAsia" w:ascii="宋体" w:hAnsi="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w:t>
      </w:r>
      <w:r>
        <w:rPr>
          <w:rFonts w:hint="eastAsia" w:ascii="宋体" w:hAnsi="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政府采购活动，郑重承诺：</w:t>
      </w:r>
    </w:p>
    <w:p>
      <w:pPr>
        <w:snapToGrid w:val="0"/>
        <w:spacing w:line="312"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（一）具备《中华人民共和国政府采购法》第二十二条第一款规定的条件：</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5、参加</w:t>
      </w:r>
      <w:r>
        <w:rPr>
          <w:rFonts w:hint="eastAsia" w:ascii="宋体" w:hAnsi="宋体" w:eastAsia="宋体" w:cs="宋体"/>
          <w:i w:val="0"/>
          <w:iCs w:val="0"/>
          <w:color w:val="auto"/>
          <w:sz w:val="24"/>
          <w:highlight w:val="none"/>
          <w:u w:val="single"/>
        </w:rPr>
        <w:t>本项目</w:t>
      </w:r>
      <w:r>
        <w:rPr>
          <w:rFonts w:hint="eastAsia" w:ascii="宋体" w:hAnsi="宋体" w:eastAsia="宋体" w:cs="宋体"/>
          <w:i w:val="0"/>
          <w:iCs w:val="0"/>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6、具有法律、行政法规规定的其他条件。</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1、单位负责人为同一人或者存在直接控股、管理关系的不同供应商参加同一合同项下的政府采购活动的；</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pPr>
        <w:snapToGrid w:val="0"/>
        <w:spacing w:line="312" w:lineRule="auto"/>
        <w:ind w:firstLine="480" w:firstLineChars="200"/>
        <w:rPr>
          <w:rFonts w:hint="eastAsia" w:ascii="宋体" w:hAnsi="宋体" w:eastAsia="宋体" w:cs="宋体"/>
          <w:i w:val="0"/>
          <w:iCs w:val="0"/>
          <w:color w:val="auto"/>
          <w:kern w:val="0"/>
          <w:sz w:val="24"/>
          <w:highlight w:val="none"/>
          <w:u w:val="single"/>
        </w:rPr>
      </w:pPr>
      <w:r>
        <w:rPr>
          <w:rFonts w:hint="eastAsia" w:ascii="宋体" w:hAnsi="宋体" w:eastAsia="宋体" w:cs="宋体"/>
          <w:i w:val="0"/>
          <w:iCs w:val="0"/>
          <w:color w:val="auto"/>
          <w:kern w:val="0"/>
          <w:sz w:val="24"/>
          <w:highlight w:val="none"/>
          <w:lang w:val="zh-CN"/>
        </w:rPr>
        <w:t>3、本单位与征集人之间存在下列利害关系:</w:t>
      </w:r>
      <w:r>
        <w:rPr>
          <w:rFonts w:hint="eastAsia" w:ascii="宋体" w:hAnsi="宋体" w:eastAsia="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rPr>
        <w:t xml:space="preserve">      </w:t>
      </w:r>
    </w:p>
    <w:p>
      <w:pPr>
        <w:snapToGrid w:val="0"/>
        <w:spacing w:line="312"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A．投资关系，B．行政隶属关系，C．业务指导关系，D．其他可能影响采购公正的利害关系。</w:t>
      </w:r>
      <w:r>
        <w:rPr>
          <w:rFonts w:hint="eastAsia" w:ascii="宋体" w:hAnsi="宋体" w:eastAsia="宋体" w:cs="宋体"/>
          <w:i w:val="0"/>
          <w:iCs w:val="0"/>
          <w:color w:val="auto"/>
          <w:kern w:val="0"/>
          <w:sz w:val="24"/>
          <w:highlight w:val="none"/>
        </w:rPr>
        <w:t>E.不存在利害关系</w:t>
      </w:r>
    </w:p>
    <w:p>
      <w:pPr>
        <w:snapToGrid w:val="0"/>
        <w:spacing w:line="312"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4、因违法经营被禁止参加政府采购活动的期限内的。</w:t>
      </w:r>
    </w:p>
    <w:p>
      <w:pPr>
        <w:snapToGrid w:val="0"/>
        <w:spacing w:line="360" w:lineRule="auto"/>
        <w:ind w:firstLine="5520" w:firstLineChars="2300"/>
        <w:rPr>
          <w:rFonts w:hint="eastAsia" w:ascii="宋体" w:hAnsi="宋体" w:eastAsia="宋体" w:cs="宋体"/>
          <w:i w:val="0"/>
          <w:iCs w:val="0"/>
          <w:color w:val="auto"/>
          <w:kern w:val="0"/>
          <w:sz w:val="24"/>
          <w:highlight w:val="none"/>
          <w:lang w:val="zh-CN"/>
        </w:rPr>
      </w:pPr>
    </w:p>
    <w:p>
      <w:pPr>
        <w:pStyle w:val="35"/>
        <w:snapToGrid w:val="0"/>
        <w:spacing w:before="120" w:after="120" w:line="360" w:lineRule="auto"/>
        <w:ind w:firstLine="900" w:firstLineChars="375"/>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highlight w:val="none"/>
          <w:lang w:val="zh-CN"/>
        </w:rPr>
        <w:t>供应商</w:t>
      </w:r>
      <w:r>
        <w:rPr>
          <w:rFonts w:hint="eastAsia" w:ascii="宋体" w:hAnsi="宋体" w:eastAsia="宋体" w:cs="宋体"/>
          <w:i w:val="0"/>
          <w:iCs w:val="0"/>
          <w:color w:val="auto"/>
          <w:sz w:val="24"/>
          <w:szCs w:val="24"/>
          <w:highlight w:val="none"/>
        </w:rPr>
        <w:t>（电子签章）：__________________________</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b/>
          <w:bCs/>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snapToGrid w:val="0"/>
        <w:spacing w:line="288" w:lineRule="auto"/>
        <w:ind w:right="482"/>
        <w:jc w:val="center"/>
        <w:rPr>
          <w:rFonts w:hint="eastAsia" w:ascii="宋体" w:hAnsi="宋体" w:eastAsia="宋体" w:cs="宋体"/>
          <w:b/>
          <w:i w:val="0"/>
          <w:iCs w:val="0"/>
          <w:color w:val="auto"/>
          <w:kern w:val="0"/>
          <w:sz w:val="30"/>
          <w:szCs w:val="30"/>
          <w:highlight w:val="none"/>
        </w:rPr>
      </w:pPr>
    </w:p>
    <w:p>
      <w:pPr>
        <w:snapToGrid w:val="0"/>
        <w:spacing w:line="288" w:lineRule="auto"/>
        <w:ind w:right="482"/>
        <w:jc w:val="both"/>
        <w:rPr>
          <w:rFonts w:hint="eastAsia" w:ascii="宋体" w:hAnsi="宋体" w:eastAsia="宋体" w:cs="宋体"/>
          <w:b/>
          <w:i w:val="0"/>
          <w:iCs w:val="0"/>
          <w:color w:val="auto"/>
          <w:kern w:val="0"/>
          <w:sz w:val="30"/>
          <w:szCs w:val="30"/>
          <w:highlight w:val="none"/>
        </w:rPr>
      </w:pPr>
      <w:r>
        <w:rPr>
          <w:rFonts w:hint="eastAsia" w:ascii="宋体" w:hAnsi="宋体" w:eastAsia="宋体" w:cs="宋体"/>
          <w:b/>
          <w:i w:val="0"/>
          <w:iCs w:val="0"/>
          <w:color w:val="auto"/>
          <w:kern w:val="0"/>
          <w:sz w:val="30"/>
          <w:szCs w:val="30"/>
          <w:highlight w:val="none"/>
        </w:rPr>
        <w:t xml:space="preserve">二、落实政府采购政策需满足的资格要求：无。 </w:t>
      </w:r>
    </w:p>
    <w:p>
      <w:pPr>
        <w:snapToGrid w:val="0"/>
        <w:spacing w:before="50" w:after="50" w:line="360" w:lineRule="auto"/>
        <w:ind w:firstLine="472" w:firstLineChars="196"/>
        <w:jc w:val="left"/>
        <w:rPr>
          <w:rFonts w:hint="eastAsia" w:ascii="宋体" w:hAnsi="宋体" w:eastAsia="宋体" w:cs="宋体"/>
          <w:b/>
          <w:i w:val="0"/>
          <w:iCs w:val="0"/>
          <w:color w:val="auto"/>
          <w:sz w:val="24"/>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numPr>
          <w:ilvl w:val="0"/>
          <w:numId w:val="0"/>
        </w:numPr>
        <w:adjustRightInd/>
        <w:spacing w:line="360" w:lineRule="auto"/>
        <w:ind w:leftChars="0"/>
        <w:rPr>
          <w:rFonts w:hint="eastAsia" w:ascii="宋体" w:hAnsi="宋体" w:eastAsia="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lang w:eastAsia="zh-CN"/>
        </w:rPr>
        <w:t>三、</w:t>
      </w:r>
      <w:r>
        <w:rPr>
          <w:rFonts w:hint="eastAsia" w:ascii="宋体" w:hAnsi="宋体" w:eastAsia="宋体" w:cs="宋体"/>
          <w:b/>
          <w:i w:val="0"/>
          <w:iCs w:val="0"/>
          <w:color w:val="auto"/>
          <w:kern w:val="0"/>
          <w:sz w:val="32"/>
          <w:szCs w:val="32"/>
          <w:highlight w:val="none"/>
        </w:rPr>
        <w:t>满足本项目特定资格要求的证明材料：</w:t>
      </w:r>
    </w:p>
    <w:p>
      <w:pPr>
        <w:adjustRightInd/>
        <w:spacing w:line="360" w:lineRule="auto"/>
        <w:ind w:firstLine="0" w:firstLineChars="0"/>
        <w:rPr>
          <w:rFonts w:hint="eastAsia" w:ascii="宋体" w:hAnsi="宋体" w:eastAsia="宋体" w:cs="宋体"/>
          <w:b/>
          <w:bCs/>
          <w:i w:val="0"/>
          <w:iCs w:val="0"/>
          <w:color w:val="auto"/>
          <w:kern w:val="0"/>
          <w:sz w:val="24"/>
          <w:highlight w:val="none"/>
          <w:lang w:eastAsia="zh-CN"/>
        </w:rPr>
      </w:pPr>
      <w:r>
        <w:rPr>
          <w:rFonts w:hint="eastAsia" w:ascii="宋体" w:hAnsi="宋体" w:eastAsia="宋体" w:cs="宋体"/>
          <w:b/>
          <w:bCs/>
          <w:i w:val="0"/>
          <w:iCs w:val="0"/>
          <w:color w:val="auto"/>
          <w:kern w:val="0"/>
          <w:sz w:val="24"/>
          <w:highlight w:val="none"/>
          <w:lang w:eastAsia="zh-CN"/>
        </w:rPr>
        <w:t>具有有效的省级或省级以上财政部门颁发的会计师事务所执业证书复印件加盖公章；</w:t>
      </w:r>
    </w:p>
    <w:p>
      <w:pPr>
        <w:pStyle w:val="2"/>
        <w:rPr>
          <w:rFonts w:hint="eastAsia" w:ascii="宋体" w:hAnsi="宋体" w:eastAsia="宋体" w:cs="宋体"/>
          <w:b/>
          <w:bCs/>
          <w:i w:val="0"/>
          <w:iCs w:val="0"/>
          <w:color w:val="auto"/>
          <w:kern w:val="0"/>
          <w:sz w:val="24"/>
          <w:highlight w:val="none"/>
          <w:lang w:eastAsia="zh-CN"/>
        </w:rPr>
      </w:pPr>
    </w:p>
    <w:p>
      <w:pPr>
        <w:snapToGrid w:val="0"/>
        <w:spacing w:line="360" w:lineRule="auto"/>
        <w:ind w:firstLine="643" w:firstLineChars="200"/>
        <w:jc w:val="left"/>
        <w:rPr>
          <w:rFonts w:hint="eastAsia" w:ascii="宋体" w:hAnsi="宋体" w:eastAsia="宋体" w:cs="宋体"/>
          <w:b/>
          <w:i w:val="0"/>
          <w:iCs w:val="0"/>
          <w:color w:val="auto"/>
          <w:kern w:val="0"/>
          <w:sz w:val="32"/>
          <w:szCs w:val="32"/>
          <w:highlight w:val="none"/>
        </w:rPr>
      </w:pPr>
    </w:p>
    <w:p>
      <w:pPr>
        <w:adjustRightInd/>
        <w:spacing w:line="400" w:lineRule="exact"/>
        <w:ind w:firstLine="480" w:firstLineChars="200"/>
        <w:rPr>
          <w:rFonts w:hint="eastAsia" w:ascii="宋体" w:hAnsi="宋体" w:eastAsia="宋体" w:cs="宋体"/>
          <w:i w:val="0"/>
          <w:iCs w:val="0"/>
          <w:color w:val="auto"/>
          <w:sz w:val="24"/>
          <w:highlight w:val="none"/>
        </w:rPr>
      </w:pPr>
    </w:p>
    <w:p>
      <w:pPr>
        <w:snapToGrid w:val="0"/>
        <w:spacing w:line="360" w:lineRule="auto"/>
        <w:ind w:right="480"/>
        <w:jc w:val="center"/>
        <w:rPr>
          <w:rFonts w:hint="eastAsia" w:ascii="宋体" w:hAnsi="宋体" w:eastAsia="宋体" w:cs="宋体"/>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pStyle w:val="16"/>
        <w:spacing w:line="600" w:lineRule="auto"/>
        <w:ind w:firstLine="0"/>
        <w:jc w:val="center"/>
        <w:rPr>
          <w:rFonts w:hint="eastAsia" w:ascii="宋体" w:hAnsi="宋体" w:eastAsia="宋体" w:cs="宋体"/>
          <w:i w:val="0"/>
          <w:iCs w:val="0"/>
          <w:color w:val="auto"/>
          <w:sz w:val="52"/>
          <w:szCs w:val="36"/>
          <w:highlight w:val="none"/>
          <w:lang w:eastAsia="zh-CN"/>
        </w:rPr>
      </w:pPr>
      <w:r>
        <w:rPr>
          <w:rFonts w:hint="eastAsia" w:hAnsi="宋体" w:cs="宋体"/>
          <w:i w:val="0"/>
          <w:iCs w:val="0"/>
          <w:color w:val="auto"/>
          <w:sz w:val="36"/>
          <w:szCs w:val="44"/>
          <w:highlight w:val="none"/>
          <w:lang w:eastAsia="zh-CN"/>
        </w:rPr>
        <w:t>杭州市余杭区2023-2025年度专项债券发行准备财务会计专业服务采购项目</w:t>
      </w:r>
    </w:p>
    <w:p>
      <w:pPr>
        <w:shd w:val="clear" w:color="auto" w:fill="FFFFFF"/>
        <w:snapToGrid w:val="0"/>
        <w:spacing w:after="50"/>
        <w:jc w:val="center"/>
        <w:rPr>
          <w:rFonts w:hint="eastAsia" w:ascii="宋体" w:hAnsi="宋体" w:eastAsia="宋体" w:cs="宋体"/>
          <w:b/>
          <w:i w:val="0"/>
          <w:iCs w:val="0"/>
          <w:color w:val="auto"/>
          <w:sz w:val="72"/>
          <w:szCs w:val="72"/>
          <w:highlight w:val="none"/>
          <w:shd w:val="clear" w:color="auto" w:fill="FFFFFF"/>
        </w:rPr>
      </w:pPr>
    </w:p>
    <w:p>
      <w:pPr>
        <w:shd w:val="clear" w:color="auto" w:fill="FFFFFF"/>
        <w:snapToGrid w:val="0"/>
        <w:spacing w:after="50"/>
        <w:jc w:val="center"/>
        <w:rPr>
          <w:rFonts w:hint="eastAsia" w:ascii="宋体" w:hAnsi="宋体" w:eastAsia="宋体" w:cs="宋体"/>
          <w:b/>
          <w:i w:val="0"/>
          <w:iCs w:val="0"/>
          <w:color w:val="auto"/>
          <w:sz w:val="72"/>
          <w:szCs w:val="72"/>
          <w:highlight w:val="none"/>
          <w:shd w:val="clear" w:color="auto" w:fill="FFFFFF"/>
        </w:rPr>
      </w:pPr>
      <w:r>
        <w:rPr>
          <w:rFonts w:hint="eastAsia" w:ascii="宋体" w:hAnsi="宋体" w:eastAsia="宋体" w:cs="宋体"/>
          <w:b/>
          <w:i w:val="0"/>
          <w:iCs w:val="0"/>
          <w:color w:val="auto"/>
          <w:sz w:val="72"/>
          <w:szCs w:val="72"/>
          <w:highlight w:val="none"/>
          <w:shd w:val="clear" w:color="auto" w:fill="FFFFFF"/>
        </w:rPr>
        <w:t>响 应 文 件</w:t>
      </w: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r>
        <w:rPr>
          <w:rFonts w:hint="eastAsia" w:ascii="宋体" w:hAnsi="宋体" w:eastAsia="宋体" w:cs="宋体"/>
          <w:b/>
          <w:i w:val="0"/>
          <w:iCs w:val="0"/>
          <w:color w:val="auto"/>
          <w:sz w:val="52"/>
          <w:szCs w:val="52"/>
          <w:highlight w:val="none"/>
          <w:shd w:val="clear" w:color="auto" w:fill="FFFFFF"/>
        </w:rPr>
        <w:t>（商务技术文件）</w:t>
      </w:r>
    </w:p>
    <w:p>
      <w:pPr>
        <w:shd w:val="clear" w:color="auto" w:fill="FFFFFF"/>
        <w:snapToGrid w:val="0"/>
        <w:spacing w:after="50"/>
        <w:jc w:val="center"/>
        <w:rPr>
          <w:rFonts w:hint="eastAsia" w:ascii="宋体" w:hAnsi="宋体" w:eastAsia="宋体" w:cs="宋体"/>
          <w:b/>
          <w:i w:val="0"/>
          <w:iCs w:val="0"/>
          <w:color w:val="auto"/>
          <w:sz w:val="44"/>
          <w:szCs w:val="44"/>
          <w:highlight w:val="none"/>
        </w:rPr>
      </w:pPr>
    </w:p>
    <w:p>
      <w:pPr>
        <w:shd w:val="clear" w:color="auto" w:fill="FFFFFF"/>
        <w:snapToGrid w:val="0"/>
        <w:spacing w:after="50"/>
        <w:rPr>
          <w:rFonts w:hint="eastAsia" w:ascii="宋体" w:hAnsi="宋体" w:eastAsia="宋体" w:cs="宋体"/>
          <w:bCs/>
          <w:i w:val="0"/>
          <w:iCs w:val="0"/>
          <w:color w:val="auto"/>
          <w:sz w:val="24"/>
          <w:highlight w:val="none"/>
          <w:lang w:val="en-US" w:eastAsia="zh-CN"/>
        </w:rPr>
      </w:pPr>
      <w:r>
        <w:rPr>
          <w:rFonts w:hint="eastAsia" w:ascii="宋体" w:hAnsi="宋体" w:cs="宋体"/>
          <w:bCs/>
          <w:i w:val="0"/>
          <w:iCs w:val="0"/>
          <w:color w:val="auto"/>
          <w:sz w:val="24"/>
          <w:highlight w:val="none"/>
          <w:lang w:val="en-US" w:eastAsia="zh-CN"/>
        </w:rPr>
        <w:t xml:space="preserve"> </w:t>
      </w:r>
    </w:p>
    <w:p>
      <w:pPr>
        <w:shd w:val="clear" w:color="auto" w:fill="FFFFFF"/>
        <w:snapToGrid w:val="0"/>
        <w:spacing w:after="50"/>
        <w:jc w:val="cente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shd w:val="clear" w:color="auto" w:fill="FFFFFF"/>
        <w:snapToGrid w:val="0"/>
        <w:spacing w:after="50"/>
        <w:rPr>
          <w:rFonts w:hint="eastAsia" w:ascii="宋体" w:hAnsi="宋体" w:eastAsia="宋体" w:cs="宋体"/>
          <w:bCs/>
          <w:i w:val="0"/>
          <w:iCs w:val="0"/>
          <w:color w:val="auto"/>
          <w:sz w:val="24"/>
          <w:szCs w:val="20"/>
          <w:highlight w:val="none"/>
        </w:rPr>
      </w:pP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项目编号：</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供应商全称（公章）：</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供应商地址：</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联系电话：</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p>
    <w:p>
      <w:pPr>
        <w:shd w:val="clear" w:color="auto" w:fill="FFFFFF"/>
        <w:snapToGrid w:val="0"/>
        <w:spacing w:after="50"/>
        <w:ind w:firstLine="5100" w:firstLineChars="1700"/>
        <w:rPr>
          <w:rFonts w:hint="eastAsia" w:ascii="宋体" w:hAnsi="宋体" w:eastAsia="宋体" w:cs="宋体"/>
          <w:i w:val="0"/>
          <w:iCs w:val="0"/>
          <w:color w:val="auto"/>
          <w:sz w:val="28"/>
          <w:szCs w:val="21"/>
          <w:highlight w:val="none"/>
        </w:rPr>
      </w:pPr>
      <w:r>
        <w:rPr>
          <w:rFonts w:hint="eastAsia" w:ascii="宋体" w:hAnsi="宋体" w:eastAsia="宋体" w:cs="宋体"/>
          <w:bCs/>
          <w:i w:val="0"/>
          <w:iCs w:val="0"/>
          <w:color w:val="auto"/>
          <w:sz w:val="30"/>
          <w:szCs w:val="30"/>
          <w:highlight w:val="none"/>
        </w:rPr>
        <w:t xml:space="preserve"> </w:t>
      </w:r>
    </w:p>
    <w:p>
      <w:pPr>
        <w:shd w:val="clear" w:color="auto" w:fill="FFFFFF"/>
        <w:snapToGrid w:val="0"/>
        <w:spacing w:after="50"/>
        <w:ind w:right="670" w:rightChars="319" w:firstLine="645"/>
        <w:jc w:val="center"/>
        <w:rPr>
          <w:rFonts w:hint="eastAsia" w:ascii="宋体" w:hAnsi="宋体" w:eastAsia="宋体" w:cs="宋体"/>
          <w:i w:val="0"/>
          <w:iCs w:val="0"/>
          <w:color w:val="auto"/>
          <w:sz w:val="28"/>
          <w:szCs w:val="21"/>
          <w:highlight w:val="none"/>
        </w:rPr>
      </w:pPr>
      <w:r>
        <w:rPr>
          <w:rFonts w:hint="eastAsia" w:ascii="宋体" w:hAnsi="宋体" w:eastAsia="宋体" w:cs="宋体"/>
          <w:i w:val="0"/>
          <w:iCs w:val="0"/>
          <w:color w:val="auto"/>
          <w:sz w:val="28"/>
          <w:szCs w:val="28"/>
          <w:highlight w:val="none"/>
        </w:rPr>
        <w:t>年  月  日</w:t>
      </w:r>
    </w:p>
    <w:p>
      <w:pPr>
        <w:spacing w:line="360" w:lineRule="auto"/>
        <w:jc w:val="center"/>
        <w:rPr>
          <w:rFonts w:hint="eastAsia" w:ascii="宋体" w:hAnsi="宋体" w:eastAsia="宋体" w:cs="宋体"/>
          <w:b/>
          <w:i w:val="0"/>
          <w:iCs w:val="0"/>
          <w:color w:val="auto"/>
          <w:kern w:val="0"/>
          <w:sz w:val="24"/>
          <w:highlight w:val="none"/>
        </w:rPr>
      </w:pPr>
    </w:p>
    <w:p>
      <w:pPr>
        <w:rPr>
          <w:rFonts w:hint="eastAsia" w:ascii="宋体" w:hAnsi="宋体" w:eastAsia="宋体" w:cs="宋体"/>
          <w:b/>
          <w:i w:val="0"/>
          <w:iCs w:val="0"/>
          <w:color w:val="auto"/>
          <w:kern w:val="0"/>
          <w:sz w:val="28"/>
          <w:szCs w:val="28"/>
          <w:highlight w:val="none"/>
        </w:rPr>
      </w:pPr>
      <w:r>
        <w:rPr>
          <w:rFonts w:hint="eastAsia" w:ascii="宋体" w:hAnsi="宋体" w:eastAsia="宋体" w:cs="宋体"/>
          <w:b/>
          <w:i w:val="0"/>
          <w:iCs w:val="0"/>
          <w:color w:val="auto"/>
          <w:kern w:val="0"/>
          <w:sz w:val="28"/>
          <w:szCs w:val="28"/>
          <w:highlight w:val="none"/>
        </w:rPr>
        <w:br w:type="page"/>
      </w:r>
    </w:p>
    <w:p>
      <w:pPr>
        <w:rPr>
          <w:rFonts w:hint="eastAsia" w:ascii="宋体" w:hAnsi="宋体" w:eastAsia="宋体" w:cs="宋体"/>
          <w:b/>
          <w:i w:val="0"/>
          <w:iCs w:val="0"/>
          <w:color w:val="auto"/>
          <w:kern w:val="0"/>
          <w:sz w:val="32"/>
          <w:szCs w:val="32"/>
          <w:highlight w:val="none"/>
          <w:lang w:val="zh-CN"/>
        </w:rPr>
      </w:pPr>
    </w:p>
    <w:p>
      <w:pPr>
        <w:adjustRightInd/>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详细评审索引</w:t>
      </w:r>
    </w:p>
    <w:tbl>
      <w:tblPr>
        <w:tblStyle w:val="64"/>
        <w:tblW w:w="8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6119" w:type="dxa"/>
            <w:vAlign w:val="center"/>
          </w:tcPr>
          <w:p>
            <w:pPr>
              <w:snapToGrid w:val="0"/>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评分/评审细则</w:t>
            </w:r>
          </w:p>
        </w:tc>
        <w:tc>
          <w:tcPr>
            <w:tcW w:w="1276" w:type="dxa"/>
            <w:vAlign w:val="center"/>
          </w:tcPr>
          <w:p>
            <w:pPr>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页码</w:t>
            </w:r>
            <w:r>
              <w:rPr>
                <w:rFonts w:hint="eastAsia" w:ascii="宋体" w:hAnsi="宋体" w:eastAsia="宋体" w:cs="宋体"/>
                <w:b/>
                <w:color w:val="auto"/>
                <w:sz w:val="24"/>
                <w:highlight w:val="none"/>
                <w:lang w:eastAsia="zh-CN"/>
              </w:rPr>
              <w:t>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bl>
    <w:p>
      <w:pPr>
        <w:adjustRightInd/>
        <w:spacing w:line="440" w:lineRule="exact"/>
        <w:ind w:firstLine="840" w:firstLineChars="400"/>
        <w:rPr>
          <w:rFonts w:hint="eastAsia" w:ascii="宋体" w:hAnsi="宋体" w:eastAsia="宋体" w:cs="宋体"/>
          <w:i w:val="0"/>
          <w:iCs w:val="0"/>
          <w:color w:val="auto"/>
          <w:highlight w:val="none"/>
        </w:rPr>
      </w:pPr>
      <w:r>
        <w:rPr>
          <w:rFonts w:hint="eastAsia" w:ascii="宋体" w:hAnsi="宋体" w:eastAsia="宋体" w:cs="宋体"/>
          <w:i w:val="0"/>
          <w:iCs w:val="0"/>
          <w:color w:val="auto"/>
          <w:szCs w:val="21"/>
          <w:highlight w:val="none"/>
        </w:rPr>
        <w:t>注：供应商根据评审办法的“评审因素”条款一一对应填写本表。</w:t>
      </w:r>
    </w:p>
    <w:p>
      <w:pPr>
        <w:pStyle w:val="18"/>
        <w:ind w:firstLine="420"/>
        <w:rPr>
          <w:rFonts w:hint="eastAsia" w:ascii="宋体" w:hAnsi="宋体" w:eastAsia="宋体" w:cs="宋体"/>
          <w:i w:val="0"/>
          <w:iCs w:val="0"/>
          <w:color w:val="auto"/>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numPr>
          <w:ilvl w:val="0"/>
          <w:numId w:val="9"/>
        </w:numPr>
        <w:snapToGrid w:val="0"/>
        <w:spacing w:line="360" w:lineRule="auto"/>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kern w:val="0"/>
          <w:sz w:val="32"/>
          <w:szCs w:val="32"/>
          <w:highlight w:val="none"/>
        </w:rPr>
        <w:t>响应</w:t>
      </w:r>
      <w:r>
        <w:rPr>
          <w:rFonts w:hint="eastAsia" w:ascii="宋体" w:hAnsi="宋体" w:eastAsia="宋体" w:cs="宋体"/>
          <w:b/>
          <w:i w:val="0"/>
          <w:iCs w:val="0"/>
          <w:color w:val="auto"/>
          <w:sz w:val="32"/>
          <w:szCs w:val="32"/>
          <w:highlight w:val="none"/>
        </w:rPr>
        <w:t>函</w:t>
      </w:r>
    </w:p>
    <w:p>
      <w:pPr>
        <w:pStyle w:val="98"/>
        <w:numPr>
          <w:ilvl w:val="-1"/>
          <w:numId w:val="0"/>
        </w:numPr>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杭州市余杭区</w:t>
      </w:r>
      <w:r>
        <w:rPr>
          <w:rFonts w:hint="eastAsia" w:ascii="宋体" w:hAnsi="宋体" w:eastAsia="宋体" w:cs="宋体"/>
          <w:i w:val="0"/>
          <w:iCs w:val="0"/>
          <w:color w:val="auto"/>
          <w:sz w:val="24"/>
          <w:highlight w:val="none"/>
          <w:u w:val="single"/>
        </w:rPr>
        <w:t>财政局</w:t>
      </w:r>
      <w:r>
        <w:rPr>
          <w:rFonts w:hint="eastAsia" w:ascii="宋体" w:hAnsi="宋体" w:eastAsia="宋体" w:cs="宋体"/>
          <w:i w:val="0"/>
          <w:i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我方参加你方组织的</w:t>
      </w:r>
      <w:r>
        <w:rPr>
          <w:rFonts w:hint="eastAsia" w:ascii="宋体" w:hAnsi="宋体" w:eastAsia="宋体" w:cs="宋体"/>
          <w:i w:val="0"/>
          <w:iCs w:val="0"/>
          <w:color w:val="auto"/>
          <w:sz w:val="24"/>
          <w:highlight w:val="none"/>
          <w:u w:val="single"/>
        </w:rPr>
        <w:t>（项目名称）【项目编号：    】</w:t>
      </w:r>
      <w:r>
        <w:rPr>
          <w:rFonts w:hint="eastAsia" w:ascii="宋体" w:hAnsi="宋体" w:eastAsia="宋体" w:cs="宋体"/>
          <w:i w:val="0"/>
          <w:iCs w:val="0"/>
          <w:color w:val="auto"/>
          <w:sz w:val="24"/>
          <w:highlight w:val="none"/>
        </w:rPr>
        <w:t>征集的有关活动，并对此项目进行响应。为此：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1.我方承诺响应有效期从提交响应文件的截止之日起</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天（不少于90天）</w:t>
      </w:r>
      <w:r>
        <w:rPr>
          <w:rFonts w:hint="eastAsia" w:ascii="宋体" w:hAnsi="宋体" w:eastAsia="宋体" w:cs="宋体"/>
          <w:i w:val="0"/>
          <w:iCs w:val="0"/>
          <w:color w:val="auto"/>
          <w:highlight w:val="none"/>
        </w:rPr>
        <w:t>，</w:t>
      </w:r>
      <w:r>
        <w:rPr>
          <w:rFonts w:hint="eastAsia" w:ascii="宋体" w:hAnsi="宋体" w:eastAsia="宋体" w:cs="宋体"/>
          <w:i w:val="0"/>
          <w:iCs w:val="0"/>
          <w:color w:val="auto"/>
          <w:sz w:val="24"/>
          <w:highlight w:val="none"/>
        </w:rPr>
        <w:t>本响应文件在响应有效期满之前均具有约束力。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 xml:space="preserve"> </w:t>
      </w:r>
      <w:r>
        <w:rPr>
          <w:rFonts w:hint="eastAsia" w:ascii="宋体" w:hAnsi="宋体" w:eastAsia="宋体" w:cs="宋体"/>
          <w:i w:val="0"/>
          <w:iCs w:val="0"/>
          <w:color w:val="auto"/>
          <w:sz w:val="24"/>
          <w:highlight w:val="none"/>
        </w:rPr>
        <w:t>商务技术</w:t>
      </w:r>
      <w:r>
        <w:rPr>
          <w:rFonts w:hint="eastAsia" w:ascii="宋体" w:hAnsi="宋体" w:eastAsia="宋体" w:cs="宋体"/>
          <w:i w:val="0"/>
          <w:iCs w:val="0"/>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3.我方承诺除商务/技术偏离表列出的偏离外，我方响应征集文件的全部要求。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4.如我方入围，我方承诺：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4.1在收到入围通知书后，在入围通知书规定的期限内与你方签订合同；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4.3按照征集文件要求提交履约保证金</w:t>
      </w:r>
      <w:r>
        <w:rPr>
          <w:rFonts w:hint="eastAsia" w:ascii="宋体" w:hAnsi="宋体" w:cs="宋体"/>
          <w:i w:val="0"/>
          <w:iCs w:val="0"/>
          <w:color w:val="auto"/>
          <w:sz w:val="24"/>
          <w:highlight w:val="none"/>
          <w:lang w:eastAsia="zh-CN"/>
        </w:rPr>
        <w:t>（如有）</w:t>
      </w:r>
      <w:r>
        <w:rPr>
          <w:rFonts w:hint="eastAsia" w:ascii="宋体" w:hAnsi="宋体" w:eastAsia="宋体" w:cs="宋体"/>
          <w:i w:val="0"/>
          <w:iC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5.其他补充说明: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p>
    <w:p>
      <w:pPr>
        <w:spacing w:line="360" w:lineRule="auto"/>
        <w:ind w:firstLine="4320" w:firstLineChars="1800"/>
        <w:rPr>
          <w:rFonts w:hint="eastAsia" w:ascii="宋体" w:hAnsi="宋体" w:eastAsia="宋体" w:cs="宋体"/>
          <w:i w:val="0"/>
          <w:iCs w:val="0"/>
          <w:color w:val="auto"/>
          <w:sz w:val="24"/>
          <w:highlight w:val="none"/>
        </w:rPr>
      </w:pPr>
    </w:p>
    <w:p>
      <w:pPr>
        <w:spacing w:line="360" w:lineRule="auto"/>
        <w:ind w:firstLine="4320" w:firstLineChars="1800"/>
        <w:rPr>
          <w:rFonts w:hint="eastAsia" w:ascii="宋体" w:hAnsi="宋体" w:eastAsia="宋体" w:cs="宋体"/>
          <w:i w:val="0"/>
          <w:iCs w:val="0"/>
          <w:color w:val="auto"/>
          <w:sz w:val="24"/>
          <w:highlight w:val="none"/>
        </w:rPr>
      </w:pPr>
    </w:p>
    <w:p>
      <w:pPr>
        <w:spacing w:line="360" w:lineRule="auto"/>
        <w:ind w:firstLine="4320" w:firstLineChars="1800"/>
        <w:rPr>
          <w:rFonts w:hint="eastAsia" w:ascii="宋体" w:hAnsi="宋体" w:eastAsia="宋体" w:cs="宋体"/>
          <w:i w:val="0"/>
          <w:iCs w:val="0"/>
          <w:color w:val="auto"/>
          <w:sz w:val="24"/>
          <w:highlight w:val="none"/>
        </w:rPr>
      </w:pPr>
    </w:p>
    <w:p>
      <w:pPr>
        <w:spacing w:line="360" w:lineRule="auto"/>
        <w:ind w:firstLine="4320" w:firstLineChars="18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sz w:val="24"/>
          <w:highlight w:val="none"/>
        </w:rPr>
        <w:t xml:space="preserve">）：                          </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日期：  年   月   日</w:t>
      </w:r>
    </w:p>
    <w:p>
      <w:pPr>
        <w:rPr>
          <w:rFonts w:hint="eastAsia" w:ascii="宋体" w:hAnsi="宋体" w:eastAsia="宋体" w:cs="宋体"/>
          <w:i w:val="0"/>
          <w:iCs w:val="0"/>
          <w:color w:val="auto"/>
          <w:kern w:val="0"/>
          <w:sz w:val="24"/>
          <w:highlight w:val="none"/>
          <w:u w:val="single"/>
          <w:lang w:val="zh-CN"/>
        </w:rPr>
      </w:pPr>
      <w:r>
        <w:rPr>
          <w:rFonts w:hint="eastAsia" w:ascii="宋体" w:hAnsi="宋体" w:eastAsia="宋体" w:cs="宋体"/>
          <w:i w:val="0"/>
          <w:iCs w:val="0"/>
          <w:color w:val="auto"/>
          <w:kern w:val="0"/>
          <w:sz w:val="24"/>
          <w:highlight w:val="none"/>
          <w:u w:val="single"/>
          <w:lang w:val="zh-CN"/>
        </w:rPr>
        <w:br w:type="page"/>
      </w:r>
    </w:p>
    <w:p>
      <w:pPr>
        <w:rPr>
          <w:rFonts w:hint="eastAsia" w:ascii="宋体" w:hAnsi="宋体" w:eastAsia="宋体" w:cs="宋体"/>
          <w:b/>
          <w:i w:val="0"/>
          <w:iCs w:val="0"/>
          <w:color w:val="auto"/>
          <w:kern w:val="0"/>
          <w:sz w:val="32"/>
          <w:szCs w:val="32"/>
          <w:highlight w:val="none"/>
          <w:lang w:val="zh-CN"/>
        </w:rPr>
      </w:pP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0"/>
          <w:szCs w:val="30"/>
          <w:highlight w:val="none"/>
          <w:lang w:val="zh-CN"/>
        </w:rPr>
        <w:t>授权委托书或法定代表人（单位负责人、自然人本人）身份证明</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pPr>
        <w:snapToGrid w:val="0"/>
        <w:spacing w:line="360" w:lineRule="auto"/>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法定代表人授权委托书</w:t>
      </w:r>
    </w:p>
    <w:p>
      <w:pPr>
        <w:snapToGrid w:val="0"/>
        <w:spacing w:line="360" w:lineRule="auto"/>
        <w:rPr>
          <w:rFonts w:hint="eastAsia" w:ascii="宋体" w:hAnsi="宋体" w:eastAsia="宋体" w:cs="宋体"/>
          <w:i w:val="0"/>
          <w:iCs w:val="0"/>
          <w:color w:val="auto"/>
          <w:sz w:val="24"/>
          <w:highlight w:val="none"/>
          <w:u w:val="single"/>
          <w:lang w:val="en-US" w:eastAsia="zh-CN"/>
        </w:rPr>
      </w:pP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杭州市余杭区</w:t>
      </w:r>
      <w:r>
        <w:rPr>
          <w:rFonts w:hint="eastAsia" w:ascii="宋体" w:hAnsi="宋体" w:eastAsia="宋体" w:cs="宋体"/>
          <w:i w:val="0"/>
          <w:iCs w:val="0"/>
          <w:color w:val="auto"/>
          <w:sz w:val="24"/>
          <w:highlight w:val="none"/>
          <w:u w:val="single"/>
        </w:rPr>
        <w:t>财政局</w:t>
      </w:r>
      <w:r>
        <w:rPr>
          <w:rFonts w:hint="eastAsia" w:ascii="宋体" w:hAnsi="宋体" w:eastAsia="宋体" w:cs="宋体"/>
          <w:i w:val="0"/>
          <w:iCs w:val="0"/>
          <w:color w:val="auto"/>
          <w:sz w:val="24"/>
          <w:highlight w:val="none"/>
        </w:rPr>
        <w:t>：</w:t>
      </w:r>
    </w:p>
    <w:p>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我单位法定代表人</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rPr>
        <w:t>（项目名称）【项目编号： 】</w:t>
      </w:r>
      <w:r>
        <w:rPr>
          <w:rFonts w:hint="eastAsia" w:ascii="宋体" w:hAnsi="宋体" w:eastAsia="宋体" w:cs="宋体"/>
          <w:i w:val="0"/>
          <w:iCs w:val="0"/>
          <w:color w:val="auto"/>
          <w:kern w:val="0"/>
          <w:sz w:val="24"/>
          <w:highlight w:val="none"/>
          <w:lang w:val="zh-CN"/>
        </w:rPr>
        <w:t>政府采购响应的一切事项，其法律后果由我方承担。</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日止。</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kern w:val="0"/>
          <w:sz w:val="24"/>
          <w:highlight w:val="none"/>
          <w:lang w:val="zh-CN"/>
        </w:rPr>
        <w:t>)：</w:t>
      </w:r>
    </w:p>
    <w:p>
      <w:pPr>
        <w:snapToGrid w:val="0"/>
        <w:spacing w:line="360" w:lineRule="auto"/>
        <w:rPr>
          <w:rFonts w:hint="eastAsia" w:ascii="宋体" w:hAnsi="宋体" w:eastAsia="宋体" w:cs="宋体"/>
          <w:i w:val="0"/>
          <w:iCs w:val="0"/>
          <w:color w:val="auto"/>
          <w:sz w:val="24"/>
          <w:highlight w:val="none"/>
          <w:shd w:val="clear" w:color="auto" w:fill="FFFFFF"/>
        </w:rPr>
      </w:pPr>
      <w:r>
        <w:rPr>
          <w:rFonts w:hint="eastAsia" w:ascii="宋体" w:hAnsi="宋体" w:eastAsia="宋体" w:cs="宋体"/>
          <w:i w:val="0"/>
          <w:iCs w:val="0"/>
          <w:color w:val="auto"/>
          <w:kern w:val="0"/>
          <w:sz w:val="24"/>
          <w:highlight w:val="none"/>
          <w:lang w:val="zh-CN"/>
        </w:rPr>
        <w:t xml:space="preserve">                                                 签发日期：  年  月   日</w:t>
      </w:r>
    </w:p>
    <w:p>
      <w:pPr>
        <w:snapToGrid w:val="0"/>
        <w:spacing w:before="120" w:beforeLines="50" w:after="50" w:line="360" w:lineRule="auto"/>
        <w:rPr>
          <w:rFonts w:hint="eastAsia" w:ascii="宋体" w:hAnsi="宋体" w:eastAsia="宋体" w:cs="宋体"/>
          <w:b/>
          <w:i w:val="0"/>
          <w:iCs w:val="0"/>
          <w:color w:val="auto"/>
          <w:sz w:val="24"/>
          <w:highlight w:val="none"/>
        </w:rPr>
      </w:pPr>
    </w:p>
    <w:p>
      <w:pPr>
        <w:snapToGrid w:val="0"/>
        <w:spacing w:before="120" w:beforeLines="50" w:after="50" w:line="360" w:lineRule="auto"/>
        <w:rPr>
          <w:rFonts w:hint="eastAsia" w:ascii="宋体" w:hAnsi="宋体" w:eastAsia="宋体" w:cs="宋体"/>
          <w:b/>
          <w:i w:val="0"/>
          <w:iCs w:val="0"/>
          <w:color w:val="auto"/>
          <w:sz w:val="24"/>
          <w:highlight w:val="none"/>
        </w:rPr>
      </w:pPr>
    </w:p>
    <w:p>
      <w:pPr>
        <w:snapToGrid w:val="0"/>
        <w:spacing w:before="120" w:beforeLines="50" w:after="50"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后附：1.法定代表人身份证复印件（双面）；</w:t>
      </w:r>
    </w:p>
    <w:p>
      <w:pPr>
        <w:snapToGrid w:val="0"/>
        <w:spacing w:before="120" w:beforeLines="50" w:after="50" w:line="360" w:lineRule="auto"/>
        <w:ind w:firstLine="723" w:firstLineChars="300"/>
        <w:rPr>
          <w:rFonts w:hint="eastAsia" w:ascii="宋体" w:hAnsi="宋体" w:eastAsia="宋体" w:cs="宋体"/>
          <w:b/>
          <w:i w:val="0"/>
          <w:iCs w:val="0"/>
          <w:color w:val="auto"/>
          <w:sz w:val="24"/>
          <w:szCs w:val="20"/>
          <w:highlight w:val="none"/>
        </w:rPr>
      </w:pPr>
      <w:r>
        <w:rPr>
          <w:rFonts w:hint="eastAsia" w:ascii="宋体" w:hAnsi="宋体" w:eastAsia="宋体" w:cs="宋体"/>
          <w:b/>
          <w:i w:val="0"/>
          <w:iCs w:val="0"/>
          <w:color w:val="auto"/>
          <w:sz w:val="24"/>
          <w:highlight w:val="none"/>
        </w:rPr>
        <w:t>2.被授权人身份证复印件（双面）；</w:t>
      </w: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kern w:val="0"/>
          <w:sz w:val="32"/>
          <w:szCs w:val="32"/>
          <w:highlight w:val="none"/>
          <w:lang w:val="zh-CN"/>
        </w:rPr>
        <w:t>法定代表人、单位负责人或自然人本人</w:t>
      </w:r>
      <w:r>
        <w:rPr>
          <w:rFonts w:hint="eastAsia" w:ascii="宋体" w:hAnsi="宋体" w:eastAsia="宋体" w:cs="宋体"/>
          <w:b/>
          <w:i w:val="0"/>
          <w:iCs w:val="0"/>
          <w:color w:val="auto"/>
          <w:sz w:val="30"/>
          <w:szCs w:val="30"/>
          <w:highlight w:val="none"/>
        </w:rPr>
        <w:t>的身份证明（适用于法定代表人、单位负责人或者自然人本人代表供应商参加）</w:t>
      </w:r>
    </w:p>
    <w:p>
      <w:pPr>
        <w:pStyle w:val="89"/>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9"/>
              <w:adjustRightIn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正面：                                 反面：</w:t>
            </w:r>
          </w:p>
          <w:p>
            <w:pPr>
              <w:pStyle w:val="89"/>
              <w:adjustRightInd w:val="0"/>
              <w:spacing w:line="360" w:lineRule="auto"/>
              <w:rPr>
                <w:rFonts w:hint="eastAsia" w:ascii="宋体" w:hAnsi="宋体" w:eastAsia="宋体" w:cs="宋体"/>
                <w:bCs/>
                <w:i w:val="0"/>
                <w:iCs w:val="0"/>
                <w:color w:val="auto"/>
                <w:sz w:val="24"/>
                <w:highlight w:val="none"/>
              </w:rPr>
            </w:pPr>
          </w:p>
        </w:tc>
      </w:tr>
    </w:tbl>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kern w:val="0"/>
          <w:sz w:val="24"/>
          <w:highlight w:val="none"/>
          <w:lang w:val="zh-CN"/>
        </w:rPr>
        <w:t xml:space="preserve">)：                              </w:t>
      </w:r>
    </w:p>
    <w:p>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zh-CN"/>
        </w:rPr>
        <w:t>三、供应商基本情况（如企业简介，经营状况、财务状况、专业能力，企业荣誉，企业资质，拥有相关认证情况等等）</w:t>
      </w:r>
      <w:r>
        <w:rPr>
          <w:rFonts w:hint="eastAsia" w:ascii="宋体" w:hAnsi="宋体" w:eastAsia="宋体" w:cs="宋体"/>
          <w:b/>
          <w:i w:val="0"/>
          <w:iCs w:val="0"/>
          <w:color w:val="auto"/>
          <w:kern w:val="0"/>
          <w:sz w:val="32"/>
          <w:szCs w:val="32"/>
          <w:highlight w:val="none"/>
        </w:rPr>
        <w:t xml:space="preserve"> </w:t>
      </w: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【格式自拟】</w:t>
      </w: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numPr>
          <w:ilvl w:val="-1"/>
          <w:numId w:val="0"/>
        </w:numPr>
        <w:jc w:val="both"/>
        <w:rPr>
          <w:rFonts w:hint="eastAsia" w:ascii="宋体" w:hAnsi="宋体" w:eastAsia="宋体" w:cs="宋体"/>
          <w:b/>
          <w:i w:val="0"/>
          <w:iCs w:val="0"/>
          <w:color w:val="auto"/>
          <w:kern w:val="0"/>
          <w:sz w:val="32"/>
          <w:szCs w:val="32"/>
          <w:highlight w:val="none"/>
          <w:lang w:val="zh-CN"/>
        </w:rPr>
      </w:pPr>
    </w:p>
    <w:p>
      <w:pPr>
        <w:numPr>
          <w:ilvl w:val="0"/>
          <w:numId w:val="10"/>
        </w:numPr>
        <w:jc w:val="center"/>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拟派项目组成员</w:t>
      </w:r>
      <w:r>
        <w:rPr>
          <w:rFonts w:hint="eastAsia" w:ascii="宋体" w:hAnsi="宋体" w:cs="宋体"/>
          <w:b/>
          <w:i w:val="0"/>
          <w:iCs w:val="0"/>
          <w:color w:val="auto"/>
          <w:kern w:val="0"/>
          <w:sz w:val="32"/>
          <w:szCs w:val="32"/>
          <w:highlight w:val="none"/>
          <w:lang w:val="zh-CN"/>
        </w:rPr>
        <w:t>（参考格式）</w:t>
      </w:r>
    </w:p>
    <w:p>
      <w:pPr>
        <w:pStyle w:val="18"/>
        <w:ind w:left="840" w:leftChars="400" w:firstLine="0" w:firstLineChars="0"/>
        <w:jc w:val="center"/>
        <w:rPr>
          <w:rFonts w:hint="eastAsia" w:ascii="宋体" w:hAnsi="宋体" w:eastAsia="宋体" w:cs="宋体"/>
          <w:i w:val="0"/>
          <w:iCs w:val="0"/>
          <w:color w:val="auto"/>
          <w:highlight w:val="none"/>
          <w:lang w:val="zh-CN"/>
        </w:rPr>
      </w:pPr>
    </w:p>
    <w:p>
      <w:pPr>
        <w:spacing w:line="400" w:lineRule="exact"/>
        <w:ind w:firstLine="440" w:firstLineChars="200"/>
        <w:rPr>
          <w:rFonts w:hint="eastAsia" w:ascii="宋体" w:hAnsi="宋体" w:eastAsia="宋体" w:cs="宋体"/>
          <w:i w:val="0"/>
          <w:iCs w:val="0"/>
          <w:color w:val="auto"/>
          <w:sz w:val="22"/>
          <w:highlight w:val="none"/>
        </w:rPr>
      </w:pPr>
      <w:r>
        <w:rPr>
          <w:rFonts w:hint="eastAsia" w:ascii="宋体" w:hAnsi="宋体" w:eastAsia="宋体" w:cs="宋体"/>
          <w:i w:val="0"/>
          <w:iCs w:val="0"/>
          <w:color w:val="auto"/>
          <w:sz w:val="22"/>
          <w:highlight w:val="none"/>
        </w:rPr>
        <w:t>项目名称：                                             项目编号：</w:t>
      </w:r>
    </w:p>
    <w:p>
      <w:pPr>
        <w:pStyle w:val="18"/>
        <w:ind w:firstLine="2730" w:firstLineChars="13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u w:val="none"/>
          <w:lang w:val="en-US" w:eastAsia="zh-CN"/>
        </w:rPr>
        <w:t>负责人</w:t>
      </w:r>
      <w:r>
        <w:rPr>
          <w:rFonts w:hint="eastAsia" w:ascii="宋体" w:hAnsi="宋体" w:eastAsia="宋体" w:cs="宋体"/>
          <w:i w:val="0"/>
          <w:iCs w:val="0"/>
          <w:color w:val="auto"/>
          <w:highlight w:val="none"/>
        </w:rPr>
        <w:t xml:space="preserve">履历表 </w:t>
      </w:r>
    </w:p>
    <w:tbl>
      <w:tblPr>
        <w:tblStyle w:val="6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630"/>
        <w:gridCol w:w="630"/>
        <w:gridCol w:w="525"/>
        <w:gridCol w:w="420"/>
        <w:gridCol w:w="1260"/>
        <w:gridCol w:w="192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性别</w:t>
            </w:r>
          </w:p>
        </w:tc>
        <w:tc>
          <w:tcPr>
            <w:tcW w:w="94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出生年月</w:t>
            </w:r>
          </w:p>
        </w:tc>
        <w:tc>
          <w:tcPr>
            <w:tcW w:w="1929"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restart"/>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照</w:t>
            </w:r>
          </w:p>
          <w:p>
            <w:pPr>
              <w:spacing w:line="300" w:lineRule="auto"/>
              <w:jc w:val="center"/>
              <w:rPr>
                <w:rFonts w:hint="eastAsia" w:ascii="宋体" w:hAnsi="宋体" w:eastAsia="宋体" w:cs="宋体"/>
                <w:i w:val="0"/>
                <w:iCs w:val="0"/>
                <w:color w:val="auto"/>
                <w:szCs w:val="21"/>
                <w:highlight w:val="none"/>
              </w:rPr>
            </w:pPr>
          </w:p>
          <w:p>
            <w:pPr>
              <w:spacing w:line="300" w:lineRule="auto"/>
              <w:jc w:val="center"/>
              <w:rPr>
                <w:rFonts w:hint="eastAsia" w:ascii="宋体" w:hAnsi="宋体" w:eastAsia="宋体" w:cs="宋体"/>
                <w:i w:val="0"/>
                <w:iCs w:val="0"/>
                <w:color w:val="auto"/>
                <w:szCs w:val="21"/>
                <w:highlight w:val="none"/>
              </w:rPr>
            </w:pPr>
          </w:p>
          <w:p>
            <w:pPr>
              <w:spacing w:line="30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片</w:t>
            </w:r>
          </w:p>
          <w:p>
            <w:pPr>
              <w:spacing w:line="300" w:lineRule="auto"/>
              <w:jc w:val="center"/>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职务</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20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参加工作时间</w:t>
            </w:r>
          </w:p>
        </w:tc>
        <w:tc>
          <w:tcPr>
            <w:tcW w:w="3189"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学历</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毕业学校</w:t>
            </w:r>
          </w:p>
        </w:tc>
        <w:tc>
          <w:tcPr>
            <w:tcW w:w="94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专业</w:t>
            </w:r>
          </w:p>
        </w:tc>
        <w:tc>
          <w:tcPr>
            <w:tcW w:w="1929"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主要研究方向</w:t>
            </w:r>
          </w:p>
        </w:tc>
        <w:tc>
          <w:tcPr>
            <w:tcW w:w="5394" w:type="dxa"/>
            <w:gridSpan w:val="6"/>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执业资格</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p>
        </w:tc>
        <w:tc>
          <w:tcPr>
            <w:tcW w:w="1785"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获证时间及</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审批机关</w:t>
            </w:r>
          </w:p>
        </w:tc>
        <w:tc>
          <w:tcPr>
            <w:tcW w:w="3609"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职称</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785"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获证时间及</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审批机关</w:t>
            </w:r>
          </w:p>
        </w:tc>
        <w:tc>
          <w:tcPr>
            <w:tcW w:w="3609"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身份证号码</w:t>
            </w:r>
          </w:p>
        </w:tc>
        <w:tc>
          <w:tcPr>
            <w:tcW w:w="1785"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68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联系电话</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2"/>
                <w:sz w:val="21"/>
                <w:szCs w:val="21"/>
                <w:highlight w:val="none"/>
                <w:lang w:val="en-US" w:eastAsia="zh-CN" w:bidi="ar-SA"/>
              </w:rPr>
              <w:pict>
                <v:shape id="直接箭头连接符 1" o:spid="_x0000_s1031" o:spt="32" type="#_x0000_t32" style="position:absolute;left:0pt;margin-left:-5.4pt;margin-top:261.2pt;height:0.05pt;width:429.5pt;z-index:251661312;mso-width-relative:page;mso-height-relative:page;" filled="f" stroked="t" coordsize="21600,21600" o:gfxdata="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Ii1h9kAAAALAQAADwAAAAAAAAABACAAAAAiAAAAZHJz&#10;L2Rvd25yZXYueG1sUEsBAhQAFAAAAAgAh07iQFW3ksoDAgAA+gMAAA4AAAAAAAAAAQAgAAAAKAEA&#10;AGRycy9lMm9Eb2MueG1sUEsFBgAAAAAGAAYAWQEAAJ0FAAAAAA==&#10;">
                  <v:path arrowok="t"/>
                  <v:fill on="f" focussize="0,0"/>
                  <v:stroke color="#000000" joinstyle="round"/>
                  <v:imagedata o:title=""/>
                  <o:lock v:ext="edit" aspectratio="f"/>
                </v:shape>
              </w:pict>
            </w:r>
            <w:r>
              <w:rPr>
                <w:rFonts w:hint="eastAsia" w:ascii="宋体" w:hAnsi="宋体" w:eastAsia="宋体" w:cs="宋体"/>
                <w:i w:val="0"/>
                <w:iCs w:val="0"/>
                <w:color w:val="auto"/>
                <w:szCs w:val="21"/>
                <w:highlight w:val="none"/>
              </w:rPr>
              <w:t>从事执业工作经历</w:t>
            </w: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时间</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本人承担任务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000000"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000000"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000000"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bl>
    <w:p>
      <w:pPr>
        <w:pStyle w:val="18"/>
        <w:ind w:firstLine="420"/>
        <w:rPr>
          <w:rFonts w:hint="eastAsia" w:ascii="宋体" w:hAnsi="宋体" w:eastAsia="宋体" w:cs="宋体"/>
          <w:i w:val="0"/>
          <w:iCs w:val="0"/>
          <w:color w:val="auto"/>
          <w:highlight w:val="none"/>
        </w:rPr>
      </w:pPr>
    </w:p>
    <w:p>
      <w:pPr>
        <w:pStyle w:val="18"/>
        <w:ind w:firstLine="420"/>
        <w:rPr>
          <w:rFonts w:hint="eastAsia" w:ascii="宋体" w:hAnsi="宋体" w:eastAsia="宋体" w:cs="宋体"/>
          <w:i w:val="0"/>
          <w:iCs w:val="0"/>
          <w:color w:val="auto"/>
          <w:highlight w:val="none"/>
        </w:rPr>
      </w:pPr>
    </w:p>
    <w:p>
      <w:pPr>
        <w:pStyle w:val="18"/>
        <w:ind w:firstLine="420"/>
        <w:rPr>
          <w:rFonts w:hint="eastAsia" w:ascii="宋体" w:hAnsi="宋体" w:eastAsia="宋体" w:cs="宋体"/>
          <w:i w:val="0"/>
          <w:iCs w:val="0"/>
          <w:color w:val="auto"/>
          <w:highlight w:val="none"/>
        </w:rPr>
      </w:pPr>
    </w:p>
    <w:p>
      <w:pPr>
        <w:pStyle w:val="43"/>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highlight w:val="none"/>
        </w:rPr>
      </w:pPr>
    </w:p>
    <w:p>
      <w:pPr>
        <w:pStyle w:val="18"/>
        <w:ind w:firstLine="3360" w:firstLineChars="1600"/>
        <w:rPr>
          <w:rFonts w:hint="eastAsia" w:ascii="宋体" w:hAnsi="宋体" w:eastAsia="宋体" w:cs="宋体"/>
          <w:i w:val="0"/>
          <w:iCs w:val="0"/>
          <w:color w:val="auto"/>
          <w:highlight w:val="none"/>
        </w:rPr>
      </w:pPr>
    </w:p>
    <w:p>
      <w:pPr>
        <w:pStyle w:val="18"/>
        <w:ind w:firstLine="3360" w:firstLineChars="16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rPr>
        <w:t>项目成员组成</w:t>
      </w:r>
      <w:r>
        <w:rPr>
          <w:rFonts w:hint="eastAsia" w:ascii="宋体" w:hAnsi="宋体" w:eastAsia="宋体" w:cs="宋体"/>
          <w:i w:val="0"/>
          <w:iCs w:val="0"/>
          <w:color w:val="auto"/>
          <w:highlight w:val="none"/>
          <w:lang w:val="en-US" w:eastAsia="zh-CN"/>
        </w:rPr>
        <w:t>情况</w:t>
      </w:r>
    </w:p>
    <w:tbl>
      <w:tblPr>
        <w:tblStyle w:val="64"/>
        <w:tblW w:w="949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057"/>
        <w:gridCol w:w="648"/>
        <w:gridCol w:w="648"/>
        <w:gridCol w:w="1368"/>
        <w:gridCol w:w="1065"/>
        <w:gridCol w:w="1126"/>
        <w:gridCol w:w="2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070"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姓名</w:t>
            </w:r>
          </w:p>
        </w:tc>
        <w:tc>
          <w:tcPr>
            <w:tcW w:w="1057"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本项目担任工作</w:t>
            </w:r>
          </w:p>
        </w:tc>
        <w:tc>
          <w:tcPr>
            <w:tcW w:w="64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年龄</w:t>
            </w:r>
          </w:p>
        </w:tc>
        <w:tc>
          <w:tcPr>
            <w:tcW w:w="64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性别</w:t>
            </w:r>
          </w:p>
        </w:tc>
        <w:tc>
          <w:tcPr>
            <w:tcW w:w="136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职称或资格</w:t>
            </w:r>
          </w:p>
        </w:tc>
        <w:tc>
          <w:tcPr>
            <w:tcW w:w="1065"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 xml:space="preserve">执业资格类别 </w:t>
            </w:r>
          </w:p>
        </w:tc>
        <w:tc>
          <w:tcPr>
            <w:tcW w:w="1126"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i w:val="0"/>
                <w:iCs w:val="0"/>
                <w:color w:val="auto"/>
                <w:szCs w:val="21"/>
                <w:highlight w:val="none"/>
              </w:rPr>
              <w:t>执业注册证书号</w:t>
            </w:r>
          </w:p>
        </w:tc>
        <w:tc>
          <w:tcPr>
            <w:tcW w:w="250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i w:val="0"/>
                <w:iCs w:val="0"/>
                <w:color w:val="auto"/>
                <w:szCs w:val="21"/>
                <w:highlight w:val="none"/>
              </w:rPr>
              <w:t>从事执业工作时间及参与典型业务情况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pStyle w:val="38"/>
              <w:spacing w:line="360" w:lineRule="auto"/>
              <w:ind w:left="5250"/>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bl>
    <w:p>
      <w:pPr>
        <w:autoSpaceDE w:val="0"/>
        <w:autoSpaceDN w:val="0"/>
        <w:spacing w:line="360" w:lineRule="auto"/>
        <w:rPr>
          <w:rFonts w:hint="eastAsia" w:ascii="宋体" w:hAnsi="宋体" w:eastAsia="宋体" w:cs="宋体"/>
          <w:i w:val="0"/>
          <w:iCs w:val="0"/>
          <w:color w:val="auto"/>
          <w:sz w:val="22"/>
          <w:highlight w:val="none"/>
        </w:rPr>
      </w:pPr>
      <w:r>
        <w:rPr>
          <w:rFonts w:hint="eastAsia" w:ascii="宋体" w:hAnsi="宋体" w:eastAsia="宋体" w:cs="宋体"/>
          <w:i w:val="0"/>
          <w:iCs w:val="0"/>
          <w:color w:val="auto"/>
          <w:sz w:val="22"/>
          <w:highlight w:val="none"/>
        </w:rPr>
        <w:t>注：1、本表人员如有证书的，须提供相关人员情况复印件或扫描件，并加盖供应商公章。</w:t>
      </w:r>
    </w:p>
    <w:p>
      <w:pPr>
        <w:autoSpaceDE w:val="0"/>
        <w:autoSpaceDN w:val="0"/>
        <w:spacing w:line="360" w:lineRule="auto"/>
        <w:ind w:firstLine="323" w:firstLineChars="147"/>
        <w:rPr>
          <w:rFonts w:hint="eastAsia" w:ascii="宋体" w:hAnsi="宋体" w:eastAsia="宋体" w:cs="宋体"/>
          <w:i w:val="0"/>
          <w:iCs w:val="0"/>
          <w:color w:val="auto"/>
          <w:sz w:val="22"/>
          <w:highlight w:val="none"/>
        </w:rPr>
      </w:pPr>
      <w:r>
        <w:rPr>
          <w:rFonts w:hint="eastAsia" w:ascii="宋体" w:hAnsi="宋体" w:eastAsia="宋体" w:cs="宋体"/>
          <w:i w:val="0"/>
          <w:iCs w:val="0"/>
          <w:color w:val="auto"/>
          <w:sz w:val="22"/>
          <w:highlight w:val="none"/>
        </w:rPr>
        <w:t xml:space="preserve"> 2、列入本表人员如要更换，需经征集人同意；擅自更换或不到位属违约行为。</w:t>
      </w: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 xml:space="preserve">                 </w:t>
      </w:r>
      <w:r>
        <w:rPr>
          <w:rFonts w:hint="eastAsia" w:ascii="宋体" w:hAnsi="宋体" w:eastAsia="宋体" w:cs="宋体"/>
          <w:i w:val="0"/>
          <w:iCs w:val="0"/>
          <w:color w:val="auto"/>
          <w:kern w:val="0"/>
          <w:sz w:val="24"/>
          <w:highlight w:val="none"/>
          <w:lang w:val="zh-CN"/>
        </w:rPr>
        <w:t>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kern w:val="0"/>
          <w:sz w:val="24"/>
          <w:highlight w:val="none"/>
          <w:lang w:val="zh-CN"/>
        </w:rPr>
        <w:t xml:space="preserve">)：                              </w:t>
      </w:r>
    </w:p>
    <w:p>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snapToGrid w:val="0"/>
        <w:outlineLvl w:val="1"/>
        <w:rPr>
          <w:rFonts w:hint="eastAsia" w:ascii="宋体" w:hAnsi="宋体" w:eastAsia="宋体" w:cs="宋体"/>
          <w:i w:val="0"/>
          <w:iCs w:val="0"/>
          <w:color w:val="auto"/>
          <w:sz w:val="32"/>
          <w:szCs w:val="32"/>
          <w:highlight w:val="none"/>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lang w:val="zh-CN" w:eastAsia="zh-CN"/>
        </w:rPr>
      </w:pPr>
      <w:r>
        <w:rPr>
          <w:rFonts w:hint="eastAsia" w:ascii="宋体" w:hAnsi="宋体" w:eastAsia="宋体" w:cs="宋体"/>
          <w:b/>
          <w:i w:val="0"/>
          <w:iCs w:val="0"/>
          <w:color w:val="auto"/>
          <w:kern w:val="0"/>
          <w:sz w:val="32"/>
          <w:szCs w:val="32"/>
          <w:highlight w:val="none"/>
        </w:rPr>
        <w:t>五、供应商具有的</w:t>
      </w:r>
      <w:r>
        <w:rPr>
          <w:rFonts w:hint="eastAsia" w:ascii="宋体" w:hAnsi="宋体" w:eastAsia="宋体" w:cs="宋体"/>
          <w:b/>
          <w:i w:val="0"/>
          <w:iCs w:val="0"/>
          <w:color w:val="auto"/>
          <w:kern w:val="0"/>
          <w:sz w:val="32"/>
          <w:szCs w:val="32"/>
          <w:highlight w:val="none"/>
          <w:lang w:val="en-US" w:eastAsia="zh-CN"/>
        </w:rPr>
        <w:t>专项债及其他融资类</w:t>
      </w:r>
      <w:r>
        <w:rPr>
          <w:rFonts w:hint="eastAsia" w:ascii="宋体" w:hAnsi="宋体" w:eastAsia="宋体" w:cs="宋体"/>
          <w:b/>
          <w:i w:val="0"/>
          <w:iCs w:val="0"/>
          <w:color w:val="auto"/>
          <w:kern w:val="0"/>
          <w:sz w:val="32"/>
          <w:szCs w:val="32"/>
          <w:highlight w:val="none"/>
        </w:rPr>
        <w:t>项目业绩</w:t>
      </w:r>
      <w:r>
        <w:rPr>
          <w:rFonts w:hint="eastAsia" w:ascii="宋体" w:hAnsi="宋体" w:cs="宋体"/>
          <w:b/>
          <w:i w:val="0"/>
          <w:iCs w:val="0"/>
          <w:color w:val="auto"/>
          <w:kern w:val="0"/>
          <w:sz w:val="32"/>
          <w:szCs w:val="32"/>
          <w:highlight w:val="none"/>
          <w:lang w:eastAsia="zh-CN"/>
        </w:rPr>
        <w:t>（参考格式）</w:t>
      </w:r>
    </w:p>
    <w:tbl>
      <w:tblPr>
        <w:tblStyle w:val="6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97"/>
        <w:gridCol w:w="1806"/>
        <w:gridCol w:w="1806"/>
        <w:gridCol w:w="1390"/>
        <w:gridCol w:w="13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完成时间（起讫）</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项目简介</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金额（元）</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委托单位单位及联系人</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tabs>
                <w:tab w:val="left" w:pos="732"/>
              </w:tabs>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bl>
    <w:p>
      <w:pPr>
        <w:autoSpaceDE w:val="0"/>
        <w:autoSpaceDN w:val="0"/>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专项债项目：</w:t>
      </w:r>
      <w:r>
        <w:rPr>
          <w:rFonts w:hint="eastAsia" w:ascii="宋体" w:hAnsi="宋体" w:eastAsia="宋体" w:cs="宋体"/>
          <w:i w:val="0"/>
          <w:iCs w:val="0"/>
          <w:color w:val="auto"/>
          <w:sz w:val="24"/>
          <w:highlight w:val="none"/>
        </w:rPr>
        <w:t>供应商须提供项目明细清单&lt;含发行地区、项目名称、发债金额等要素&gt;、</w:t>
      </w:r>
      <w:r>
        <w:rPr>
          <w:rFonts w:hint="eastAsia" w:ascii="宋体" w:hAnsi="宋体" w:eastAsia="宋体" w:cs="宋体"/>
          <w:i w:val="0"/>
          <w:iCs w:val="0"/>
          <w:color w:val="auto"/>
          <w:sz w:val="24"/>
          <w:highlight w:val="none"/>
          <w:lang w:val="en-US" w:eastAsia="zh-CN"/>
        </w:rPr>
        <w:t>相关网站</w:t>
      </w:r>
      <w:r>
        <w:rPr>
          <w:rFonts w:hint="eastAsia" w:ascii="宋体" w:hAnsi="宋体" w:eastAsia="宋体" w:cs="宋体"/>
          <w:i w:val="0"/>
          <w:iCs w:val="0"/>
          <w:color w:val="auto"/>
          <w:sz w:val="24"/>
          <w:highlight w:val="none"/>
        </w:rPr>
        <w:t>披露截图，并加盖投标人公章</w:t>
      </w:r>
      <w:r>
        <w:rPr>
          <w:rFonts w:hint="eastAsia" w:ascii="宋体" w:hAnsi="宋体" w:eastAsia="宋体" w:cs="宋体"/>
          <w:i w:val="0"/>
          <w:iCs w:val="0"/>
          <w:color w:val="auto"/>
          <w:sz w:val="24"/>
          <w:highlight w:val="none"/>
          <w:lang w:val="en-US" w:eastAsia="zh-CN"/>
        </w:rPr>
        <w:t>&lt;以分支机构或其他合作单位名义出具不视为投标人业绩&gt;</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w:t>
      </w:r>
    </w:p>
    <w:p>
      <w:pPr>
        <w:autoSpaceDE w:val="0"/>
        <w:autoSpaceDN w:val="0"/>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其他融资类：须提供项目明细清单、已完成报告副本、服务合同复印件，并加盖投标人公章；稳评、股改所涉法律意见书须提供政法部门、股权交易机构等主体出具的文书&lt;复印件并加盖投标人公章&gt;</w:t>
      </w:r>
    </w:p>
    <w:p>
      <w:pPr>
        <w:autoSpaceDE w:val="0"/>
        <w:autoSpaceDN w:val="0"/>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注：供应商可按上述的格式自行编制，须随表提交的证明材料见评审办法。</w:t>
      </w: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rPr>
          <w:rFonts w:hint="eastAsia" w:ascii="宋体" w:hAnsi="宋体" w:eastAsia="宋体" w:cs="宋体"/>
          <w:b/>
          <w:i w:val="0"/>
          <w:iCs w:val="0"/>
          <w:color w:val="auto"/>
          <w:kern w:val="0"/>
          <w:sz w:val="32"/>
          <w:szCs w:val="32"/>
          <w:highlight w:val="none"/>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六、</w:t>
      </w:r>
      <w:r>
        <w:rPr>
          <w:rFonts w:hint="eastAsia" w:ascii="宋体" w:hAnsi="宋体" w:eastAsia="宋体" w:cs="宋体"/>
          <w:b/>
          <w:i w:val="0"/>
          <w:iCs w:val="0"/>
          <w:color w:val="auto"/>
          <w:kern w:val="0"/>
          <w:sz w:val="32"/>
          <w:szCs w:val="32"/>
          <w:highlight w:val="none"/>
          <w:lang w:val="en-US" w:eastAsia="zh-CN"/>
        </w:rPr>
        <w:t>其他服务类</w:t>
      </w:r>
      <w:r>
        <w:rPr>
          <w:rFonts w:hint="eastAsia" w:ascii="宋体" w:hAnsi="宋体" w:eastAsia="宋体" w:cs="宋体"/>
          <w:b/>
          <w:i w:val="0"/>
          <w:iCs w:val="0"/>
          <w:color w:val="auto"/>
          <w:kern w:val="0"/>
          <w:sz w:val="32"/>
          <w:szCs w:val="32"/>
          <w:highlight w:val="none"/>
        </w:rPr>
        <w:t>指标（包括：重难点分析、合理化建议、现场服务、</w:t>
      </w:r>
      <w:r>
        <w:rPr>
          <w:rFonts w:hint="eastAsia" w:ascii="宋体" w:hAnsi="宋体" w:eastAsia="宋体" w:cs="宋体"/>
          <w:b/>
          <w:i w:val="0"/>
          <w:iCs w:val="0"/>
          <w:color w:val="auto"/>
          <w:kern w:val="0"/>
          <w:sz w:val="32"/>
          <w:szCs w:val="32"/>
          <w:highlight w:val="none"/>
          <w:lang w:val="en-US" w:eastAsia="zh-CN"/>
        </w:rPr>
        <w:t>整体服务方案、</w:t>
      </w:r>
      <w:r>
        <w:rPr>
          <w:rFonts w:hint="eastAsia" w:ascii="宋体" w:hAnsi="宋体" w:eastAsia="宋体" w:cs="宋体"/>
          <w:b/>
          <w:i w:val="0"/>
          <w:iCs w:val="0"/>
          <w:color w:val="auto"/>
          <w:kern w:val="0"/>
          <w:sz w:val="32"/>
          <w:szCs w:val="32"/>
          <w:highlight w:val="none"/>
        </w:rPr>
        <w:t>质量保证措施、其他服务承诺事项等内容）</w:t>
      </w:r>
    </w:p>
    <w:p>
      <w:pPr>
        <w:rPr>
          <w:rFonts w:hint="eastAsia" w:ascii="宋体" w:hAnsi="宋体" w:eastAsia="宋体" w:cs="宋体"/>
          <w:b/>
          <w:i w:val="0"/>
          <w:iCs w:val="0"/>
          <w:color w:val="auto"/>
          <w:kern w:val="0"/>
          <w:sz w:val="32"/>
          <w:szCs w:val="32"/>
          <w:highlight w:val="none"/>
        </w:rPr>
      </w:pPr>
    </w:p>
    <w:p>
      <w:pPr>
        <w:ind w:firstLine="3213" w:firstLineChars="1000"/>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【格式自拟】</w:t>
      </w:r>
    </w:p>
    <w:p>
      <w:pPr>
        <w:ind w:left="84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highlight w:val="none"/>
        </w:rPr>
        <w:br w:type="page"/>
      </w:r>
    </w:p>
    <w:p>
      <w:pPr>
        <w:ind w:left="84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七、服务条款响应表</w:t>
      </w:r>
    </w:p>
    <w:tbl>
      <w:tblPr>
        <w:tblStyle w:val="64"/>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3255"/>
        <w:gridCol w:w="2569"/>
        <w:gridCol w:w="1384"/>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726"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序号</w:t>
            </w:r>
          </w:p>
        </w:tc>
        <w:tc>
          <w:tcPr>
            <w:tcW w:w="3255"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jc w:val="center"/>
              <w:rPr>
                <w:rFonts w:hint="eastAsia" w:ascii="宋体" w:hAnsi="宋体" w:eastAsia="宋体" w:cs="宋体"/>
                <w:i w:val="0"/>
                <w:iCs w:val="0"/>
                <w:color w:val="auto"/>
                <w:szCs w:val="24"/>
                <w:highlight w:val="none"/>
                <w:lang w:val="en-US" w:eastAsia="zh-CN"/>
              </w:rPr>
            </w:pPr>
            <w:r>
              <w:rPr>
                <w:rFonts w:hint="eastAsia" w:ascii="宋体" w:hAnsi="宋体" w:eastAsia="宋体" w:cs="宋体"/>
                <w:i w:val="0"/>
                <w:iCs w:val="0"/>
                <w:color w:val="auto"/>
                <w:szCs w:val="24"/>
                <w:highlight w:val="none"/>
              </w:rPr>
              <w:t>征集文件</w:t>
            </w:r>
            <w:r>
              <w:rPr>
                <w:rFonts w:hint="eastAsia" w:hAnsi="宋体" w:cs="宋体"/>
                <w:i w:val="0"/>
                <w:iCs w:val="0"/>
                <w:color w:val="auto"/>
                <w:szCs w:val="24"/>
                <w:highlight w:val="none"/>
                <w:lang w:eastAsia="zh-CN"/>
              </w:rPr>
              <w:t>的</w:t>
            </w:r>
            <w:r>
              <w:rPr>
                <w:rFonts w:hint="eastAsia" w:ascii="宋体" w:hAnsi="宋体" w:eastAsia="宋体" w:cs="宋体"/>
                <w:i w:val="0"/>
                <w:iCs w:val="0"/>
                <w:color w:val="auto"/>
                <w:szCs w:val="24"/>
                <w:highlight w:val="none"/>
              </w:rPr>
              <w:t>第二章 采购需求</w:t>
            </w:r>
          </w:p>
        </w:tc>
        <w:tc>
          <w:tcPr>
            <w:tcW w:w="2569"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响应情况</w:t>
            </w:r>
          </w:p>
        </w:tc>
        <w:tc>
          <w:tcPr>
            <w:tcW w:w="1384"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lang w:eastAsia="zh-CN"/>
              </w:rPr>
            </w:pPr>
            <w:r>
              <w:rPr>
                <w:rFonts w:hint="eastAsia" w:hAnsi="宋体" w:cs="宋体"/>
                <w:i w:val="0"/>
                <w:iCs w:val="0"/>
                <w:color w:val="auto"/>
                <w:szCs w:val="24"/>
                <w:highlight w:val="none"/>
                <w:lang w:eastAsia="zh-CN"/>
              </w:rPr>
              <w:t>偏离情况</w:t>
            </w:r>
          </w:p>
        </w:tc>
        <w:tc>
          <w:tcPr>
            <w:tcW w:w="1384"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center"/>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center"/>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bl>
    <w:p>
      <w:pPr>
        <w:tabs>
          <w:tab w:val="center" w:pos="4706"/>
          <w:tab w:val="left" w:pos="5970"/>
        </w:tabs>
        <w:snapToGrid w:val="0"/>
        <w:spacing w:before="50" w:after="120" w:afterLines="50"/>
        <w:jc w:val="left"/>
        <w:rPr>
          <w:rFonts w:hint="eastAsia" w:ascii="宋体" w:hAnsi="宋体" w:eastAsia="宋体" w:cs="宋体"/>
          <w:b/>
          <w:i w:val="0"/>
          <w:iCs w:val="0"/>
          <w:color w:val="auto"/>
          <w:sz w:val="24"/>
          <w:highlight w:val="none"/>
        </w:rPr>
      </w:pPr>
      <w:r>
        <w:rPr>
          <w:rFonts w:hint="eastAsia" w:ascii="宋体" w:hAnsi="宋体" w:eastAsia="宋体" w:cs="宋体"/>
          <w:bCs/>
          <w:i w:val="0"/>
          <w:iCs w:val="0"/>
          <w:color w:val="auto"/>
          <w:sz w:val="24"/>
          <w:highlight w:val="none"/>
        </w:rPr>
        <w:t>（针对“</w:t>
      </w:r>
      <w:r>
        <w:rPr>
          <w:rFonts w:hint="eastAsia" w:ascii="宋体" w:hAnsi="宋体" w:eastAsia="宋体" w:cs="宋体"/>
          <w:i w:val="0"/>
          <w:iCs w:val="0"/>
          <w:color w:val="auto"/>
          <w:sz w:val="24"/>
          <w:highlight w:val="none"/>
        </w:rPr>
        <w:t>采购项目要求</w:t>
      </w:r>
      <w:r>
        <w:rPr>
          <w:rFonts w:hint="eastAsia" w:ascii="宋体" w:hAnsi="宋体" w:eastAsia="宋体" w:cs="宋体"/>
          <w:bCs/>
          <w:i w:val="0"/>
          <w:iCs w:val="0"/>
          <w:color w:val="auto"/>
          <w:sz w:val="24"/>
          <w:highlight w:val="none"/>
        </w:rPr>
        <w:t>”所列的服务要求条目，逐一说明是完全响应、正偏离、负偏离等响应情况）</w:t>
      </w:r>
    </w:p>
    <w:p>
      <w:pPr>
        <w:pStyle w:val="18"/>
        <w:ind w:left="0" w:leftChars="0" w:firstLine="0" w:firstLineChars="0"/>
        <w:rPr>
          <w:rFonts w:hint="eastAsia" w:ascii="宋体" w:hAnsi="宋体" w:eastAsia="宋体" w:cs="宋体"/>
          <w:i w:val="0"/>
          <w:iCs w:val="0"/>
          <w:color w:val="auto"/>
          <w:highlight w:val="none"/>
        </w:rPr>
      </w:pPr>
    </w:p>
    <w:p>
      <w:pPr>
        <w:pStyle w:val="18"/>
        <w:ind w:left="0" w:leftChars="0" w:firstLine="0" w:firstLineChars="0"/>
        <w:rPr>
          <w:rFonts w:hint="eastAsia" w:ascii="宋体" w:hAnsi="宋体" w:eastAsia="宋体" w:cs="宋体"/>
          <w:i w:val="0"/>
          <w:iCs w:val="0"/>
          <w:color w:val="auto"/>
          <w:highlight w:val="none"/>
        </w:rPr>
      </w:pPr>
    </w:p>
    <w:p>
      <w:pPr>
        <w:pStyle w:val="18"/>
        <w:ind w:left="0" w:leftChars="0" w:firstLine="0" w:firstLineChars="0"/>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18"/>
        <w:ind w:firstLine="420"/>
        <w:rPr>
          <w:rFonts w:hint="eastAsia" w:ascii="宋体" w:hAnsi="宋体" w:eastAsia="宋体" w:cs="宋体"/>
          <w:i w:val="0"/>
          <w:iCs w:val="0"/>
          <w:color w:val="auto"/>
          <w:highlight w:val="none"/>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en-US" w:eastAsia="zh-CN"/>
        </w:rPr>
        <w:t>八</w:t>
      </w:r>
      <w:r>
        <w:rPr>
          <w:rFonts w:hint="eastAsia" w:ascii="宋体" w:hAnsi="宋体" w:eastAsia="宋体" w:cs="宋体"/>
          <w:b/>
          <w:i w:val="0"/>
          <w:iCs w:val="0"/>
          <w:color w:val="auto"/>
          <w:kern w:val="0"/>
          <w:sz w:val="32"/>
          <w:szCs w:val="32"/>
          <w:highlight w:val="none"/>
        </w:rPr>
        <w:t>、对应技术、商务分中评分细则提供相应的证明资料（投标人编制并提供相关证明材料）；</w:t>
      </w:r>
    </w:p>
    <w:p>
      <w:pPr>
        <w:spacing w:line="360" w:lineRule="auto"/>
        <w:rPr>
          <w:rFonts w:hint="eastAsia" w:ascii="宋体" w:hAnsi="宋体" w:eastAsia="宋体" w:cs="宋体"/>
          <w:b/>
          <w:i w:val="0"/>
          <w:iCs w:val="0"/>
          <w:color w:val="auto"/>
          <w:kern w:val="0"/>
          <w:sz w:val="32"/>
          <w:szCs w:val="32"/>
          <w:highlight w:val="none"/>
        </w:rPr>
      </w:pPr>
    </w:p>
    <w:p>
      <w:pPr>
        <w:spacing w:line="360" w:lineRule="auto"/>
        <w:rPr>
          <w:rFonts w:hint="eastAsia" w:ascii="宋体" w:hAnsi="宋体" w:eastAsia="宋体" w:cs="宋体"/>
          <w:b/>
          <w:i w:val="0"/>
          <w:iCs w:val="0"/>
          <w:color w:val="auto"/>
          <w:kern w:val="0"/>
          <w:sz w:val="32"/>
          <w:szCs w:val="32"/>
          <w:highlight w:val="none"/>
        </w:rPr>
      </w:pPr>
    </w:p>
    <w:p>
      <w:pPr>
        <w:spacing w:line="360" w:lineRule="auto"/>
        <w:rPr>
          <w:rFonts w:hint="eastAsia" w:ascii="宋体" w:hAnsi="宋体" w:eastAsia="宋体" w:cs="宋体"/>
          <w:b/>
          <w:i w:val="0"/>
          <w:iCs w:val="0"/>
          <w:color w:val="auto"/>
          <w:kern w:val="0"/>
          <w:sz w:val="32"/>
          <w:szCs w:val="32"/>
          <w:highlight w:val="none"/>
        </w:rPr>
      </w:pPr>
    </w:p>
    <w:p>
      <w:pPr>
        <w:pStyle w:val="98"/>
        <w:rPr>
          <w:rFonts w:hint="eastAsia" w:ascii="宋体" w:hAnsi="宋体" w:eastAsia="宋体" w:cs="宋体"/>
          <w:b/>
          <w:i w:val="0"/>
          <w:iCs w:val="0"/>
          <w:color w:val="auto"/>
          <w:kern w:val="0"/>
          <w:sz w:val="32"/>
          <w:szCs w:val="32"/>
          <w:highlight w:val="none"/>
        </w:rPr>
      </w:pPr>
    </w:p>
    <w:p>
      <w:pPr>
        <w:pStyle w:val="99"/>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98"/>
        <w:rPr>
          <w:rFonts w:hint="eastAsia" w:ascii="宋体" w:hAnsi="宋体" w:eastAsia="宋体" w:cs="宋体"/>
          <w:b/>
          <w:i w:val="0"/>
          <w:iCs w:val="0"/>
          <w:color w:val="auto"/>
          <w:kern w:val="0"/>
          <w:sz w:val="32"/>
          <w:szCs w:val="32"/>
          <w:highlight w:val="none"/>
        </w:rPr>
      </w:pPr>
    </w:p>
    <w:p>
      <w:pPr>
        <w:pStyle w:val="99"/>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98"/>
        <w:rPr>
          <w:rFonts w:hint="eastAsia" w:ascii="宋体" w:hAnsi="宋体" w:eastAsia="宋体" w:cs="宋体"/>
          <w:b/>
          <w:i w:val="0"/>
          <w:iCs w:val="0"/>
          <w:color w:val="auto"/>
          <w:kern w:val="0"/>
          <w:sz w:val="32"/>
          <w:szCs w:val="32"/>
          <w:highlight w:val="none"/>
        </w:rPr>
      </w:pPr>
    </w:p>
    <w:p>
      <w:pPr>
        <w:pStyle w:val="99"/>
        <w:rPr>
          <w:rFonts w:hint="eastAsia" w:ascii="宋体" w:hAnsi="宋体" w:eastAsia="宋体" w:cs="宋体"/>
          <w:highlight w:val="none"/>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en-US" w:eastAsia="zh-CN"/>
        </w:rPr>
        <w:t>九、</w:t>
      </w:r>
      <w:r>
        <w:rPr>
          <w:rFonts w:hint="eastAsia" w:ascii="宋体" w:hAnsi="宋体" w:eastAsia="宋体" w:cs="宋体"/>
          <w:b/>
          <w:i w:val="0"/>
          <w:iCs w:val="0"/>
          <w:color w:val="auto"/>
          <w:kern w:val="0"/>
          <w:sz w:val="32"/>
          <w:szCs w:val="32"/>
          <w:highlight w:val="none"/>
        </w:rPr>
        <w:t>供应商认为有必要提供的其他资料【结合评分需要，格式自拟】。</w:t>
      </w: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 xml:space="preserve"> </w:t>
      </w: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93"/>
        <w:snapToGrid w:val="0"/>
        <w:spacing w:before="120" w:after="120"/>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十</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政府采购活动现场确认声明书</w:t>
      </w:r>
    </w:p>
    <w:p>
      <w:pPr>
        <w:pStyle w:val="993"/>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93"/>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994"/>
        <w:widowControl/>
        <w:numPr>
          <w:ilvl w:val="0"/>
          <w:numId w:val="11"/>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本单位与采购人之间 □不存在利害关系 </w:t>
      </w:r>
      <w:r>
        <w:rPr>
          <w:rFonts w:hint="eastAsia" w:ascii="宋体" w:hAnsi="宋体" w:eastAsia="宋体" w:cs="宋体"/>
          <w:color w:val="auto"/>
          <w:kern w:val="0"/>
          <w:szCs w:val="21"/>
          <w:highlight w:val="none"/>
          <w:lang w:eastAsia="zh-CN"/>
        </w:rPr>
        <w:t>□</w:t>
      </w:r>
      <w:r>
        <w:rPr>
          <w:rFonts w:ascii="宋体" w:hAnsi="宋体" w:eastAsia="宋体" w:cs="宋体"/>
          <w:color w:val="auto"/>
          <w:kern w:val="0"/>
          <w:szCs w:val="21"/>
          <w:highlight w:val="none"/>
        </w:rPr>
        <w:t>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pPr>
        <w:pStyle w:val="994"/>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pPr>
        <w:pStyle w:val="994"/>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pPr>
        <w:pStyle w:val="994"/>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993"/>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94"/>
        <w:widowControl/>
        <w:numPr>
          <w:ilvl w:val="0"/>
          <w:numId w:val="12"/>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pPr>
        <w:pStyle w:val="994"/>
        <w:widowControl/>
        <w:numPr>
          <w:ilvl w:val="0"/>
          <w:numId w:val="12"/>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pPr>
        <w:pStyle w:val="993"/>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993"/>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pStyle w:val="18"/>
        <w:spacing w:line="360" w:lineRule="auto"/>
        <w:ind w:left="0" w:leftChars="0" w:firstLine="0" w:firstLineChars="0"/>
        <w:jc w:val="center"/>
        <w:rPr>
          <w:rFonts w:hint="eastAsia" w:ascii="宋体" w:hAnsi="宋体" w:eastAsia="宋体" w:cs="宋体"/>
          <w:b/>
          <w:bCs/>
          <w:i w:val="0"/>
          <w:iCs w:val="0"/>
          <w:color w:val="auto"/>
          <w:sz w:val="52"/>
          <w:szCs w:val="52"/>
          <w:highlight w:val="none"/>
          <w:lang w:val="en-US" w:eastAsia="zh-CN"/>
        </w:rPr>
      </w:pPr>
    </w:p>
    <w:p>
      <w:pPr>
        <w:pStyle w:val="18"/>
        <w:spacing w:line="360" w:lineRule="auto"/>
        <w:ind w:left="0" w:leftChars="0" w:firstLine="0" w:firstLineChars="0"/>
        <w:jc w:val="center"/>
        <w:rPr>
          <w:rFonts w:hint="eastAsia" w:ascii="宋体" w:hAnsi="宋体" w:eastAsia="宋体" w:cs="宋体"/>
          <w:b/>
          <w:bCs/>
          <w:i w:val="0"/>
          <w:iCs w:val="0"/>
          <w:color w:val="auto"/>
          <w:sz w:val="52"/>
          <w:szCs w:val="52"/>
          <w:highlight w:val="none"/>
          <w:lang w:val="en-US" w:eastAsia="zh-CN"/>
        </w:rPr>
      </w:pPr>
    </w:p>
    <w:p>
      <w:pPr>
        <w:pStyle w:val="18"/>
        <w:spacing w:line="360" w:lineRule="auto"/>
        <w:ind w:left="0" w:leftChars="0" w:firstLine="0" w:firstLineChars="0"/>
        <w:jc w:val="center"/>
        <w:rPr>
          <w:rFonts w:hint="eastAsia" w:ascii="宋体" w:hAnsi="宋体" w:eastAsia="宋体" w:cs="宋体"/>
          <w:b/>
          <w:bCs/>
          <w:i w:val="0"/>
          <w:iCs w:val="0"/>
          <w:color w:val="auto"/>
          <w:sz w:val="52"/>
          <w:szCs w:val="52"/>
          <w:highlight w:val="none"/>
          <w:lang w:val="en-US" w:eastAsia="zh-CN"/>
        </w:rPr>
      </w:pPr>
    </w:p>
    <w:p>
      <w:pPr>
        <w:pStyle w:val="16"/>
        <w:jc w:val="center"/>
        <w:rPr>
          <w:rFonts w:hint="eastAsia" w:hAnsi="宋体" w:cs="宋体"/>
          <w:b/>
          <w:bCs/>
          <w:i w:val="0"/>
          <w:iCs w:val="0"/>
          <w:color w:val="auto"/>
          <w:sz w:val="32"/>
          <w:szCs w:val="32"/>
          <w:highlight w:val="none"/>
          <w:lang w:val="en-US" w:eastAsia="zh-CN"/>
        </w:rPr>
      </w:pPr>
    </w:p>
    <w:p>
      <w:pPr>
        <w:pStyle w:val="16"/>
        <w:spacing w:line="480" w:lineRule="auto"/>
        <w:jc w:val="center"/>
        <w:rPr>
          <w:rFonts w:hint="eastAsia" w:ascii="宋体" w:hAnsi="宋体" w:eastAsia="宋体" w:cs="宋体"/>
          <w:i w:val="0"/>
          <w:iCs w:val="0"/>
          <w:color w:val="auto"/>
          <w:sz w:val="36"/>
          <w:szCs w:val="22"/>
          <w:highlight w:val="none"/>
        </w:rPr>
      </w:pPr>
      <w:r>
        <w:rPr>
          <w:rFonts w:hint="eastAsia" w:hAnsi="宋体" w:cs="宋体"/>
          <w:b/>
          <w:bCs/>
          <w:i w:val="0"/>
          <w:iCs w:val="0"/>
          <w:color w:val="auto"/>
          <w:sz w:val="40"/>
          <w:szCs w:val="40"/>
          <w:highlight w:val="none"/>
          <w:lang w:val="en-US" w:eastAsia="zh-CN"/>
        </w:rPr>
        <w:t>杭州市余杭区2023-2025年度专项债券发行准备财务会计专业服务采购项目</w:t>
      </w:r>
    </w:p>
    <w:p>
      <w:pPr>
        <w:shd w:val="clear" w:color="auto" w:fill="FFFFFF"/>
        <w:snapToGrid w:val="0"/>
        <w:spacing w:after="50"/>
        <w:jc w:val="center"/>
        <w:rPr>
          <w:rFonts w:hint="eastAsia" w:ascii="宋体" w:hAnsi="宋体" w:eastAsia="宋体" w:cs="宋体"/>
          <w:b/>
          <w:i w:val="0"/>
          <w:iCs w:val="0"/>
          <w:color w:val="auto"/>
          <w:sz w:val="72"/>
          <w:szCs w:val="72"/>
          <w:highlight w:val="none"/>
          <w:shd w:val="clear" w:color="auto" w:fill="FFFFFF"/>
        </w:rPr>
      </w:pPr>
      <w:r>
        <w:rPr>
          <w:rFonts w:hint="eastAsia" w:ascii="宋体" w:hAnsi="宋体" w:eastAsia="宋体" w:cs="宋体"/>
          <w:b/>
          <w:i w:val="0"/>
          <w:iCs w:val="0"/>
          <w:color w:val="auto"/>
          <w:sz w:val="72"/>
          <w:szCs w:val="72"/>
          <w:highlight w:val="none"/>
          <w:shd w:val="clear" w:color="auto" w:fill="FFFFFF"/>
        </w:rPr>
        <w:t>响 应 文 件</w:t>
      </w: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r>
        <w:rPr>
          <w:rFonts w:hint="eastAsia" w:ascii="宋体" w:hAnsi="宋体" w:eastAsia="宋体" w:cs="宋体"/>
          <w:b/>
          <w:i w:val="0"/>
          <w:iCs w:val="0"/>
          <w:color w:val="auto"/>
          <w:sz w:val="52"/>
          <w:szCs w:val="52"/>
          <w:highlight w:val="none"/>
          <w:shd w:val="clear" w:color="auto" w:fill="FFFFFF"/>
        </w:rPr>
        <w:t>（报价文件）</w:t>
      </w:r>
    </w:p>
    <w:p>
      <w:pPr>
        <w:shd w:val="clear" w:color="auto" w:fill="FFFFFF"/>
        <w:snapToGrid w:val="0"/>
        <w:spacing w:after="50"/>
        <w:jc w:val="center"/>
        <w:rPr>
          <w:rFonts w:hint="eastAsia" w:ascii="宋体" w:hAnsi="宋体" w:eastAsia="宋体" w:cs="宋体"/>
          <w:b/>
          <w:i w:val="0"/>
          <w:iCs w:val="0"/>
          <w:color w:val="auto"/>
          <w:sz w:val="44"/>
          <w:szCs w:val="44"/>
          <w:highlight w:val="none"/>
        </w:rPr>
      </w:pPr>
    </w:p>
    <w:p>
      <w:pPr>
        <w:shd w:val="clear" w:color="auto" w:fill="FFFFFF"/>
        <w:snapToGrid w:val="0"/>
        <w:spacing w:after="50"/>
        <w:rPr>
          <w:rFonts w:hint="eastAsia" w:ascii="宋体" w:hAnsi="宋体" w:eastAsia="宋体" w:cs="宋体"/>
          <w:bCs/>
          <w:i w:val="0"/>
          <w:iCs w:val="0"/>
          <w:color w:val="auto"/>
          <w:sz w:val="24"/>
          <w:highlight w:val="none"/>
        </w:rPr>
      </w:pPr>
    </w:p>
    <w:p>
      <w:pPr>
        <w:shd w:val="clear" w:color="auto" w:fill="FFFFFF"/>
        <w:snapToGrid w:val="0"/>
        <w:spacing w:after="50"/>
        <w:jc w:val="cente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pStyle w:val="19"/>
        <w:rPr>
          <w:rFonts w:hint="eastAsia"/>
          <w:highlight w:val="none"/>
        </w:rPr>
      </w:pPr>
    </w:p>
    <w:p>
      <w:pP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pStyle w:val="19"/>
        <w:rPr>
          <w:rFonts w:hint="eastAsia"/>
          <w:highlight w:val="none"/>
        </w:rPr>
      </w:pPr>
    </w:p>
    <w:p>
      <w:pPr>
        <w:rPr>
          <w:rFonts w:hint="eastAsia" w:ascii="宋体" w:hAnsi="宋体" w:eastAsia="宋体" w:cs="宋体"/>
          <w:i w:val="0"/>
          <w:iCs w:val="0"/>
          <w:color w:val="auto"/>
          <w:highlight w:val="none"/>
        </w:rPr>
      </w:pPr>
    </w:p>
    <w:p>
      <w:pPr>
        <w:shd w:val="clear" w:color="auto" w:fill="FFFFFF"/>
        <w:snapToGrid w:val="0"/>
        <w:spacing w:after="50"/>
        <w:rPr>
          <w:rFonts w:hint="eastAsia" w:ascii="宋体" w:hAnsi="宋体" w:eastAsia="宋体" w:cs="宋体"/>
          <w:bCs/>
          <w:i w:val="0"/>
          <w:iCs w:val="0"/>
          <w:color w:val="auto"/>
          <w:sz w:val="24"/>
          <w:szCs w:val="20"/>
          <w:highlight w:val="none"/>
        </w:rPr>
      </w:pP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项目编号：</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供应商全称（公章）：</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供应商地址：</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联系电话：</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p>
    <w:p>
      <w:pPr>
        <w:shd w:val="clear" w:color="auto" w:fill="FFFFFF"/>
        <w:snapToGrid w:val="0"/>
        <w:spacing w:after="50"/>
        <w:ind w:right="670" w:rightChars="319" w:firstLine="645"/>
        <w:jc w:val="center"/>
        <w:rPr>
          <w:rFonts w:hint="eastAsia" w:ascii="宋体" w:hAnsi="宋体" w:eastAsia="宋体" w:cs="宋体"/>
          <w:i w:val="0"/>
          <w:iCs w:val="0"/>
          <w:color w:val="auto"/>
          <w:sz w:val="28"/>
          <w:szCs w:val="21"/>
          <w:highlight w:val="none"/>
        </w:rPr>
      </w:pPr>
      <w:r>
        <w:rPr>
          <w:rFonts w:hint="eastAsia" w:ascii="宋体" w:hAnsi="宋体" w:eastAsia="宋体" w:cs="宋体"/>
          <w:i w:val="0"/>
          <w:iCs w:val="0"/>
          <w:color w:val="auto"/>
          <w:sz w:val="28"/>
          <w:szCs w:val="28"/>
          <w:highlight w:val="none"/>
        </w:rPr>
        <w:t>年  月  日</w:t>
      </w:r>
    </w:p>
    <w:p>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r>
        <w:rPr>
          <w:rFonts w:hint="eastAsia" w:ascii="宋体" w:hAnsi="宋体" w:eastAsia="宋体" w:cs="宋体"/>
          <w:b/>
          <w:bCs/>
          <w:i w:val="0"/>
          <w:iCs w:val="0"/>
          <w:color w:val="auto"/>
          <w:sz w:val="36"/>
          <w:szCs w:val="44"/>
          <w:highlight w:val="none"/>
        </w:rPr>
        <w:t>价格承诺函</w:t>
      </w:r>
    </w:p>
    <w:p>
      <w:pPr>
        <w:rPr>
          <w:rFonts w:hint="eastAsia" w:ascii="宋体" w:hAnsi="宋体" w:eastAsia="宋体" w:cs="宋体"/>
          <w:color w:val="auto"/>
          <w:highlight w:val="none"/>
        </w:rPr>
      </w:pPr>
    </w:p>
    <w:p>
      <w:pPr>
        <w:pStyle w:val="18"/>
        <w:ind w:firstLine="249" w:firstLineChars="104"/>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项目编号</w:t>
      </w:r>
    </w:p>
    <w:tbl>
      <w:tblPr>
        <w:tblStyle w:val="64"/>
        <w:tblW w:w="8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71"/>
        <w:gridCol w:w="1716"/>
        <w:gridCol w:w="2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jc w:val="center"/>
        </w:trPr>
        <w:tc>
          <w:tcPr>
            <w:tcW w:w="477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类型</w:t>
            </w:r>
          </w:p>
        </w:tc>
        <w:tc>
          <w:tcPr>
            <w:tcW w:w="171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Style w:val="977"/>
                <w:rFonts w:hint="eastAsia" w:ascii="宋体" w:hAnsi="宋体" w:eastAsia="宋体" w:cs="宋体"/>
                <w:bCs/>
                <w:color w:val="auto"/>
                <w:sz w:val="24"/>
                <w:highlight w:val="none"/>
              </w:rPr>
            </w:pPr>
            <w:r>
              <w:rPr>
                <w:rStyle w:val="977"/>
                <w:rFonts w:hint="eastAsia" w:ascii="宋体" w:hAnsi="宋体" w:eastAsia="宋体" w:cs="宋体"/>
                <w:bCs/>
                <w:color w:val="auto"/>
                <w:sz w:val="24"/>
                <w:highlight w:val="none"/>
              </w:rPr>
              <w:t>最高单价限价</w:t>
            </w:r>
          </w:p>
        </w:tc>
        <w:tc>
          <w:tcPr>
            <w:tcW w:w="251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color w:val="auto"/>
                <w:sz w:val="24"/>
                <w:highlight w:val="none"/>
                <w:lang w:val="en-US" w:eastAsia="zh-CN"/>
              </w:rPr>
            </w:pPr>
            <w:r>
              <w:rPr>
                <w:rStyle w:val="977"/>
                <w:rFonts w:hint="eastAsia" w:ascii="宋体" w:hAnsi="宋体" w:eastAsia="宋体" w:cs="宋体"/>
                <w:bCs/>
                <w:color w:val="auto"/>
                <w:sz w:val="24"/>
                <w:highlight w:val="none"/>
              </w:rPr>
              <w:t>响应单价</w:t>
            </w:r>
            <w:r>
              <w:rPr>
                <w:rStyle w:val="977"/>
                <w:rFonts w:hint="eastAsia" w:ascii="宋体" w:hAnsi="宋体" w:eastAsia="宋体" w:cs="宋体"/>
                <w:bCs/>
                <w:color w:val="auto"/>
                <w:sz w:val="24"/>
                <w:highlight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7" w:hRule="exact"/>
          <w:jc w:val="center"/>
        </w:trPr>
        <w:tc>
          <w:tcPr>
            <w:tcW w:w="477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出具加盖第三方中介机构公章的财务评估报告（正式稿）并首次成功发行专项债的项目</w:t>
            </w:r>
          </w:p>
        </w:tc>
        <w:tc>
          <w:tcPr>
            <w:tcW w:w="1716"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3万元/个</w:t>
            </w:r>
          </w:p>
        </w:tc>
        <w:tc>
          <w:tcPr>
            <w:tcW w:w="251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元/个</w:t>
            </w:r>
          </w:p>
          <w:p>
            <w:pPr>
              <w:pStyle w:val="18"/>
              <w:ind w:left="0" w:leftChars="0" w:firstLine="0" w:firstLineChars="0"/>
              <w:rPr>
                <w:rFonts w:hint="eastAsia" w:ascii="宋体" w:hAnsi="宋体" w:eastAsia="宋体" w:cs="宋体"/>
                <w:color w:val="auto"/>
                <w:highlight w:val="none"/>
                <w:u w:val="singl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元/个</w:t>
            </w:r>
          </w:p>
        </w:tc>
      </w:tr>
    </w:tbl>
    <w:p>
      <w:pPr>
        <w:adjustRightInd/>
        <w:spacing w:line="54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注：最高限价：本项目征集人根据出具加盖第三方中介机构公章的财务评估报告意见（正式稿）的项目，设定专业服务费报价的最高单价限价。供应商应在最高单价限价范围内进行报价，报价内容为x元/个。报价超过最高限价视为无效。</w:t>
      </w:r>
    </w:p>
    <w:p>
      <w:pPr>
        <w:pStyle w:val="18"/>
        <w:ind w:firstLine="4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8"/>
        <w:ind w:firstLine="420"/>
        <w:rPr>
          <w:rFonts w:hint="eastAsia" w:ascii="宋体" w:hAnsi="宋体" w:eastAsia="宋体" w:cs="宋体"/>
          <w:color w:val="auto"/>
          <w:highlight w:val="none"/>
        </w:rPr>
      </w:pPr>
    </w:p>
    <w:p>
      <w:pPr>
        <w:spacing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spacing w:line="360" w:lineRule="auto"/>
        <w:jc w:val="both"/>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附件：</w:t>
      </w:r>
      <w:r>
        <w:rPr>
          <w:rFonts w:hint="eastAsia" w:ascii="宋体" w:hAnsi="宋体" w:eastAsia="宋体" w:cs="宋体"/>
          <w:b/>
          <w:color w:val="auto"/>
          <w:sz w:val="32"/>
          <w:szCs w:val="32"/>
          <w:highlight w:val="none"/>
        </w:rPr>
        <w:t>中小企业声明函（服务）</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0"/>
        <w:rPr>
          <w:rFonts w:hint="eastAsia"/>
          <w:highlight w:val="none"/>
        </w:rPr>
        <w:sectPr>
          <w:headerReference r:id="rId13" w:type="first"/>
          <w:footerReference r:id="rId15" w:type="first"/>
          <w:footerReference r:id="rId14" w:type="default"/>
          <w:pgSz w:w="11905" w:h="16838"/>
          <w:pgMar w:top="822" w:right="1417" w:bottom="822" w:left="1417" w:header="539" w:footer="482" w:gutter="0"/>
          <w:pgNumType w:fmt="numberInDash"/>
          <w:cols w:space="720" w:num="1"/>
          <w:titlePg/>
          <w:docGrid w:linePitch="312" w:charSpace="0"/>
        </w:sect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4"/>
        <w:tblW w:w="14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1"/>
        <w:gridCol w:w="1383"/>
        <w:gridCol w:w="1575"/>
        <w:gridCol w:w="1550"/>
        <w:gridCol w:w="1182"/>
        <w:gridCol w:w="1387"/>
        <w:gridCol w:w="1425"/>
        <w:gridCol w:w="1010"/>
        <w:gridCol w:w="1132"/>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4069" w:type="dxa"/>
            <w:gridSpan w:val="10"/>
            <w:tcMar>
              <w:top w:w="15" w:type="dxa"/>
              <w:left w:w="15" w:type="dxa"/>
              <w:bottom w:w="15" w:type="dxa"/>
              <w:right w:w="15" w:type="dxa"/>
            </w:tcMar>
            <w:vAlign w:val="bottom"/>
          </w:tcPr>
          <w:p>
            <w:pPr>
              <w:widowControl/>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2341"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3226"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2341"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84"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069" w:type="dxa"/>
            <w:gridSpan w:val="10"/>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pgSz w:w="16838" w:h="11905" w:orient="landscape"/>
          <w:pgMar w:top="1417" w:right="822" w:bottom="1417" w:left="822" w:header="539" w:footer="482" w:gutter="0"/>
          <w:pgNumType w:fmt="numberInDash"/>
          <w:cols w:space="0" w:num="1"/>
          <w:titlePg/>
          <w:rtlGutter w:val="0"/>
          <w:docGrid w:linePitch="312" w:charSpace="0"/>
        </w:sectPr>
      </w:pPr>
    </w:p>
    <w:p>
      <w:pPr>
        <w:pStyle w:val="2"/>
        <w:ind w:left="0" w:leftChars="0" w:firstLine="0" w:firstLineChars="0"/>
        <w:rPr>
          <w:rFonts w:hint="default"/>
          <w:lang w:val="en-US" w:eastAsia="zh-CN"/>
        </w:rPr>
      </w:pPr>
    </w:p>
    <w:sectPr>
      <w:pgSz w:w="11905" w:h="16838"/>
      <w:pgMar w:top="822" w:right="1417" w:bottom="822" w:left="1417" w:header="539" w:footer="48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 w:name="宋体-PUA">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9"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rPr>
        <w:rFonts w:ascii="宋体" w:hAnsi="宋体" w:cs="宋体"/>
        <w:iCs/>
      </w:rPr>
    </w:pPr>
    <w:r>
      <w:rPr>
        <w:rFonts w:hint="eastAsia" w:ascii="宋体" w:hAnsi="宋体" w:cs="宋体"/>
        <w:iCs/>
      </w:rPr>
      <w:t>金华市2023-2025年度专项债券发行准备财务会计专业服务采购项目封闭式框架协议采购公开征集文件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rPr>
        <w:rFonts w:ascii="宋体" w:hAnsi="宋体" w:cs="宋体"/>
        <w:iCs/>
      </w:rPr>
    </w:pPr>
    <w:r>
      <w:rPr>
        <w:rFonts w:hint="eastAsia" w:ascii="宋体" w:hAnsi="宋体" w:cs="宋体"/>
        <w:iCs/>
        <w:lang w:val="en-US" w:eastAsia="zh-CN"/>
      </w:rPr>
      <w:t>杭州</w:t>
    </w:r>
    <w:r>
      <w:rPr>
        <w:rFonts w:hint="eastAsia" w:ascii="宋体" w:hAnsi="宋体" w:cs="宋体"/>
        <w:iCs/>
      </w:rPr>
      <w:t>市</w:t>
    </w:r>
    <w:r>
      <w:rPr>
        <w:rFonts w:hint="eastAsia" w:ascii="宋体" w:hAnsi="宋体" w:cs="宋体"/>
        <w:iCs/>
        <w:lang w:val="en-US" w:eastAsia="zh-CN"/>
      </w:rPr>
      <w:t>余杭区</w:t>
    </w:r>
    <w:r>
      <w:rPr>
        <w:rFonts w:hint="eastAsia" w:ascii="宋体" w:hAnsi="宋体" w:cs="宋体"/>
        <w:iCs/>
      </w:rPr>
      <w:t>2023-2025年度专项债券发行准备财务会计专业服务采购项目封闭式框架协议采购公开征集文件</w:t>
    </w:r>
  </w:p>
  <w:p>
    <w:pPr>
      <w:pStyle w:val="44"/>
      <w:pBdr>
        <w:bottom w:val="none" w:color="auto" w:sz="0" w:space="0"/>
      </w:pBdr>
      <w:tabs>
        <w:tab w:val="center" w:pos="4535"/>
        <w:tab w:val="right" w:pos="907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rPr>
        <w:rFonts w:hint="eastAsia" w:ascii="宋体" w:hAnsi="宋体" w:cs="宋体"/>
        <w:iCs/>
        <w:sz w:val="20"/>
        <w:szCs w:val="20"/>
      </w:rPr>
    </w:pPr>
    <w:r>
      <w:rPr>
        <w:rFonts w:hint="eastAsia" w:ascii="宋体" w:hAnsi="宋体" w:cs="宋体"/>
        <w:iCs/>
        <w:sz w:val="20"/>
        <w:szCs w:val="20"/>
        <w:lang w:val="en-US" w:eastAsia="zh-CN"/>
      </w:rPr>
      <w:t>杭州市余杭区</w:t>
    </w:r>
    <w:r>
      <w:rPr>
        <w:rFonts w:hint="eastAsia" w:ascii="宋体" w:hAnsi="宋体" w:cs="宋体"/>
        <w:iCs/>
        <w:sz w:val="20"/>
        <w:szCs w:val="20"/>
      </w:rPr>
      <w:t>2023-2025年度专项债券发行准备财务会计专业服务采购公开征集文件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rPr>
        <w:rFonts w:ascii="仿宋_GB2312" w:eastAsia="仿宋_GB2312"/>
        <w:b/>
        <w:i/>
        <w:iCs/>
        <w:u w:val="single"/>
      </w:rPr>
    </w:pPr>
    <w:r>
      <w:rPr>
        <w:rFonts w:hint="eastAsia"/>
        <w:lang w:val="en-US" w:eastAsia="zh-CN"/>
      </w:rPr>
      <w:t>杭州市余杭区</w:t>
    </w:r>
    <w:r>
      <w:rPr>
        <w:rFonts w:hint="eastAsia" w:ascii="宋体" w:hAnsi="宋体" w:cs="宋体"/>
        <w:iCs/>
      </w:rPr>
      <w:t>2023-2025年度专项债券发行准备财务会计专业服务采购项目封闭式框架协议采购公开征集文件</w:t>
    </w:r>
  </w:p>
  <w:p>
    <w:pPr>
      <w:pStyle w:val="44"/>
      <w:pBdr>
        <w:bottom w:val="none" w:color="auto" w:sz="0" w:space="0"/>
      </w:pBdr>
      <w:tabs>
        <w:tab w:val="left" w:pos="2824"/>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99673"/>
    <w:multiLevelType w:val="singleLevel"/>
    <w:tmpl w:val="90799673"/>
    <w:lvl w:ilvl="0" w:tentative="0">
      <w:start w:val="8"/>
      <w:numFmt w:val="chineseCounting"/>
      <w:suff w:val="nothing"/>
      <w:lvlText w:val="%1、"/>
      <w:lvlJc w:val="left"/>
      <w:pPr>
        <w:ind w:left="210"/>
      </w:pPr>
      <w:rPr>
        <w:rFonts w:hint="eastAsia"/>
      </w:rPr>
    </w:lvl>
  </w:abstractNum>
  <w:abstractNum w:abstractNumId="1">
    <w:nsid w:val="98D2DEC9"/>
    <w:multiLevelType w:val="singleLevel"/>
    <w:tmpl w:val="98D2DEC9"/>
    <w:lvl w:ilvl="0" w:tentative="0">
      <w:start w:val="1"/>
      <w:numFmt w:val="chineseCounting"/>
      <w:suff w:val="nothing"/>
      <w:lvlText w:val="%1、"/>
      <w:lvlJc w:val="left"/>
      <w:rPr>
        <w:rFonts w:hint="eastAsia"/>
      </w:rPr>
    </w:lvl>
  </w:abstractNum>
  <w:abstractNum w:abstractNumId="2">
    <w:nsid w:val="9B1C16D0"/>
    <w:multiLevelType w:val="singleLevel"/>
    <w:tmpl w:val="9B1C16D0"/>
    <w:lvl w:ilvl="0" w:tentative="0">
      <w:start w:val="1"/>
      <w:numFmt w:val="chineseCounting"/>
      <w:suff w:val="nothing"/>
      <w:lvlText w:val="%1、"/>
      <w:lvlJc w:val="left"/>
      <w:rPr>
        <w:rFonts w:hint="eastAsia"/>
      </w:rPr>
    </w:lvl>
  </w:abstractNum>
  <w:abstractNum w:abstractNumId="3">
    <w:nsid w:val="D096C65B"/>
    <w:multiLevelType w:val="singleLevel"/>
    <w:tmpl w:val="D096C65B"/>
    <w:lvl w:ilvl="0" w:tentative="0">
      <w:start w:val="3"/>
      <w:numFmt w:val="decimal"/>
      <w:lvlText w:val="%1."/>
      <w:lvlJc w:val="left"/>
      <w:pPr>
        <w:tabs>
          <w:tab w:val="left" w:pos="312"/>
        </w:tabs>
      </w:pPr>
    </w:lvl>
  </w:abstractNum>
  <w:abstractNum w:abstractNumId="4">
    <w:nsid w:val="1534F343"/>
    <w:multiLevelType w:val="singleLevel"/>
    <w:tmpl w:val="1534F343"/>
    <w:lvl w:ilvl="0" w:tentative="0">
      <w:start w:val="4"/>
      <w:numFmt w:val="chineseCounting"/>
      <w:suff w:val="nothing"/>
      <w:lvlText w:val="（%1）"/>
      <w:lvlJc w:val="left"/>
      <w:rPr>
        <w:rFonts w:hint="eastAsia"/>
      </w:rPr>
    </w:lvl>
  </w:abstractNum>
  <w:abstractNum w:abstractNumId="5">
    <w:nsid w:val="193A7B3A"/>
    <w:multiLevelType w:val="singleLevel"/>
    <w:tmpl w:val="193A7B3A"/>
    <w:lvl w:ilvl="0" w:tentative="0">
      <w:start w:val="1"/>
      <w:numFmt w:val="chineseCounting"/>
      <w:suff w:val="nothing"/>
      <w:lvlText w:val="%1、"/>
      <w:lvlJc w:val="left"/>
      <w:rPr>
        <w:rFonts w:hint="eastAsia"/>
      </w:rPr>
    </w:lvl>
  </w:abstractNum>
  <w:abstractNum w:abstractNumId="6">
    <w:nsid w:val="2579673C"/>
    <w:multiLevelType w:val="singleLevel"/>
    <w:tmpl w:val="2579673C"/>
    <w:lvl w:ilvl="0" w:tentative="0">
      <w:start w:val="4"/>
      <w:numFmt w:val="decimal"/>
      <w:suff w:val="nothing"/>
      <w:lvlText w:val="（%1）"/>
      <w:lvlJc w:val="left"/>
    </w:lvl>
  </w:abstractNum>
  <w:abstractNum w:abstractNumId="7">
    <w:nsid w:val="457F9CBB"/>
    <w:multiLevelType w:val="singleLevel"/>
    <w:tmpl w:val="457F9CBB"/>
    <w:lvl w:ilvl="0" w:tentative="0">
      <w:start w:val="1"/>
      <w:numFmt w:val="decimal"/>
      <w:suff w:val="nothing"/>
      <w:lvlText w:val="%1、"/>
      <w:lvlJc w:val="left"/>
    </w:lvl>
  </w:abstractNum>
  <w:abstractNum w:abstractNumId="8">
    <w:nsid w:val="52B8BA06"/>
    <w:multiLevelType w:val="singleLevel"/>
    <w:tmpl w:val="52B8BA06"/>
    <w:lvl w:ilvl="0" w:tentative="0">
      <w:start w:val="4"/>
      <w:numFmt w:val="chineseCounting"/>
      <w:suff w:val="nothing"/>
      <w:lvlText w:val="%1、"/>
      <w:lvlJc w:val="left"/>
      <w:rPr>
        <w:rFonts w:hint="eastAsia"/>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CD78D43"/>
    <w:multiLevelType w:val="singleLevel"/>
    <w:tmpl w:val="6CD78D43"/>
    <w:lvl w:ilvl="0" w:tentative="0">
      <w:start w:val="1"/>
      <w:numFmt w:val="decimal"/>
      <w:lvlText w:val="%1."/>
      <w:lvlJc w:val="left"/>
      <w:pPr>
        <w:tabs>
          <w:tab w:val="left" w:pos="312"/>
        </w:tabs>
      </w:pPr>
    </w:lvl>
  </w:abstractNum>
  <w:num w:numId="1">
    <w:abstractNumId w:val="1"/>
  </w:num>
  <w:num w:numId="2">
    <w:abstractNumId w:val="11"/>
  </w:num>
  <w:num w:numId="3">
    <w:abstractNumId w:val="6"/>
  </w:num>
  <w:num w:numId="4">
    <w:abstractNumId w:val="0"/>
  </w:num>
  <w:num w:numId="5">
    <w:abstractNumId w:val="3"/>
  </w:num>
  <w:num w:numId="6">
    <w:abstractNumId w:val="4"/>
  </w:num>
  <w:num w:numId="7">
    <w:abstractNumId w:val="7"/>
  </w:num>
  <w:num w:numId="8">
    <w:abstractNumId w:val="5"/>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cxMzZhZGI4Mjg0N2VjOWYxYmE0YTI4YmYyYTMwODIifQ=="/>
  </w:docVars>
  <w:rsids>
    <w:rsidRoot w:val="00172A27"/>
    <w:rsid w:val="00000451"/>
    <w:rsid w:val="0000108B"/>
    <w:rsid w:val="0000133D"/>
    <w:rsid w:val="00001509"/>
    <w:rsid w:val="000032B2"/>
    <w:rsid w:val="0000363B"/>
    <w:rsid w:val="000058BD"/>
    <w:rsid w:val="00006109"/>
    <w:rsid w:val="00006150"/>
    <w:rsid w:val="0000618E"/>
    <w:rsid w:val="000063E8"/>
    <w:rsid w:val="00006725"/>
    <w:rsid w:val="0000675E"/>
    <w:rsid w:val="00007CAA"/>
    <w:rsid w:val="00010199"/>
    <w:rsid w:val="00010FE9"/>
    <w:rsid w:val="0001122F"/>
    <w:rsid w:val="000113B7"/>
    <w:rsid w:val="00011A4B"/>
    <w:rsid w:val="00012251"/>
    <w:rsid w:val="0001337C"/>
    <w:rsid w:val="000138C4"/>
    <w:rsid w:val="00013C1F"/>
    <w:rsid w:val="00013F31"/>
    <w:rsid w:val="000140D8"/>
    <w:rsid w:val="00014530"/>
    <w:rsid w:val="00014BBC"/>
    <w:rsid w:val="000150EE"/>
    <w:rsid w:val="000168D8"/>
    <w:rsid w:val="000169DF"/>
    <w:rsid w:val="000170C8"/>
    <w:rsid w:val="000173F4"/>
    <w:rsid w:val="000177DF"/>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2B"/>
    <w:rsid w:val="00026EAC"/>
    <w:rsid w:val="000270F2"/>
    <w:rsid w:val="00027540"/>
    <w:rsid w:val="00030572"/>
    <w:rsid w:val="00030976"/>
    <w:rsid w:val="00030A97"/>
    <w:rsid w:val="00030CB3"/>
    <w:rsid w:val="0003206A"/>
    <w:rsid w:val="000326A7"/>
    <w:rsid w:val="00032EA0"/>
    <w:rsid w:val="000331B0"/>
    <w:rsid w:val="000336D4"/>
    <w:rsid w:val="00034FA7"/>
    <w:rsid w:val="0003533D"/>
    <w:rsid w:val="000357E4"/>
    <w:rsid w:val="00035ACA"/>
    <w:rsid w:val="00037972"/>
    <w:rsid w:val="00040447"/>
    <w:rsid w:val="00040494"/>
    <w:rsid w:val="00040B70"/>
    <w:rsid w:val="00042441"/>
    <w:rsid w:val="00042533"/>
    <w:rsid w:val="00042DBB"/>
    <w:rsid w:val="00042E65"/>
    <w:rsid w:val="0004347C"/>
    <w:rsid w:val="00043907"/>
    <w:rsid w:val="00043ABD"/>
    <w:rsid w:val="00044F48"/>
    <w:rsid w:val="00045A4E"/>
    <w:rsid w:val="00047354"/>
    <w:rsid w:val="00050656"/>
    <w:rsid w:val="00050A19"/>
    <w:rsid w:val="000511B6"/>
    <w:rsid w:val="00051B00"/>
    <w:rsid w:val="00051C72"/>
    <w:rsid w:val="00052192"/>
    <w:rsid w:val="0005238F"/>
    <w:rsid w:val="00052787"/>
    <w:rsid w:val="00052BB8"/>
    <w:rsid w:val="000535AB"/>
    <w:rsid w:val="0005417A"/>
    <w:rsid w:val="00054D39"/>
    <w:rsid w:val="0005501B"/>
    <w:rsid w:val="000550F5"/>
    <w:rsid w:val="00055337"/>
    <w:rsid w:val="000554C7"/>
    <w:rsid w:val="00056145"/>
    <w:rsid w:val="00056402"/>
    <w:rsid w:val="00056617"/>
    <w:rsid w:val="00056791"/>
    <w:rsid w:val="00056868"/>
    <w:rsid w:val="00056876"/>
    <w:rsid w:val="000568DF"/>
    <w:rsid w:val="000578A3"/>
    <w:rsid w:val="00057D4C"/>
    <w:rsid w:val="00060C48"/>
    <w:rsid w:val="00061A3C"/>
    <w:rsid w:val="00061C48"/>
    <w:rsid w:val="00064278"/>
    <w:rsid w:val="000646CA"/>
    <w:rsid w:val="00065DC8"/>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69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7D"/>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D6D"/>
    <w:rsid w:val="000C0A43"/>
    <w:rsid w:val="000C0CB1"/>
    <w:rsid w:val="000C1411"/>
    <w:rsid w:val="000C1ADE"/>
    <w:rsid w:val="000C1C38"/>
    <w:rsid w:val="000C21DC"/>
    <w:rsid w:val="000C2264"/>
    <w:rsid w:val="000C256B"/>
    <w:rsid w:val="000C3970"/>
    <w:rsid w:val="000C3B1A"/>
    <w:rsid w:val="000C4299"/>
    <w:rsid w:val="000C4727"/>
    <w:rsid w:val="000C47AE"/>
    <w:rsid w:val="000C51AD"/>
    <w:rsid w:val="000C5374"/>
    <w:rsid w:val="000C5EC0"/>
    <w:rsid w:val="000C6162"/>
    <w:rsid w:val="000C64CC"/>
    <w:rsid w:val="000C6688"/>
    <w:rsid w:val="000C6728"/>
    <w:rsid w:val="000C692E"/>
    <w:rsid w:val="000C6B28"/>
    <w:rsid w:val="000C6E8A"/>
    <w:rsid w:val="000C7BEB"/>
    <w:rsid w:val="000D0124"/>
    <w:rsid w:val="000D048B"/>
    <w:rsid w:val="000D11E5"/>
    <w:rsid w:val="000D19E8"/>
    <w:rsid w:val="000D1FA1"/>
    <w:rsid w:val="000D2834"/>
    <w:rsid w:val="000D2CAC"/>
    <w:rsid w:val="000D3145"/>
    <w:rsid w:val="000D34C8"/>
    <w:rsid w:val="000D34FD"/>
    <w:rsid w:val="000D3BE5"/>
    <w:rsid w:val="000D3C37"/>
    <w:rsid w:val="000D453A"/>
    <w:rsid w:val="000D4AFA"/>
    <w:rsid w:val="000D5EA6"/>
    <w:rsid w:val="000D5F00"/>
    <w:rsid w:val="000D63E6"/>
    <w:rsid w:val="000D6C9F"/>
    <w:rsid w:val="000D6E3B"/>
    <w:rsid w:val="000D6F30"/>
    <w:rsid w:val="000D74E4"/>
    <w:rsid w:val="000D759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19"/>
    <w:rsid w:val="000F5DDB"/>
    <w:rsid w:val="000F628E"/>
    <w:rsid w:val="000F68A0"/>
    <w:rsid w:val="000F6CC2"/>
    <w:rsid w:val="000F729C"/>
    <w:rsid w:val="000F7D4B"/>
    <w:rsid w:val="0010118C"/>
    <w:rsid w:val="0010125E"/>
    <w:rsid w:val="001015F8"/>
    <w:rsid w:val="00101967"/>
    <w:rsid w:val="00103251"/>
    <w:rsid w:val="00103509"/>
    <w:rsid w:val="0010353C"/>
    <w:rsid w:val="0010393D"/>
    <w:rsid w:val="00103EBD"/>
    <w:rsid w:val="001040FB"/>
    <w:rsid w:val="00104699"/>
    <w:rsid w:val="00104E5B"/>
    <w:rsid w:val="00104EEC"/>
    <w:rsid w:val="001050DC"/>
    <w:rsid w:val="00105482"/>
    <w:rsid w:val="001056A5"/>
    <w:rsid w:val="00105BA9"/>
    <w:rsid w:val="00105FE1"/>
    <w:rsid w:val="00106AAA"/>
    <w:rsid w:val="00106E0E"/>
    <w:rsid w:val="001078A5"/>
    <w:rsid w:val="0010791E"/>
    <w:rsid w:val="00107BBD"/>
    <w:rsid w:val="00107BC7"/>
    <w:rsid w:val="00110033"/>
    <w:rsid w:val="001102B5"/>
    <w:rsid w:val="001109C5"/>
    <w:rsid w:val="00110ABC"/>
    <w:rsid w:val="00111C17"/>
    <w:rsid w:val="00111C7D"/>
    <w:rsid w:val="00112038"/>
    <w:rsid w:val="001127FF"/>
    <w:rsid w:val="00112B0B"/>
    <w:rsid w:val="00112EB5"/>
    <w:rsid w:val="0011383E"/>
    <w:rsid w:val="00113EE3"/>
    <w:rsid w:val="00114802"/>
    <w:rsid w:val="00114847"/>
    <w:rsid w:val="0011585B"/>
    <w:rsid w:val="00115B1A"/>
    <w:rsid w:val="001160FF"/>
    <w:rsid w:val="001164F4"/>
    <w:rsid w:val="001168F8"/>
    <w:rsid w:val="001176FF"/>
    <w:rsid w:val="0012153F"/>
    <w:rsid w:val="0012159D"/>
    <w:rsid w:val="00121804"/>
    <w:rsid w:val="00121A7D"/>
    <w:rsid w:val="00121EC9"/>
    <w:rsid w:val="001224FE"/>
    <w:rsid w:val="001231D3"/>
    <w:rsid w:val="001232A7"/>
    <w:rsid w:val="00123F7C"/>
    <w:rsid w:val="0012419E"/>
    <w:rsid w:val="001246DD"/>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16D"/>
    <w:rsid w:val="00157432"/>
    <w:rsid w:val="00161185"/>
    <w:rsid w:val="001620BA"/>
    <w:rsid w:val="001623AC"/>
    <w:rsid w:val="00162BAA"/>
    <w:rsid w:val="00163C40"/>
    <w:rsid w:val="0016488B"/>
    <w:rsid w:val="00165758"/>
    <w:rsid w:val="00165A65"/>
    <w:rsid w:val="00165DAB"/>
    <w:rsid w:val="00166317"/>
    <w:rsid w:val="00167478"/>
    <w:rsid w:val="00167594"/>
    <w:rsid w:val="001702BE"/>
    <w:rsid w:val="001704B3"/>
    <w:rsid w:val="0017059C"/>
    <w:rsid w:val="00170F7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26"/>
    <w:rsid w:val="00176AA6"/>
    <w:rsid w:val="00177063"/>
    <w:rsid w:val="00180A47"/>
    <w:rsid w:val="001827B7"/>
    <w:rsid w:val="001827EF"/>
    <w:rsid w:val="00182982"/>
    <w:rsid w:val="001829BC"/>
    <w:rsid w:val="00182D68"/>
    <w:rsid w:val="00183031"/>
    <w:rsid w:val="00183468"/>
    <w:rsid w:val="00183593"/>
    <w:rsid w:val="0018397E"/>
    <w:rsid w:val="00183ECB"/>
    <w:rsid w:val="00184466"/>
    <w:rsid w:val="00184DBF"/>
    <w:rsid w:val="001852A8"/>
    <w:rsid w:val="0018620A"/>
    <w:rsid w:val="00186EB0"/>
    <w:rsid w:val="00187121"/>
    <w:rsid w:val="00187243"/>
    <w:rsid w:val="00187717"/>
    <w:rsid w:val="001878CE"/>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64"/>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215"/>
    <w:rsid w:val="001B06A6"/>
    <w:rsid w:val="001B13BF"/>
    <w:rsid w:val="001B13ED"/>
    <w:rsid w:val="001B16F5"/>
    <w:rsid w:val="001B1C1F"/>
    <w:rsid w:val="001B219B"/>
    <w:rsid w:val="001B2703"/>
    <w:rsid w:val="001B2865"/>
    <w:rsid w:val="001B2FC5"/>
    <w:rsid w:val="001B3DCD"/>
    <w:rsid w:val="001B446C"/>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67"/>
    <w:rsid w:val="001D67A5"/>
    <w:rsid w:val="001E0911"/>
    <w:rsid w:val="001E17E3"/>
    <w:rsid w:val="001E2052"/>
    <w:rsid w:val="001E2492"/>
    <w:rsid w:val="001E257C"/>
    <w:rsid w:val="001E286C"/>
    <w:rsid w:val="001E2F34"/>
    <w:rsid w:val="001E35EE"/>
    <w:rsid w:val="001E3717"/>
    <w:rsid w:val="001E4B2C"/>
    <w:rsid w:val="001E507F"/>
    <w:rsid w:val="001E56C2"/>
    <w:rsid w:val="001E59FB"/>
    <w:rsid w:val="001E6D07"/>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E45"/>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FD4"/>
    <w:rsid w:val="00232555"/>
    <w:rsid w:val="00233382"/>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EC6"/>
    <w:rsid w:val="002542F8"/>
    <w:rsid w:val="002543EF"/>
    <w:rsid w:val="00254F2A"/>
    <w:rsid w:val="00255784"/>
    <w:rsid w:val="00255A29"/>
    <w:rsid w:val="0025631F"/>
    <w:rsid w:val="00256575"/>
    <w:rsid w:val="00256986"/>
    <w:rsid w:val="00256D61"/>
    <w:rsid w:val="00256E23"/>
    <w:rsid w:val="00257246"/>
    <w:rsid w:val="00257438"/>
    <w:rsid w:val="0026119C"/>
    <w:rsid w:val="002611F7"/>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D7D"/>
    <w:rsid w:val="0028316D"/>
    <w:rsid w:val="00283296"/>
    <w:rsid w:val="002851FC"/>
    <w:rsid w:val="0028583E"/>
    <w:rsid w:val="00285853"/>
    <w:rsid w:val="00285B1A"/>
    <w:rsid w:val="00285FF3"/>
    <w:rsid w:val="0028618D"/>
    <w:rsid w:val="002866EC"/>
    <w:rsid w:val="0028744E"/>
    <w:rsid w:val="002876D2"/>
    <w:rsid w:val="00287936"/>
    <w:rsid w:val="00287BB7"/>
    <w:rsid w:val="002903C5"/>
    <w:rsid w:val="0029041B"/>
    <w:rsid w:val="00290A99"/>
    <w:rsid w:val="00290EAF"/>
    <w:rsid w:val="0029159A"/>
    <w:rsid w:val="00291AEF"/>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87B"/>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00A"/>
    <w:rsid w:val="002C327D"/>
    <w:rsid w:val="002C3890"/>
    <w:rsid w:val="002C3AD9"/>
    <w:rsid w:val="002C4286"/>
    <w:rsid w:val="002C43FC"/>
    <w:rsid w:val="002C45C3"/>
    <w:rsid w:val="002C483B"/>
    <w:rsid w:val="002C4DFE"/>
    <w:rsid w:val="002C519E"/>
    <w:rsid w:val="002C5999"/>
    <w:rsid w:val="002C5D5E"/>
    <w:rsid w:val="002C6116"/>
    <w:rsid w:val="002C643D"/>
    <w:rsid w:val="002C66B8"/>
    <w:rsid w:val="002C70E7"/>
    <w:rsid w:val="002D0505"/>
    <w:rsid w:val="002D0C27"/>
    <w:rsid w:val="002D0E88"/>
    <w:rsid w:val="002D0EA7"/>
    <w:rsid w:val="002D0F31"/>
    <w:rsid w:val="002D142D"/>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95"/>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373"/>
    <w:rsid w:val="002F03B6"/>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43C"/>
    <w:rsid w:val="00300573"/>
    <w:rsid w:val="003025FE"/>
    <w:rsid w:val="00302A27"/>
    <w:rsid w:val="00303AB6"/>
    <w:rsid w:val="00304157"/>
    <w:rsid w:val="00304640"/>
    <w:rsid w:val="00304AC1"/>
    <w:rsid w:val="00305090"/>
    <w:rsid w:val="00305454"/>
    <w:rsid w:val="00305B9F"/>
    <w:rsid w:val="00305E21"/>
    <w:rsid w:val="003066C6"/>
    <w:rsid w:val="003066FA"/>
    <w:rsid w:val="00306AD6"/>
    <w:rsid w:val="003077F4"/>
    <w:rsid w:val="00307DC7"/>
    <w:rsid w:val="00307FF2"/>
    <w:rsid w:val="00310039"/>
    <w:rsid w:val="00310EDB"/>
    <w:rsid w:val="00310FC8"/>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A5E"/>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EBB"/>
    <w:rsid w:val="00347356"/>
    <w:rsid w:val="0035005C"/>
    <w:rsid w:val="00350896"/>
    <w:rsid w:val="00350C31"/>
    <w:rsid w:val="00350C9F"/>
    <w:rsid w:val="00351391"/>
    <w:rsid w:val="003519CD"/>
    <w:rsid w:val="00351A3A"/>
    <w:rsid w:val="0035201E"/>
    <w:rsid w:val="0035455F"/>
    <w:rsid w:val="00355C76"/>
    <w:rsid w:val="00355D75"/>
    <w:rsid w:val="00355D8F"/>
    <w:rsid w:val="00356A73"/>
    <w:rsid w:val="00356FF0"/>
    <w:rsid w:val="003577EF"/>
    <w:rsid w:val="00357A60"/>
    <w:rsid w:val="00357B9E"/>
    <w:rsid w:val="00360304"/>
    <w:rsid w:val="00360A78"/>
    <w:rsid w:val="00361750"/>
    <w:rsid w:val="00362F9D"/>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21"/>
    <w:rsid w:val="00370A56"/>
    <w:rsid w:val="00370A70"/>
    <w:rsid w:val="00371213"/>
    <w:rsid w:val="00372842"/>
    <w:rsid w:val="003729A5"/>
    <w:rsid w:val="00372C89"/>
    <w:rsid w:val="00372E9A"/>
    <w:rsid w:val="003735B9"/>
    <w:rsid w:val="00373634"/>
    <w:rsid w:val="00374677"/>
    <w:rsid w:val="0037510C"/>
    <w:rsid w:val="00375850"/>
    <w:rsid w:val="0037632F"/>
    <w:rsid w:val="00376812"/>
    <w:rsid w:val="00377B26"/>
    <w:rsid w:val="00381014"/>
    <w:rsid w:val="00381604"/>
    <w:rsid w:val="00381C68"/>
    <w:rsid w:val="00381F60"/>
    <w:rsid w:val="00383204"/>
    <w:rsid w:val="00383AB0"/>
    <w:rsid w:val="003847BB"/>
    <w:rsid w:val="00384814"/>
    <w:rsid w:val="00384C0A"/>
    <w:rsid w:val="00384C94"/>
    <w:rsid w:val="00385B16"/>
    <w:rsid w:val="00385B96"/>
    <w:rsid w:val="0038637D"/>
    <w:rsid w:val="003868F6"/>
    <w:rsid w:val="003869DC"/>
    <w:rsid w:val="00386C07"/>
    <w:rsid w:val="00386F58"/>
    <w:rsid w:val="00387001"/>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EC0"/>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188"/>
    <w:rsid w:val="003A703F"/>
    <w:rsid w:val="003A7D11"/>
    <w:rsid w:val="003A7E2B"/>
    <w:rsid w:val="003A7E40"/>
    <w:rsid w:val="003B0336"/>
    <w:rsid w:val="003B0A3A"/>
    <w:rsid w:val="003B0D79"/>
    <w:rsid w:val="003B1850"/>
    <w:rsid w:val="003B231A"/>
    <w:rsid w:val="003B2930"/>
    <w:rsid w:val="003B31A7"/>
    <w:rsid w:val="003B4587"/>
    <w:rsid w:val="003B4B51"/>
    <w:rsid w:val="003B4FE1"/>
    <w:rsid w:val="003B514E"/>
    <w:rsid w:val="003B5531"/>
    <w:rsid w:val="003B636A"/>
    <w:rsid w:val="003B69CE"/>
    <w:rsid w:val="003B6B32"/>
    <w:rsid w:val="003B7403"/>
    <w:rsid w:val="003C011C"/>
    <w:rsid w:val="003C0E32"/>
    <w:rsid w:val="003C11D7"/>
    <w:rsid w:val="003C16CB"/>
    <w:rsid w:val="003C1B97"/>
    <w:rsid w:val="003C247B"/>
    <w:rsid w:val="003C3292"/>
    <w:rsid w:val="003C3C1E"/>
    <w:rsid w:val="003C3D88"/>
    <w:rsid w:val="003C4134"/>
    <w:rsid w:val="003C42C8"/>
    <w:rsid w:val="003C435B"/>
    <w:rsid w:val="003C4EBE"/>
    <w:rsid w:val="003C58F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88"/>
    <w:rsid w:val="003E20F7"/>
    <w:rsid w:val="003E336A"/>
    <w:rsid w:val="003E3E2F"/>
    <w:rsid w:val="003E4048"/>
    <w:rsid w:val="003E4CE5"/>
    <w:rsid w:val="003E57F3"/>
    <w:rsid w:val="003E604C"/>
    <w:rsid w:val="003E60DA"/>
    <w:rsid w:val="003E6E00"/>
    <w:rsid w:val="003E7111"/>
    <w:rsid w:val="003E7940"/>
    <w:rsid w:val="003F01BD"/>
    <w:rsid w:val="003F0486"/>
    <w:rsid w:val="003F048E"/>
    <w:rsid w:val="003F09FA"/>
    <w:rsid w:val="003F0AFF"/>
    <w:rsid w:val="003F1275"/>
    <w:rsid w:val="003F1AA2"/>
    <w:rsid w:val="003F2564"/>
    <w:rsid w:val="003F26DC"/>
    <w:rsid w:val="003F2B71"/>
    <w:rsid w:val="003F42FF"/>
    <w:rsid w:val="003F4B48"/>
    <w:rsid w:val="003F4DDC"/>
    <w:rsid w:val="003F56B8"/>
    <w:rsid w:val="003F5F1A"/>
    <w:rsid w:val="003F6327"/>
    <w:rsid w:val="003F6EAE"/>
    <w:rsid w:val="003F7425"/>
    <w:rsid w:val="003F765B"/>
    <w:rsid w:val="003F7CB8"/>
    <w:rsid w:val="00400CB4"/>
    <w:rsid w:val="00401386"/>
    <w:rsid w:val="004013E6"/>
    <w:rsid w:val="00401E31"/>
    <w:rsid w:val="00402BBA"/>
    <w:rsid w:val="004035D0"/>
    <w:rsid w:val="0040361D"/>
    <w:rsid w:val="00403795"/>
    <w:rsid w:val="004041FB"/>
    <w:rsid w:val="0040443E"/>
    <w:rsid w:val="0040548C"/>
    <w:rsid w:val="004056B6"/>
    <w:rsid w:val="00405764"/>
    <w:rsid w:val="00406745"/>
    <w:rsid w:val="0040674B"/>
    <w:rsid w:val="004068AD"/>
    <w:rsid w:val="00406B32"/>
    <w:rsid w:val="00407281"/>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5FB8"/>
    <w:rsid w:val="00416208"/>
    <w:rsid w:val="0041690F"/>
    <w:rsid w:val="004169D3"/>
    <w:rsid w:val="00416C2B"/>
    <w:rsid w:val="00416D41"/>
    <w:rsid w:val="00416E70"/>
    <w:rsid w:val="00417264"/>
    <w:rsid w:val="004210C0"/>
    <w:rsid w:val="004211DD"/>
    <w:rsid w:val="00421454"/>
    <w:rsid w:val="00421762"/>
    <w:rsid w:val="00421D4B"/>
    <w:rsid w:val="00421ED8"/>
    <w:rsid w:val="00422907"/>
    <w:rsid w:val="00423125"/>
    <w:rsid w:val="00423309"/>
    <w:rsid w:val="004233AD"/>
    <w:rsid w:val="00424446"/>
    <w:rsid w:val="0042458A"/>
    <w:rsid w:val="00424867"/>
    <w:rsid w:val="00425341"/>
    <w:rsid w:val="004255FE"/>
    <w:rsid w:val="00425674"/>
    <w:rsid w:val="00425A82"/>
    <w:rsid w:val="00425C60"/>
    <w:rsid w:val="00426B2C"/>
    <w:rsid w:val="00427FA8"/>
    <w:rsid w:val="0043009D"/>
    <w:rsid w:val="0043026B"/>
    <w:rsid w:val="00430299"/>
    <w:rsid w:val="004306D4"/>
    <w:rsid w:val="00430AFE"/>
    <w:rsid w:val="00431A2A"/>
    <w:rsid w:val="00431E3B"/>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57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22"/>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CEA"/>
    <w:rsid w:val="0049333E"/>
    <w:rsid w:val="00493FD9"/>
    <w:rsid w:val="0049418F"/>
    <w:rsid w:val="0049570D"/>
    <w:rsid w:val="00495C48"/>
    <w:rsid w:val="00495DC6"/>
    <w:rsid w:val="00496CCE"/>
    <w:rsid w:val="004978C1"/>
    <w:rsid w:val="00497AAD"/>
    <w:rsid w:val="00497BD7"/>
    <w:rsid w:val="00497D1A"/>
    <w:rsid w:val="004A00C9"/>
    <w:rsid w:val="004A03D0"/>
    <w:rsid w:val="004A1049"/>
    <w:rsid w:val="004A121B"/>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83"/>
    <w:rsid w:val="004B4EA9"/>
    <w:rsid w:val="004B5C96"/>
    <w:rsid w:val="004B6124"/>
    <w:rsid w:val="004B6E50"/>
    <w:rsid w:val="004B728F"/>
    <w:rsid w:val="004B7317"/>
    <w:rsid w:val="004B75B2"/>
    <w:rsid w:val="004B75C6"/>
    <w:rsid w:val="004C02C5"/>
    <w:rsid w:val="004C06F1"/>
    <w:rsid w:val="004C0BF0"/>
    <w:rsid w:val="004C0D40"/>
    <w:rsid w:val="004C114F"/>
    <w:rsid w:val="004C11A9"/>
    <w:rsid w:val="004C27CF"/>
    <w:rsid w:val="004C2CA7"/>
    <w:rsid w:val="004C3592"/>
    <w:rsid w:val="004C45C8"/>
    <w:rsid w:val="004C4F8F"/>
    <w:rsid w:val="004C5F4B"/>
    <w:rsid w:val="004C612E"/>
    <w:rsid w:val="004C61B8"/>
    <w:rsid w:val="004C61D1"/>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CF"/>
    <w:rsid w:val="004E5101"/>
    <w:rsid w:val="004E5380"/>
    <w:rsid w:val="004E6746"/>
    <w:rsid w:val="004E6CAC"/>
    <w:rsid w:val="004E6F69"/>
    <w:rsid w:val="004E75C1"/>
    <w:rsid w:val="004E777F"/>
    <w:rsid w:val="004F0368"/>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13"/>
    <w:rsid w:val="004F7922"/>
    <w:rsid w:val="004F7A1F"/>
    <w:rsid w:val="004F7B47"/>
    <w:rsid w:val="0050079C"/>
    <w:rsid w:val="0050106A"/>
    <w:rsid w:val="005010BC"/>
    <w:rsid w:val="00501848"/>
    <w:rsid w:val="00502B31"/>
    <w:rsid w:val="00503914"/>
    <w:rsid w:val="0050434C"/>
    <w:rsid w:val="005045C0"/>
    <w:rsid w:val="0050537D"/>
    <w:rsid w:val="0050591C"/>
    <w:rsid w:val="005059BD"/>
    <w:rsid w:val="005060AE"/>
    <w:rsid w:val="0050790B"/>
    <w:rsid w:val="00507FDF"/>
    <w:rsid w:val="0051037C"/>
    <w:rsid w:val="0051050F"/>
    <w:rsid w:val="0051058B"/>
    <w:rsid w:val="00510DDC"/>
    <w:rsid w:val="00511166"/>
    <w:rsid w:val="00512217"/>
    <w:rsid w:val="00512459"/>
    <w:rsid w:val="00512B6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0A"/>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BC"/>
    <w:rsid w:val="0054680A"/>
    <w:rsid w:val="00546BF8"/>
    <w:rsid w:val="00547BA2"/>
    <w:rsid w:val="00550AC5"/>
    <w:rsid w:val="00550B7E"/>
    <w:rsid w:val="00551052"/>
    <w:rsid w:val="005524ED"/>
    <w:rsid w:val="00553106"/>
    <w:rsid w:val="00553F91"/>
    <w:rsid w:val="00554007"/>
    <w:rsid w:val="00554C03"/>
    <w:rsid w:val="00554C58"/>
    <w:rsid w:val="00554D5D"/>
    <w:rsid w:val="005550F9"/>
    <w:rsid w:val="00556338"/>
    <w:rsid w:val="00556441"/>
    <w:rsid w:val="00557031"/>
    <w:rsid w:val="0055754D"/>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66"/>
    <w:rsid w:val="00570763"/>
    <w:rsid w:val="0057125A"/>
    <w:rsid w:val="0057200B"/>
    <w:rsid w:val="00572297"/>
    <w:rsid w:val="005724A8"/>
    <w:rsid w:val="00572BD6"/>
    <w:rsid w:val="0057345D"/>
    <w:rsid w:val="0057347D"/>
    <w:rsid w:val="00573560"/>
    <w:rsid w:val="005746E3"/>
    <w:rsid w:val="005748C6"/>
    <w:rsid w:val="00574E7B"/>
    <w:rsid w:val="00574F36"/>
    <w:rsid w:val="0057533F"/>
    <w:rsid w:val="005766BE"/>
    <w:rsid w:val="00576A55"/>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525"/>
    <w:rsid w:val="00591BA6"/>
    <w:rsid w:val="00592825"/>
    <w:rsid w:val="00592B0C"/>
    <w:rsid w:val="00594437"/>
    <w:rsid w:val="00594B70"/>
    <w:rsid w:val="00594EE1"/>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42"/>
    <w:rsid w:val="005A57B8"/>
    <w:rsid w:val="005A5DDE"/>
    <w:rsid w:val="005A64A8"/>
    <w:rsid w:val="005A65C5"/>
    <w:rsid w:val="005A6875"/>
    <w:rsid w:val="005A7016"/>
    <w:rsid w:val="005A70EE"/>
    <w:rsid w:val="005A7A32"/>
    <w:rsid w:val="005A7F85"/>
    <w:rsid w:val="005B00DD"/>
    <w:rsid w:val="005B03B1"/>
    <w:rsid w:val="005B07D5"/>
    <w:rsid w:val="005B1A8A"/>
    <w:rsid w:val="005B1AAB"/>
    <w:rsid w:val="005B2578"/>
    <w:rsid w:val="005B26BF"/>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3C"/>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C84"/>
    <w:rsid w:val="005D6D84"/>
    <w:rsid w:val="005D70A1"/>
    <w:rsid w:val="005D79F2"/>
    <w:rsid w:val="005D7CB1"/>
    <w:rsid w:val="005D7F57"/>
    <w:rsid w:val="005E0067"/>
    <w:rsid w:val="005E0141"/>
    <w:rsid w:val="005E09CA"/>
    <w:rsid w:val="005E1AB4"/>
    <w:rsid w:val="005E255B"/>
    <w:rsid w:val="005E2615"/>
    <w:rsid w:val="005E2CF7"/>
    <w:rsid w:val="005E4543"/>
    <w:rsid w:val="005E4A1C"/>
    <w:rsid w:val="005E56C9"/>
    <w:rsid w:val="005E5CF7"/>
    <w:rsid w:val="005E5F37"/>
    <w:rsid w:val="005E5FF0"/>
    <w:rsid w:val="005E642A"/>
    <w:rsid w:val="005E65A7"/>
    <w:rsid w:val="005E721E"/>
    <w:rsid w:val="005E7A75"/>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0F0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6F6"/>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B8F"/>
    <w:rsid w:val="00630C70"/>
    <w:rsid w:val="00630D67"/>
    <w:rsid w:val="00631005"/>
    <w:rsid w:val="00631667"/>
    <w:rsid w:val="00631C79"/>
    <w:rsid w:val="00632727"/>
    <w:rsid w:val="0063283D"/>
    <w:rsid w:val="00633769"/>
    <w:rsid w:val="00633FE3"/>
    <w:rsid w:val="0063410F"/>
    <w:rsid w:val="00634276"/>
    <w:rsid w:val="00634570"/>
    <w:rsid w:val="0063477C"/>
    <w:rsid w:val="0063487C"/>
    <w:rsid w:val="00635B73"/>
    <w:rsid w:val="00635BB7"/>
    <w:rsid w:val="00636743"/>
    <w:rsid w:val="00636CC7"/>
    <w:rsid w:val="00637F27"/>
    <w:rsid w:val="006405EC"/>
    <w:rsid w:val="00640A4D"/>
    <w:rsid w:val="00641768"/>
    <w:rsid w:val="006418F2"/>
    <w:rsid w:val="00641A84"/>
    <w:rsid w:val="00641B05"/>
    <w:rsid w:val="00641DA1"/>
    <w:rsid w:val="00641E5B"/>
    <w:rsid w:val="00641F12"/>
    <w:rsid w:val="00642C69"/>
    <w:rsid w:val="0064330A"/>
    <w:rsid w:val="00643F89"/>
    <w:rsid w:val="00644334"/>
    <w:rsid w:val="0064487C"/>
    <w:rsid w:val="00644BED"/>
    <w:rsid w:val="00644E2E"/>
    <w:rsid w:val="00645A3A"/>
    <w:rsid w:val="00645B87"/>
    <w:rsid w:val="00645CB4"/>
    <w:rsid w:val="00646084"/>
    <w:rsid w:val="006468ED"/>
    <w:rsid w:val="00647664"/>
    <w:rsid w:val="00650689"/>
    <w:rsid w:val="00650D19"/>
    <w:rsid w:val="00652CF5"/>
    <w:rsid w:val="0065343E"/>
    <w:rsid w:val="006536BB"/>
    <w:rsid w:val="0065398F"/>
    <w:rsid w:val="00653C69"/>
    <w:rsid w:val="00653C7C"/>
    <w:rsid w:val="00654252"/>
    <w:rsid w:val="006543B7"/>
    <w:rsid w:val="00654EA5"/>
    <w:rsid w:val="0065587E"/>
    <w:rsid w:val="006558CD"/>
    <w:rsid w:val="00655C26"/>
    <w:rsid w:val="0065637A"/>
    <w:rsid w:val="00656398"/>
    <w:rsid w:val="00656998"/>
    <w:rsid w:val="00656E4D"/>
    <w:rsid w:val="006576BA"/>
    <w:rsid w:val="006600BF"/>
    <w:rsid w:val="00660AF7"/>
    <w:rsid w:val="00660D3E"/>
    <w:rsid w:val="00661691"/>
    <w:rsid w:val="00662304"/>
    <w:rsid w:val="00662981"/>
    <w:rsid w:val="00662D3D"/>
    <w:rsid w:val="00662F1F"/>
    <w:rsid w:val="00663D15"/>
    <w:rsid w:val="00665030"/>
    <w:rsid w:val="00665670"/>
    <w:rsid w:val="006659EA"/>
    <w:rsid w:val="006661E8"/>
    <w:rsid w:val="00666424"/>
    <w:rsid w:val="0066676C"/>
    <w:rsid w:val="00666C0A"/>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EF4"/>
    <w:rsid w:val="00680326"/>
    <w:rsid w:val="00680714"/>
    <w:rsid w:val="0068071D"/>
    <w:rsid w:val="00680C6B"/>
    <w:rsid w:val="006811F3"/>
    <w:rsid w:val="00681240"/>
    <w:rsid w:val="00683068"/>
    <w:rsid w:val="00683CCD"/>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780"/>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7FB"/>
    <w:rsid w:val="006C5B4D"/>
    <w:rsid w:val="006C5D5D"/>
    <w:rsid w:val="006C627E"/>
    <w:rsid w:val="006C6303"/>
    <w:rsid w:val="006C6A51"/>
    <w:rsid w:val="006C6B21"/>
    <w:rsid w:val="006C6EBD"/>
    <w:rsid w:val="006C7E04"/>
    <w:rsid w:val="006C7F79"/>
    <w:rsid w:val="006D0004"/>
    <w:rsid w:val="006D015F"/>
    <w:rsid w:val="006D060E"/>
    <w:rsid w:val="006D0681"/>
    <w:rsid w:val="006D0A80"/>
    <w:rsid w:val="006D0AE8"/>
    <w:rsid w:val="006D135C"/>
    <w:rsid w:val="006D2F72"/>
    <w:rsid w:val="006D394B"/>
    <w:rsid w:val="006D43C1"/>
    <w:rsid w:val="006D5442"/>
    <w:rsid w:val="006D588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053"/>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3C3"/>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0CB"/>
    <w:rsid w:val="00710257"/>
    <w:rsid w:val="00710587"/>
    <w:rsid w:val="007107D5"/>
    <w:rsid w:val="0071174F"/>
    <w:rsid w:val="007119DC"/>
    <w:rsid w:val="00711CC7"/>
    <w:rsid w:val="0071200E"/>
    <w:rsid w:val="0071230A"/>
    <w:rsid w:val="0071294A"/>
    <w:rsid w:val="00712BDD"/>
    <w:rsid w:val="00712E1E"/>
    <w:rsid w:val="00712F37"/>
    <w:rsid w:val="00713A6B"/>
    <w:rsid w:val="00713CB5"/>
    <w:rsid w:val="007141F1"/>
    <w:rsid w:val="0071499C"/>
    <w:rsid w:val="00714F9D"/>
    <w:rsid w:val="007154D8"/>
    <w:rsid w:val="00715577"/>
    <w:rsid w:val="0071604D"/>
    <w:rsid w:val="00716C67"/>
    <w:rsid w:val="007170AB"/>
    <w:rsid w:val="0071779C"/>
    <w:rsid w:val="00717808"/>
    <w:rsid w:val="00717ED7"/>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FF"/>
    <w:rsid w:val="00725D6A"/>
    <w:rsid w:val="007263A2"/>
    <w:rsid w:val="007266B9"/>
    <w:rsid w:val="00727351"/>
    <w:rsid w:val="00727AC5"/>
    <w:rsid w:val="00727C65"/>
    <w:rsid w:val="007300F0"/>
    <w:rsid w:val="00730904"/>
    <w:rsid w:val="0073116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63"/>
    <w:rsid w:val="007403C6"/>
    <w:rsid w:val="007403FE"/>
    <w:rsid w:val="007413EB"/>
    <w:rsid w:val="007413FB"/>
    <w:rsid w:val="00742D32"/>
    <w:rsid w:val="00742E9B"/>
    <w:rsid w:val="007444E6"/>
    <w:rsid w:val="00744CC6"/>
    <w:rsid w:val="0074592C"/>
    <w:rsid w:val="00745C91"/>
    <w:rsid w:val="00746098"/>
    <w:rsid w:val="00746D58"/>
    <w:rsid w:val="00747578"/>
    <w:rsid w:val="00747ED9"/>
    <w:rsid w:val="00750D12"/>
    <w:rsid w:val="00750ECF"/>
    <w:rsid w:val="00751073"/>
    <w:rsid w:val="00751AF2"/>
    <w:rsid w:val="00751B1A"/>
    <w:rsid w:val="00751BD2"/>
    <w:rsid w:val="00751CE5"/>
    <w:rsid w:val="00752188"/>
    <w:rsid w:val="00752AC8"/>
    <w:rsid w:val="00752CC6"/>
    <w:rsid w:val="00753577"/>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A1C"/>
    <w:rsid w:val="00771CAC"/>
    <w:rsid w:val="00772036"/>
    <w:rsid w:val="00772B55"/>
    <w:rsid w:val="00773098"/>
    <w:rsid w:val="007739A3"/>
    <w:rsid w:val="00773BD9"/>
    <w:rsid w:val="00773CB0"/>
    <w:rsid w:val="00773D71"/>
    <w:rsid w:val="00774B57"/>
    <w:rsid w:val="00774C34"/>
    <w:rsid w:val="00775526"/>
    <w:rsid w:val="00775651"/>
    <w:rsid w:val="00775F3F"/>
    <w:rsid w:val="0077710B"/>
    <w:rsid w:val="0077765A"/>
    <w:rsid w:val="00780032"/>
    <w:rsid w:val="00780636"/>
    <w:rsid w:val="00780E86"/>
    <w:rsid w:val="0078108C"/>
    <w:rsid w:val="00781727"/>
    <w:rsid w:val="007823E8"/>
    <w:rsid w:val="007829DE"/>
    <w:rsid w:val="00782CF3"/>
    <w:rsid w:val="00783959"/>
    <w:rsid w:val="00783BA5"/>
    <w:rsid w:val="007844A9"/>
    <w:rsid w:val="00785091"/>
    <w:rsid w:val="0078638C"/>
    <w:rsid w:val="007869F9"/>
    <w:rsid w:val="00786CBB"/>
    <w:rsid w:val="00786DAD"/>
    <w:rsid w:val="00786E21"/>
    <w:rsid w:val="0079026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3D9"/>
    <w:rsid w:val="007A18B1"/>
    <w:rsid w:val="007A1BBD"/>
    <w:rsid w:val="007A1F08"/>
    <w:rsid w:val="007A23F0"/>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9D"/>
    <w:rsid w:val="007C2085"/>
    <w:rsid w:val="007C20F8"/>
    <w:rsid w:val="007C21C5"/>
    <w:rsid w:val="007C2229"/>
    <w:rsid w:val="007C225A"/>
    <w:rsid w:val="007C2313"/>
    <w:rsid w:val="007C2570"/>
    <w:rsid w:val="007C3590"/>
    <w:rsid w:val="007C387A"/>
    <w:rsid w:val="007C3A0D"/>
    <w:rsid w:val="007C3EB0"/>
    <w:rsid w:val="007C43D6"/>
    <w:rsid w:val="007C47FF"/>
    <w:rsid w:val="007C4838"/>
    <w:rsid w:val="007C60A8"/>
    <w:rsid w:val="007C660F"/>
    <w:rsid w:val="007C6664"/>
    <w:rsid w:val="007C66FF"/>
    <w:rsid w:val="007C69AE"/>
    <w:rsid w:val="007C6FE9"/>
    <w:rsid w:val="007C7688"/>
    <w:rsid w:val="007C76E3"/>
    <w:rsid w:val="007C76F3"/>
    <w:rsid w:val="007C7DD9"/>
    <w:rsid w:val="007D0199"/>
    <w:rsid w:val="007D03BC"/>
    <w:rsid w:val="007D0DC9"/>
    <w:rsid w:val="007D0ECD"/>
    <w:rsid w:val="007D1A8E"/>
    <w:rsid w:val="007D2882"/>
    <w:rsid w:val="007D296C"/>
    <w:rsid w:val="007D2C31"/>
    <w:rsid w:val="007D2E50"/>
    <w:rsid w:val="007D3D74"/>
    <w:rsid w:val="007D445F"/>
    <w:rsid w:val="007D4DED"/>
    <w:rsid w:val="007D59E6"/>
    <w:rsid w:val="007D5BA2"/>
    <w:rsid w:val="007D5ED3"/>
    <w:rsid w:val="007D682F"/>
    <w:rsid w:val="007D6FB9"/>
    <w:rsid w:val="007D7211"/>
    <w:rsid w:val="007E0595"/>
    <w:rsid w:val="007E0A63"/>
    <w:rsid w:val="007E0C63"/>
    <w:rsid w:val="007E0E05"/>
    <w:rsid w:val="007E0F5D"/>
    <w:rsid w:val="007E23A1"/>
    <w:rsid w:val="007E259F"/>
    <w:rsid w:val="007E347E"/>
    <w:rsid w:val="007E411A"/>
    <w:rsid w:val="007E41A4"/>
    <w:rsid w:val="007E43E3"/>
    <w:rsid w:val="007E54B8"/>
    <w:rsid w:val="007E5D12"/>
    <w:rsid w:val="007E6420"/>
    <w:rsid w:val="007E677F"/>
    <w:rsid w:val="007E6B25"/>
    <w:rsid w:val="007E6E06"/>
    <w:rsid w:val="007E6F4A"/>
    <w:rsid w:val="007E79CC"/>
    <w:rsid w:val="007F1124"/>
    <w:rsid w:val="007F152D"/>
    <w:rsid w:val="007F1EE5"/>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330"/>
    <w:rsid w:val="007F67B6"/>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AD5"/>
    <w:rsid w:val="00821C14"/>
    <w:rsid w:val="00821D85"/>
    <w:rsid w:val="00821E47"/>
    <w:rsid w:val="008220F6"/>
    <w:rsid w:val="00822456"/>
    <w:rsid w:val="00823819"/>
    <w:rsid w:val="00823C4B"/>
    <w:rsid w:val="0082427D"/>
    <w:rsid w:val="00825441"/>
    <w:rsid w:val="00826855"/>
    <w:rsid w:val="00827110"/>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637"/>
    <w:rsid w:val="008465B4"/>
    <w:rsid w:val="00846D25"/>
    <w:rsid w:val="00850013"/>
    <w:rsid w:val="008500DD"/>
    <w:rsid w:val="00850A0A"/>
    <w:rsid w:val="00850A94"/>
    <w:rsid w:val="0085104E"/>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57"/>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DE5"/>
    <w:rsid w:val="0088434F"/>
    <w:rsid w:val="00884371"/>
    <w:rsid w:val="008848E2"/>
    <w:rsid w:val="00884B7A"/>
    <w:rsid w:val="00884D47"/>
    <w:rsid w:val="008856BF"/>
    <w:rsid w:val="008856C5"/>
    <w:rsid w:val="00886112"/>
    <w:rsid w:val="008872B3"/>
    <w:rsid w:val="00887392"/>
    <w:rsid w:val="00890A64"/>
    <w:rsid w:val="00890C40"/>
    <w:rsid w:val="0089122E"/>
    <w:rsid w:val="008912A7"/>
    <w:rsid w:val="0089183A"/>
    <w:rsid w:val="008920B4"/>
    <w:rsid w:val="008925EB"/>
    <w:rsid w:val="0089275E"/>
    <w:rsid w:val="0089294F"/>
    <w:rsid w:val="00892B43"/>
    <w:rsid w:val="00893432"/>
    <w:rsid w:val="00893936"/>
    <w:rsid w:val="00893CE2"/>
    <w:rsid w:val="00893F41"/>
    <w:rsid w:val="00894580"/>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46"/>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F6D"/>
    <w:rsid w:val="008C3A4E"/>
    <w:rsid w:val="008C46B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8E7"/>
    <w:rsid w:val="008D7247"/>
    <w:rsid w:val="008D74F0"/>
    <w:rsid w:val="008D7567"/>
    <w:rsid w:val="008D76E6"/>
    <w:rsid w:val="008E0300"/>
    <w:rsid w:val="008E0EE4"/>
    <w:rsid w:val="008E12BE"/>
    <w:rsid w:val="008E13FD"/>
    <w:rsid w:val="008E1C24"/>
    <w:rsid w:val="008E2626"/>
    <w:rsid w:val="008E27A9"/>
    <w:rsid w:val="008E323C"/>
    <w:rsid w:val="008E32E0"/>
    <w:rsid w:val="008E35A6"/>
    <w:rsid w:val="008E36D9"/>
    <w:rsid w:val="008E3A5C"/>
    <w:rsid w:val="008E3A9A"/>
    <w:rsid w:val="008E429E"/>
    <w:rsid w:val="008E4A00"/>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1B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B7A"/>
    <w:rsid w:val="00903969"/>
    <w:rsid w:val="00903C83"/>
    <w:rsid w:val="00903D77"/>
    <w:rsid w:val="0090408F"/>
    <w:rsid w:val="0090446A"/>
    <w:rsid w:val="00904537"/>
    <w:rsid w:val="00904C01"/>
    <w:rsid w:val="00904DC3"/>
    <w:rsid w:val="0090534A"/>
    <w:rsid w:val="00905469"/>
    <w:rsid w:val="00906078"/>
    <w:rsid w:val="0090629C"/>
    <w:rsid w:val="00906EA2"/>
    <w:rsid w:val="00907278"/>
    <w:rsid w:val="00910041"/>
    <w:rsid w:val="0091112B"/>
    <w:rsid w:val="009111F1"/>
    <w:rsid w:val="00911D61"/>
    <w:rsid w:val="00912850"/>
    <w:rsid w:val="009128B8"/>
    <w:rsid w:val="0091472C"/>
    <w:rsid w:val="00914DC9"/>
    <w:rsid w:val="00915351"/>
    <w:rsid w:val="00915679"/>
    <w:rsid w:val="009159C2"/>
    <w:rsid w:val="00915D5A"/>
    <w:rsid w:val="0091627F"/>
    <w:rsid w:val="00916E45"/>
    <w:rsid w:val="0092030A"/>
    <w:rsid w:val="0092077A"/>
    <w:rsid w:val="00920DC0"/>
    <w:rsid w:val="009219F3"/>
    <w:rsid w:val="00921A1B"/>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DAE"/>
    <w:rsid w:val="00934C8E"/>
    <w:rsid w:val="00935194"/>
    <w:rsid w:val="00935C40"/>
    <w:rsid w:val="00936EA5"/>
    <w:rsid w:val="00937114"/>
    <w:rsid w:val="0094003D"/>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36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4F"/>
    <w:rsid w:val="00974022"/>
    <w:rsid w:val="009743E8"/>
    <w:rsid w:val="009745D8"/>
    <w:rsid w:val="0097485D"/>
    <w:rsid w:val="00974F3B"/>
    <w:rsid w:val="0097552A"/>
    <w:rsid w:val="0097564A"/>
    <w:rsid w:val="00975974"/>
    <w:rsid w:val="00975D06"/>
    <w:rsid w:val="00975D63"/>
    <w:rsid w:val="00975DAE"/>
    <w:rsid w:val="00976BBE"/>
    <w:rsid w:val="0098055B"/>
    <w:rsid w:val="00980B30"/>
    <w:rsid w:val="009810BE"/>
    <w:rsid w:val="009817BC"/>
    <w:rsid w:val="009819A7"/>
    <w:rsid w:val="00981F09"/>
    <w:rsid w:val="0098220A"/>
    <w:rsid w:val="00982E75"/>
    <w:rsid w:val="0098302A"/>
    <w:rsid w:val="00983337"/>
    <w:rsid w:val="009836AA"/>
    <w:rsid w:val="009846BF"/>
    <w:rsid w:val="00984768"/>
    <w:rsid w:val="009851F5"/>
    <w:rsid w:val="0098534B"/>
    <w:rsid w:val="00985D2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6C1"/>
    <w:rsid w:val="00993AC7"/>
    <w:rsid w:val="00993BAD"/>
    <w:rsid w:val="00993E49"/>
    <w:rsid w:val="00994120"/>
    <w:rsid w:val="009942F5"/>
    <w:rsid w:val="00994568"/>
    <w:rsid w:val="00994602"/>
    <w:rsid w:val="00994A33"/>
    <w:rsid w:val="00995B01"/>
    <w:rsid w:val="00996055"/>
    <w:rsid w:val="00996EF4"/>
    <w:rsid w:val="00996F23"/>
    <w:rsid w:val="00997044"/>
    <w:rsid w:val="00997BC9"/>
    <w:rsid w:val="009A113D"/>
    <w:rsid w:val="009A1ECA"/>
    <w:rsid w:val="009A2BE9"/>
    <w:rsid w:val="009A2BF3"/>
    <w:rsid w:val="009A3688"/>
    <w:rsid w:val="009A3713"/>
    <w:rsid w:val="009A3B04"/>
    <w:rsid w:val="009A3C3E"/>
    <w:rsid w:val="009A4153"/>
    <w:rsid w:val="009A4C2C"/>
    <w:rsid w:val="009A59B3"/>
    <w:rsid w:val="009A5CB3"/>
    <w:rsid w:val="009A5F1B"/>
    <w:rsid w:val="009A5FAE"/>
    <w:rsid w:val="009A6B3A"/>
    <w:rsid w:val="009A70A3"/>
    <w:rsid w:val="009A7E7C"/>
    <w:rsid w:val="009B0237"/>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20"/>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2A8"/>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A87"/>
    <w:rsid w:val="009F1109"/>
    <w:rsid w:val="009F143E"/>
    <w:rsid w:val="009F1621"/>
    <w:rsid w:val="009F1DE8"/>
    <w:rsid w:val="009F2186"/>
    <w:rsid w:val="009F227C"/>
    <w:rsid w:val="009F28DC"/>
    <w:rsid w:val="009F2EDB"/>
    <w:rsid w:val="009F33DC"/>
    <w:rsid w:val="009F4550"/>
    <w:rsid w:val="009F56C0"/>
    <w:rsid w:val="009F5C76"/>
    <w:rsid w:val="009F6A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3C3"/>
    <w:rsid w:val="00A03A7C"/>
    <w:rsid w:val="00A03DA5"/>
    <w:rsid w:val="00A044AA"/>
    <w:rsid w:val="00A0700C"/>
    <w:rsid w:val="00A102F8"/>
    <w:rsid w:val="00A10A20"/>
    <w:rsid w:val="00A117D5"/>
    <w:rsid w:val="00A11C11"/>
    <w:rsid w:val="00A11F98"/>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D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33B"/>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511"/>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7E7"/>
    <w:rsid w:val="00A85806"/>
    <w:rsid w:val="00A8597A"/>
    <w:rsid w:val="00A85B87"/>
    <w:rsid w:val="00A85F83"/>
    <w:rsid w:val="00A86019"/>
    <w:rsid w:val="00A86EED"/>
    <w:rsid w:val="00A8733A"/>
    <w:rsid w:val="00A9106C"/>
    <w:rsid w:val="00A9151F"/>
    <w:rsid w:val="00A9196B"/>
    <w:rsid w:val="00A91BB5"/>
    <w:rsid w:val="00A91BEE"/>
    <w:rsid w:val="00A91D4B"/>
    <w:rsid w:val="00A91E23"/>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498"/>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785"/>
    <w:rsid w:val="00AB4E41"/>
    <w:rsid w:val="00AB5EB1"/>
    <w:rsid w:val="00AB6003"/>
    <w:rsid w:val="00AB759A"/>
    <w:rsid w:val="00AB7B06"/>
    <w:rsid w:val="00AB7EAA"/>
    <w:rsid w:val="00AC0432"/>
    <w:rsid w:val="00AC0770"/>
    <w:rsid w:val="00AC1683"/>
    <w:rsid w:val="00AC1D82"/>
    <w:rsid w:val="00AC1F83"/>
    <w:rsid w:val="00AC2D5F"/>
    <w:rsid w:val="00AC4094"/>
    <w:rsid w:val="00AC42B6"/>
    <w:rsid w:val="00AC4AB7"/>
    <w:rsid w:val="00AC51E0"/>
    <w:rsid w:val="00AC6D24"/>
    <w:rsid w:val="00AC6E18"/>
    <w:rsid w:val="00AC7F64"/>
    <w:rsid w:val="00AD1065"/>
    <w:rsid w:val="00AD159E"/>
    <w:rsid w:val="00AD2AB1"/>
    <w:rsid w:val="00AD2B24"/>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2F"/>
    <w:rsid w:val="00AE11C1"/>
    <w:rsid w:val="00AE163D"/>
    <w:rsid w:val="00AE1A42"/>
    <w:rsid w:val="00AE1C5C"/>
    <w:rsid w:val="00AE315E"/>
    <w:rsid w:val="00AE319F"/>
    <w:rsid w:val="00AE31D9"/>
    <w:rsid w:val="00AE3CF0"/>
    <w:rsid w:val="00AE4546"/>
    <w:rsid w:val="00AE52CE"/>
    <w:rsid w:val="00AE5BAB"/>
    <w:rsid w:val="00AE6575"/>
    <w:rsid w:val="00AE71EE"/>
    <w:rsid w:val="00AF03CF"/>
    <w:rsid w:val="00AF0A0A"/>
    <w:rsid w:val="00AF14FC"/>
    <w:rsid w:val="00AF1ED2"/>
    <w:rsid w:val="00AF1F4E"/>
    <w:rsid w:val="00AF2302"/>
    <w:rsid w:val="00AF262A"/>
    <w:rsid w:val="00AF2951"/>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33"/>
    <w:rsid w:val="00B00D91"/>
    <w:rsid w:val="00B00E84"/>
    <w:rsid w:val="00B01DD9"/>
    <w:rsid w:val="00B01F0E"/>
    <w:rsid w:val="00B038F1"/>
    <w:rsid w:val="00B03C1B"/>
    <w:rsid w:val="00B040CD"/>
    <w:rsid w:val="00B04678"/>
    <w:rsid w:val="00B047C9"/>
    <w:rsid w:val="00B04A04"/>
    <w:rsid w:val="00B04B78"/>
    <w:rsid w:val="00B04C37"/>
    <w:rsid w:val="00B04F00"/>
    <w:rsid w:val="00B05BA6"/>
    <w:rsid w:val="00B066FE"/>
    <w:rsid w:val="00B06912"/>
    <w:rsid w:val="00B07316"/>
    <w:rsid w:val="00B07F74"/>
    <w:rsid w:val="00B10618"/>
    <w:rsid w:val="00B10B04"/>
    <w:rsid w:val="00B10C39"/>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3CA"/>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9F8"/>
    <w:rsid w:val="00B27C4B"/>
    <w:rsid w:val="00B30563"/>
    <w:rsid w:val="00B3069E"/>
    <w:rsid w:val="00B30A76"/>
    <w:rsid w:val="00B31246"/>
    <w:rsid w:val="00B32295"/>
    <w:rsid w:val="00B32B6E"/>
    <w:rsid w:val="00B33AB5"/>
    <w:rsid w:val="00B3412E"/>
    <w:rsid w:val="00B343E0"/>
    <w:rsid w:val="00B35AD6"/>
    <w:rsid w:val="00B35B6D"/>
    <w:rsid w:val="00B35D53"/>
    <w:rsid w:val="00B35DD6"/>
    <w:rsid w:val="00B367C4"/>
    <w:rsid w:val="00B36D3E"/>
    <w:rsid w:val="00B37B8E"/>
    <w:rsid w:val="00B40222"/>
    <w:rsid w:val="00B404C3"/>
    <w:rsid w:val="00B41A04"/>
    <w:rsid w:val="00B42132"/>
    <w:rsid w:val="00B42743"/>
    <w:rsid w:val="00B430E9"/>
    <w:rsid w:val="00B4311F"/>
    <w:rsid w:val="00B431AE"/>
    <w:rsid w:val="00B4326E"/>
    <w:rsid w:val="00B44288"/>
    <w:rsid w:val="00B448BF"/>
    <w:rsid w:val="00B45A59"/>
    <w:rsid w:val="00B45C56"/>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799"/>
    <w:rsid w:val="00B56ECA"/>
    <w:rsid w:val="00B57093"/>
    <w:rsid w:val="00B577BE"/>
    <w:rsid w:val="00B57B5D"/>
    <w:rsid w:val="00B60613"/>
    <w:rsid w:val="00B61504"/>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AD9"/>
    <w:rsid w:val="00B8537B"/>
    <w:rsid w:val="00B85586"/>
    <w:rsid w:val="00B86289"/>
    <w:rsid w:val="00B863B3"/>
    <w:rsid w:val="00B869D3"/>
    <w:rsid w:val="00B86CF8"/>
    <w:rsid w:val="00B86E44"/>
    <w:rsid w:val="00B8730A"/>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3B"/>
    <w:rsid w:val="00BA2C82"/>
    <w:rsid w:val="00BA3869"/>
    <w:rsid w:val="00BA4399"/>
    <w:rsid w:val="00BA4452"/>
    <w:rsid w:val="00BA46C6"/>
    <w:rsid w:val="00BA498C"/>
    <w:rsid w:val="00BA4ACF"/>
    <w:rsid w:val="00BA5039"/>
    <w:rsid w:val="00BA583B"/>
    <w:rsid w:val="00BA5DF2"/>
    <w:rsid w:val="00BA5EC7"/>
    <w:rsid w:val="00BA6319"/>
    <w:rsid w:val="00BA63CE"/>
    <w:rsid w:val="00BA676E"/>
    <w:rsid w:val="00BA6980"/>
    <w:rsid w:val="00BA6EF2"/>
    <w:rsid w:val="00BA7146"/>
    <w:rsid w:val="00BA7227"/>
    <w:rsid w:val="00BA763C"/>
    <w:rsid w:val="00BA784D"/>
    <w:rsid w:val="00BA7CD7"/>
    <w:rsid w:val="00BB00E5"/>
    <w:rsid w:val="00BB12D3"/>
    <w:rsid w:val="00BB1688"/>
    <w:rsid w:val="00BB1EFB"/>
    <w:rsid w:val="00BB269F"/>
    <w:rsid w:val="00BB27CC"/>
    <w:rsid w:val="00BB2ACE"/>
    <w:rsid w:val="00BB2DE5"/>
    <w:rsid w:val="00BB2E4E"/>
    <w:rsid w:val="00BB2E62"/>
    <w:rsid w:val="00BB36C9"/>
    <w:rsid w:val="00BB3A66"/>
    <w:rsid w:val="00BB40D1"/>
    <w:rsid w:val="00BB5AA0"/>
    <w:rsid w:val="00BB777D"/>
    <w:rsid w:val="00BB7EC0"/>
    <w:rsid w:val="00BB7F88"/>
    <w:rsid w:val="00BC0207"/>
    <w:rsid w:val="00BC089F"/>
    <w:rsid w:val="00BC0A0C"/>
    <w:rsid w:val="00BC0A5A"/>
    <w:rsid w:val="00BC0E64"/>
    <w:rsid w:val="00BC25D1"/>
    <w:rsid w:val="00BC2DBD"/>
    <w:rsid w:val="00BC36E6"/>
    <w:rsid w:val="00BC3BCB"/>
    <w:rsid w:val="00BC3CF1"/>
    <w:rsid w:val="00BC428A"/>
    <w:rsid w:val="00BC4C40"/>
    <w:rsid w:val="00BC4D52"/>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73"/>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A8"/>
    <w:rsid w:val="00BE3F26"/>
    <w:rsid w:val="00BE4222"/>
    <w:rsid w:val="00BE472D"/>
    <w:rsid w:val="00BE4C03"/>
    <w:rsid w:val="00BE7095"/>
    <w:rsid w:val="00BE7F4D"/>
    <w:rsid w:val="00BF03C0"/>
    <w:rsid w:val="00BF0EBF"/>
    <w:rsid w:val="00BF1534"/>
    <w:rsid w:val="00BF2021"/>
    <w:rsid w:val="00BF21D4"/>
    <w:rsid w:val="00BF2DDC"/>
    <w:rsid w:val="00BF32DE"/>
    <w:rsid w:val="00BF461F"/>
    <w:rsid w:val="00BF4A15"/>
    <w:rsid w:val="00BF4E0E"/>
    <w:rsid w:val="00BF4E27"/>
    <w:rsid w:val="00BF4F7C"/>
    <w:rsid w:val="00BF537B"/>
    <w:rsid w:val="00BF5901"/>
    <w:rsid w:val="00BF626A"/>
    <w:rsid w:val="00BF688E"/>
    <w:rsid w:val="00BF6CC1"/>
    <w:rsid w:val="00BF6D77"/>
    <w:rsid w:val="00BF739A"/>
    <w:rsid w:val="00BF7A34"/>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313"/>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319"/>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D86"/>
    <w:rsid w:val="00C3701A"/>
    <w:rsid w:val="00C379EF"/>
    <w:rsid w:val="00C405C8"/>
    <w:rsid w:val="00C40C2F"/>
    <w:rsid w:val="00C415AC"/>
    <w:rsid w:val="00C4297A"/>
    <w:rsid w:val="00C4360C"/>
    <w:rsid w:val="00C439B8"/>
    <w:rsid w:val="00C43A0B"/>
    <w:rsid w:val="00C43EDA"/>
    <w:rsid w:val="00C43FEC"/>
    <w:rsid w:val="00C4414C"/>
    <w:rsid w:val="00C45101"/>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98C"/>
    <w:rsid w:val="00C70718"/>
    <w:rsid w:val="00C70B25"/>
    <w:rsid w:val="00C71528"/>
    <w:rsid w:val="00C717B4"/>
    <w:rsid w:val="00C717E4"/>
    <w:rsid w:val="00C7191B"/>
    <w:rsid w:val="00C71F09"/>
    <w:rsid w:val="00C72588"/>
    <w:rsid w:val="00C727B9"/>
    <w:rsid w:val="00C72F44"/>
    <w:rsid w:val="00C73670"/>
    <w:rsid w:val="00C737D1"/>
    <w:rsid w:val="00C738A0"/>
    <w:rsid w:val="00C73DE0"/>
    <w:rsid w:val="00C74609"/>
    <w:rsid w:val="00C749AB"/>
    <w:rsid w:val="00C7544E"/>
    <w:rsid w:val="00C75A8F"/>
    <w:rsid w:val="00C76129"/>
    <w:rsid w:val="00C76C0C"/>
    <w:rsid w:val="00C76FFC"/>
    <w:rsid w:val="00C774E0"/>
    <w:rsid w:val="00C776BA"/>
    <w:rsid w:val="00C7791E"/>
    <w:rsid w:val="00C81716"/>
    <w:rsid w:val="00C832CB"/>
    <w:rsid w:val="00C83E71"/>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A1"/>
    <w:rsid w:val="00C90BC4"/>
    <w:rsid w:val="00C90CA9"/>
    <w:rsid w:val="00C9135C"/>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AE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05A"/>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774"/>
    <w:rsid w:val="00CC7E0D"/>
    <w:rsid w:val="00CC7E97"/>
    <w:rsid w:val="00CD00EB"/>
    <w:rsid w:val="00CD1255"/>
    <w:rsid w:val="00CD1484"/>
    <w:rsid w:val="00CD1892"/>
    <w:rsid w:val="00CD1C01"/>
    <w:rsid w:val="00CD1D00"/>
    <w:rsid w:val="00CD2009"/>
    <w:rsid w:val="00CD27AC"/>
    <w:rsid w:val="00CD2A82"/>
    <w:rsid w:val="00CD2E15"/>
    <w:rsid w:val="00CD3C1C"/>
    <w:rsid w:val="00CD3CAB"/>
    <w:rsid w:val="00CD44FF"/>
    <w:rsid w:val="00CD46A7"/>
    <w:rsid w:val="00CD47BC"/>
    <w:rsid w:val="00CD4E50"/>
    <w:rsid w:val="00CD57CB"/>
    <w:rsid w:val="00CD64E1"/>
    <w:rsid w:val="00CD66BA"/>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7AA"/>
    <w:rsid w:val="00CF0AF0"/>
    <w:rsid w:val="00CF157E"/>
    <w:rsid w:val="00CF1631"/>
    <w:rsid w:val="00CF1834"/>
    <w:rsid w:val="00CF1AAA"/>
    <w:rsid w:val="00CF1EC2"/>
    <w:rsid w:val="00CF2ACF"/>
    <w:rsid w:val="00CF345B"/>
    <w:rsid w:val="00CF393C"/>
    <w:rsid w:val="00CF475F"/>
    <w:rsid w:val="00CF5008"/>
    <w:rsid w:val="00CF5069"/>
    <w:rsid w:val="00CF5E34"/>
    <w:rsid w:val="00CF6707"/>
    <w:rsid w:val="00CF7101"/>
    <w:rsid w:val="00CF7327"/>
    <w:rsid w:val="00CF7385"/>
    <w:rsid w:val="00CF7539"/>
    <w:rsid w:val="00CF75C6"/>
    <w:rsid w:val="00CF7B77"/>
    <w:rsid w:val="00CF7DF5"/>
    <w:rsid w:val="00CF7E22"/>
    <w:rsid w:val="00D001D2"/>
    <w:rsid w:val="00D01654"/>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C8C"/>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B70"/>
    <w:rsid w:val="00D27F75"/>
    <w:rsid w:val="00D3046D"/>
    <w:rsid w:val="00D30497"/>
    <w:rsid w:val="00D30C4D"/>
    <w:rsid w:val="00D30F5F"/>
    <w:rsid w:val="00D31243"/>
    <w:rsid w:val="00D316D9"/>
    <w:rsid w:val="00D31B07"/>
    <w:rsid w:val="00D31B9D"/>
    <w:rsid w:val="00D3249A"/>
    <w:rsid w:val="00D3272E"/>
    <w:rsid w:val="00D32FA0"/>
    <w:rsid w:val="00D33112"/>
    <w:rsid w:val="00D331CB"/>
    <w:rsid w:val="00D3497A"/>
    <w:rsid w:val="00D35F2F"/>
    <w:rsid w:val="00D35FC6"/>
    <w:rsid w:val="00D36BB8"/>
    <w:rsid w:val="00D37622"/>
    <w:rsid w:val="00D377D4"/>
    <w:rsid w:val="00D401A1"/>
    <w:rsid w:val="00D40217"/>
    <w:rsid w:val="00D40385"/>
    <w:rsid w:val="00D404CE"/>
    <w:rsid w:val="00D40E8F"/>
    <w:rsid w:val="00D412BF"/>
    <w:rsid w:val="00D417C6"/>
    <w:rsid w:val="00D417D0"/>
    <w:rsid w:val="00D42B0C"/>
    <w:rsid w:val="00D42D6E"/>
    <w:rsid w:val="00D43C72"/>
    <w:rsid w:val="00D43DEF"/>
    <w:rsid w:val="00D44259"/>
    <w:rsid w:val="00D446C9"/>
    <w:rsid w:val="00D45C61"/>
    <w:rsid w:val="00D45DDC"/>
    <w:rsid w:val="00D46899"/>
    <w:rsid w:val="00D5064C"/>
    <w:rsid w:val="00D50778"/>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1ED"/>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9F4"/>
    <w:rsid w:val="00D67D81"/>
    <w:rsid w:val="00D70170"/>
    <w:rsid w:val="00D702E8"/>
    <w:rsid w:val="00D70552"/>
    <w:rsid w:val="00D70D42"/>
    <w:rsid w:val="00D71285"/>
    <w:rsid w:val="00D71ABC"/>
    <w:rsid w:val="00D721C5"/>
    <w:rsid w:val="00D72454"/>
    <w:rsid w:val="00D7245F"/>
    <w:rsid w:val="00D729A7"/>
    <w:rsid w:val="00D72A5B"/>
    <w:rsid w:val="00D73991"/>
    <w:rsid w:val="00D73CD4"/>
    <w:rsid w:val="00D73F06"/>
    <w:rsid w:val="00D740B2"/>
    <w:rsid w:val="00D7415C"/>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B8"/>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7D1"/>
    <w:rsid w:val="00DA099C"/>
    <w:rsid w:val="00DA0F18"/>
    <w:rsid w:val="00DA1D5D"/>
    <w:rsid w:val="00DA2125"/>
    <w:rsid w:val="00DA21EC"/>
    <w:rsid w:val="00DA24DE"/>
    <w:rsid w:val="00DA270C"/>
    <w:rsid w:val="00DA281F"/>
    <w:rsid w:val="00DA316A"/>
    <w:rsid w:val="00DA3C5B"/>
    <w:rsid w:val="00DA3D23"/>
    <w:rsid w:val="00DA4A61"/>
    <w:rsid w:val="00DA5AFE"/>
    <w:rsid w:val="00DA61AB"/>
    <w:rsid w:val="00DA61CD"/>
    <w:rsid w:val="00DA6EE2"/>
    <w:rsid w:val="00DA718A"/>
    <w:rsid w:val="00DA78CF"/>
    <w:rsid w:val="00DA78D5"/>
    <w:rsid w:val="00DA7A89"/>
    <w:rsid w:val="00DA7BF4"/>
    <w:rsid w:val="00DB052F"/>
    <w:rsid w:val="00DB0913"/>
    <w:rsid w:val="00DB14D3"/>
    <w:rsid w:val="00DB154B"/>
    <w:rsid w:val="00DB1BDC"/>
    <w:rsid w:val="00DB3490"/>
    <w:rsid w:val="00DB3593"/>
    <w:rsid w:val="00DB440B"/>
    <w:rsid w:val="00DB4426"/>
    <w:rsid w:val="00DB4522"/>
    <w:rsid w:val="00DB4B40"/>
    <w:rsid w:val="00DB4F12"/>
    <w:rsid w:val="00DB4F21"/>
    <w:rsid w:val="00DB4F42"/>
    <w:rsid w:val="00DB540C"/>
    <w:rsid w:val="00DB6A51"/>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FCF"/>
    <w:rsid w:val="00DD1205"/>
    <w:rsid w:val="00DD15AA"/>
    <w:rsid w:val="00DD1633"/>
    <w:rsid w:val="00DD17A0"/>
    <w:rsid w:val="00DD1B97"/>
    <w:rsid w:val="00DD2831"/>
    <w:rsid w:val="00DD2A6D"/>
    <w:rsid w:val="00DD2E17"/>
    <w:rsid w:val="00DD42DE"/>
    <w:rsid w:val="00DD4309"/>
    <w:rsid w:val="00DD4344"/>
    <w:rsid w:val="00DD4357"/>
    <w:rsid w:val="00DD4DDD"/>
    <w:rsid w:val="00DD573B"/>
    <w:rsid w:val="00DD576B"/>
    <w:rsid w:val="00DD57E7"/>
    <w:rsid w:val="00DD5A1E"/>
    <w:rsid w:val="00DD5B8C"/>
    <w:rsid w:val="00DD5DFA"/>
    <w:rsid w:val="00DD5E91"/>
    <w:rsid w:val="00DD6CE2"/>
    <w:rsid w:val="00DD720D"/>
    <w:rsid w:val="00DD7E04"/>
    <w:rsid w:val="00DE0229"/>
    <w:rsid w:val="00DE0359"/>
    <w:rsid w:val="00DE04E0"/>
    <w:rsid w:val="00DE12F1"/>
    <w:rsid w:val="00DE1A9D"/>
    <w:rsid w:val="00DE1CB1"/>
    <w:rsid w:val="00DE2073"/>
    <w:rsid w:val="00DE2F1B"/>
    <w:rsid w:val="00DE30AC"/>
    <w:rsid w:val="00DE38D1"/>
    <w:rsid w:val="00DE4106"/>
    <w:rsid w:val="00DE466B"/>
    <w:rsid w:val="00DE48F4"/>
    <w:rsid w:val="00DE4F0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5A8"/>
    <w:rsid w:val="00DF3798"/>
    <w:rsid w:val="00DF4FF1"/>
    <w:rsid w:val="00DF52BA"/>
    <w:rsid w:val="00DF56A3"/>
    <w:rsid w:val="00DF5AB9"/>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5FE0"/>
    <w:rsid w:val="00E1720B"/>
    <w:rsid w:val="00E174DC"/>
    <w:rsid w:val="00E203DE"/>
    <w:rsid w:val="00E20CE7"/>
    <w:rsid w:val="00E217B1"/>
    <w:rsid w:val="00E21E1C"/>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82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AB"/>
    <w:rsid w:val="00E45A2C"/>
    <w:rsid w:val="00E46A6B"/>
    <w:rsid w:val="00E46A9C"/>
    <w:rsid w:val="00E47DB1"/>
    <w:rsid w:val="00E503A2"/>
    <w:rsid w:val="00E50BDD"/>
    <w:rsid w:val="00E510CF"/>
    <w:rsid w:val="00E513D7"/>
    <w:rsid w:val="00E519FE"/>
    <w:rsid w:val="00E5206C"/>
    <w:rsid w:val="00E52AAB"/>
    <w:rsid w:val="00E5448E"/>
    <w:rsid w:val="00E545D7"/>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03D"/>
    <w:rsid w:val="00E6514D"/>
    <w:rsid w:val="00E65161"/>
    <w:rsid w:val="00E652C9"/>
    <w:rsid w:val="00E6593B"/>
    <w:rsid w:val="00E65D74"/>
    <w:rsid w:val="00E66E11"/>
    <w:rsid w:val="00E672C6"/>
    <w:rsid w:val="00E70192"/>
    <w:rsid w:val="00E70C55"/>
    <w:rsid w:val="00E70E34"/>
    <w:rsid w:val="00E7163B"/>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0D0"/>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65"/>
    <w:rsid w:val="00E97DC6"/>
    <w:rsid w:val="00E97F7A"/>
    <w:rsid w:val="00EA0010"/>
    <w:rsid w:val="00EA0143"/>
    <w:rsid w:val="00EA089B"/>
    <w:rsid w:val="00EA1318"/>
    <w:rsid w:val="00EA1ACC"/>
    <w:rsid w:val="00EA2E21"/>
    <w:rsid w:val="00EA2EAA"/>
    <w:rsid w:val="00EA380C"/>
    <w:rsid w:val="00EA4E88"/>
    <w:rsid w:val="00EA613D"/>
    <w:rsid w:val="00EA6281"/>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981"/>
    <w:rsid w:val="00EC1E8A"/>
    <w:rsid w:val="00EC1F1F"/>
    <w:rsid w:val="00EC328C"/>
    <w:rsid w:val="00EC32F5"/>
    <w:rsid w:val="00EC3852"/>
    <w:rsid w:val="00EC4528"/>
    <w:rsid w:val="00EC4D3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6C3"/>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506"/>
    <w:rsid w:val="00F0187E"/>
    <w:rsid w:val="00F01BE6"/>
    <w:rsid w:val="00F01F75"/>
    <w:rsid w:val="00F0217A"/>
    <w:rsid w:val="00F02275"/>
    <w:rsid w:val="00F026D3"/>
    <w:rsid w:val="00F027E8"/>
    <w:rsid w:val="00F03395"/>
    <w:rsid w:val="00F034E6"/>
    <w:rsid w:val="00F03E4C"/>
    <w:rsid w:val="00F03F73"/>
    <w:rsid w:val="00F041FD"/>
    <w:rsid w:val="00F04D19"/>
    <w:rsid w:val="00F050A3"/>
    <w:rsid w:val="00F06340"/>
    <w:rsid w:val="00F0665D"/>
    <w:rsid w:val="00F06D42"/>
    <w:rsid w:val="00F07134"/>
    <w:rsid w:val="00F0724D"/>
    <w:rsid w:val="00F07378"/>
    <w:rsid w:val="00F07F19"/>
    <w:rsid w:val="00F07FFC"/>
    <w:rsid w:val="00F10B81"/>
    <w:rsid w:val="00F10BC9"/>
    <w:rsid w:val="00F113C9"/>
    <w:rsid w:val="00F11C01"/>
    <w:rsid w:val="00F11D80"/>
    <w:rsid w:val="00F13B0A"/>
    <w:rsid w:val="00F1469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99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7C"/>
    <w:rsid w:val="00F2689C"/>
    <w:rsid w:val="00F27E44"/>
    <w:rsid w:val="00F30313"/>
    <w:rsid w:val="00F303BC"/>
    <w:rsid w:val="00F30472"/>
    <w:rsid w:val="00F31052"/>
    <w:rsid w:val="00F318A1"/>
    <w:rsid w:val="00F31CF5"/>
    <w:rsid w:val="00F3265C"/>
    <w:rsid w:val="00F32C4A"/>
    <w:rsid w:val="00F33262"/>
    <w:rsid w:val="00F3417C"/>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00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CC"/>
    <w:rsid w:val="00F51591"/>
    <w:rsid w:val="00F51A82"/>
    <w:rsid w:val="00F51B78"/>
    <w:rsid w:val="00F51BDD"/>
    <w:rsid w:val="00F52065"/>
    <w:rsid w:val="00F521CE"/>
    <w:rsid w:val="00F5253E"/>
    <w:rsid w:val="00F5254B"/>
    <w:rsid w:val="00F52CB7"/>
    <w:rsid w:val="00F53A44"/>
    <w:rsid w:val="00F54E5E"/>
    <w:rsid w:val="00F551DB"/>
    <w:rsid w:val="00F55810"/>
    <w:rsid w:val="00F559BE"/>
    <w:rsid w:val="00F5649C"/>
    <w:rsid w:val="00F56F7E"/>
    <w:rsid w:val="00F56FEF"/>
    <w:rsid w:val="00F57521"/>
    <w:rsid w:val="00F60938"/>
    <w:rsid w:val="00F60C7E"/>
    <w:rsid w:val="00F60E0A"/>
    <w:rsid w:val="00F61606"/>
    <w:rsid w:val="00F61918"/>
    <w:rsid w:val="00F62151"/>
    <w:rsid w:val="00F62CA8"/>
    <w:rsid w:val="00F62F92"/>
    <w:rsid w:val="00F630B4"/>
    <w:rsid w:val="00F635EF"/>
    <w:rsid w:val="00F636EE"/>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550"/>
    <w:rsid w:val="00F74103"/>
    <w:rsid w:val="00F7410A"/>
    <w:rsid w:val="00F745A4"/>
    <w:rsid w:val="00F74C0C"/>
    <w:rsid w:val="00F758E1"/>
    <w:rsid w:val="00F75BB5"/>
    <w:rsid w:val="00F75FD5"/>
    <w:rsid w:val="00F7604C"/>
    <w:rsid w:val="00F773A9"/>
    <w:rsid w:val="00F8056E"/>
    <w:rsid w:val="00F805B7"/>
    <w:rsid w:val="00F810C1"/>
    <w:rsid w:val="00F81623"/>
    <w:rsid w:val="00F818C2"/>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C1B"/>
    <w:rsid w:val="00F97A34"/>
    <w:rsid w:val="00F97E4A"/>
    <w:rsid w:val="00F97EA1"/>
    <w:rsid w:val="00FA003A"/>
    <w:rsid w:val="00FA05C8"/>
    <w:rsid w:val="00FA0678"/>
    <w:rsid w:val="00FA0DB6"/>
    <w:rsid w:val="00FA2091"/>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2E5"/>
    <w:rsid w:val="00FC4345"/>
    <w:rsid w:val="00FC444A"/>
    <w:rsid w:val="00FC453D"/>
    <w:rsid w:val="00FC4A89"/>
    <w:rsid w:val="00FC619B"/>
    <w:rsid w:val="00FC665F"/>
    <w:rsid w:val="00FC6C35"/>
    <w:rsid w:val="00FC6D59"/>
    <w:rsid w:val="00FC7561"/>
    <w:rsid w:val="00FC78F5"/>
    <w:rsid w:val="00FC7A1F"/>
    <w:rsid w:val="00FC7ACA"/>
    <w:rsid w:val="00FC7AD2"/>
    <w:rsid w:val="00FD10B3"/>
    <w:rsid w:val="00FD11C3"/>
    <w:rsid w:val="00FD154E"/>
    <w:rsid w:val="00FD20BE"/>
    <w:rsid w:val="00FD24D7"/>
    <w:rsid w:val="00FD29CE"/>
    <w:rsid w:val="00FD3AE2"/>
    <w:rsid w:val="00FD3E41"/>
    <w:rsid w:val="00FD3EFA"/>
    <w:rsid w:val="00FD54A8"/>
    <w:rsid w:val="00FD5AE4"/>
    <w:rsid w:val="00FD5F25"/>
    <w:rsid w:val="00FD60BE"/>
    <w:rsid w:val="00FD62C2"/>
    <w:rsid w:val="00FD6894"/>
    <w:rsid w:val="00FD6AF0"/>
    <w:rsid w:val="00FD6F11"/>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4C"/>
    <w:rsid w:val="00FE4F80"/>
    <w:rsid w:val="00FE570E"/>
    <w:rsid w:val="00FE6870"/>
    <w:rsid w:val="00FE6D11"/>
    <w:rsid w:val="00FE713E"/>
    <w:rsid w:val="00FE735F"/>
    <w:rsid w:val="00FE7877"/>
    <w:rsid w:val="00FE7DD1"/>
    <w:rsid w:val="00FF0B4F"/>
    <w:rsid w:val="00FF0F58"/>
    <w:rsid w:val="00FF159B"/>
    <w:rsid w:val="00FF183C"/>
    <w:rsid w:val="00FF1A06"/>
    <w:rsid w:val="00FF1AD3"/>
    <w:rsid w:val="00FF1B46"/>
    <w:rsid w:val="00FF219D"/>
    <w:rsid w:val="00FF2A7B"/>
    <w:rsid w:val="00FF3D2B"/>
    <w:rsid w:val="00FF42C9"/>
    <w:rsid w:val="00FF49B4"/>
    <w:rsid w:val="00FF49F4"/>
    <w:rsid w:val="00FF5C6A"/>
    <w:rsid w:val="00FF651D"/>
    <w:rsid w:val="00FF6843"/>
    <w:rsid w:val="00FF6C25"/>
    <w:rsid w:val="00FF7BD2"/>
    <w:rsid w:val="010158D6"/>
    <w:rsid w:val="010651D9"/>
    <w:rsid w:val="011662CC"/>
    <w:rsid w:val="011F6449"/>
    <w:rsid w:val="012313A8"/>
    <w:rsid w:val="01236AFB"/>
    <w:rsid w:val="01271E0A"/>
    <w:rsid w:val="013F5477"/>
    <w:rsid w:val="015E3B2D"/>
    <w:rsid w:val="017A5090"/>
    <w:rsid w:val="01845256"/>
    <w:rsid w:val="018A2693"/>
    <w:rsid w:val="019F7441"/>
    <w:rsid w:val="01AE15BA"/>
    <w:rsid w:val="01B37585"/>
    <w:rsid w:val="01D55165"/>
    <w:rsid w:val="01DF6BF8"/>
    <w:rsid w:val="01E71852"/>
    <w:rsid w:val="01EC2C57"/>
    <w:rsid w:val="02262AB8"/>
    <w:rsid w:val="02405F8A"/>
    <w:rsid w:val="02594515"/>
    <w:rsid w:val="025A26FC"/>
    <w:rsid w:val="02604264"/>
    <w:rsid w:val="02677347"/>
    <w:rsid w:val="026B2E25"/>
    <w:rsid w:val="0271577C"/>
    <w:rsid w:val="027658DD"/>
    <w:rsid w:val="0279309D"/>
    <w:rsid w:val="02824D4D"/>
    <w:rsid w:val="02987B74"/>
    <w:rsid w:val="029B2D72"/>
    <w:rsid w:val="02BB5E18"/>
    <w:rsid w:val="02CD4DC8"/>
    <w:rsid w:val="02D23086"/>
    <w:rsid w:val="02D90BFD"/>
    <w:rsid w:val="02DC4B10"/>
    <w:rsid w:val="02DD76CE"/>
    <w:rsid w:val="02DE5ECF"/>
    <w:rsid w:val="02DF389F"/>
    <w:rsid w:val="02F36323"/>
    <w:rsid w:val="02F5619C"/>
    <w:rsid w:val="03192A63"/>
    <w:rsid w:val="0326446A"/>
    <w:rsid w:val="032D5555"/>
    <w:rsid w:val="033301DC"/>
    <w:rsid w:val="03404493"/>
    <w:rsid w:val="034B2E38"/>
    <w:rsid w:val="03527DB5"/>
    <w:rsid w:val="03564A89"/>
    <w:rsid w:val="036634D2"/>
    <w:rsid w:val="03885263"/>
    <w:rsid w:val="03A574F2"/>
    <w:rsid w:val="03C20F77"/>
    <w:rsid w:val="03C70711"/>
    <w:rsid w:val="03C75283"/>
    <w:rsid w:val="03DD35E4"/>
    <w:rsid w:val="03E91EB6"/>
    <w:rsid w:val="03FC5F2A"/>
    <w:rsid w:val="04076900"/>
    <w:rsid w:val="041A5A3B"/>
    <w:rsid w:val="042311BA"/>
    <w:rsid w:val="042B157A"/>
    <w:rsid w:val="04415108"/>
    <w:rsid w:val="04602319"/>
    <w:rsid w:val="048F3DCE"/>
    <w:rsid w:val="048F763B"/>
    <w:rsid w:val="0492128F"/>
    <w:rsid w:val="049F330E"/>
    <w:rsid w:val="04AA775C"/>
    <w:rsid w:val="04AF1889"/>
    <w:rsid w:val="04B3263F"/>
    <w:rsid w:val="04BA4312"/>
    <w:rsid w:val="04C34E7B"/>
    <w:rsid w:val="04CB1885"/>
    <w:rsid w:val="04E76BC6"/>
    <w:rsid w:val="04F66F48"/>
    <w:rsid w:val="050464C8"/>
    <w:rsid w:val="05251151"/>
    <w:rsid w:val="05251E14"/>
    <w:rsid w:val="055D1DD7"/>
    <w:rsid w:val="056027A2"/>
    <w:rsid w:val="05721F43"/>
    <w:rsid w:val="05A16594"/>
    <w:rsid w:val="05A7762D"/>
    <w:rsid w:val="05B13426"/>
    <w:rsid w:val="05DA66AF"/>
    <w:rsid w:val="05F41C2F"/>
    <w:rsid w:val="06007F0A"/>
    <w:rsid w:val="060E5941"/>
    <w:rsid w:val="06110FAF"/>
    <w:rsid w:val="061D7032"/>
    <w:rsid w:val="061E64BE"/>
    <w:rsid w:val="0628422C"/>
    <w:rsid w:val="062D516C"/>
    <w:rsid w:val="06493CA7"/>
    <w:rsid w:val="065A6178"/>
    <w:rsid w:val="066761DB"/>
    <w:rsid w:val="066F1CF3"/>
    <w:rsid w:val="067B1C86"/>
    <w:rsid w:val="067E5607"/>
    <w:rsid w:val="067F1E48"/>
    <w:rsid w:val="06930BB8"/>
    <w:rsid w:val="069F0814"/>
    <w:rsid w:val="06C278B5"/>
    <w:rsid w:val="070F7789"/>
    <w:rsid w:val="07245D42"/>
    <w:rsid w:val="07264C62"/>
    <w:rsid w:val="072B4B05"/>
    <w:rsid w:val="076170CE"/>
    <w:rsid w:val="0779354C"/>
    <w:rsid w:val="0790350F"/>
    <w:rsid w:val="07B61E00"/>
    <w:rsid w:val="07BA5875"/>
    <w:rsid w:val="07FE23B9"/>
    <w:rsid w:val="080545BE"/>
    <w:rsid w:val="08061376"/>
    <w:rsid w:val="080C528C"/>
    <w:rsid w:val="08382DBB"/>
    <w:rsid w:val="0845247E"/>
    <w:rsid w:val="08452D77"/>
    <w:rsid w:val="086401F8"/>
    <w:rsid w:val="0874091F"/>
    <w:rsid w:val="08751CAA"/>
    <w:rsid w:val="087E4C40"/>
    <w:rsid w:val="0888779C"/>
    <w:rsid w:val="08A2174C"/>
    <w:rsid w:val="08A80E6D"/>
    <w:rsid w:val="08AB6853"/>
    <w:rsid w:val="08D37B58"/>
    <w:rsid w:val="08D66AD6"/>
    <w:rsid w:val="08DA33A3"/>
    <w:rsid w:val="08E40988"/>
    <w:rsid w:val="08E65ADD"/>
    <w:rsid w:val="08E80F13"/>
    <w:rsid w:val="08F2793A"/>
    <w:rsid w:val="08F47C1C"/>
    <w:rsid w:val="09335624"/>
    <w:rsid w:val="0944690F"/>
    <w:rsid w:val="09535675"/>
    <w:rsid w:val="095F057D"/>
    <w:rsid w:val="09642282"/>
    <w:rsid w:val="09733572"/>
    <w:rsid w:val="09737F58"/>
    <w:rsid w:val="09772C16"/>
    <w:rsid w:val="09787726"/>
    <w:rsid w:val="098353B5"/>
    <w:rsid w:val="099B67B3"/>
    <w:rsid w:val="09A908B8"/>
    <w:rsid w:val="09A92330"/>
    <w:rsid w:val="09AF7ED3"/>
    <w:rsid w:val="09B06B87"/>
    <w:rsid w:val="09B2685E"/>
    <w:rsid w:val="09BE0E50"/>
    <w:rsid w:val="09C13146"/>
    <w:rsid w:val="09C90142"/>
    <w:rsid w:val="09D247A9"/>
    <w:rsid w:val="09DC47EA"/>
    <w:rsid w:val="09E04166"/>
    <w:rsid w:val="09EA1AEE"/>
    <w:rsid w:val="09FE6D16"/>
    <w:rsid w:val="0A1C0718"/>
    <w:rsid w:val="0A1C277D"/>
    <w:rsid w:val="0A2851B6"/>
    <w:rsid w:val="0A2B4970"/>
    <w:rsid w:val="0A3E7710"/>
    <w:rsid w:val="0A40746F"/>
    <w:rsid w:val="0A4129E0"/>
    <w:rsid w:val="0A432ABB"/>
    <w:rsid w:val="0A4B312D"/>
    <w:rsid w:val="0A522000"/>
    <w:rsid w:val="0A563A66"/>
    <w:rsid w:val="0A5B7E63"/>
    <w:rsid w:val="0A6633BE"/>
    <w:rsid w:val="0A67494D"/>
    <w:rsid w:val="0A6752D1"/>
    <w:rsid w:val="0A960AF7"/>
    <w:rsid w:val="0AA374A5"/>
    <w:rsid w:val="0AA87736"/>
    <w:rsid w:val="0AAB7649"/>
    <w:rsid w:val="0AAC0660"/>
    <w:rsid w:val="0ABC5606"/>
    <w:rsid w:val="0AC11B84"/>
    <w:rsid w:val="0AC41328"/>
    <w:rsid w:val="0ACE6829"/>
    <w:rsid w:val="0ADD6AE9"/>
    <w:rsid w:val="0AFA761E"/>
    <w:rsid w:val="0AFC1873"/>
    <w:rsid w:val="0B0C57AA"/>
    <w:rsid w:val="0B135418"/>
    <w:rsid w:val="0B30404E"/>
    <w:rsid w:val="0B3D458E"/>
    <w:rsid w:val="0B412664"/>
    <w:rsid w:val="0B48567B"/>
    <w:rsid w:val="0B4C6C14"/>
    <w:rsid w:val="0B631A88"/>
    <w:rsid w:val="0B683D45"/>
    <w:rsid w:val="0B7F3F11"/>
    <w:rsid w:val="0B884417"/>
    <w:rsid w:val="0BAF70CA"/>
    <w:rsid w:val="0BBE5231"/>
    <w:rsid w:val="0BC65BEC"/>
    <w:rsid w:val="0BCD088E"/>
    <w:rsid w:val="0BCE0120"/>
    <w:rsid w:val="0BDD0E14"/>
    <w:rsid w:val="0BE27D20"/>
    <w:rsid w:val="0BF6188C"/>
    <w:rsid w:val="0BF71DAF"/>
    <w:rsid w:val="0BF73C91"/>
    <w:rsid w:val="0C0733B6"/>
    <w:rsid w:val="0C1666D9"/>
    <w:rsid w:val="0C170175"/>
    <w:rsid w:val="0C197F77"/>
    <w:rsid w:val="0C4900DF"/>
    <w:rsid w:val="0C571A41"/>
    <w:rsid w:val="0C5C1171"/>
    <w:rsid w:val="0C5E1CBC"/>
    <w:rsid w:val="0C615B50"/>
    <w:rsid w:val="0C812B51"/>
    <w:rsid w:val="0C8445DA"/>
    <w:rsid w:val="0C87121B"/>
    <w:rsid w:val="0C88523B"/>
    <w:rsid w:val="0CAF4438"/>
    <w:rsid w:val="0CC007F7"/>
    <w:rsid w:val="0CD02D66"/>
    <w:rsid w:val="0CE50631"/>
    <w:rsid w:val="0CF40175"/>
    <w:rsid w:val="0CFE707A"/>
    <w:rsid w:val="0D017656"/>
    <w:rsid w:val="0D063BDA"/>
    <w:rsid w:val="0D08375F"/>
    <w:rsid w:val="0D184CFB"/>
    <w:rsid w:val="0D1878DF"/>
    <w:rsid w:val="0D2E0CC5"/>
    <w:rsid w:val="0D363981"/>
    <w:rsid w:val="0D4A7419"/>
    <w:rsid w:val="0D5258E4"/>
    <w:rsid w:val="0D6E147C"/>
    <w:rsid w:val="0D724973"/>
    <w:rsid w:val="0D827401"/>
    <w:rsid w:val="0D84094E"/>
    <w:rsid w:val="0D8A00E9"/>
    <w:rsid w:val="0D8D589E"/>
    <w:rsid w:val="0D985689"/>
    <w:rsid w:val="0DA01C73"/>
    <w:rsid w:val="0DBA45FA"/>
    <w:rsid w:val="0DC41553"/>
    <w:rsid w:val="0DD31A38"/>
    <w:rsid w:val="0DD57ECE"/>
    <w:rsid w:val="0DD63300"/>
    <w:rsid w:val="0DED346A"/>
    <w:rsid w:val="0DEF573D"/>
    <w:rsid w:val="0DF50604"/>
    <w:rsid w:val="0DF702FE"/>
    <w:rsid w:val="0E060E51"/>
    <w:rsid w:val="0E0802A4"/>
    <w:rsid w:val="0E19600D"/>
    <w:rsid w:val="0E225AB9"/>
    <w:rsid w:val="0E2A7675"/>
    <w:rsid w:val="0E2B3FEA"/>
    <w:rsid w:val="0E4673D2"/>
    <w:rsid w:val="0E5604B2"/>
    <w:rsid w:val="0E5E6115"/>
    <w:rsid w:val="0E6D5D79"/>
    <w:rsid w:val="0E75310C"/>
    <w:rsid w:val="0E7E325D"/>
    <w:rsid w:val="0E855450"/>
    <w:rsid w:val="0E87566C"/>
    <w:rsid w:val="0E8C2C83"/>
    <w:rsid w:val="0E921AE2"/>
    <w:rsid w:val="0E942262"/>
    <w:rsid w:val="0E9D0089"/>
    <w:rsid w:val="0EA0228A"/>
    <w:rsid w:val="0EA31D7A"/>
    <w:rsid w:val="0EAB4CCC"/>
    <w:rsid w:val="0EB803EE"/>
    <w:rsid w:val="0ECF42AE"/>
    <w:rsid w:val="0EE06B2A"/>
    <w:rsid w:val="0EE67D92"/>
    <w:rsid w:val="0EF17760"/>
    <w:rsid w:val="0EF44384"/>
    <w:rsid w:val="0EF94D4B"/>
    <w:rsid w:val="0F0179D2"/>
    <w:rsid w:val="0F101073"/>
    <w:rsid w:val="0F134CC3"/>
    <w:rsid w:val="0F183BEF"/>
    <w:rsid w:val="0F20024D"/>
    <w:rsid w:val="0F2C7FC2"/>
    <w:rsid w:val="0F344D93"/>
    <w:rsid w:val="0F4958DC"/>
    <w:rsid w:val="0F4E001C"/>
    <w:rsid w:val="0F515DF7"/>
    <w:rsid w:val="0F596BA8"/>
    <w:rsid w:val="0F5D63CD"/>
    <w:rsid w:val="0F61429E"/>
    <w:rsid w:val="0F6248D2"/>
    <w:rsid w:val="0F672818"/>
    <w:rsid w:val="0F693536"/>
    <w:rsid w:val="0F7B0511"/>
    <w:rsid w:val="0F7B76D9"/>
    <w:rsid w:val="0F7C354D"/>
    <w:rsid w:val="0F7F28E8"/>
    <w:rsid w:val="0F816ACD"/>
    <w:rsid w:val="0F8E47D8"/>
    <w:rsid w:val="0F9832DB"/>
    <w:rsid w:val="0FB0333E"/>
    <w:rsid w:val="0FBF2BE4"/>
    <w:rsid w:val="0FBF3FD2"/>
    <w:rsid w:val="0FBF7FF3"/>
    <w:rsid w:val="0FC06194"/>
    <w:rsid w:val="0FEB176D"/>
    <w:rsid w:val="0FF271F9"/>
    <w:rsid w:val="10006D15"/>
    <w:rsid w:val="10182A25"/>
    <w:rsid w:val="103678F2"/>
    <w:rsid w:val="10563D68"/>
    <w:rsid w:val="10646583"/>
    <w:rsid w:val="1070041D"/>
    <w:rsid w:val="10797237"/>
    <w:rsid w:val="107D4B15"/>
    <w:rsid w:val="108A3C80"/>
    <w:rsid w:val="108F0808"/>
    <w:rsid w:val="10A17219"/>
    <w:rsid w:val="10B262A5"/>
    <w:rsid w:val="10BB15FD"/>
    <w:rsid w:val="10C26171"/>
    <w:rsid w:val="10D678B9"/>
    <w:rsid w:val="10EF5B09"/>
    <w:rsid w:val="10F33360"/>
    <w:rsid w:val="10FC16EA"/>
    <w:rsid w:val="10FC5772"/>
    <w:rsid w:val="11034D52"/>
    <w:rsid w:val="110A4333"/>
    <w:rsid w:val="110F1D40"/>
    <w:rsid w:val="111B365C"/>
    <w:rsid w:val="111B6D01"/>
    <w:rsid w:val="11266F33"/>
    <w:rsid w:val="11695CA6"/>
    <w:rsid w:val="118963A1"/>
    <w:rsid w:val="118A1374"/>
    <w:rsid w:val="118F08FD"/>
    <w:rsid w:val="11916802"/>
    <w:rsid w:val="119B31DD"/>
    <w:rsid w:val="11C6522A"/>
    <w:rsid w:val="11E104CC"/>
    <w:rsid w:val="11E20309"/>
    <w:rsid w:val="120B3EBE"/>
    <w:rsid w:val="12135469"/>
    <w:rsid w:val="12255233"/>
    <w:rsid w:val="12347C54"/>
    <w:rsid w:val="124436F3"/>
    <w:rsid w:val="12530213"/>
    <w:rsid w:val="12594386"/>
    <w:rsid w:val="1269011E"/>
    <w:rsid w:val="126B2BAF"/>
    <w:rsid w:val="127723A9"/>
    <w:rsid w:val="127B54E8"/>
    <w:rsid w:val="12862074"/>
    <w:rsid w:val="12883966"/>
    <w:rsid w:val="12933991"/>
    <w:rsid w:val="12950962"/>
    <w:rsid w:val="129E45B4"/>
    <w:rsid w:val="12A14256"/>
    <w:rsid w:val="12B967B5"/>
    <w:rsid w:val="12D81596"/>
    <w:rsid w:val="12E55CFE"/>
    <w:rsid w:val="12EC0194"/>
    <w:rsid w:val="13072A44"/>
    <w:rsid w:val="131A5CA6"/>
    <w:rsid w:val="131F1BB3"/>
    <w:rsid w:val="132B66B5"/>
    <w:rsid w:val="132D0739"/>
    <w:rsid w:val="133B576B"/>
    <w:rsid w:val="135B4E34"/>
    <w:rsid w:val="135F4BE2"/>
    <w:rsid w:val="13685340"/>
    <w:rsid w:val="137957A2"/>
    <w:rsid w:val="13853043"/>
    <w:rsid w:val="13925EA9"/>
    <w:rsid w:val="13944A2C"/>
    <w:rsid w:val="139B1A0A"/>
    <w:rsid w:val="139D25C7"/>
    <w:rsid w:val="13A20852"/>
    <w:rsid w:val="13BE1388"/>
    <w:rsid w:val="13BF3CE4"/>
    <w:rsid w:val="14037739"/>
    <w:rsid w:val="14067033"/>
    <w:rsid w:val="141008D8"/>
    <w:rsid w:val="14125FE6"/>
    <w:rsid w:val="1432418F"/>
    <w:rsid w:val="145511F1"/>
    <w:rsid w:val="14565544"/>
    <w:rsid w:val="145A197A"/>
    <w:rsid w:val="145C6C53"/>
    <w:rsid w:val="146705D2"/>
    <w:rsid w:val="146B50E8"/>
    <w:rsid w:val="146D271E"/>
    <w:rsid w:val="14740EE8"/>
    <w:rsid w:val="1494463F"/>
    <w:rsid w:val="14982588"/>
    <w:rsid w:val="149A5AD9"/>
    <w:rsid w:val="14A7619D"/>
    <w:rsid w:val="14C81A92"/>
    <w:rsid w:val="14E81904"/>
    <w:rsid w:val="14ED3819"/>
    <w:rsid w:val="150536C3"/>
    <w:rsid w:val="15064E11"/>
    <w:rsid w:val="150C1963"/>
    <w:rsid w:val="150E6B56"/>
    <w:rsid w:val="151447A0"/>
    <w:rsid w:val="151A4B37"/>
    <w:rsid w:val="152F25BA"/>
    <w:rsid w:val="15421AFA"/>
    <w:rsid w:val="154A6454"/>
    <w:rsid w:val="154D3803"/>
    <w:rsid w:val="15762120"/>
    <w:rsid w:val="158741A4"/>
    <w:rsid w:val="158B33E1"/>
    <w:rsid w:val="1592490D"/>
    <w:rsid w:val="159C67C1"/>
    <w:rsid w:val="15B82DDC"/>
    <w:rsid w:val="15C216B2"/>
    <w:rsid w:val="15C7584D"/>
    <w:rsid w:val="15CA15FD"/>
    <w:rsid w:val="15D1541F"/>
    <w:rsid w:val="15EE2139"/>
    <w:rsid w:val="16491459"/>
    <w:rsid w:val="164B6F7F"/>
    <w:rsid w:val="16602267"/>
    <w:rsid w:val="16606BAD"/>
    <w:rsid w:val="166938A9"/>
    <w:rsid w:val="16776354"/>
    <w:rsid w:val="167F0B3A"/>
    <w:rsid w:val="169E2A55"/>
    <w:rsid w:val="169E79F7"/>
    <w:rsid w:val="169F2025"/>
    <w:rsid w:val="16A8729C"/>
    <w:rsid w:val="16B33777"/>
    <w:rsid w:val="16BC70A7"/>
    <w:rsid w:val="16C6339E"/>
    <w:rsid w:val="16DB76B1"/>
    <w:rsid w:val="16E41209"/>
    <w:rsid w:val="17012110"/>
    <w:rsid w:val="17065D41"/>
    <w:rsid w:val="17243C30"/>
    <w:rsid w:val="172C16AC"/>
    <w:rsid w:val="172F2D79"/>
    <w:rsid w:val="173C05FF"/>
    <w:rsid w:val="17557BEF"/>
    <w:rsid w:val="1767428D"/>
    <w:rsid w:val="176C1D45"/>
    <w:rsid w:val="17966920"/>
    <w:rsid w:val="17CA481C"/>
    <w:rsid w:val="17D349C1"/>
    <w:rsid w:val="18040CDB"/>
    <w:rsid w:val="1821268E"/>
    <w:rsid w:val="182C2DE0"/>
    <w:rsid w:val="1830729E"/>
    <w:rsid w:val="1864257A"/>
    <w:rsid w:val="1870062C"/>
    <w:rsid w:val="18707171"/>
    <w:rsid w:val="187C5B16"/>
    <w:rsid w:val="187D53EA"/>
    <w:rsid w:val="18817102"/>
    <w:rsid w:val="18830A15"/>
    <w:rsid w:val="18852B28"/>
    <w:rsid w:val="188A2917"/>
    <w:rsid w:val="188B5321"/>
    <w:rsid w:val="189310B2"/>
    <w:rsid w:val="189A022E"/>
    <w:rsid w:val="18AE1328"/>
    <w:rsid w:val="18BC23B6"/>
    <w:rsid w:val="18D07D4F"/>
    <w:rsid w:val="18E304B2"/>
    <w:rsid w:val="18EC5CFD"/>
    <w:rsid w:val="195902ED"/>
    <w:rsid w:val="197607B7"/>
    <w:rsid w:val="19793B2B"/>
    <w:rsid w:val="197E65D9"/>
    <w:rsid w:val="19907918"/>
    <w:rsid w:val="19932372"/>
    <w:rsid w:val="19A20DD5"/>
    <w:rsid w:val="19AE03F1"/>
    <w:rsid w:val="19F27963"/>
    <w:rsid w:val="1A033733"/>
    <w:rsid w:val="1A071A03"/>
    <w:rsid w:val="1A1F16AE"/>
    <w:rsid w:val="1A2C6C3F"/>
    <w:rsid w:val="1A304265"/>
    <w:rsid w:val="1A3B5C77"/>
    <w:rsid w:val="1A450189"/>
    <w:rsid w:val="1A6C5716"/>
    <w:rsid w:val="1A984BAD"/>
    <w:rsid w:val="1AA43102"/>
    <w:rsid w:val="1AB8220E"/>
    <w:rsid w:val="1AB85CB8"/>
    <w:rsid w:val="1ABE0444"/>
    <w:rsid w:val="1AE4166C"/>
    <w:rsid w:val="1AE85900"/>
    <w:rsid w:val="1AF06CFB"/>
    <w:rsid w:val="1AF11B8D"/>
    <w:rsid w:val="1AFB2B95"/>
    <w:rsid w:val="1B11359C"/>
    <w:rsid w:val="1B1232D1"/>
    <w:rsid w:val="1B1D177B"/>
    <w:rsid w:val="1B2A271F"/>
    <w:rsid w:val="1B3D21A7"/>
    <w:rsid w:val="1B460DC4"/>
    <w:rsid w:val="1B4F3923"/>
    <w:rsid w:val="1B530544"/>
    <w:rsid w:val="1B713184"/>
    <w:rsid w:val="1B7F5EC6"/>
    <w:rsid w:val="1B86231B"/>
    <w:rsid w:val="1B91311E"/>
    <w:rsid w:val="1BA209CF"/>
    <w:rsid w:val="1BA36F23"/>
    <w:rsid w:val="1BB4777D"/>
    <w:rsid w:val="1BBE4697"/>
    <w:rsid w:val="1BD45161"/>
    <w:rsid w:val="1BD75AB8"/>
    <w:rsid w:val="1BDA1D9C"/>
    <w:rsid w:val="1BDB7AAB"/>
    <w:rsid w:val="1BF1134C"/>
    <w:rsid w:val="1C0459C2"/>
    <w:rsid w:val="1C1B3B4A"/>
    <w:rsid w:val="1C56667E"/>
    <w:rsid w:val="1C5823F6"/>
    <w:rsid w:val="1C5F7AD6"/>
    <w:rsid w:val="1C6A22A8"/>
    <w:rsid w:val="1C745C7A"/>
    <w:rsid w:val="1C88086E"/>
    <w:rsid w:val="1C9C00FE"/>
    <w:rsid w:val="1CA07A92"/>
    <w:rsid w:val="1CAC707E"/>
    <w:rsid w:val="1CD86393"/>
    <w:rsid w:val="1CD96F21"/>
    <w:rsid w:val="1CE04199"/>
    <w:rsid w:val="1CFB5A88"/>
    <w:rsid w:val="1D0350C5"/>
    <w:rsid w:val="1D1C1676"/>
    <w:rsid w:val="1D2579B7"/>
    <w:rsid w:val="1D266CE1"/>
    <w:rsid w:val="1D3963AF"/>
    <w:rsid w:val="1D3D6A4B"/>
    <w:rsid w:val="1D436C02"/>
    <w:rsid w:val="1D6A673C"/>
    <w:rsid w:val="1D70676E"/>
    <w:rsid w:val="1D783852"/>
    <w:rsid w:val="1D792624"/>
    <w:rsid w:val="1D865A27"/>
    <w:rsid w:val="1D882867"/>
    <w:rsid w:val="1D8D4321"/>
    <w:rsid w:val="1D902354"/>
    <w:rsid w:val="1D9247AE"/>
    <w:rsid w:val="1D9C27B6"/>
    <w:rsid w:val="1DB567EC"/>
    <w:rsid w:val="1DC553F5"/>
    <w:rsid w:val="1DD44E99"/>
    <w:rsid w:val="1DEF4894"/>
    <w:rsid w:val="1DF51A98"/>
    <w:rsid w:val="1DF93765"/>
    <w:rsid w:val="1E140328"/>
    <w:rsid w:val="1E3D060F"/>
    <w:rsid w:val="1E3D5921"/>
    <w:rsid w:val="1E3E3281"/>
    <w:rsid w:val="1E3F7D2E"/>
    <w:rsid w:val="1E4134E4"/>
    <w:rsid w:val="1E5062B3"/>
    <w:rsid w:val="1E523514"/>
    <w:rsid w:val="1E5C6A55"/>
    <w:rsid w:val="1E635082"/>
    <w:rsid w:val="1E714A66"/>
    <w:rsid w:val="1E802593"/>
    <w:rsid w:val="1EA703CC"/>
    <w:rsid w:val="1EA77665"/>
    <w:rsid w:val="1EB7330C"/>
    <w:rsid w:val="1EC630FC"/>
    <w:rsid w:val="1EC728D8"/>
    <w:rsid w:val="1ECD1D9F"/>
    <w:rsid w:val="1EDC4C44"/>
    <w:rsid w:val="1F093E7B"/>
    <w:rsid w:val="1F0A0FF3"/>
    <w:rsid w:val="1F1A7E37"/>
    <w:rsid w:val="1F5771FF"/>
    <w:rsid w:val="1F605587"/>
    <w:rsid w:val="1F6317DE"/>
    <w:rsid w:val="1F666CD2"/>
    <w:rsid w:val="1F7D3F22"/>
    <w:rsid w:val="1FA31BDA"/>
    <w:rsid w:val="1FB160A1"/>
    <w:rsid w:val="1FCD4EA9"/>
    <w:rsid w:val="1FDA75E3"/>
    <w:rsid w:val="1FE868A9"/>
    <w:rsid w:val="1FEA15B7"/>
    <w:rsid w:val="1FEE0565"/>
    <w:rsid w:val="200044F4"/>
    <w:rsid w:val="2000702C"/>
    <w:rsid w:val="20034907"/>
    <w:rsid w:val="200563F1"/>
    <w:rsid w:val="20173E4B"/>
    <w:rsid w:val="202866BE"/>
    <w:rsid w:val="204E48BC"/>
    <w:rsid w:val="20561A3E"/>
    <w:rsid w:val="20575593"/>
    <w:rsid w:val="206D262D"/>
    <w:rsid w:val="207D68CF"/>
    <w:rsid w:val="208018C7"/>
    <w:rsid w:val="208921B3"/>
    <w:rsid w:val="2090422C"/>
    <w:rsid w:val="20921109"/>
    <w:rsid w:val="20973DEB"/>
    <w:rsid w:val="20B0621D"/>
    <w:rsid w:val="20B26522"/>
    <w:rsid w:val="20B44310"/>
    <w:rsid w:val="20D12777"/>
    <w:rsid w:val="20D44015"/>
    <w:rsid w:val="211116EB"/>
    <w:rsid w:val="21470E6E"/>
    <w:rsid w:val="216133FC"/>
    <w:rsid w:val="21657A51"/>
    <w:rsid w:val="21A5330F"/>
    <w:rsid w:val="21B03E34"/>
    <w:rsid w:val="21D56769"/>
    <w:rsid w:val="21DD26D6"/>
    <w:rsid w:val="21E40288"/>
    <w:rsid w:val="21E421B3"/>
    <w:rsid w:val="21E52EF3"/>
    <w:rsid w:val="21EC16FC"/>
    <w:rsid w:val="21EC5DE9"/>
    <w:rsid w:val="21F32E80"/>
    <w:rsid w:val="21FB5D7B"/>
    <w:rsid w:val="220B1C3D"/>
    <w:rsid w:val="22141111"/>
    <w:rsid w:val="22163247"/>
    <w:rsid w:val="221D1D20"/>
    <w:rsid w:val="22334A87"/>
    <w:rsid w:val="223A4F4A"/>
    <w:rsid w:val="22453DC6"/>
    <w:rsid w:val="2265586D"/>
    <w:rsid w:val="22993768"/>
    <w:rsid w:val="22A10DA1"/>
    <w:rsid w:val="22AA4F68"/>
    <w:rsid w:val="22BA5BB9"/>
    <w:rsid w:val="22BB548D"/>
    <w:rsid w:val="22BB723C"/>
    <w:rsid w:val="22BE6801"/>
    <w:rsid w:val="22C41BDF"/>
    <w:rsid w:val="22D155B4"/>
    <w:rsid w:val="22FB2D4B"/>
    <w:rsid w:val="23083B45"/>
    <w:rsid w:val="233500BF"/>
    <w:rsid w:val="23377209"/>
    <w:rsid w:val="23377FF7"/>
    <w:rsid w:val="23487548"/>
    <w:rsid w:val="236B425F"/>
    <w:rsid w:val="23706C39"/>
    <w:rsid w:val="238236C4"/>
    <w:rsid w:val="23825FAA"/>
    <w:rsid w:val="23836192"/>
    <w:rsid w:val="23901F29"/>
    <w:rsid w:val="23985FD7"/>
    <w:rsid w:val="239C0061"/>
    <w:rsid w:val="23B908A4"/>
    <w:rsid w:val="23BA47E3"/>
    <w:rsid w:val="23D305B4"/>
    <w:rsid w:val="23D909ED"/>
    <w:rsid w:val="23DA6859"/>
    <w:rsid w:val="23E95BEF"/>
    <w:rsid w:val="23ED78C8"/>
    <w:rsid w:val="23FD0064"/>
    <w:rsid w:val="24207C9D"/>
    <w:rsid w:val="243B1FD6"/>
    <w:rsid w:val="24431BDE"/>
    <w:rsid w:val="2445609C"/>
    <w:rsid w:val="245375B0"/>
    <w:rsid w:val="24631119"/>
    <w:rsid w:val="24642C0A"/>
    <w:rsid w:val="24863878"/>
    <w:rsid w:val="24886ADB"/>
    <w:rsid w:val="249E4B2C"/>
    <w:rsid w:val="249E6CBA"/>
    <w:rsid w:val="24A804E6"/>
    <w:rsid w:val="24B22173"/>
    <w:rsid w:val="24B67167"/>
    <w:rsid w:val="24B95AD9"/>
    <w:rsid w:val="24BE24DA"/>
    <w:rsid w:val="24C465A1"/>
    <w:rsid w:val="24CF5825"/>
    <w:rsid w:val="24D663E6"/>
    <w:rsid w:val="24D77F2B"/>
    <w:rsid w:val="24EA3E07"/>
    <w:rsid w:val="2513335E"/>
    <w:rsid w:val="25183A2B"/>
    <w:rsid w:val="253E3E32"/>
    <w:rsid w:val="254E26E2"/>
    <w:rsid w:val="257A35C3"/>
    <w:rsid w:val="258B00E2"/>
    <w:rsid w:val="259C03A6"/>
    <w:rsid w:val="25A917A6"/>
    <w:rsid w:val="25AF7A72"/>
    <w:rsid w:val="25B97332"/>
    <w:rsid w:val="25BD776E"/>
    <w:rsid w:val="25BE27CC"/>
    <w:rsid w:val="25C0149C"/>
    <w:rsid w:val="25E92378"/>
    <w:rsid w:val="25F74A5C"/>
    <w:rsid w:val="25F926A0"/>
    <w:rsid w:val="261B0F18"/>
    <w:rsid w:val="261C7718"/>
    <w:rsid w:val="2628662C"/>
    <w:rsid w:val="262D45DE"/>
    <w:rsid w:val="265B3015"/>
    <w:rsid w:val="266877EA"/>
    <w:rsid w:val="266C18D4"/>
    <w:rsid w:val="26856E3E"/>
    <w:rsid w:val="2686568A"/>
    <w:rsid w:val="26915AE8"/>
    <w:rsid w:val="26943E2C"/>
    <w:rsid w:val="26961C08"/>
    <w:rsid w:val="26A53EF9"/>
    <w:rsid w:val="26A94201"/>
    <w:rsid w:val="26AC274F"/>
    <w:rsid w:val="26AF74D5"/>
    <w:rsid w:val="26C03F07"/>
    <w:rsid w:val="26C41924"/>
    <w:rsid w:val="26DE7813"/>
    <w:rsid w:val="26F07935"/>
    <w:rsid w:val="27044A29"/>
    <w:rsid w:val="271D34C8"/>
    <w:rsid w:val="271F7034"/>
    <w:rsid w:val="274912B9"/>
    <w:rsid w:val="275315CB"/>
    <w:rsid w:val="27550CD5"/>
    <w:rsid w:val="275C4F85"/>
    <w:rsid w:val="276142BF"/>
    <w:rsid w:val="276E6F72"/>
    <w:rsid w:val="27741567"/>
    <w:rsid w:val="2778023A"/>
    <w:rsid w:val="27783712"/>
    <w:rsid w:val="278E4F1E"/>
    <w:rsid w:val="27907362"/>
    <w:rsid w:val="279315CC"/>
    <w:rsid w:val="27973D17"/>
    <w:rsid w:val="27AE55C0"/>
    <w:rsid w:val="27BB7CDD"/>
    <w:rsid w:val="27C44DE4"/>
    <w:rsid w:val="27CE6EE6"/>
    <w:rsid w:val="27E72424"/>
    <w:rsid w:val="27F72131"/>
    <w:rsid w:val="28105561"/>
    <w:rsid w:val="28165027"/>
    <w:rsid w:val="28177609"/>
    <w:rsid w:val="281913D2"/>
    <w:rsid w:val="28333E1D"/>
    <w:rsid w:val="28454BD6"/>
    <w:rsid w:val="28455253"/>
    <w:rsid w:val="28551971"/>
    <w:rsid w:val="285B1C53"/>
    <w:rsid w:val="286D1B94"/>
    <w:rsid w:val="286D5867"/>
    <w:rsid w:val="28770115"/>
    <w:rsid w:val="289305E4"/>
    <w:rsid w:val="289F7086"/>
    <w:rsid w:val="28C32028"/>
    <w:rsid w:val="28CC490F"/>
    <w:rsid w:val="28CF4645"/>
    <w:rsid w:val="28D3513F"/>
    <w:rsid w:val="28DE40AA"/>
    <w:rsid w:val="28EA57CD"/>
    <w:rsid w:val="28FC2C00"/>
    <w:rsid w:val="29071838"/>
    <w:rsid w:val="29097894"/>
    <w:rsid w:val="291D7223"/>
    <w:rsid w:val="292C0D62"/>
    <w:rsid w:val="29345E77"/>
    <w:rsid w:val="294C65AD"/>
    <w:rsid w:val="296F7A85"/>
    <w:rsid w:val="29753362"/>
    <w:rsid w:val="29806583"/>
    <w:rsid w:val="298B3C4C"/>
    <w:rsid w:val="2994507C"/>
    <w:rsid w:val="299C1D15"/>
    <w:rsid w:val="29B76E57"/>
    <w:rsid w:val="29BB71CD"/>
    <w:rsid w:val="29CC6A8C"/>
    <w:rsid w:val="29F26D24"/>
    <w:rsid w:val="2A024C96"/>
    <w:rsid w:val="2A067935"/>
    <w:rsid w:val="2A110E23"/>
    <w:rsid w:val="2A15033F"/>
    <w:rsid w:val="2A1662C1"/>
    <w:rsid w:val="2A1C7367"/>
    <w:rsid w:val="2A2815FA"/>
    <w:rsid w:val="2A3E70CF"/>
    <w:rsid w:val="2A437712"/>
    <w:rsid w:val="2A4B17EC"/>
    <w:rsid w:val="2A67266B"/>
    <w:rsid w:val="2A6D6092"/>
    <w:rsid w:val="2A7C5075"/>
    <w:rsid w:val="2A7D76B4"/>
    <w:rsid w:val="2A8B3672"/>
    <w:rsid w:val="2A9471FF"/>
    <w:rsid w:val="2AA1282F"/>
    <w:rsid w:val="2AAA6D4D"/>
    <w:rsid w:val="2ABB524A"/>
    <w:rsid w:val="2AF12DEA"/>
    <w:rsid w:val="2B0E4C00"/>
    <w:rsid w:val="2B114234"/>
    <w:rsid w:val="2B261369"/>
    <w:rsid w:val="2B3109E2"/>
    <w:rsid w:val="2B391645"/>
    <w:rsid w:val="2B3E4EAD"/>
    <w:rsid w:val="2B437463"/>
    <w:rsid w:val="2B47108B"/>
    <w:rsid w:val="2B480F4F"/>
    <w:rsid w:val="2B550C2B"/>
    <w:rsid w:val="2B6E3F6A"/>
    <w:rsid w:val="2B722141"/>
    <w:rsid w:val="2B746B21"/>
    <w:rsid w:val="2B7807EE"/>
    <w:rsid w:val="2B9B2EEA"/>
    <w:rsid w:val="2BAA396D"/>
    <w:rsid w:val="2BB2051B"/>
    <w:rsid w:val="2BB71FB5"/>
    <w:rsid w:val="2BBF00EC"/>
    <w:rsid w:val="2BC37CFD"/>
    <w:rsid w:val="2BCE686B"/>
    <w:rsid w:val="2BD001FB"/>
    <w:rsid w:val="2BD5237F"/>
    <w:rsid w:val="2BE536CE"/>
    <w:rsid w:val="2BE758D9"/>
    <w:rsid w:val="2C0724B8"/>
    <w:rsid w:val="2C09049E"/>
    <w:rsid w:val="2C0A653C"/>
    <w:rsid w:val="2C191F85"/>
    <w:rsid w:val="2C26606D"/>
    <w:rsid w:val="2C35440A"/>
    <w:rsid w:val="2C5C64EB"/>
    <w:rsid w:val="2C723060"/>
    <w:rsid w:val="2C7D7498"/>
    <w:rsid w:val="2C8A6AA3"/>
    <w:rsid w:val="2C914855"/>
    <w:rsid w:val="2C914E7D"/>
    <w:rsid w:val="2CB0513C"/>
    <w:rsid w:val="2CB63A29"/>
    <w:rsid w:val="2CB66EF8"/>
    <w:rsid w:val="2CD13D68"/>
    <w:rsid w:val="2CE82D6F"/>
    <w:rsid w:val="2CEF7814"/>
    <w:rsid w:val="2CF240C0"/>
    <w:rsid w:val="2D035FCE"/>
    <w:rsid w:val="2D343236"/>
    <w:rsid w:val="2D376058"/>
    <w:rsid w:val="2D606C7D"/>
    <w:rsid w:val="2D661664"/>
    <w:rsid w:val="2D847B6B"/>
    <w:rsid w:val="2DAA4023"/>
    <w:rsid w:val="2DC747E2"/>
    <w:rsid w:val="2DD15014"/>
    <w:rsid w:val="2DF72DE4"/>
    <w:rsid w:val="2DFC7732"/>
    <w:rsid w:val="2DFE6127"/>
    <w:rsid w:val="2E0220AF"/>
    <w:rsid w:val="2E110657"/>
    <w:rsid w:val="2E1E4633"/>
    <w:rsid w:val="2E257E86"/>
    <w:rsid w:val="2E4525DD"/>
    <w:rsid w:val="2E4B082A"/>
    <w:rsid w:val="2E4D4C86"/>
    <w:rsid w:val="2E5D4E86"/>
    <w:rsid w:val="2E5D790B"/>
    <w:rsid w:val="2E7500CE"/>
    <w:rsid w:val="2E8A1071"/>
    <w:rsid w:val="2E9A3C18"/>
    <w:rsid w:val="2EB363AC"/>
    <w:rsid w:val="2EBB0FEE"/>
    <w:rsid w:val="2EC545AB"/>
    <w:rsid w:val="2EC63002"/>
    <w:rsid w:val="2ED96459"/>
    <w:rsid w:val="2EE03233"/>
    <w:rsid w:val="2EE351AC"/>
    <w:rsid w:val="2EE87609"/>
    <w:rsid w:val="2EEB698A"/>
    <w:rsid w:val="2F0A6B38"/>
    <w:rsid w:val="2F1C5505"/>
    <w:rsid w:val="2F946CCB"/>
    <w:rsid w:val="2F972268"/>
    <w:rsid w:val="2F9742ED"/>
    <w:rsid w:val="2F990904"/>
    <w:rsid w:val="2FA93F6F"/>
    <w:rsid w:val="2FAE750D"/>
    <w:rsid w:val="2FB052CF"/>
    <w:rsid w:val="2FC718A5"/>
    <w:rsid w:val="2FD25781"/>
    <w:rsid w:val="2FF7494D"/>
    <w:rsid w:val="2FFD7934"/>
    <w:rsid w:val="301215AD"/>
    <w:rsid w:val="305050BC"/>
    <w:rsid w:val="305822AC"/>
    <w:rsid w:val="305E4B15"/>
    <w:rsid w:val="30733ACD"/>
    <w:rsid w:val="307C26FF"/>
    <w:rsid w:val="30861519"/>
    <w:rsid w:val="308C3862"/>
    <w:rsid w:val="309379D8"/>
    <w:rsid w:val="309A3CCC"/>
    <w:rsid w:val="30A270F7"/>
    <w:rsid w:val="30C44F7C"/>
    <w:rsid w:val="30DF1478"/>
    <w:rsid w:val="30E22CDA"/>
    <w:rsid w:val="30EC586F"/>
    <w:rsid w:val="30F229C1"/>
    <w:rsid w:val="30FB426E"/>
    <w:rsid w:val="310538A1"/>
    <w:rsid w:val="311E2BFD"/>
    <w:rsid w:val="3138414C"/>
    <w:rsid w:val="31405BC4"/>
    <w:rsid w:val="316A1E4B"/>
    <w:rsid w:val="317C04DD"/>
    <w:rsid w:val="3192350A"/>
    <w:rsid w:val="319C6071"/>
    <w:rsid w:val="31AB5907"/>
    <w:rsid w:val="31AC537E"/>
    <w:rsid w:val="31BD2BF4"/>
    <w:rsid w:val="31C111F3"/>
    <w:rsid w:val="31E3679B"/>
    <w:rsid w:val="31E732FD"/>
    <w:rsid w:val="31F81362"/>
    <w:rsid w:val="31FA3F13"/>
    <w:rsid w:val="3200110E"/>
    <w:rsid w:val="3205734C"/>
    <w:rsid w:val="32126E9C"/>
    <w:rsid w:val="3236068C"/>
    <w:rsid w:val="32454D73"/>
    <w:rsid w:val="32517576"/>
    <w:rsid w:val="32523523"/>
    <w:rsid w:val="3268280F"/>
    <w:rsid w:val="329A7A8D"/>
    <w:rsid w:val="329F4D04"/>
    <w:rsid w:val="32BC6982"/>
    <w:rsid w:val="32BE5C2C"/>
    <w:rsid w:val="32C75571"/>
    <w:rsid w:val="32C83C83"/>
    <w:rsid w:val="32F07DD5"/>
    <w:rsid w:val="32FB6478"/>
    <w:rsid w:val="32FC70F2"/>
    <w:rsid w:val="33263B3F"/>
    <w:rsid w:val="332B1372"/>
    <w:rsid w:val="333A0650"/>
    <w:rsid w:val="335A2AA0"/>
    <w:rsid w:val="336963EB"/>
    <w:rsid w:val="33816EEB"/>
    <w:rsid w:val="33890C8F"/>
    <w:rsid w:val="33C85C5B"/>
    <w:rsid w:val="33EB55CD"/>
    <w:rsid w:val="33EC4C02"/>
    <w:rsid w:val="33F24171"/>
    <w:rsid w:val="340B78F6"/>
    <w:rsid w:val="340D2360"/>
    <w:rsid w:val="3410665D"/>
    <w:rsid w:val="34211214"/>
    <w:rsid w:val="342E63AB"/>
    <w:rsid w:val="34733234"/>
    <w:rsid w:val="34763909"/>
    <w:rsid w:val="347A14C3"/>
    <w:rsid w:val="34867F1B"/>
    <w:rsid w:val="34950E68"/>
    <w:rsid w:val="3495784E"/>
    <w:rsid w:val="34986E94"/>
    <w:rsid w:val="34AE0B4C"/>
    <w:rsid w:val="34AF257B"/>
    <w:rsid w:val="34AF62C9"/>
    <w:rsid w:val="34CB4388"/>
    <w:rsid w:val="34CD66C2"/>
    <w:rsid w:val="34D4418C"/>
    <w:rsid w:val="34E147BC"/>
    <w:rsid w:val="34ED0215"/>
    <w:rsid w:val="34FA6E12"/>
    <w:rsid w:val="3508232F"/>
    <w:rsid w:val="350B22A4"/>
    <w:rsid w:val="35400528"/>
    <w:rsid w:val="355B3740"/>
    <w:rsid w:val="35661288"/>
    <w:rsid w:val="356E6F10"/>
    <w:rsid w:val="358D5588"/>
    <w:rsid w:val="359A3628"/>
    <w:rsid w:val="359E1737"/>
    <w:rsid w:val="35A05E57"/>
    <w:rsid w:val="35A61D02"/>
    <w:rsid w:val="35AA0A18"/>
    <w:rsid w:val="35B244CD"/>
    <w:rsid w:val="35CC4F2D"/>
    <w:rsid w:val="35F66AB0"/>
    <w:rsid w:val="35FD6EE8"/>
    <w:rsid w:val="36010FB1"/>
    <w:rsid w:val="36157521"/>
    <w:rsid w:val="361918A7"/>
    <w:rsid w:val="36251143"/>
    <w:rsid w:val="362751E6"/>
    <w:rsid w:val="3639704B"/>
    <w:rsid w:val="363A3B40"/>
    <w:rsid w:val="365302AE"/>
    <w:rsid w:val="36607A0A"/>
    <w:rsid w:val="366C4520"/>
    <w:rsid w:val="366E227C"/>
    <w:rsid w:val="366F2E0D"/>
    <w:rsid w:val="367B6A5C"/>
    <w:rsid w:val="367C48DF"/>
    <w:rsid w:val="367E52AD"/>
    <w:rsid w:val="368708D6"/>
    <w:rsid w:val="36992A33"/>
    <w:rsid w:val="369E3CEB"/>
    <w:rsid w:val="36A74ADA"/>
    <w:rsid w:val="36AD60D5"/>
    <w:rsid w:val="36B224F9"/>
    <w:rsid w:val="36EC0CC9"/>
    <w:rsid w:val="36F32FEF"/>
    <w:rsid w:val="370C24CD"/>
    <w:rsid w:val="3714541D"/>
    <w:rsid w:val="373F410B"/>
    <w:rsid w:val="37474571"/>
    <w:rsid w:val="375662BE"/>
    <w:rsid w:val="376C7D61"/>
    <w:rsid w:val="37721B96"/>
    <w:rsid w:val="37907D63"/>
    <w:rsid w:val="37976191"/>
    <w:rsid w:val="37A13C16"/>
    <w:rsid w:val="37A21F3B"/>
    <w:rsid w:val="37B41E56"/>
    <w:rsid w:val="37E82428"/>
    <w:rsid w:val="37EE7094"/>
    <w:rsid w:val="37FD4734"/>
    <w:rsid w:val="3805122C"/>
    <w:rsid w:val="381E5E4A"/>
    <w:rsid w:val="381F2104"/>
    <w:rsid w:val="382564B0"/>
    <w:rsid w:val="38296B3F"/>
    <w:rsid w:val="38296C89"/>
    <w:rsid w:val="382F0057"/>
    <w:rsid w:val="383002EB"/>
    <w:rsid w:val="383C4522"/>
    <w:rsid w:val="38586797"/>
    <w:rsid w:val="38667EC5"/>
    <w:rsid w:val="3894435E"/>
    <w:rsid w:val="38975BFC"/>
    <w:rsid w:val="38997F35"/>
    <w:rsid w:val="389E33A0"/>
    <w:rsid w:val="389F4A2A"/>
    <w:rsid w:val="38A71F00"/>
    <w:rsid w:val="38B638A9"/>
    <w:rsid w:val="38BC0149"/>
    <w:rsid w:val="38BC48FF"/>
    <w:rsid w:val="38C5276A"/>
    <w:rsid w:val="38CD7870"/>
    <w:rsid w:val="38D34E86"/>
    <w:rsid w:val="38D87D1C"/>
    <w:rsid w:val="38F5199B"/>
    <w:rsid w:val="38F815D3"/>
    <w:rsid w:val="390D37F8"/>
    <w:rsid w:val="390E5EBF"/>
    <w:rsid w:val="39222F04"/>
    <w:rsid w:val="392350DC"/>
    <w:rsid w:val="39636459"/>
    <w:rsid w:val="39643D30"/>
    <w:rsid w:val="396B7F6C"/>
    <w:rsid w:val="397B107A"/>
    <w:rsid w:val="39893EFA"/>
    <w:rsid w:val="39AD5E68"/>
    <w:rsid w:val="39B417A9"/>
    <w:rsid w:val="39CD2315"/>
    <w:rsid w:val="39CD5D7A"/>
    <w:rsid w:val="39D42349"/>
    <w:rsid w:val="39F33306"/>
    <w:rsid w:val="39FC5695"/>
    <w:rsid w:val="3A006D8E"/>
    <w:rsid w:val="3A013C75"/>
    <w:rsid w:val="3A053F5E"/>
    <w:rsid w:val="3A0D43C8"/>
    <w:rsid w:val="3A212837"/>
    <w:rsid w:val="3A2B0CF2"/>
    <w:rsid w:val="3A3651E5"/>
    <w:rsid w:val="3A444DB1"/>
    <w:rsid w:val="3A4E5A4A"/>
    <w:rsid w:val="3A56271C"/>
    <w:rsid w:val="3A5E4C24"/>
    <w:rsid w:val="3A6218FE"/>
    <w:rsid w:val="3A6A698E"/>
    <w:rsid w:val="3A744481"/>
    <w:rsid w:val="3A797E6F"/>
    <w:rsid w:val="3A7F1136"/>
    <w:rsid w:val="3A8C7BEF"/>
    <w:rsid w:val="3A8F302F"/>
    <w:rsid w:val="3A906246"/>
    <w:rsid w:val="3AB25A09"/>
    <w:rsid w:val="3AC802EF"/>
    <w:rsid w:val="3ACF7F42"/>
    <w:rsid w:val="3ADD3456"/>
    <w:rsid w:val="3AEB1198"/>
    <w:rsid w:val="3AFC4F2B"/>
    <w:rsid w:val="3AFF12B6"/>
    <w:rsid w:val="3B0743A5"/>
    <w:rsid w:val="3B2349B7"/>
    <w:rsid w:val="3B311256"/>
    <w:rsid w:val="3B3F4A55"/>
    <w:rsid w:val="3B542821"/>
    <w:rsid w:val="3B5D00DF"/>
    <w:rsid w:val="3B5D137F"/>
    <w:rsid w:val="3B616CFF"/>
    <w:rsid w:val="3B6259F6"/>
    <w:rsid w:val="3B976654"/>
    <w:rsid w:val="3BC01EFC"/>
    <w:rsid w:val="3BC476BA"/>
    <w:rsid w:val="3BCA786A"/>
    <w:rsid w:val="3BCC4781"/>
    <w:rsid w:val="3BD22094"/>
    <w:rsid w:val="3BD31E2F"/>
    <w:rsid w:val="3BD74DAA"/>
    <w:rsid w:val="3BD80A06"/>
    <w:rsid w:val="3BD93247"/>
    <w:rsid w:val="3BDF6ABC"/>
    <w:rsid w:val="3BF15831"/>
    <w:rsid w:val="3BF92D28"/>
    <w:rsid w:val="3C00178B"/>
    <w:rsid w:val="3C035A0C"/>
    <w:rsid w:val="3C09790D"/>
    <w:rsid w:val="3C105946"/>
    <w:rsid w:val="3C467402"/>
    <w:rsid w:val="3C471448"/>
    <w:rsid w:val="3C577B7C"/>
    <w:rsid w:val="3C5D60F0"/>
    <w:rsid w:val="3C5F759A"/>
    <w:rsid w:val="3C6B3628"/>
    <w:rsid w:val="3C6C525A"/>
    <w:rsid w:val="3C771FCD"/>
    <w:rsid w:val="3C776471"/>
    <w:rsid w:val="3C7C6193"/>
    <w:rsid w:val="3C8F0D83"/>
    <w:rsid w:val="3C990195"/>
    <w:rsid w:val="3CAF1767"/>
    <w:rsid w:val="3CB678A5"/>
    <w:rsid w:val="3CB85199"/>
    <w:rsid w:val="3CBE7BFC"/>
    <w:rsid w:val="3CCE23CB"/>
    <w:rsid w:val="3CD17D17"/>
    <w:rsid w:val="3CE6634A"/>
    <w:rsid w:val="3CF74BDC"/>
    <w:rsid w:val="3D1E069A"/>
    <w:rsid w:val="3D2E6F84"/>
    <w:rsid w:val="3D330CF2"/>
    <w:rsid w:val="3D334A0A"/>
    <w:rsid w:val="3D3B749E"/>
    <w:rsid w:val="3D3C7F39"/>
    <w:rsid w:val="3D410DCD"/>
    <w:rsid w:val="3D43654E"/>
    <w:rsid w:val="3D440F09"/>
    <w:rsid w:val="3D4504A0"/>
    <w:rsid w:val="3D6D1E2D"/>
    <w:rsid w:val="3D73347A"/>
    <w:rsid w:val="3D803103"/>
    <w:rsid w:val="3D8734BB"/>
    <w:rsid w:val="3D9A11D4"/>
    <w:rsid w:val="3DA16D89"/>
    <w:rsid w:val="3DA364BE"/>
    <w:rsid w:val="3DA51394"/>
    <w:rsid w:val="3DB2043B"/>
    <w:rsid w:val="3DC01751"/>
    <w:rsid w:val="3DC74721"/>
    <w:rsid w:val="3DDD5A75"/>
    <w:rsid w:val="3DE041CB"/>
    <w:rsid w:val="3DF40815"/>
    <w:rsid w:val="3DFC7637"/>
    <w:rsid w:val="3E021D6A"/>
    <w:rsid w:val="3E083B55"/>
    <w:rsid w:val="3E0D48F6"/>
    <w:rsid w:val="3E105D74"/>
    <w:rsid w:val="3E1868B4"/>
    <w:rsid w:val="3E1A73F6"/>
    <w:rsid w:val="3E2A04EE"/>
    <w:rsid w:val="3E353C3E"/>
    <w:rsid w:val="3E377251"/>
    <w:rsid w:val="3E3E3D98"/>
    <w:rsid w:val="3E42664B"/>
    <w:rsid w:val="3E5A7334"/>
    <w:rsid w:val="3E5F5B3A"/>
    <w:rsid w:val="3E77193B"/>
    <w:rsid w:val="3E7B5D6B"/>
    <w:rsid w:val="3E8306C6"/>
    <w:rsid w:val="3E843E66"/>
    <w:rsid w:val="3E8F51FE"/>
    <w:rsid w:val="3E926F87"/>
    <w:rsid w:val="3E9A59DE"/>
    <w:rsid w:val="3EAF4836"/>
    <w:rsid w:val="3EC01BF6"/>
    <w:rsid w:val="3EC33DFA"/>
    <w:rsid w:val="3EDB4E2F"/>
    <w:rsid w:val="3EF06066"/>
    <w:rsid w:val="3F017B7E"/>
    <w:rsid w:val="3F060E16"/>
    <w:rsid w:val="3F1D1096"/>
    <w:rsid w:val="3F2A47C8"/>
    <w:rsid w:val="3F2F0234"/>
    <w:rsid w:val="3F58688B"/>
    <w:rsid w:val="3F6363FE"/>
    <w:rsid w:val="3F7337E4"/>
    <w:rsid w:val="3F742888"/>
    <w:rsid w:val="3F756B8F"/>
    <w:rsid w:val="3F7C2F01"/>
    <w:rsid w:val="3F800E2D"/>
    <w:rsid w:val="3F95482B"/>
    <w:rsid w:val="3FA330D9"/>
    <w:rsid w:val="3FCC33C2"/>
    <w:rsid w:val="3FF34060"/>
    <w:rsid w:val="40077B0C"/>
    <w:rsid w:val="40171C89"/>
    <w:rsid w:val="4019356B"/>
    <w:rsid w:val="403460EE"/>
    <w:rsid w:val="40491ED2"/>
    <w:rsid w:val="40582115"/>
    <w:rsid w:val="40592157"/>
    <w:rsid w:val="406E1CAE"/>
    <w:rsid w:val="40750F19"/>
    <w:rsid w:val="40781723"/>
    <w:rsid w:val="409622BC"/>
    <w:rsid w:val="40A0133A"/>
    <w:rsid w:val="40C31A53"/>
    <w:rsid w:val="40CA2FA4"/>
    <w:rsid w:val="40E1730B"/>
    <w:rsid w:val="40F55BB6"/>
    <w:rsid w:val="40FB10EC"/>
    <w:rsid w:val="40FE4A6B"/>
    <w:rsid w:val="40FF545D"/>
    <w:rsid w:val="410067C8"/>
    <w:rsid w:val="410B3A33"/>
    <w:rsid w:val="41235AB1"/>
    <w:rsid w:val="41344930"/>
    <w:rsid w:val="413B5CBF"/>
    <w:rsid w:val="413D75D0"/>
    <w:rsid w:val="416C5F4F"/>
    <w:rsid w:val="418A5AB5"/>
    <w:rsid w:val="418F0D2A"/>
    <w:rsid w:val="418F1B67"/>
    <w:rsid w:val="419719C7"/>
    <w:rsid w:val="41992059"/>
    <w:rsid w:val="419A3758"/>
    <w:rsid w:val="41D01505"/>
    <w:rsid w:val="41D37CA5"/>
    <w:rsid w:val="41DC26C2"/>
    <w:rsid w:val="41FA1949"/>
    <w:rsid w:val="42025DE2"/>
    <w:rsid w:val="420D11ED"/>
    <w:rsid w:val="42474939"/>
    <w:rsid w:val="424C3C57"/>
    <w:rsid w:val="42506C4F"/>
    <w:rsid w:val="42517EEB"/>
    <w:rsid w:val="425761C4"/>
    <w:rsid w:val="425A6618"/>
    <w:rsid w:val="425F778B"/>
    <w:rsid w:val="42613FF3"/>
    <w:rsid w:val="42660D96"/>
    <w:rsid w:val="42750D5C"/>
    <w:rsid w:val="428667D2"/>
    <w:rsid w:val="4287441B"/>
    <w:rsid w:val="42A12863"/>
    <w:rsid w:val="42B21FB1"/>
    <w:rsid w:val="42C53E91"/>
    <w:rsid w:val="42CD1CE0"/>
    <w:rsid w:val="42D40179"/>
    <w:rsid w:val="42E1381E"/>
    <w:rsid w:val="42ED6459"/>
    <w:rsid w:val="42EE2E81"/>
    <w:rsid w:val="42EE7007"/>
    <w:rsid w:val="42F11CB6"/>
    <w:rsid w:val="42F308B1"/>
    <w:rsid w:val="42FE58DD"/>
    <w:rsid w:val="43174B3D"/>
    <w:rsid w:val="431A1904"/>
    <w:rsid w:val="434B790E"/>
    <w:rsid w:val="435571DE"/>
    <w:rsid w:val="43590042"/>
    <w:rsid w:val="435C016E"/>
    <w:rsid w:val="4360274F"/>
    <w:rsid w:val="436B679D"/>
    <w:rsid w:val="43957229"/>
    <w:rsid w:val="43965470"/>
    <w:rsid w:val="43977AB6"/>
    <w:rsid w:val="43A3342B"/>
    <w:rsid w:val="43B65AD0"/>
    <w:rsid w:val="43C114AA"/>
    <w:rsid w:val="43C77C27"/>
    <w:rsid w:val="43CB3945"/>
    <w:rsid w:val="43CB4A1B"/>
    <w:rsid w:val="43DE09EE"/>
    <w:rsid w:val="43E519D8"/>
    <w:rsid w:val="44002FAD"/>
    <w:rsid w:val="44021755"/>
    <w:rsid w:val="4403274D"/>
    <w:rsid w:val="440525B4"/>
    <w:rsid w:val="4405758C"/>
    <w:rsid w:val="442346AF"/>
    <w:rsid w:val="44291FE0"/>
    <w:rsid w:val="44450C02"/>
    <w:rsid w:val="44496945"/>
    <w:rsid w:val="444B446B"/>
    <w:rsid w:val="44623562"/>
    <w:rsid w:val="446C43E1"/>
    <w:rsid w:val="449101DD"/>
    <w:rsid w:val="44B43EE8"/>
    <w:rsid w:val="44D42A00"/>
    <w:rsid w:val="44DE1391"/>
    <w:rsid w:val="451B225C"/>
    <w:rsid w:val="451C6FFC"/>
    <w:rsid w:val="452410C9"/>
    <w:rsid w:val="45317DFB"/>
    <w:rsid w:val="45336CAD"/>
    <w:rsid w:val="45394546"/>
    <w:rsid w:val="454D7D6F"/>
    <w:rsid w:val="4565330A"/>
    <w:rsid w:val="456D3CE4"/>
    <w:rsid w:val="45765517"/>
    <w:rsid w:val="4579042C"/>
    <w:rsid w:val="457F0571"/>
    <w:rsid w:val="45851176"/>
    <w:rsid w:val="459C7154"/>
    <w:rsid w:val="45C63B94"/>
    <w:rsid w:val="45D5524E"/>
    <w:rsid w:val="45F428E0"/>
    <w:rsid w:val="46054AED"/>
    <w:rsid w:val="460A487E"/>
    <w:rsid w:val="460E7DA5"/>
    <w:rsid w:val="460F14C8"/>
    <w:rsid w:val="461A7364"/>
    <w:rsid w:val="46422483"/>
    <w:rsid w:val="464257AC"/>
    <w:rsid w:val="4659254A"/>
    <w:rsid w:val="465B0637"/>
    <w:rsid w:val="465E3F0D"/>
    <w:rsid w:val="466A16E6"/>
    <w:rsid w:val="46893F2B"/>
    <w:rsid w:val="468B03AE"/>
    <w:rsid w:val="469317FC"/>
    <w:rsid w:val="46942A15"/>
    <w:rsid w:val="469A3487"/>
    <w:rsid w:val="46C4686E"/>
    <w:rsid w:val="46F106CB"/>
    <w:rsid w:val="47030182"/>
    <w:rsid w:val="4733546E"/>
    <w:rsid w:val="473D50BE"/>
    <w:rsid w:val="474E0C66"/>
    <w:rsid w:val="47520928"/>
    <w:rsid w:val="47767A51"/>
    <w:rsid w:val="477B778F"/>
    <w:rsid w:val="478203EC"/>
    <w:rsid w:val="478C05DB"/>
    <w:rsid w:val="47B025FA"/>
    <w:rsid w:val="47F366F7"/>
    <w:rsid w:val="48061E29"/>
    <w:rsid w:val="4809698F"/>
    <w:rsid w:val="4811697D"/>
    <w:rsid w:val="481B5768"/>
    <w:rsid w:val="48217291"/>
    <w:rsid w:val="48276F9D"/>
    <w:rsid w:val="48345216"/>
    <w:rsid w:val="4839282C"/>
    <w:rsid w:val="483B3270"/>
    <w:rsid w:val="483E5FFB"/>
    <w:rsid w:val="486457A8"/>
    <w:rsid w:val="48733940"/>
    <w:rsid w:val="487A3E25"/>
    <w:rsid w:val="48806AEF"/>
    <w:rsid w:val="488B5503"/>
    <w:rsid w:val="488F069E"/>
    <w:rsid w:val="48937E21"/>
    <w:rsid w:val="489A0361"/>
    <w:rsid w:val="48B94FF3"/>
    <w:rsid w:val="48D735D8"/>
    <w:rsid w:val="48E37AAB"/>
    <w:rsid w:val="48FB5D0B"/>
    <w:rsid w:val="48FD4B4C"/>
    <w:rsid w:val="48FF152B"/>
    <w:rsid w:val="490044E7"/>
    <w:rsid w:val="49064E04"/>
    <w:rsid w:val="490A68E0"/>
    <w:rsid w:val="491055FE"/>
    <w:rsid w:val="49117305"/>
    <w:rsid w:val="492D2391"/>
    <w:rsid w:val="493A685C"/>
    <w:rsid w:val="494616A5"/>
    <w:rsid w:val="49470F79"/>
    <w:rsid w:val="494F64C8"/>
    <w:rsid w:val="495F5B3E"/>
    <w:rsid w:val="496F77D7"/>
    <w:rsid w:val="497654FD"/>
    <w:rsid w:val="49A07007"/>
    <w:rsid w:val="49B64211"/>
    <w:rsid w:val="49E35145"/>
    <w:rsid w:val="49F6167F"/>
    <w:rsid w:val="49F8402B"/>
    <w:rsid w:val="4A064FA0"/>
    <w:rsid w:val="4A0A248B"/>
    <w:rsid w:val="4A0E7992"/>
    <w:rsid w:val="4A0F6CA7"/>
    <w:rsid w:val="4A16615C"/>
    <w:rsid w:val="4A4424D7"/>
    <w:rsid w:val="4A4E6A63"/>
    <w:rsid w:val="4A4F242F"/>
    <w:rsid w:val="4A52794A"/>
    <w:rsid w:val="4A5E4B39"/>
    <w:rsid w:val="4A7F4927"/>
    <w:rsid w:val="4A83308A"/>
    <w:rsid w:val="4A8910CD"/>
    <w:rsid w:val="4AA0093E"/>
    <w:rsid w:val="4AA51DDF"/>
    <w:rsid w:val="4AAF7430"/>
    <w:rsid w:val="4AB50890"/>
    <w:rsid w:val="4AB56AE2"/>
    <w:rsid w:val="4AB82D0F"/>
    <w:rsid w:val="4AEB7664"/>
    <w:rsid w:val="4AFD7C19"/>
    <w:rsid w:val="4B0213BB"/>
    <w:rsid w:val="4B0567D1"/>
    <w:rsid w:val="4B0E4466"/>
    <w:rsid w:val="4B104C17"/>
    <w:rsid w:val="4B1F10C6"/>
    <w:rsid w:val="4B204E6B"/>
    <w:rsid w:val="4B226226"/>
    <w:rsid w:val="4B236AAE"/>
    <w:rsid w:val="4B253F29"/>
    <w:rsid w:val="4B2F1727"/>
    <w:rsid w:val="4B3B7573"/>
    <w:rsid w:val="4B3D424A"/>
    <w:rsid w:val="4B471143"/>
    <w:rsid w:val="4B4C0AC8"/>
    <w:rsid w:val="4B513439"/>
    <w:rsid w:val="4B667538"/>
    <w:rsid w:val="4B6B30EF"/>
    <w:rsid w:val="4B707271"/>
    <w:rsid w:val="4B7778F3"/>
    <w:rsid w:val="4B9739F7"/>
    <w:rsid w:val="4B983B6E"/>
    <w:rsid w:val="4BA13E68"/>
    <w:rsid w:val="4BA86BF5"/>
    <w:rsid w:val="4BAF3531"/>
    <w:rsid w:val="4BE71C3A"/>
    <w:rsid w:val="4BEE2503"/>
    <w:rsid w:val="4BFC69AC"/>
    <w:rsid w:val="4C1F238B"/>
    <w:rsid w:val="4C2442A0"/>
    <w:rsid w:val="4C245A30"/>
    <w:rsid w:val="4C575977"/>
    <w:rsid w:val="4C714C8A"/>
    <w:rsid w:val="4C7B1D9D"/>
    <w:rsid w:val="4C89719B"/>
    <w:rsid w:val="4C8A6BFA"/>
    <w:rsid w:val="4CA43DA3"/>
    <w:rsid w:val="4CB6685F"/>
    <w:rsid w:val="4CC22DCD"/>
    <w:rsid w:val="4CC367FE"/>
    <w:rsid w:val="4CCA0782"/>
    <w:rsid w:val="4CCE5E33"/>
    <w:rsid w:val="4CDD7C2A"/>
    <w:rsid w:val="4CE92A73"/>
    <w:rsid w:val="4D077F3C"/>
    <w:rsid w:val="4D0B0B91"/>
    <w:rsid w:val="4D123355"/>
    <w:rsid w:val="4D297313"/>
    <w:rsid w:val="4D2A3B31"/>
    <w:rsid w:val="4D312C52"/>
    <w:rsid w:val="4D747D65"/>
    <w:rsid w:val="4D905305"/>
    <w:rsid w:val="4D964A72"/>
    <w:rsid w:val="4D9C1254"/>
    <w:rsid w:val="4DBC44B5"/>
    <w:rsid w:val="4DCB03CA"/>
    <w:rsid w:val="4DFF1E22"/>
    <w:rsid w:val="4E264413"/>
    <w:rsid w:val="4E3708CE"/>
    <w:rsid w:val="4E372CEF"/>
    <w:rsid w:val="4E3D5AC3"/>
    <w:rsid w:val="4E3F66C2"/>
    <w:rsid w:val="4E4063F4"/>
    <w:rsid w:val="4E564778"/>
    <w:rsid w:val="4E6C5709"/>
    <w:rsid w:val="4E7065EE"/>
    <w:rsid w:val="4E793892"/>
    <w:rsid w:val="4E7D74A7"/>
    <w:rsid w:val="4E800872"/>
    <w:rsid w:val="4E94015D"/>
    <w:rsid w:val="4EAF34D1"/>
    <w:rsid w:val="4EB1260B"/>
    <w:rsid w:val="4EC569ED"/>
    <w:rsid w:val="4EC8315B"/>
    <w:rsid w:val="4ED50EA1"/>
    <w:rsid w:val="4ED60FBE"/>
    <w:rsid w:val="4EEC050C"/>
    <w:rsid w:val="4EF77EC0"/>
    <w:rsid w:val="4EFC42CF"/>
    <w:rsid w:val="4F104EC3"/>
    <w:rsid w:val="4F1E1E73"/>
    <w:rsid w:val="4F26120E"/>
    <w:rsid w:val="4F4426F6"/>
    <w:rsid w:val="4F47354A"/>
    <w:rsid w:val="4F691B75"/>
    <w:rsid w:val="4F7A5C04"/>
    <w:rsid w:val="4F895E47"/>
    <w:rsid w:val="4F911C54"/>
    <w:rsid w:val="4F9763EB"/>
    <w:rsid w:val="4FC33B8C"/>
    <w:rsid w:val="4FCC21D8"/>
    <w:rsid w:val="4FE625E0"/>
    <w:rsid w:val="4FF84D7B"/>
    <w:rsid w:val="4FFD7DC3"/>
    <w:rsid w:val="501A1D50"/>
    <w:rsid w:val="501B67F5"/>
    <w:rsid w:val="5021480F"/>
    <w:rsid w:val="50250358"/>
    <w:rsid w:val="50485DFD"/>
    <w:rsid w:val="504E6959"/>
    <w:rsid w:val="505200C7"/>
    <w:rsid w:val="50832F0D"/>
    <w:rsid w:val="50962ECB"/>
    <w:rsid w:val="5099655E"/>
    <w:rsid w:val="50A42E38"/>
    <w:rsid w:val="50A4577F"/>
    <w:rsid w:val="50A868B7"/>
    <w:rsid w:val="50A94B87"/>
    <w:rsid w:val="50B73D1F"/>
    <w:rsid w:val="50BB4E97"/>
    <w:rsid w:val="50BD5212"/>
    <w:rsid w:val="50BD5BC9"/>
    <w:rsid w:val="50C11EEE"/>
    <w:rsid w:val="50E2040B"/>
    <w:rsid w:val="50E97CFC"/>
    <w:rsid w:val="50F9524E"/>
    <w:rsid w:val="50FA4028"/>
    <w:rsid w:val="50FC4F0E"/>
    <w:rsid w:val="510374A0"/>
    <w:rsid w:val="510D65B7"/>
    <w:rsid w:val="510F05CE"/>
    <w:rsid w:val="511157AB"/>
    <w:rsid w:val="5118277B"/>
    <w:rsid w:val="51244194"/>
    <w:rsid w:val="51333D03"/>
    <w:rsid w:val="514249A7"/>
    <w:rsid w:val="5142540C"/>
    <w:rsid w:val="514B6067"/>
    <w:rsid w:val="514C35D0"/>
    <w:rsid w:val="516918E3"/>
    <w:rsid w:val="516E1798"/>
    <w:rsid w:val="517D5E7F"/>
    <w:rsid w:val="518479C2"/>
    <w:rsid w:val="518832C8"/>
    <w:rsid w:val="51A0432A"/>
    <w:rsid w:val="51A86090"/>
    <w:rsid w:val="51B7396D"/>
    <w:rsid w:val="51D04201"/>
    <w:rsid w:val="51DD06CC"/>
    <w:rsid w:val="51F464F4"/>
    <w:rsid w:val="51F53C68"/>
    <w:rsid w:val="51F831BD"/>
    <w:rsid w:val="51FD791B"/>
    <w:rsid w:val="52170CBE"/>
    <w:rsid w:val="52187956"/>
    <w:rsid w:val="521A6312"/>
    <w:rsid w:val="522E4CC3"/>
    <w:rsid w:val="523818E8"/>
    <w:rsid w:val="5244713B"/>
    <w:rsid w:val="524E02CE"/>
    <w:rsid w:val="52615633"/>
    <w:rsid w:val="526279A5"/>
    <w:rsid w:val="526B5049"/>
    <w:rsid w:val="526C5BF4"/>
    <w:rsid w:val="528973AD"/>
    <w:rsid w:val="528B637A"/>
    <w:rsid w:val="52977FD4"/>
    <w:rsid w:val="529E280C"/>
    <w:rsid w:val="52A25790"/>
    <w:rsid w:val="52A339CB"/>
    <w:rsid w:val="52A96B6F"/>
    <w:rsid w:val="52B45975"/>
    <w:rsid w:val="52BB6C5F"/>
    <w:rsid w:val="52D375AC"/>
    <w:rsid w:val="52D94AA4"/>
    <w:rsid w:val="52EA3A62"/>
    <w:rsid w:val="52EB148C"/>
    <w:rsid w:val="52ED1235"/>
    <w:rsid w:val="52F50BB8"/>
    <w:rsid w:val="53000B16"/>
    <w:rsid w:val="53097272"/>
    <w:rsid w:val="530C60F3"/>
    <w:rsid w:val="532B7B0A"/>
    <w:rsid w:val="532C36B9"/>
    <w:rsid w:val="534112A6"/>
    <w:rsid w:val="534B76CB"/>
    <w:rsid w:val="53544462"/>
    <w:rsid w:val="53690469"/>
    <w:rsid w:val="536C6901"/>
    <w:rsid w:val="5397158E"/>
    <w:rsid w:val="539B4F01"/>
    <w:rsid w:val="539F3E8B"/>
    <w:rsid w:val="53A26BE5"/>
    <w:rsid w:val="53B31B8A"/>
    <w:rsid w:val="53B536AF"/>
    <w:rsid w:val="53BF38EC"/>
    <w:rsid w:val="53C2401E"/>
    <w:rsid w:val="53C5766A"/>
    <w:rsid w:val="53F90357"/>
    <w:rsid w:val="54013861"/>
    <w:rsid w:val="54104D89"/>
    <w:rsid w:val="54280325"/>
    <w:rsid w:val="54395D5B"/>
    <w:rsid w:val="54487265"/>
    <w:rsid w:val="544D6070"/>
    <w:rsid w:val="54576514"/>
    <w:rsid w:val="54605E1E"/>
    <w:rsid w:val="548059AC"/>
    <w:rsid w:val="54931E82"/>
    <w:rsid w:val="54942937"/>
    <w:rsid w:val="54B3506A"/>
    <w:rsid w:val="54B87E29"/>
    <w:rsid w:val="54CA0D16"/>
    <w:rsid w:val="54D272FC"/>
    <w:rsid w:val="54DD4057"/>
    <w:rsid w:val="54E7490F"/>
    <w:rsid w:val="54F969C9"/>
    <w:rsid w:val="550764A4"/>
    <w:rsid w:val="550B2BF6"/>
    <w:rsid w:val="550F3998"/>
    <w:rsid w:val="55175CA3"/>
    <w:rsid w:val="55180399"/>
    <w:rsid w:val="55214D74"/>
    <w:rsid w:val="55214EB5"/>
    <w:rsid w:val="55364EFD"/>
    <w:rsid w:val="55437327"/>
    <w:rsid w:val="555D4828"/>
    <w:rsid w:val="556D3484"/>
    <w:rsid w:val="557645ED"/>
    <w:rsid w:val="557A4C8B"/>
    <w:rsid w:val="557B4484"/>
    <w:rsid w:val="557B7D23"/>
    <w:rsid w:val="557D4AFD"/>
    <w:rsid w:val="55801A9A"/>
    <w:rsid w:val="558931E1"/>
    <w:rsid w:val="558D41B7"/>
    <w:rsid w:val="55923347"/>
    <w:rsid w:val="55925180"/>
    <w:rsid w:val="55983B1B"/>
    <w:rsid w:val="559B6418"/>
    <w:rsid w:val="55A014EF"/>
    <w:rsid w:val="55A614B1"/>
    <w:rsid w:val="55A8376B"/>
    <w:rsid w:val="55D43B94"/>
    <w:rsid w:val="55D65B5E"/>
    <w:rsid w:val="55DC29B6"/>
    <w:rsid w:val="55DD4241"/>
    <w:rsid w:val="55F43710"/>
    <w:rsid w:val="5618423F"/>
    <w:rsid w:val="56602FA9"/>
    <w:rsid w:val="56675D2B"/>
    <w:rsid w:val="566B6D1E"/>
    <w:rsid w:val="56846705"/>
    <w:rsid w:val="56870FC1"/>
    <w:rsid w:val="568B3A0D"/>
    <w:rsid w:val="568E77D2"/>
    <w:rsid w:val="56933A4F"/>
    <w:rsid w:val="56E415E6"/>
    <w:rsid w:val="56EA31AE"/>
    <w:rsid w:val="56EF204F"/>
    <w:rsid w:val="56F85528"/>
    <w:rsid w:val="57032A2C"/>
    <w:rsid w:val="570F5219"/>
    <w:rsid w:val="57150236"/>
    <w:rsid w:val="571C3E42"/>
    <w:rsid w:val="571D1B2E"/>
    <w:rsid w:val="572920EB"/>
    <w:rsid w:val="572C012C"/>
    <w:rsid w:val="575D12B5"/>
    <w:rsid w:val="57610A87"/>
    <w:rsid w:val="577B1140"/>
    <w:rsid w:val="577B7F21"/>
    <w:rsid w:val="577F181B"/>
    <w:rsid w:val="57874D86"/>
    <w:rsid w:val="57921984"/>
    <w:rsid w:val="579737F0"/>
    <w:rsid w:val="579D5315"/>
    <w:rsid w:val="57A072DC"/>
    <w:rsid w:val="57AB7B30"/>
    <w:rsid w:val="57AF5251"/>
    <w:rsid w:val="57B26373"/>
    <w:rsid w:val="57B63F04"/>
    <w:rsid w:val="57B83428"/>
    <w:rsid w:val="57CA16F3"/>
    <w:rsid w:val="57CD20C2"/>
    <w:rsid w:val="57D07FEA"/>
    <w:rsid w:val="57D573DB"/>
    <w:rsid w:val="57D675AB"/>
    <w:rsid w:val="57D918C5"/>
    <w:rsid w:val="57D95FDD"/>
    <w:rsid w:val="57E5652D"/>
    <w:rsid w:val="57F1549A"/>
    <w:rsid w:val="58047084"/>
    <w:rsid w:val="58070A5D"/>
    <w:rsid w:val="581646A6"/>
    <w:rsid w:val="582B31D0"/>
    <w:rsid w:val="584E416F"/>
    <w:rsid w:val="5859375E"/>
    <w:rsid w:val="58917D2F"/>
    <w:rsid w:val="58932672"/>
    <w:rsid w:val="5894085C"/>
    <w:rsid w:val="58AE4F0C"/>
    <w:rsid w:val="58B85899"/>
    <w:rsid w:val="58DB1FB6"/>
    <w:rsid w:val="58DC16DE"/>
    <w:rsid w:val="58E363A9"/>
    <w:rsid w:val="58F1480B"/>
    <w:rsid w:val="59034EBC"/>
    <w:rsid w:val="591470C9"/>
    <w:rsid w:val="59254A57"/>
    <w:rsid w:val="59460135"/>
    <w:rsid w:val="595E1678"/>
    <w:rsid w:val="595F4EB3"/>
    <w:rsid w:val="59696A4A"/>
    <w:rsid w:val="596D5BD4"/>
    <w:rsid w:val="597072EF"/>
    <w:rsid w:val="59722042"/>
    <w:rsid w:val="597E3DD8"/>
    <w:rsid w:val="598D7058"/>
    <w:rsid w:val="599B6EA3"/>
    <w:rsid w:val="599F412D"/>
    <w:rsid w:val="59C44CCC"/>
    <w:rsid w:val="59D32AE1"/>
    <w:rsid w:val="59D86349"/>
    <w:rsid w:val="59DD570D"/>
    <w:rsid w:val="59E9551A"/>
    <w:rsid w:val="59EC5950"/>
    <w:rsid w:val="59F80043"/>
    <w:rsid w:val="59F92CC7"/>
    <w:rsid w:val="59FF17EC"/>
    <w:rsid w:val="5A09252F"/>
    <w:rsid w:val="5A0B2778"/>
    <w:rsid w:val="5A0E316A"/>
    <w:rsid w:val="5A146C55"/>
    <w:rsid w:val="5A1F49E2"/>
    <w:rsid w:val="5A2A7C7B"/>
    <w:rsid w:val="5A3E2560"/>
    <w:rsid w:val="5A42157E"/>
    <w:rsid w:val="5A4A4207"/>
    <w:rsid w:val="5A5D3B6E"/>
    <w:rsid w:val="5A625C12"/>
    <w:rsid w:val="5A637A76"/>
    <w:rsid w:val="5A6D33BA"/>
    <w:rsid w:val="5A792B1F"/>
    <w:rsid w:val="5A874767"/>
    <w:rsid w:val="5A8F463C"/>
    <w:rsid w:val="5AAB1367"/>
    <w:rsid w:val="5AAD6F28"/>
    <w:rsid w:val="5AC051B0"/>
    <w:rsid w:val="5AD63A24"/>
    <w:rsid w:val="5ADA0928"/>
    <w:rsid w:val="5ADF0A1B"/>
    <w:rsid w:val="5AED342D"/>
    <w:rsid w:val="5AF2343A"/>
    <w:rsid w:val="5AFC1BC3"/>
    <w:rsid w:val="5B1038C0"/>
    <w:rsid w:val="5B226ED3"/>
    <w:rsid w:val="5B246C75"/>
    <w:rsid w:val="5B2E1A1D"/>
    <w:rsid w:val="5B2F09D6"/>
    <w:rsid w:val="5B603F18"/>
    <w:rsid w:val="5B833462"/>
    <w:rsid w:val="5B8347D7"/>
    <w:rsid w:val="5B843A1C"/>
    <w:rsid w:val="5B873E3F"/>
    <w:rsid w:val="5B9B13DC"/>
    <w:rsid w:val="5BB22606"/>
    <w:rsid w:val="5BD164BB"/>
    <w:rsid w:val="5BD445A4"/>
    <w:rsid w:val="5BDB3215"/>
    <w:rsid w:val="5BE72BC3"/>
    <w:rsid w:val="5BF7476C"/>
    <w:rsid w:val="5C02690E"/>
    <w:rsid w:val="5C031DC6"/>
    <w:rsid w:val="5C0A6562"/>
    <w:rsid w:val="5C196DA7"/>
    <w:rsid w:val="5C205D85"/>
    <w:rsid w:val="5C220A3A"/>
    <w:rsid w:val="5C2869E8"/>
    <w:rsid w:val="5C2A048C"/>
    <w:rsid w:val="5C545A2F"/>
    <w:rsid w:val="5C6B34A4"/>
    <w:rsid w:val="5C6C358C"/>
    <w:rsid w:val="5C6E0D96"/>
    <w:rsid w:val="5C7A4768"/>
    <w:rsid w:val="5C80234E"/>
    <w:rsid w:val="5C831903"/>
    <w:rsid w:val="5C8A680C"/>
    <w:rsid w:val="5C9127DF"/>
    <w:rsid w:val="5CA60F58"/>
    <w:rsid w:val="5CBF2D50"/>
    <w:rsid w:val="5CD5091E"/>
    <w:rsid w:val="5CDD3C76"/>
    <w:rsid w:val="5CE44EFA"/>
    <w:rsid w:val="5CE75958"/>
    <w:rsid w:val="5D011893"/>
    <w:rsid w:val="5D0A075D"/>
    <w:rsid w:val="5D0C4701"/>
    <w:rsid w:val="5D0E3E30"/>
    <w:rsid w:val="5D0F0395"/>
    <w:rsid w:val="5D136FF9"/>
    <w:rsid w:val="5D221076"/>
    <w:rsid w:val="5D383B2F"/>
    <w:rsid w:val="5D397964"/>
    <w:rsid w:val="5D3D64C3"/>
    <w:rsid w:val="5D491257"/>
    <w:rsid w:val="5D5A391C"/>
    <w:rsid w:val="5D5F10C0"/>
    <w:rsid w:val="5D7243BE"/>
    <w:rsid w:val="5D72592E"/>
    <w:rsid w:val="5D83037A"/>
    <w:rsid w:val="5D891B7B"/>
    <w:rsid w:val="5D9635FF"/>
    <w:rsid w:val="5D9D7BB3"/>
    <w:rsid w:val="5DAD38EE"/>
    <w:rsid w:val="5DD40BD5"/>
    <w:rsid w:val="5DDC06E4"/>
    <w:rsid w:val="5DDD7460"/>
    <w:rsid w:val="5DDE5264"/>
    <w:rsid w:val="5DE01E82"/>
    <w:rsid w:val="5DE702CE"/>
    <w:rsid w:val="5DF72B16"/>
    <w:rsid w:val="5E006862"/>
    <w:rsid w:val="5E0207B9"/>
    <w:rsid w:val="5E0349F2"/>
    <w:rsid w:val="5E135BA1"/>
    <w:rsid w:val="5E1834A1"/>
    <w:rsid w:val="5E1840D4"/>
    <w:rsid w:val="5E22427D"/>
    <w:rsid w:val="5E251431"/>
    <w:rsid w:val="5E261785"/>
    <w:rsid w:val="5E2E29DB"/>
    <w:rsid w:val="5E3B7091"/>
    <w:rsid w:val="5E4A7017"/>
    <w:rsid w:val="5E552BBA"/>
    <w:rsid w:val="5E5B745B"/>
    <w:rsid w:val="5E611C10"/>
    <w:rsid w:val="5EAF5C0D"/>
    <w:rsid w:val="5ECD523E"/>
    <w:rsid w:val="5EE83F9A"/>
    <w:rsid w:val="5EFC7377"/>
    <w:rsid w:val="5F06174D"/>
    <w:rsid w:val="5F0C00E7"/>
    <w:rsid w:val="5F182D44"/>
    <w:rsid w:val="5F2C4C16"/>
    <w:rsid w:val="5F3A3602"/>
    <w:rsid w:val="5F4B136B"/>
    <w:rsid w:val="5F4B2916"/>
    <w:rsid w:val="5F556FD7"/>
    <w:rsid w:val="5F587050"/>
    <w:rsid w:val="5F6277C6"/>
    <w:rsid w:val="5F6D0B1D"/>
    <w:rsid w:val="5F7A1C50"/>
    <w:rsid w:val="5F7D5B25"/>
    <w:rsid w:val="5F7E34EF"/>
    <w:rsid w:val="5F8D0B82"/>
    <w:rsid w:val="5FA46697"/>
    <w:rsid w:val="5FB056DC"/>
    <w:rsid w:val="5FCC5339"/>
    <w:rsid w:val="5FD47FCC"/>
    <w:rsid w:val="5FE34A5B"/>
    <w:rsid w:val="5FED5F7E"/>
    <w:rsid w:val="5FF90EA4"/>
    <w:rsid w:val="5FFC5682"/>
    <w:rsid w:val="5FFE1E36"/>
    <w:rsid w:val="6007225A"/>
    <w:rsid w:val="600862CC"/>
    <w:rsid w:val="601710AD"/>
    <w:rsid w:val="60232584"/>
    <w:rsid w:val="606972E1"/>
    <w:rsid w:val="607330CE"/>
    <w:rsid w:val="60825176"/>
    <w:rsid w:val="608B48D4"/>
    <w:rsid w:val="609F2AC4"/>
    <w:rsid w:val="60B65B72"/>
    <w:rsid w:val="60BB42CE"/>
    <w:rsid w:val="60CC798A"/>
    <w:rsid w:val="60FA2EE8"/>
    <w:rsid w:val="60FE42AA"/>
    <w:rsid w:val="61054A27"/>
    <w:rsid w:val="610A52BC"/>
    <w:rsid w:val="610B536B"/>
    <w:rsid w:val="611D2366"/>
    <w:rsid w:val="61421856"/>
    <w:rsid w:val="614C3178"/>
    <w:rsid w:val="615227C4"/>
    <w:rsid w:val="615A38B8"/>
    <w:rsid w:val="615B5B2A"/>
    <w:rsid w:val="6161296D"/>
    <w:rsid w:val="61654E3F"/>
    <w:rsid w:val="61700C15"/>
    <w:rsid w:val="617821BF"/>
    <w:rsid w:val="6182292A"/>
    <w:rsid w:val="619F7F92"/>
    <w:rsid w:val="61A80477"/>
    <w:rsid w:val="61AC36FA"/>
    <w:rsid w:val="61C559A1"/>
    <w:rsid w:val="61CD2D79"/>
    <w:rsid w:val="61F94C26"/>
    <w:rsid w:val="62000E56"/>
    <w:rsid w:val="620E382D"/>
    <w:rsid w:val="62435056"/>
    <w:rsid w:val="624F2F20"/>
    <w:rsid w:val="624F3E49"/>
    <w:rsid w:val="62582BDC"/>
    <w:rsid w:val="625B08CA"/>
    <w:rsid w:val="62632286"/>
    <w:rsid w:val="626E215E"/>
    <w:rsid w:val="626E32BA"/>
    <w:rsid w:val="6283706E"/>
    <w:rsid w:val="62885958"/>
    <w:rsid w:val="628C5ACD"/>
    <w:rsid w:val="629152E7"/>
    <w:rsid w:val="62984E01"/>
    <w:rsid w:val="62996CEF"/>
    <w:rsid w:val="629D5670"/>
    <w:rsid w:val="62F40B65"/>
    <w:rsid w:val="62FC2CFE"/>
    <w:rsid w:val="62FC6DD3"/>
    <w:rsid w:val="63024505"/>
    <w:rsid w:val="6306451B"/>
    <w:rsid w:val="632A0BAF"/>
    <w:rsid w:val="632E2182"/>
    <w:rsid w:val="63561C82"/>
    <w:rsid w:val="635B1DB5"/>
    <w:rsid w:val="63711FED"/>
    <w:rsid w:val="63880DDC"/>
    <w:rsid w:val="638D750D"/>
    <w:rsid w:val="63913F53"/>
    <w:rsid w:val="639435FE"/>
    <w:rsid w:val="63AC6CC0"/>
    <w:rsid w:val="63BC5880"/>
    <w:rsid w:val="63D43986"/>
    <w:rsid w:val="63D86CEC"/>
    <w:rsid w:val="64055776"/>
    <w:rsid w:val="64205BC6"/>
    <w:rsid w:val="64240056"/>
    <w:rsid w:val="642C4B68"/>
    <w:rsid w:val="643857C5"/>
    <w:rsid w:val="643E143A"/>
    <w:rsid w:val="644C27A0"/>
    <w:rsid w:val="645A7CF9"/>
    <w:rsid w:val="645C60CA"/>
    <w:rsid w:val="64714BEC"/>
    <w:rsid w:val="64781593"/>
    <w:rsid w:val="648B6EEF"/>
    <w:rsid w:val="649C61C5"/>
    <w:rsid w:val="64BB489D"/>
    <w:rsid w:val="64C158BF"/>
    <w:rsid w:val="64CE2EAA"/>
    <w:rsid w:val="64CF0348"/>
    <w:rsid w:val="64E301EE"/>
    <w:rsid w:val="64E61C88"/>
    <w:rsid w:val="653C3090"/>
    <w:rsid w:val="656E26A3"/>
    <w:rsid w:val="657B6143"/>
    <w:rsid w:val="65854376"/>
    <w:rsid w:val="658767BE"/>
    <w:rsid w:val="65892531"/>
    <w:rsid w:val="658C560E"/>
    <w:rsid w:val="65956E9C"/>
    <w:rsid w:val="65B670C7"/>
    <w:rsid w:val="65C1176D"/>
    <w:rsid w:val="66151A2D"/>
    <w:rsid w:val="66195831"/>
    <w:rsid w:val="662E75B1"/>
    <w:rsid w:val="66313021"/>
    <w:rsid w:val="66337ECA"/>
    <w:rsid w:val="66342C2E"/>
    <w:rsid w:val="663E784C"/>
    <w:rsid w:val="66596FF2"/>
    <w:rsid w:val="66613222"/>
    <w:rsid w:val="66652D12"/>
    <w:rsid w:val="66707909"/>
    <w:rsid w:val="66807B4C"/>
    <w:rsid w:val="668B6A45"/>
    <w:rsid w:val="668E4F07"/>
    <w:rsid w:val="669C5CBA"/>
    <w:rsid w:val="669E0497"/>
    <w:rsid w:val="66B01071"/>
    <w:rsid w:val="66B274F3"/>
    <w:rsid w:val="66B76D00"/>
    <w:rsid w:val="66CD3C88"/>
    <w:rsid w:val="66EB54CD"/>
    <w:rsid w:val="67023DD3"/>
    <w:rsid w:val="67112C45"/>
    <w:rsid w:val="672C3830"/>
    <w:rsid w:val="672F3F24"/>
    <w:rsid w:val="67310E46"/>
    <w:rsid w:val="67340937"/>
    <w:rsid w:val="673E055F"/>
    <w:rsid w:val="67551CE3"/>
    <w:rsid w:val="675A24C7"/>
    <w:rsid w:val="6772060E"/>
    <w:rsid w:val="678064FF"/>
    <w:rsid w:val="678A5A74"/>
    <w:rsid w:val="67944D0A"/>
    <w:rsid w:val="679B36C4"/>
    <w:rsid w:val="67A22552"/>
    <w:rsid w:val="67B22DCC"/>
    <w:rsid w:val="67BE71AA"/>
    <w:rsid w:val="67D90273"/>
    <w:rsid w:val="67DE5875"/>
    <w:rsid w:val="67DF53C7"/>
    <w:rsid w:val="67E55852"/>
    <w:rsid w:val="67EB1AB4"/>
    <w:rsid w:val="67F105D6"/>
    <w:rsid w:val="67F53CE1"/>
    <w:rsid w:val="67FA1285"/>
    <w:rsid w:val="682269E1"/>
    <w:rsid w:val="68353B8B"/>
    <w:rsid w:val="683B1BC8"/>
    <w:rsid w:val="68464DC5"/>
    <w:rsid w:val="6854113D"/>
    <w:rsid w:val="68551F4F"/>
    <w:rsid w:val="685E5C6B"/>
    <w:rsid w:val="687C10C9"/>
    <w:rsid w:val="68840C16"/>
    <w:rsid w:val="68876EFB"/>
    <w:rsid w:val="68884654"/>
    <w:rsid w:val="689F444F"/>
    <w:rsid w:val="68B166E3"/>
    <w:rsid w:val="68B96DBB"/>
    <w:rsid w:val="68C116E7"/>
    <w:rsid w:val="68C2564E"/>
    <w:rsid w:val="68C450DB"/>
    <w:rsid w:val="68CA2805"/>
    <w:rsid w:val="68CA6994"/>
    <w:rsid w:val="68CB0E27"/>
    <w:rsid w:val="68E937A3"/>
    <w:rsid w:val="69036813"/>
    <w:rsid w:val="690D582F"/>
    <w:rsid w:val="69154FBD"/>
    <w:rsid w:val="692F7B9E"/>
    <w:rsid w:val="69320EA6"/>
    <w:rsid w:val="693E15D3"/>
    <w:rsid w:val="69627681"/>
    <w:rsid w:val="696D4DFA"/>
    <w:rsid w:val="6977531D"/>
    <w:rsid w:val="69A2427D"/>
    <w:rsid w:val="69B71EBC"/>
    <w:rsid w:val="69B848FC"/>
    <w:rsid w:val="69C02F33"/>
    <w:rsid w:val="69C064B2"/>
    <w:rsid w:val="69CC2BFF"/>
    <w:rsid w:val="69D5399A"/>
    <w:rsid w:val="69E47C01"/>
    <w:rsid w:val="69EF3BD1"/>
    <w:rsid w:val="69F01B9F"/>
    <w:rsid w:val="69F756F6"/>
    <w:rsid w:val="69FD55B8"/>
    <w:rsid w:val="6A0740E0"/>
    <w:rsid w:val="6A0B1C62"/>
    <w:rsid w:val="6A0E546F"/>
    <w:rsid w:val="6A1879E8"/>
    <w:rsid w:val="6A2406C8"/>
    <w:rsid w:val="6A4A0458"/>
    <w:rsid w:val="6A7E45FB"/>
    <w:rsid w:val="6A812359"/>
    <w:rsid w:val="6A8C4CE6"/>
    <w:rsid w:val="6A9A6387"/>
    <w:rsid w:val="6AAB3ED7"/>
    <w:rsid w:val="6ABC167B"/>
    <w:rsid w:val="6AC31CBE"/>
    <w:rsid w:val="6AC954A6"/>
    <w:rsid w:val="6ACF2E50"/>
    <w:rsid w:val="6ADE0BD1"/>
    <w:rsid w:val="6AE6019A"/>
    <w:rsid w:val="6AE96859"/>
    <w:rsid w:val="6AFA41DD"/>
    <w:rsid w:val="6B147746"/>
    <w:rsid w:val="6B24787C"/>
    <w:rsid w:val="6B357E3D"/>
    <w:rsid w:val="6B3929BF"/>
    <w:rsid w:val="6B3A254D"/>
    <w:rsid w:val="6B573233"/>
    <w:rsid w:val="6B5B6274"/>
    <w:rsid w:val="6B6920A6"/>
    <w:rsid w:val="6B7F24A8"/>
    <w:rsid w:val="6B935D53"/>
    <w:rsid w:val="6B943D7F"/>
    <w:rsid w:val="6BBF5E5E"/>
    <w:rsid w:val="6BCE28C6"/>
    <w:rsid w:val="6BD86FC5"/>
    <w:rsid w:val="6BE04891"/>
    <w:rsid w:val="6BE648F5"/>
    <w:rsid w:val="6BF958E1"/>
    <w:rsid w:val="6C0B35B2"/>
    <w:rsid w:val="6C196F71"/>
    <w:rsid w:val="6C1F1BB5"/>
    <w:rsid w:val="6C226FCB"/>
    <w:rsid w:val="6C31226F"/>
    <w:rsid w:val="6C3F3B3F"/>
    <w:rsid w:val="6C496C32"/>
    <w:rsid w:val="6C552F0B"/>
    <w:rsid w:val="6C8C67B7"/>
    <w:rsid w:val="6C9C4FB4"/>
    <w:rsid w:val="6C9D744C"/>
    <w:rsid w:val="6CB0280D"/>
    <w:rsid w:val="6CB34986"/>
    <w:rsid w:val="6CE86A00"/>
    <w:rsid w:val="6D06067F"/>
    <w:rsid w:val="6D0D692A"/>
    <w:rsid w:val="6D167928"/>
    <w:rsid w:val="6D26299B"/>
    <w:rsid w:val="6D2F659C"/>
    <w:rsid w:val="6D3E7B9E"/>
    <w:rsid w:val="6D4772EC"/>
    <w:rsid w:val="6D4A4A10"/>
    <w:rsid w:val="6D536141"/>
    <w:rsid w:val="6D6C0E2A"/>
    <w:rsid w:val="6D6F7C04"/>
    <w:rsid w:val="6D8141C3"/>
    <w:rsid w:val="6D8343C6"/>
    <w:rsid w:val="6D9078AF"/>
    <w:rsid w:val="6D9E2FAE"/>
    <w:rsid w:val="6DAA3FEF"/>
    <w:rsid w:val="6DB30807"/>
    <w:rsid w:val="6DBD77C1"/>
    <w:rsid w:val="6DC0172B"/>
    <w:rsid w:val="6DCB690C"/>
    <w:rsid w:val="6DCE2B0A"/>
    <w:rsid w:val="6DCF0754"/>
    <w:rsid w:val="6DD41A5B"/>
    <w:rsid w:val="6DF43C2E"/>
    <w:rsid w:val="6DF51CA3"/>
    <w:rsid w:val="6E0C170B"/>
    <w:rsid w:val="6E0F2EA4"/>
    <w:rsid w:val="6E180A6F"/>
    <w:rsid w:val="6E1D2124"/>
    <w:rsid w:val="6E3000AA"/>
    <w:rsid w:val="6E4057A2"/>
    <w:rsid w:val="6E5A623E"/>
    <w:rsid w:val="6E7066F8"/>
    <w:rsid w:val="6E8335BD"/>
    <w:rsid w:val="6E8479ED"/>
    <w:rsid w:val="6E8B4A99"/>
    <w:rsid w:val="6E8E12EF"/>
    <w:rsid w:val="6E8F4877"/>
    <w:rsid w:val="6E972936"/>
    <w:rsid w:val="6E9E5B00"/>
    <w:rsid w:val="6ED446C5"/>
    <w:rsid w:val="6EEB3FD1"/>
    <w:rsid w:val="6F0F6AD0"/>
    <w:rsid w:val="6F1570A7"/>
    <w:rsid w:val="6F172299"/>
    <w:rsid w:val="6F2A7D94"/>
    <w:rsid w:val="6F2D4A05"/>
    <w:rsid w:val="6F3C482C"/>
    <w:rsid w:val="6F412BA0"/>
    <w:rsid w:val="6F4B2014"/>
    <w:rsid w:val="6F6F0244"/>
    <w:rsid w:val="6F80522B"/>
    <w:rsid w:val="6F8331F1"/>
    <w:rsid w:val="6F875189"/>
    <w:rsid w:val="6FAE1A09"/>
    <w:rsid w:val="6FC62348"/>
    <w:rsid w:val="6FCA008A"/>
    <w:rsid w:val="6FD75BF8"/>
    <w:rsid w:val="6FFB5146"/>
    <w:rsid w:val="7030295B"/>
    <w:rsid w:val="70383246"/>
    <w:rsid w:val="703B7829"/>
    <w:rsid w:val="70423FD9"/>
    <w:rsid w:val="70426134"/>
    <w:rsid w:val="70444548"/>
    <w:rsid w:val="704A4D27"/>
    <w:rsid w:val="70706E37"/>
    <w:rsid w:val="70764150"/>
    <w:rsid w:val="707723D0"/>
    <w:rsid w:val="707B1384"/>
    <w:rsid w:val="70827C5B"/>
    <w:rsid w:val="708E0A52"/>
    <w:rsid w:val="709C24CA"/>
    <w:rsid w:val="70A1504C"/>
    <w:rsid w:val="70AF4583"/>
    <w:rsid w:val="70C747BE"/>
    <w:rsid w:val="70D4240C"/>
    <w:rsid w:val="70E03262"/>
    <w:rsid w:val="70E37655"/>
    <w:rsid w:val="70F5661B"/>
    <w:rsid w:val="70FC162C"/>
    <w:rsid w:val="71140EDA"/>
    <w:rsid w:val="712007C5"/>
    <w:rsid w:val="71280AC2"/>
    <w:rsid w:val="71296EFD"/>
    <w:rsid w:val="71360107"/>
    <w:rsid w:val="71370DFE"/>
    <w:rsid w:val="713B688E"/>
    <w:rsid w:val="71436346"/>
    <w:rsid w:val="71451B23"/>
    <w:rsid w:val="716D7745"/>
    <w:rsid w:val="717B6263"/>
    <w:rsid w:val="71805602"/>
    <w:rsid w:val="71CC608C"/>
    <w:rsid w:val="71D43752"/>
    <w:rsid w:val="71DC54C0"/>
    <w:rsid w:val="71E002A1"/>
    <w:rsid w:val="71E837E6"/>
    <w:rsid w:val="71EE501B"/>
    <w:rsid w:val="71F1796A"/>
    <w:rsid w:val="72154626"/>
    <w:rsid w:val="721A0F02"/>
    <w:rsid w:val="72262B5D"/>
    <w:rsid w:val="72283FF7"/>
    <w:rsid w:val="722A4E10"/>
    <w:rsid w:val="722E7212"/>
    <w:rsid w:val="723A0474"/>
    <w:rsid w:val="724539F8"/>
    <w:rsid w:val="725923E4"/>
    <w:rsid w:val="72710E68"/>
    <w:rsid w:val="72864BF7"/>
    <w:rsid w:val="729023FC"/>
    <w:rsid w:val="72991030"/>
    <w:rsid w:val="729915CE"/>
    <w:rsid w:val="729C6F3E"/>
    <w:rsid w:val="72AD22E1"/>
    <w:rsid w:val="72E6359F"/>
    <w:rsid w:val="73137F9A"/>
    <w:rsid w:val="731742D0"/>
    <w:rsid w:val="731955B0"/>
    <w:rsid w:val="734F0FF3"/>
    <w:rsid w:val="73643F2E"/>
    <w:rsid w:val="739A11A0"/>
    <w:rsid w:val="73C0646E"/>
    <w:rsid w:val="73C92407"/>
    <w:rsid w:val="73CE7C58"/>
    <w:rsid w:val="73D95081"/>
    <w:rsid w:val="740438BA"/>
    <w:rsid w:val="7407365B"/>
    <w:rsid w:val="740B0B57"/>
    <w:rsid w:val="742222F5"/>
    <w:rsid w:val="7426187A"/>
    <w:rsid w:val="742D5398"/>
    <w:rsid w:val="742F2BB2"/>
    <w:rsid w:val="74315D68"/>
    <w:rsid w:val="7439279F"/>
    <w:rsid w:val="74476126"/>
    <w:rsid w:val="74685100"/>
    <w:rsid w:val="74706664"/>
    <w:rsid w:val="74792DAA"/>
    <w:rsid w:val="747F3682"/>
    <w:rsid w:val="749C4185"/>
    <w:rsid w:val="74BF59FB"/>
    <w:rsid w:val="74C85DB6"/>
    <w:rsid w:val="74CF4EC9"/>
    <w:rsid w:val="75067759"/>
    <w:rsid w:val="752B5DB7"/>
    <w:rsid w:val="752E6DCD"/>
    <w:rsid w:val="7533222E"/>
    <w:rsid w:val="754D5AA2"/>
    <w:rsid w:val="7551380D"/>
    <w:rsid w:val="75555F04"/>
    <w:rsid w:val="75600BE5"/>
    <w:rsid w:val="7564475C"/>
    <w:rsid w:val="756C6C89"/>
    <w:rsid w:val="7574140D"/>
    <w:rsid w:val="7583797F"/>
    <w:rsid w:val="758B5E3B"/>
    <w:rsid w:val="75954C96"/>
    <w:rsid w:val="759E179B"/>
    <w:rsid w:val="75A373B3"/>
    <w:rsid w:val="75AF3FF1"/>
    <w:rsid w:val="75B00DA7"/>
    <w:rsid w:val="75B165AB"/>
    <w:rsid w:val="75D20F1D"/>
    <w:rsid w:val="75DA2C18"/>
    <w:rsid w:val="75E83018"/>
    <w:rsid w:val="75F54412"/>
    <w:rsid w:val="75FE6CDF"/>
    <w:rsid w:val="76033702"/>
    <w:rsid w:val="760A5684"/>
    <w:rsid w:val="760F2C9B"/>
    <w:rsid w:val="761C2309"/>
    <w:rsid w:val="761D08E0"/>
    <w:rsid w:val="76206A90"/>
    <w:rsid w:val="762322A2"/>
    <w:rsid w:val="76515EF5"/>
    <w:rsid w:val="765D347C"/>
    <w:rsid w:val="765F126C"/>
    <w:rsid w:val="76826699"/>
    <w:rsid w:val="7690015C"/>
    <w:rsid w:val="76BA7A1F"/>
    <w:rsid w:val="76C43680"/>
    <w:rsid w:val="76C87133"/>
    <w:rsid w:val="76CD08D5"/>
    <w:rsid w:val="76DB4B92"/>
    <w:rsid w:val="770110A1"/>
    <w:rsid w:val="77021C1D"/>
    <w:rsid w:val="77052AA4"/>
    <w:rsid w:val="770866FF"/>
    <w:rsid w:val="7713250F"/>
    <w:rsid w:val="77136511"/>
    <w:rsid w:val="771613AE"/>
    <w:rsid w:val="77340A39"/>
    <w:rsid w:val="77351FD0"/>
    <w:rsid w:val="77386161"/>
    <w:rsid w:val="77414F47"/>
    <w:rsid w:val="77457985"/>
    <w:rsid w:val="77472422"/>
    <w:rsid w:val="774E6E46"/>
    <w:rsid w:val="775545E5"/>
    <w:rsid w:val="77727630"/>
    <w:rsid w:val="777F31F2"/>
    <w:rsid w:val="77A57603"/>
    <w:rsid w:val="77B207CD"/>
    <w:rsid w:val="77D1700D"/>
    <w:rsid w:val="77D777E8"/>
    <w:rsid w:val="77DB6BE6"/>
    <w:rsid w:val="77EC04CC"/>
    <w:rsid w:val="77F3473C"/>
    <w:rsid w:val="77F55EC0"/>
    <w:rsid w:val="781C51FB"/>
    <w:rsid w:val="782F21C9"/>
    <w:rsid w:val="78395DAD"/>
    <w:rsid w:val="785E75AD"/>
    <w:rsid w:val="78775729"/>
    <w:rsid w:val="7878706D"/>
    <w:rsid w:val="789C4865"/>
    <w:rsid w:val="78A42DB0"/>
    <w:rsid w:val="78A656AB"/>
    <w:rsid w:val="78B10039"/>
    <w:rsid w:val="78B2245C"/>
    <w:rsid w:val="78B73293"/>
    <w:rsid w:val="78BD2AE3"/>
    <w:rsid w:val="78D6184E"/>
    <w:rsid w:val="78E172CC"/>
    <w:rsid w:val="78E558A6"/>
    <w:rsid w:val="78EA1D1F"/>
    <w:rsid w:val="78FA19E0"/>
    <w:rsid w:val="7904172F"/>
    <w:rsid w:val="790D44A7"/>
    <w:rsid w:val="790E79E2"/>
    <w:rsid w:val="790F7E27"/>
    <w:rsid w:val="7913466E"/>
    <w:rsid w:val="79167E9C"/>
    <w:rsid w:val="79202C44"/>
    <w:rsid w:val="79216A1F"/>
    <w:rsid w:val="792A231A"/>
    <w:rsid w:val="79316829"/>
    <w:rsid w:val="79440F0B"/>
    <w:rsid w:val="797E66A9"/>
    <w:rsid w:val="79A100AE"/>
    <w:rsid w:val="79A97383"/>
    <w:rsid w:val="79AD3C96"/>
    <w:rsid w:val="79C175F9"/>
    <w:rsid w:val="79D77D74"/>
    <w:rsid w:val="79E27E8B"/>
    <w:rsid w:val="79EE79A7"/>
    <w:rsid w:val="79F850CE"/>
    <w:rsid w:val="79FD443C"/>
    <w:rsid w:val="7A0E5017"/>
    <w:rsid w:val="7A191B7B"/>
    <w:rsid w:val="7A1D1975"/>
    <w:rsid w:val="7A3E5150"/>
    <w:rsid w:val="7A4670D6"/>
    <w:rsid w:val="7A534B63"/>
    <w:rsid w:val="7A5F5873"/>
    <w:rsid w:val="7A615382"/>
    <w:rsid w:val="7A67303B"/>
    <w:rsid w:val="7A7C6561"/>
    <w:rsid w:val="7A8A5390"/>
    <w:rsid w:val="7AAB1D04"/>
    <w:rsid w:val="7ABA4368"/>
    <w:rsid w:val="7ABA5A5E"/>
    <w:rsid w:val="7AC758F2"/>
    <w:rsid w:val="7ACD4DD5"/>
    <w:rsid w:val="7ACF29F8"/>
    <w:rsid w:val="7AD05746"/>
    <w:rsid w:val="7AE2272C"/>
    <w:rsid w:val="7B017E0B"/>
    <w:rsid w:val="7B1E10F0"/>
    <w:rsid w:val="7B257FFD"/>
    <w:rsid w:val="7B343476"/>
    <w:rsid w:val="7B362A78"/>
    <w:rsid w:val="7B4679A3"/>
    <w:rsid w:val="7B5A2978"/>
    <w:rsid w:val="7B5A7E4C"/>
    <w:rsid w:val="7B667AF9"/>
    <w:rsid w:val="7B722A71"/>
    <w:rsid w:val="7B7468F8"/>
    <w:rsid w:val="7B8732D3"/>
    <w:rsid w:val="7B973637"/>
    <w:rsid w:val="7BAB5214"/>
    <w:rsid w:val="7BBB7869"/>
    <w:rsid w:val="7BBD2817"/>
    <w:rsid w:val="7BCA093E"/>
    <w:rsid w:val="7BDE0BC1"/>
    <w:rsid w:val="7BE1474D"/>
    <w:rsid w:val="7BEE0103"/>
    <w:rsid w:val="7BF6244F"/>
    <w:rsid w:val="7BFD3327"/>
    <w:rsid w:val="7BFF730D"/>
    <w:rsid w:val="7C0A0FE4"/>
    <w:rsid w:val="7C0A4AB0"/>
    <w:rsid w:val="7C254906"/>
    <w:rsid w:val="7C286864"/>
    <w:rsid w:val="7C2D3E7B"/>
    <w:rsid w:val="7C4D0079"/>
    <w:rsid w:val="7C590818"/>
    <w:rsid w:val="7C7C10F6"/>
    <w:rsid w:val="7C8276E1"/>
    <w:rsid w:val="7C8415C1"/>
    <w:rsid w:val="7C853BEA"/>
    <w:rsid w:val="7C881368"/>
    <w:rsid w:val="7CE27788"/>
    <w:rsid w:val="7D0C32F1"/>
    <w:rsid w:val="7D0F408D"/>
    <w:rsid w:val="7D1F485D"/>
    <w:rsid w:val="7D254B52"/>
    <w:rsid w:val="7D491C6C"/>
    <w:rsid w:val="7D5429C0"/>
    <w:rsid w:val="7D5E0B9A"/>
    <w:rsid w:val="7D6E6D43"/>
    <w:rsid w:val="7D753AD0"/>
    <w:rsid w:val="7D834497"/>
    <w:rsid w:val="7D8F44D2"/>
    <w:rsid w:val="7D901F30"/>
    <w:rsid w:val="7DA04833"/>
    <w:rsid w:val="7DB042A2"/>
    <w:rsid w:val="7DB33A21"/>
    <w:rsid w:val="7DB57A34"/>
    <w:rsid w:val="7DDF11A4"/>
    <w:rsid w:val="7DDF6644"/>
    <w:rsid w:val="7DE60973"/>
    <w:rsid w:val="7DE655B3"/>
    <w:rsid w:val="7DEF0916"/>
    <w:rsid w:val="7E0368A3"/>
    <w:rsid w:val="7E0C30A1"/>
    <w:rsid w:val="7E1E5218"/>
    <w:rsid w:val="7E32168D"/>
    <w:rsid w:val="7E3F39F1"/>
    <w:rsid w:val="7E4E00D8"/>
    <w:rsid w:val="7E507BCA"/>
    <w:rsid w:val="7E5C0A47"/>
    <w:rsid w:val="7E84532A"/>
    <w:rsid w:val="7E9957F7"/>
    <w:rsid w:val="7E9A331D"/>
    <w:rsid w:val="7E9A4E1F"/>
    <w:rsid w:val="7E9E60C3"/>
    <w:rsid w:val="7EA7723A"/>
    <w:rsid w:val="7ECB618F"/>
    <w:rsid w:val="7EE10F4C"/>
    <w:rsid w:val="7EF56FBB"/>
    <w:rsid w:val="7F042BD6"/>
    <w:rsid w:val="7F0569E9"/>
    <w:rsid w:val="7F0768EB"/>
    <w:rsid w:val="7F143BEC"/>
    <w:rsid w:val="7F1A6A43"/>
    <w:rsid w:val="7F2B6368"/>
    <w:rsid w:val="7F370B6C"/>
    <w:rsid w:val="7F405C73"/>
    <w:rsid w:val="7F482D79"/>
    <w:rsid w:val="7F4D6BBA"/>
    <w:rsid w:val="7F515A2D"/>
    <w:rsid w:val="7F6F6558"/>
    <w:rsid w:val="7F715AF2"/>
    <w:rsid w:val="7F886E69"/>
    <w:rsid w:val="7F9A1827"/>
    <w:rsid w:val="7FAE7D05"/>
    <w:rsid w:val="7FB97D2B"/>
    <w:rsid w:val="7FBD5B5A"/>
    <w:rsid w:val="7FF750A2"/>
    <w:rsid w:val="7FF87E3A"/>
    <w:rsid w:val="7FFB5CE1"/>
    <w:rsid w:val="ADCAE25E"/>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734"/>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797"/>
    <w:qFormat/>
    <w:uiPriority w:val="99"/>
    <w:pPr>
      <w:spacing w:line="480" w:lineRule="exact"/>
      <w:ind w:firstLine="480" w:firstLineChars="200"/>
    </w:pPr>
    <w:rPr>
      <w:rFonts w:ascii="宋体" w:hAnsi="宋体"/>
      <w:sz w:val="24"/>
    </w:rPr>
  </w:style>
  <w:style w:type="paragraph" w:styleId="18">
    <w:name w:val="Body Text First Indent 2"/>
    <w:basedOn w:val="17"/>
    <w:next w:val="19"/>
    <w:link w:val="979"/>
    <w:qFormat/>
    <w:uiPriority w:val="0"/>
    <w:pPr>
      <w:adjustRightInd/>
      <w:spacing w:after="120" w:line="240" w:lineRule="auto"/>
      <w:ind w:left="420" w:leftChars="200" w:firstLine="210"/>
    </w:pPr>
    <w:rPr>
      <w:sz w:val="21"/>
    </w:rPr>
  </w:style>
  <w:style w:type="paragraph" w:styleId="19">
    <w:name w:val="Body Text First Indent"/>
    <w:basedOn w:val="20"/>
    <w:link w:val="848"/>
    <w:qFormat/>
    <w:uiPriority w:val="0"/>
    <w:pPr>
      <w:ind w:firstLine="420"/>
    </w:pPr>
    <w:rPr>
      <w:rFonts w:hAnsi="Calibri" w:cs="Times New Roman"/>
      <w:szCs w:val="20"/>
    </w:rPr>
  </w:style>
  <w:style w:type="paragraph" w:styleId="20">
    <w:name w:val="Body Text"/>
    <w:basedOn w:val="1"/>
    <w:next w:val="19"/>
    <w:link w:val="946"/>
    <w:qFormat/>
    <w:uiPriority w:val="0"/>
    <w:pPr>
      <w:autoSpaceDE w:val="0"/>
      <w:autoSpaceDN w:val="0"/>
      <w:spacing w:line="360" w:lineRule="auto"/>
    </w:pPr>
    <w:rPr>
      <w:rFonts w:ascii="宋体" w:hAnsi="Arial" w:cs="Arial"/>
      <w:snapToGrid w:val="0"/>
      <w:sz w:val="24"/>
      <w:szCs w:val="21"/>
      <w:lang w:val="zh-CN"/>
    </w:rPr>
  </w:style>
  <w:style w:type="paragraph" w:styleId="21">
    <w:name w:val="caption"/>
    <w:basedOn w:val="1"/>
    <w:next w:val="1"/>
    <w:link w:val="76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41"/>
    <w:qFormat/>
    <w:uiPriority w:val="0"/>
    <w:pPr>
      <w:shd w:val="clear" w:color="auto" w:fill="000080"/>
    </w:pPr>
  </w:style>
  <w:style w:type="paragraph" w:styleId="24">
    <w:name w:val="annotation text"/>
    <w:basedOn w:val="1"/>
    <w:link w:val="869"/>
    <w:qFormat/>
    <w:uiPriority w:val="99"/>
    <w:pPr>
      <w:jc w:val="left"/>
    </w:pPr>
    <w:rPr>
      <w:rFonts w:hint="eastAsia" w:ascii="宋体" w:hAnsi="宋体"/>
      <w:szCs w:val="20"/>
    </w:rPr>
  </w:style>
  <w:style w:type="paragraph" w:styleId="25">
    <w:name w:val="Salutation"/>
    <w:basedOn w:val="1"/>
    <w:next w:val="1"/>
    <w:link w:val="829"/>
    <w:qFormat/>
    <w:uiPriority w:val="0"/>
    <w:rPr>
      <w:rFonts w:ascii="仿宋_GB2312" w:eastAsia="仿宋_GB2312"/>
      <w:sz w:val="28"/>
      <w:szCs w:val="20"/>
    </w:rPr>
  </w:style>
  <w:style w:type="paragraph" w:styleId="26">
    <w:name w:val="Body Text 3"/>
    <w:basedOn w:val="1"/>
    <w:link w:val="85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3"/>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3"/>
    <w:qFormat/>
    <w:uiPriority w:val="0"/>
    <w:pPr>
      <w:ind w:left="100" w:leftChars="2500"/>
    </w:pPr>
    <w:rPr>
      <w:rFonts w:ascii="宋体"/>
      <w:sz w:val="24"/>
      <w:szCs w:val="21"/>
      <w:lang w:val="zh-CN"/>
    </w:rPr>
  </w:style>
  <w:style w:type="paragraph" w:styleId="39">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0">
    <w:name w:val="endnote text"/>
    <w:basedOn w:val="1"/>
    <w:link w:val="954"/>
    <w:qFormat/>
    <w:uiPriority w:val="0"/>
    <w:rPr>
      <w:lang w:val="zh-CN"/>
    </w:rPr>
  </w:style>
  <w:style w:type="paragraph" w:styleId="41">
    <w:name w:val="Balloon Text"/>
    <w:basedOn w:val="1"/>
    <w:link w:val="730"/>
    <w:qFormat/>
    <w:uiPriority w:val="99"/>
    <w:rPr>
      <w:sz w:val="18"/>
      <w:szCs w:val="18"/>
    </w:rPr>
  </w:style>
  <w:style w:type="paragraph" w:styleId="42">
    <w:name w:val="footer"/>
    <w:basedOn w:val="1"/>
    <w:link w:val="905"/>
    <w:qFormat/>
    <w:uiPriority w:val="99"/>
    <w:pPr>
      <w:tabs>
        <w:tab w:val="center" w:pos="4153"/>
        <w:tab w:val="right" w:pos="8306"/>
      </w:tabs>
      <w:snapToGrid w:val="0"/>
      <w:jc w:val="left"/>
    </w:pPr>
    <w:rPr>
      <w:sz w:val="18"/>
      <w:szCs w:val="18"/>
    </w:rPr>
  </w:style>
  <w:style w:type="paragraph" w:styleId="43">
    <w:name w:val="envelope return"/>
    <w:basedOn w:val="1"/>
    <w:next w:val="1"/>
    <w:qFormat/>
    <w:uiPriority w:val="0"/>
    <w:pPr>
      <w:widowControl/>
      <w:snapToGrid w:val="0"/>
      <w:spacing w:line="357" w:lineRule="atLeast"/>
      <w:textAlignment w:val="baseline"/>
    </w:pPr>
    <w:rPr>
      <w:color w:val="000000"/>
      <w:kern w:val="0"/>
      <w:szCs w:val="20"/>
      <w:u w:val="none" w:color="000000"/>
    </w:rPr>
  </w:style>
  <w:style w:type="paragraph" w:styleId="44">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
    <w:link w:val="839"/>
    <w:qFormat/>
    <w:uiPriority w:val="0"/>
    <w:pPr>
      <w:adjustRightInd/>
      <w:spacing w:before="60" w:after="60" w:line="300" w:lineRule="exact"/>
    </w:pPr>
    <w:rPr>
      <w:rFonts w:ascii="Calibri"/>
      <w:color w:val="0000FF"/>
      <w:kern w:val="0"/>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33"/>
    <w:qFormat/>
    <w:uiPriority w:val="0"/>
    <w:pPr>
      <w:spacing w:after="120" w:line="480" w:lineRule="auto"/>
    </w:pPr>
  </w:style>
  <w:style w:type="paragraph" w:styleId="60">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17"/>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4"/>
    <w:next w:val="24"/>
    <w:link w:val="64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next w:val="1"/>
    <w:qFormat/>
    <w:uiPriority w:val="0"/>
    <w:pPr>
      <w:spacing w:before="280" w:after="280" w:line="100" w:lineRule="exact"/>
      <w:jc w:val="center"/>
    </w:pPr>
    <w:rPr>
      <w:rFonts w:ascii="宋体"/>
      <w:b/>
      <w:sz w:val="20"/>
    </w:rPr>
  </w:style>
  <w:style w:type="paragraph" w:customStyle="1" w:styleId="8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78"/>
    <w:qFormat/>
    <w:uiPriority w:val="0"/>
    <w:pPr>
      <w:spacing w:before="156" w:line="360" w:lineRule="auto"/>
      <w:ind w:firstLine="510" w:firstLineChars="200"/>
    </w:pPr>
    <w:rPr>
      <w:sz w:val="24"/>
      <w:szCs w:val="20"/>
    </w:rPr>
  </w:style>
  <w:style w:type="paragraph" w:customStyle="1" w:styleId="88">
    <w:name w:val="无间隔1"/>
    <w:link w:val="686"/>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94"/>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1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39"/>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next w:val="99"/>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样式"/>
    <w:basedOn w:val="1"/>
    <w:link w:val="781"/>
    <w:qFormat/>
    <w:uiPriority w:val="0"/>
    <w:pPr>
      <w:adjustRightInd/>
      <w:spacing w:line="360" w:lineRule="auto"/>
      <w:ind w:firstLine="480" w:firstLineChars="200"/>
    </w:pPr>
    <w:rPr>
      <w:kern w:val="0"/>
      <w:sz w:val="24"/>
    </w:rPr>
  </w:style>
  <w:style w:type="paragraph" w:customStyle="1" w:styleId="101">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表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12"/>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34"/>
    <w:qFormat/>
    <w:uiPriority w:val="0"/>
    <w:pPr>
      <w:tabs>
        <w:tab w:val="left" w:pos="2356"/>
      </w:tabs>
    </w:pPr>
  </w:style>
  <w:style w:type="paragraph" w:customStyle="1" w:styleId="106">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47"/>
    <w:qFormat/>
    <w:uiPriority w:val="0"/>
    <w:pPr>
      <w:adjustRightInd/>
    </w:pPr>
    <w:rPr>
      <w:rFonts w:ascii="宋体" w:hAnsi="Courier New"/>
      <w:kern w:val="0"/>
      <w:sz w:val="20"/>
      <w:szCs w:val="20"/>
    </w:rPr>
  </w:style>
  <w:style w:type="paragraph" w:customStyle="1" w:styleId="109">
    <w:name w:val="正文说明"/>
    <w:basedOn w:val="1"/>
    <w:link w:val="859"/>
    <w:qFormat/>
    <w:uiPriority w:val="0"/>
    <w:pPr>
      <w:adjustRightInd/>
      <w:spacing w:line="360" w:lineRule="auto"/>
    </w:pPr>
    <w:rPr>
      <w:kern w:val="0"/>
      <w:sz w:val="24"/>
    </w:rPr>
  </w:style>
  <w:style w:type="paragraph" w:customStyle="1" w:styleId="110">
    <w:name w:val="Table Text"/>
    <w:basedOn w:val="1"/>
    <w:link w:val="865"/>
    <w:qFormat/>
    <w:uiPriority w:val="0"/>
    <w:pPr>
      <w:widowControl/>
      <w:spacing w:before="60" w:after="60"/>
      <w:jc w:val="left"/>
    </w:pPr>
    <w:rPr>
      <w:kern w:val="0"/>
      <w:sz w:val="24"/>
    </w:rPr>
  </w:style>
  <w:style w:type="paragraph" w:customStyle="1" w:styleId="111">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6"/>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25"/>
    <w:next w:val="125"/>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25">
    <w:name w:val="第一部分"/>
    <w:basedOn w:val="1"/>
    <w:qFormat/>
    <w:uiPriority w:val="0"/>
    <w:pPr>
      <w:jc w:val="center"/>
    </w:pPr>
    <w:rPr>
      <w:b/>
      <w:sz w:val="36"/>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55"/>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6"/>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1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98"/>
    <w:next w:val="98"/>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98"/>
    <w:next w:val="98"/>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5"/>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0"/>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0"/>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3"/>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0"/>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0"/>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0">
    <w:name w:val="_Style 947"/>
    <w:basedOn w:val="1"/>
    <w:next w:val="103"/>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1"/>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大标题"/>
    <w:basedOn w:val="124"/>
    <w:qFormat/>
    <w:uiPriority w:val="0"/>
    <w:rPr>
      <w:szCs w:val="36"/>
    </w:rPr>
  </w:style>
  <w:style w:type="paragraph" w:customStyle="1" w:styleId="624">
    <w:name w:val="WPSOffice手动目录 1"/>
    <w:qFormat/>
    <w:uiPriority w:val="0"/>
    <w:rPr>
      <w:rFonts w:ascii="Times New Roman" w:hAnsi="Times New Roman" w:eastAsia="宋体" w:cs="Times New Roman"/>
      <w:lang w:val="en-US" w:eastAsia="zh-CN" w:bidi="ar-SA"/>
    </w:rPr>
  </w:style>
  <w:style w:type="paragraph" w:customStyle="1" w:styleId="62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正文首行缩进 21"/>
    <w:basedOn w:val="17"/>
    <w:qFormat/>
    <w:uiPriority w:val="0"/>
    <w:pPr>
      <w:adjustRightInd/>
      <w:spacing w:before="100" w:beforeAutospacing="1" w:after="120" w:line="240" w:lineRule="auto"/>
      <w:ind w:left="420" w:leftChars="200" w:firstLine="210"/>
    </w:pPr>
    <w:rPr>
      <w:sz w:val="21"/>
      <w:szCs w:val="21"/>
    </w:rPr>
  </w:style>
  <w:style w:type="paragraph" w:customStyle="1" w:styleId="630">
    <w:name w:val="Body Text Indent1"/>
    <w:qFormat/>
    <w:uiPriority w:val="0"/>
    <w:pPr>
      <w:widowControl w:val="0"/>
      <w:ind w:firstLine="602"/>
      <w:jc w:val="both"/>
    </w:pPr>
    <w:rPr>
      <w:rFonts w:ascii="Times New Roman" w:hAnsi="Times New Roman" w:eastAsia="宋体" w:cs="Times New Roman"/>
      <w:b/>
      <w:kern w:val="2"/>
      <w:sz w:val="21"/>
      <w:szCs w:val="24"/>
      <w:lang w:val="en-US" w:eastAsia="zh-CN" w:bidi="ar-SA"/>
    </w:rPr>
  </w:style>
  <w:style w:type="paragraph" w:customStyle="1" w:styleId="631">
    <w:name w:val="List Paragraph"/>
    <w:basedOn w:val="1"/>
    <w:qFormat/>
    <w:uiPriority w:val="99"/>
    <w:pPr>
      <w:adjustRightInd/>
      <w:ind w:firstLine="420" w:firstLineChars="200"/>
    </w:pPr>
    <w:rPr>
      <w:rFonts w:ascii="等线" w:hAnsi="等线" w:eastAsia="等线"/>
      <w:szCs w:val="22"/>
    </w:rPr>
  </w:style>
  <w:style w:type="paragraph" w:customStyle="1" w:styleId="632">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33">
    <w:name w:val="列出段落12"/>
    <w:basedOn w:val="1"/>
    <w:qFormat/>
    <w:uiPriority w:val="0"/>
    <w:pPr>
      <w:adjustRightInd/>
      <w:ind w:firstLine="420" w:firstLineChars="200"/>
    </w:pPr>
    <w:rPr>
      <w:rFonts w:ascii="Calibri" w:hAnsi="Calibri"/>
      <w:szCs w:val="22"/>
    </w:rPr>
  </w:style>
  <w:style w:type="paragraph" w:customStyle="1" w:styleId="634">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635">
    <w:name w:val="表格非标题文字 Char"/>
    <w:link w:val="82"/>
    <w:qFormat/>
    <w:uiPriority w:val="0"/>
    <w:rPr>
      <w:rFonts w:ascii="Futura Bk" w:hAnsi="Futura Bk"/>
      <w:kern w:val="2"/>
      <w:sz w:val="18"/>
      <w:szCs w:val="21"/>
      <w:lang w:val="en-US" w:eastAsia="zh-CN" w:bidi="ar-SA"/>
    </w:rPr>
  </w:style>
  <w:style w:type="character" w:customStyle="1" w:styleId="636">
    <w:name w:val="*正文 Char"/>
    <w:link w:val="8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8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3"/>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8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86"/>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文本首行缩进 2 字符"/>
    <w:qFormat/>
    <w:uiPriority w:val="0"/>
    <w:rPr>
      <w:rFonts w:ascii="宋体" w:hAnsi="宋体"/>
      <w:kern w:val="2"/>
      <w:sz w:val="21"/>
      <w:szCs w:val="24"/>
    </w:rPr>
  </w:style>
  <w:style w:type="character" w:customStyle="1" w:styleId="670">
    <w:name w:val="font11"/>
    <w:basedOn w:val="7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1"/>
    <w:qFormat/>
    <w:uiPriority w:val="0"/>
    <w:rPr>
      <w:rFonts w:ascii="Arial" w:hAnsi="Arial" w:eastAsia="黑体" w:cs="Arial"/>
      <w:snapToGrid w:val="0"/>
      <w:kern w:val="0"/>
      <w:szCs w:val="21"/>
    </w:rPr>
  </w:style>
  <w:style w:type="character" w:customStyle="1" w:styleId="67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87"/>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Char"/>
    <w:link w:val="50"/>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88"/>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Char"/>
    <w:link w:val="7"/>
    <w:qFormat/>
    <w:uiPriority w:val="0"/>
    <w:rPr>
      <w:rFonts w:ascii="Arial" w:hAnsi="Arial" w:eastAsia="黑体"/>
      <w:b/>
      <w:bCs/>
      <w:kern w:val="2"/>
      <w:sz w:val="24"/>
      <w:szCs w:val="24"/>
    </w:rPr>
  </w:style>
  <w:style w:type="character" w:customStyle="1" w:styleId="694">
    <w:name w:val="纯文本 Char_0"/>
    <w:link w:val="89"/>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91"/>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92"/>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Char"/>
    <w:link w:val="38"/>
    <w:qFormat/>
    <w:uiPriority w:val="0"/>
    <w:rPr>
      <w:rFonts w:ascii="宋体"/>
      <w:kern w:val="2"/>
      <w:sz w:val="24"/>
      <w:szCs w:val="21"/>
      <w:lang w:val="zh-CN"/>
    </w:rPr>
  </w:style>
  <w:style w:type="character" w:customStyle="1" w:styleId="724">
    <w:name w:val="标题 9 Char"/>
    <w:link w:val="10"/>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Char"/>
    <w:link w:val="41"/>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93"/>
    <w:qFormat/>
    <w:locked/>
    <w:uiPriority w:val="0"/>
    <w:rPr>
      <w:rFonts w:ascii="Tahoma" w:hAnsi="Tahoma"/>
      <w:sz w:val="24"/>
      <w:szCs w:val="24"/>
    </w:rPr>
  </w:style>
  <w:style w:type="character" w:customStyle="1" w:styleId="734">
    <w:name w:val="正文缩进 Char2"/>
    <w:link w:val="16"/>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99"/>
    <w:rPr>
      <w:rFonts w:ascii="宋体" w:hAnsi="Courier New" w:eastAsia="宋体" w:cs="Arial"/>
      <w:snapToGrid w:val="0"/>
      <w:kern w:val="2"/>
      <w:sz w:val="21"/>
      <w:szCs w:val="21"/>
      <w:lang w:val="en-US" w:eastAsia="zh-CN" w:bidi="ar-SA"/>
    </w:rPr>
  </w:style>
  <w:style w:type="character" w:customStyle="1" w:styleId="739">
    <w:name w:val="3级 Char"/>
    <w:link w:val="94"/>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Char1"/>
    <w:link w:val="23"/>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1"/>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Char"/>
    <w:link w:val="32"/>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96"/>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97"/>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Char"/>
    <w:link w:val="21"/>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8"/>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0"/>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1"/>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2"/>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Char3"/>
    <w:link w:val="17"/>
    <w:qFormat/>
    <w:uiPriority w:val="0"/>
    <w:rPr>
      <w:rFonts w:ascii="宋体" w:hAnsi="宋体"/>
      <w:kern w:val="2"/>
      <w:sz w:val="24"/>
      <w:szCs w:val="24"/>
    </w:rPr>
  </w:style>
  <w:style w:type="character" w:customStyle="1" w:styleId="798">
    <w:name w:val="font01"/>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99"/>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04"/>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Char"/>
    <w:link w:val="3"/>
    <w:qFormat/>
    <w:uiPriority w:val="9"/>
    <w:rPr>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Char2"/>
    <w:link w:val="62"/>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Char"/>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Char"/>
    <w:link w:val="25"/>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Char"/>
    <w:link w:val="60"/>
    <w:qFormat/>
    <w:uiPriority w:val="0"/>
    <w:rPr>
      <w:rFonts w:ascii="黑体" w:hAnsi="Courier New" w:eastAsia="黑体"/>
    </w:rPr>
  </w:style>
  <w:style w:type="character" w:customStyle="1" w:styleId="833">
    <w:name w:val="正文文本 2 Char1"/>
    <w:link w:val="59"/>
    <w:qFormat/>
    <w:uiPriority w:val="0"/>
    <w:rPr>
      <w:kern w:val="2"/>
      <w:sz w:val="21"/>
      <w:szCs w:val="24"/>
    </w:rPr>
  </w:style>
  <w:style w:type="character" w:customStyle="1" w:styleId="834">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Char"/>
    <w:link w:val="8"/>
    <w:qFormat/>
    <w:uiPriority w:val="0"/>
    <w:rPr>
      <w:b/>
      <w:bCs/>
      <w:kern w:val="2"/>
      <w:sz w:val="24"/>
      <w:szCs w:val="24"/>
    </w:rPr>
  </w:style>
  <w:style w:type="character" w:customStyle="1" w:styleId="837">
    <w:name w:val="正文文本缩进 2 Char"/>
    <w:link w:val="39"/>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Char"/>
    <w:link w:val="53"/>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07"/>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08"/>
    <w:qFormat/>
    <w:uiPriority w:val="0"/>
    <w:rPr>
      <w:rFonts w:ascii="宋体" w:hAnsi="Courier New"/>
    </w:rPr>
  </w:style>
  <w:style w:type="character" w:customStyle="1" w:styleId="848">
    <w:name w:val="正文首行缩进 Char"/>
    <w:link w:val="19"/>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Char2"/>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Char"/>
    <w:link w:val="26"/>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09"/>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0"/>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Char1"/>
    <w:link w:val="24"/>
    <w:qFormat/>
    <w:uiPriority w:val="99"/>
    <w:rPr>
      <w:kern w:val="2"/>
      <w:sz w:val="21"/>
      <w:szCs w:val="24"/>
    </w:rPr>
  </w:style>
  <w:style w:type="character" w:customStyle="1" w:styleId="870">
    <w:name w:val="签名 Char"/>
    <w:link w:val="45"/>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1"/>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2"/>
    <w:qFormat/>
    <w:uiPriority w:val="0"/>
    <w:rPr>
      <w:rFonts w:ascii="宋体"/>
    </w:rPr>
  </w:style>
  <w:style w:type="character" w:customStyle="1" w:styleId="881">
    <w:name w:val="标题 8 Char"/>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Char"/>
    <w:link w:val="56"/>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13"/>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Char2"/>
    <w:link w:val="42"/>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14"/>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Char2"/>
    <w:link w:val="44"/>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15"/>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16"/>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17"/>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18"/>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9"/>
    <w:rPr>
      <w:rFonts w:ascii="Arial" w:hAnsi="Arial" w:eastAsia="黑体" w:cs="Arial"/>
      <w:b/>
      <w:bCs/>
      <w:snapToGrid w:val="0"/>
      <w:kern w:val="44"/>
      <w:sz w:val="44"/>
      <w:szCs w:val="44"/>
    </w:rPr>
  </w:style>
  <w:style w:type="character" w:customStyle="1" w:styleId="938">
    <w:name w:val="style36"/>
    <w:basedOn w:val="71"/>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19"/>
    <w:qFormat/>
    <w:uiPriority w:val="0"/>
    <w:rPr>
      <w:rFonts w:cs="宋体"/>
      <w:kern w:val="2"/>
      <w:sz w:val="24"/>
    </w:rPr>
  </w:style>
  <w:style w:type="character" w:customStyle="1" w:styleId="946">
    <w:name w:val="正文文本 Char1"/>
    <w:link w:val="20"/>
    <w:qFormat/>
    <w:uiPriority w:val="0"/>
    <w:rPr>
      <w:rFonts w:ascii="宋体" w:hAnsi="Arial" w:eastAsia="宋体" w:cs="Arial"/>
      <w:snapToGrid w:val="0"/>
      <w:kern w:val="2"/>
      <w:sz w:val="24"/>
      <w:szCs w:val="21"/>
      <w:lang w:val="zh-CN" w:eastAsia="zh-CN" w:bidi="ar-SA"/>
    </w:rPr>
  </w:style>
  <w:style w:type="character" w:customStyle="1" w:styleId="947">
    <w:name w:val="gray6"/>
    <w:basedOn w:val="71"/>
    <w:qFormat/>
    <w:uiPriority w:val="0"/>
    <w:rPr>
      <w:rFonts w:ascii="Arial" w:hAnsi="Arial" w:eastAsia="黑体" w:cs="Arial"/>
      <w:snapToGrid w:val="0"/>
      <w:kern w:val="0"/>
      <w:szCs w:val="21"/>
    </w:rPr>
  </w:style>
  <w:style w:type="character" w:customStyle="1" w:styleId="948">
    <w:name w:val="hui"/>
    <w:basedOn w:val="71"/>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Char"/>
    <w:link w:val="40"/>
    <w:qFormat/>
    <w:uiPriority w:val="0"/>
    <w:rPr>
      <w:kern w:val="2"/>
      <w:sz w:val="21"/>
      <w:szCs w:val="24"/>
      <w:lang w:val="zh-CN"/>
    </w:rPr>
  </w:style>
  <w:style w:type="character" w:customStyle="1" w:styleId="955">
    <w:name w:val="无间隔 字符"/>
    <w:link w:val="170"/>
    <w:qFormat/>
    <w:uiPriority w:val="99"/>
    <w:rPr>
      <w:kern w:val="2"/>
      <w:sz w:val="21"/>
      <w:szCs w:val="22"/>
    </w:rPr>
  </w:style>
  <w:style w:type="character" w:customStyle="1" w:styleId="956">
    <w:name w:val="标准文本 Char Char"/>
    <w:link w:val="609"/>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99"/>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1"/>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character" w:customStyle="1" w:styleId="973">
    <w:name w:val="未处理的提及2"/>
    <w:basedOn w:val="71"/>
    <w:unhideWhenUsed/>
    <w:qFormat/>
    <w:uiPriority w:val="99"/>
    <w:rPr>
      <w:color w:val="605E5C"/>
      <w:shd w:val="clear" w:color="auto" w:fill="E1DFDD"/>
    </w:rPr>
  </w:style>
  <w:style w:type="character" w:customStyle="1" w:styleId="974">
    <w:name w:val="未处理的提及3"/>
    <w:basedOn w:val="71"/>
    <w:unhideWhenUsed/>
    <w:qFormat/>
    <w:uiPriority w:val="99"/>
    <w:rPr>
      <w:color w:val="605E5C"/>
      <w:shd w:val="clear" w:color="auto" w:fill="E1DFDD"/>
    </w:rPr>
  </w:style>
  <w:style w:type="character" w:customStyle="1" w:styleId="975">
    <w:name w:val="未处理的提及4"/>
    <w:basedOn w:val="71"/>
    <w:unhideWhenUsed/>
    <w:qFormat/>
    <w:uiPriority w:val="99"/>
    <w:rPr>
      <w:color w:val="605E5C"/>
      <w:shd w:val="clear" w:color="auto" w:fill="E1DFDD"/>
    </w:rPr>
  </w:style>
  <w:style w:type="character" w:customStyle="1" w:styleId="976">
    <w:name w:val="未处理的提及5"/>
    <w:basedOn w:val="71"/>
    <w:unhideWhenUsed/>
    <w:qFormat/>
    <w:uiPriority w:val="99"/>
    <w:rPr>
      <w:color w:val="605E5C"/>
      <w:shd w:val="clear" w:color="auto" w:fill="E1DFDD"/>
    </w:rPr>
  </w:style>
  <w:style w:type="character" w:customStyle="1" w:styleId="977">
    <w:name w:val="17"/>
    <w:basedOn w:val="71"/>
    <w:qFormat/>
    <w:uiPriority w:val="0"/>
    <w:rPr>
      <w:rFonts w:hint="default" w:ascii="Calibri" w:hAnsi="Calibri"/>
    </w:rPr>
  </w:style>
  <w:style w:type="character" w:customStyle="1" w:styleId="978">
    <w:name w:val="18"/>
    <w:basedOn w:val="71"/>
    <w:qFormat/>
    <w:uiPriority w:val="0"/>
    <w:rPr>
      <w:rFonts w:hint="default" w:ascii="Calibri" w:hAnsi="Calibri"/>
    </w:rPr>
  </w:style>
  <w:style w:type="character" w:customStyle="1" w:styleId="979">
    <w:name w:val="正文首行缩进 2 Char"/>
    <w:link w:val="18"/>
    <w:qFormat/>
    <w:uiPriority w:val="0"/>
    <w:rPr>
      <w:rFonts w:hint="default" w:ascii="Calibri" w:hAnsi="Calibri" w:eastAsia="宋体" w:cs="Times New Roman"/>
      <w:kern w:val="2"/>
      <w:sz w:val="21"/>
      <w:szCs w:val="22"/>
    </w:rPr>
  </w:style>
  <w:style w:type="table" w:customStyle="1" w:styleId="98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7"/>
    <w:basedOn w:val="64"/>
    <w:unhideWhenUsed/>
    <w:qFormat/>
    <w:uiPriority w:val="0"/>
    <w:rPr>
      <w:rFonts w:ascii="MingLiU" w:hAnsi="MingLiU" w:cs="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11"/>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网格型8"/>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12"/>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21"/>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31"/>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网格型32"/>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3">
    <w:name w:val="Plain Text"/>
    <w:basedOn w:val="1"/>
    <w:qFormat/>
    <w:uiPriority w:val="0"/>
    <w:pPr>
      <w:spacing w:before="156" w:beforeLines="50" w:after="156" w:afterLines="50" w:line="400" w:lineRule="exact"/>
    </w:pPr>
    <w:rPr>
      <w:rFonts w:ascii="宋体" w:hAnsi="Courier New"/>
      <w:sz w:val="24"/>
    </w:rPr>
  </w:style>
  <w:style w:type="paragraph" w:customStyle="1" w:styleId="994">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6" textRotate="1"/>
    <customShpInfo spid="_x0000_s2057" textRotate="1"/>
    <customShpInfo spid="_x0000_s2058" textRotate="1"/>
    <customShpInfo spid="_x0000_s2059"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51</Pages>
  <Words>26155</Words>
  <Characters>27321</Characters>
  <Lines>211</Lines>
  <Paragraphs>59</Paragraphs>
  <TotalTime>38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2022-04-08T14:08:00Z</dcterms:created>
  <dc:creator>玥</dc:creator>
  <cp:lastModifiedBy>成燕</cp:lastModifiedBy>
  <cp:lastPrinted>2023-09-08T13:55:10Z</cp:lastPrinted>
  <dcterms:modified xsi:type="dcterms:W3CDTF">2023-09-08T14:07:26Z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6815014594674627AEF42D9AB662AA12</vt:lpwstr>
  </property>
</Properties>
</file>