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z w:val="72"/>
          <w:szCs w:val="72"/>
          <w:highlight w:val="none"/>
          <w:lang w:val="en-US" w:eastAsia="zh-CN"/>
        </w:rPr>
      </w:pPr>
      <w:r>
        <w:rPr>
          <w:color w:val="auto"/>
          <w:sz w:val="72"/>
          <w:highlight w:val="none"/>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038"/>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038"/>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7"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7"/>
                        <a:stretch/>
                      </pic:blipFill>
                      <pic:spPr bwMode="auto">
                        <a:xfrm>
                          <a:off x="0" y="0"/>
                          <a:ext cx="2629535" cy="23247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0pt;height:183.0pt;mso-wrap-distance-left:0.0pt;mso-wrap-distance-top:0.0pt;mso-wrap-distance-right:0.0pt;mso-wrap-distance-bottom:0.0pt;" stroked="f">
                <v:path textboxrect="0,0,0,0"/>
                <v:imagedata r:id="rId17"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：JSZC-320000-JZCZ-G2024-0039</w:t>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放射科一体化阅片中心设备</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宋体" w:hAnsi="宋体"/>
          <w:b/>
          <w:bCs/>
          <w:color w:val="auto"/>
          <w:sz w:val="32"/>
          <w:szCs w:val="32"/>
          <w:highlight w:val="none"/>
          <w:lang w:val="en-US" w:eastAsia="zh-CN"/>
        </w:rPr>
        <w:t xml:space="preserve">货物</w:t>
      </w:r>
      <w:r>
        <w:rPr>
          <w:rFonts w:hint="eastAsia" w:ascii="宋体" w:hAnsi="宋体"/>
          <w:b/>
          <w:bCs/>
          <w:color w:val="auto"/>
          <w:sz w:val="32"/>
          <w:szCs w:val="32"/>
          <w:highlight w:val="none"/>
        </w:rPr>
        <w:t xml:space="preserve">类</w:t>
      </w:r>
      <w:r/>
    </w:p>
    <w:p>
      <w:pPr>
        <w:pStyle w:val="1028"/>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四</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七</w:t>
      </w:r>
      <w:r>
        <w:rPr>
          <w:rFonts w:hint="eastAsia" w:asciiTheme="minorEastAsia" w:hAnsiTheme="minorEastAsia" w:eastAsiaTheme="minorEastAsia" w:cstheme="minorEastAsia"/>
          <w:b/>
          <w:color w:val="auto"/>
          <w:sz w:val="32"/>
          <w:szCs w:val="32"/>
          <w:highlight w:val="none"/>
        </w:rPr>
        <w:t xml:space="preserve">月</w:t>
      </w:r>
      <w:r/>
    </w:p>
    <w:p>
      <w:pPr>
        <w:pStyle w:val="1039"/>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028"/>
        <w:tabs>
          <w:tab w:val="right" w:pos="9746" w:leader="dot"/>
        </w:tabs>
        <w:rPr>
          <w:rFonts w:hint="eastAsia" w:ascii="宋体" w:hAnsi="宋体" w:eastAsia="宋体" w:cs="宋体"/>
          <w:color w:val="auto"/>
          <w:sz w:val="28"/>
          <w:szCs w:val="28"/>
          <w:highlight w:val="none"/>
        </w:rPr>
      </w:pPr>
      <w:r>
        <w:rPr>
          <w:rStyle w:val="1040"/>
          <w:rFonts w:hint="eastAsia" w:ascii="宋体" w:hAnsi="宋体" w:eastAsia="宋体" w:cs="宋体"/>
          <w:color w:val="auto"/>
          <w:sz w:val="28"/>
          <w:szCs w:val="28"/>
          <w:highlight w:val="none"/>
        </w:rPr>
        <w:fldChar w:fldCharType="begin"/>
      </w:r>
      <w:r>
        <w:rPr>
          <w:rStyle w:val="1040"/>
          <w:rFonts w:hint="eastAsia" w:ascii="宋体" w:hAnsi="宋体" w:eastAsia="宋体" w:cs="宋体"/>
          <w:color w:val="auto"/>
          <w:sz w:val="28"/>
          <w:szCs w:val="28"/>
          <w:highlight w:val="none"/>
        </w:rPr>
        <w:instrText xml:space="preserve">TOC \o "1-1" \h \u </w:instrText>
      </w:r>
      <w:r>
        <w:rPr>
          <w:rStyle w:val="1040"/>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8"/>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1028"/>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_Toc14457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p>
    <w:p>
      <w:pPr>
        <w:pStyle w:val="1028"/>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1028"/>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_Toc3099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bookmarkStart w:id="31" w:name="_GoBack"/>
      <w:r/>
      <w:bookmarkEnd w:id="31"/>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1028"/>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7</w:t>
      </w:r>
      <w:r/>
    </w:p>
    <w:p>
      <w:pPr>
        <w:pStyle w:val="1028"/>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_Toc24617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44"/>
          <w:szCs w:val="44"/>
          <w:highlight w:val="none"/>
        </w:rPr>
        <w:sectPr>
          <w:footerReference w:type="default" r:id="rId11"/>
          <w:footnotePr/>
          <w:endnotePr/>
          <w:type w:val="nextPage"/>
          <w:pgSz w:w="11906" w:h="16838" w:orient="portrait"/>
          <w:pgMar w:top="1440" w:right="1080" w:bottom="1440" w:left="1080" w:header="624" w:footer="680" w:gutter="0"/>
          <w:cols w:num="1" w:sep="0" w:space="720" w:equalWidth="1"/>
          <w:docGrid w:linePitch="360"/>
          <w:titlePg/>
        </w:sectPr>
        <w:outlineLvl w:val="0"/>
      </w:pPr>
      <w:r>
        <w:rPr>
          <w:rFonts w:hint="eastAsia" w:asciiTheme="minorEastAsia" w:hAnsiTheme="minorEastAsia" w:eastAsiaTheme="minorEastAsia" w:cstheme="minorEastAsia"/>
          <w:b/>
          <w:color w:val="auto"/>
          <w:sz w:val="44"/>
          <w:szCs w:val="44"/>
          <w:highlight w:val="none"/>
        </w:rPr>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6152"/>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16"/>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JSZC-320000-JZCZ-G2024-0039</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放射科一体化阅片中心设备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color w:val="auto"/>
                <w:szCs w:val="22"/>
                <w:highlight w:val="none"/>
              </w:rPr>
              <w:outlineLvl w:val="9"/>
            </w:pPr>
            <w:r>
              <w:rPr>
                <w:rFonts w:hint="eastAsia"/>
                <w:color w:val="auto"/>
                <w:szCs w:val="22"/>
                <w:highlight w:val="none"/>
              </w:rPr>
              <w:t xml:space="preserve">正本份数为一份     副本份数为四份</w:t>
            </w:r>
            <w:r/>
          </w:p>
          <w:p>
            <w:pPr>
              <w:keepLines w:val="0"/>
              <w:keepNext w:val="0"/>
              <w:pageBreakBefore w:val="0"/>
              <w:spacing w:line="360" w:lineRule="auto"/>
              <w:widowControl w:val="off"/>
              <w:rPr>
                <w:rFonts w:hint="eastAsia"/>
                <w:color w:val="auto"/>
                <w:szCs w:val="22"/>
                <w:highlight w:val="none"/>
              </w:rPr>
              <w:outlineLvl w:val="9"/>
            </w:pPr>
            <w:r>
              <w:rPr>
                <w:rFonts w:hint="eastAsia"/>
                <w:color w:val="auto"/>
                <w:szCs w:val="22"/>
                <w:highlight w:val="none"/>
              </w:rPr>
              <w:t xml:space="preserve">全套投标文件包括：</w:t>
            </w:r>
            <w:r/>
          </w:p>
          <w:p>
            <w:pPr>
              <w:keepLines w:val="0"/>
              <w:keepNext w:val="0"/>
              <w:pageBreakBefore w:val="0"/>
              <w:spacing w:line="360" w:lineRule="auto"/>
              <w:widowControl w:val="off"/>
              <w:rPr>
                <w:rFonts w:hint="eastAsia"/>
                <w:color w:val="auto"/>
                <w:szCs w:val="22"/>
                <w:highlight w:val="none"/>
              </w:rPr>
              <w:outlineLvl w:val="9"/>
            </w:pPr>
            <w:r>
              <w:rPr>
                <w:rFonts w:hint="eastAsia"/>
                <w:color w:val="auto"/>
                <w:szCs w:val="22"/>
                <w:highlight w:val="none"/>
              </w:rPr>
              <w:t xml:space="preserve">投标书一（报价部分）一正四副</w:t>
            </w:r>
            <w:r/>
          </w:p>
          <w:p>
            <w:pPr>
              <w:keepLines w:val="0"/>
              <w:keepNext w:val="0"/>
              <w:pageBreakBefore w:val="0"/>
              <w:spacing w:line="360" w:lineRule="auto"/>
              <w:widowControl w:val="off"/>
              <w:rPr>
                <w:rFonts w:hint="eastAsia"/>
                <w:color w:val="auto"/>
                <w:szCs w:val="22"/>
                <w:highlight w:val="none"/>
              </w:rPr>
              <w:outlineLvl w:val="9"/>
            </w:pPr>
            <w:r>
              <w:rPr>
                <w:rFonts w:hint="eastAsia"/>
                <w:color w:val="auto"/>
                <w:szCs w:val="22"/>
                <w:highlight w:val="none"/>
              </w:rPr>
              <w:t xml:space="preserve">投标书二（资格及技术部分）一正四副</w:t>
            </w:r>
            <w:r/>
          </w:p>
          <w:p>
            <w:pPr>
              <w:keepLines w:val="0"/>
              <w:keepNext w:val="0"/>
              <w:pageBreakBefore w:val="0"/>
              <w:spacing w:line="360" w:lineRule="auto"/>
              <w:widowControl w:val="off"/>
              <w:rPr>
                <w:rFonts w:hint="eastAsia"/>
                <w:color w:val="auto"/>
                <w:szCs w:val="22"/>
                <w:highlight w:val="none"/>
              </w:rPr>
              <w:outlineLvl w:val="9"/>
            </w:pPr>
            <w:r>
              <w:rPr>
                <w:rFonts w:hint="eastAsia"/>
                <w:color w:val="auto"/>
                <w:szCs w:val="22"/>
                <w:highlight w:val="none"/>
              </w:rPr>
              <w:t xml:space="preserve">另提供一份电</w:t>
            </w:r>
            <w:r>
              <w:rPr>
                <w:rFonts w:hint="eastAsia" w:ascii="宋体" w:hAnsi="宋体" w:eastAsia="宋体" w:cs="宋体"/>
                <w:color w:val="auto"/>
                <w:szCs w:val="22"/>
                <w:highlight w:val="none"/>
              </w:rPr>
              <w:t xml:space="preserve">子投标书（U盘存</w:t>
            </w:r>
            <w:r>
              <w:rPr>
                <w:rFonts w:hint="eastAsia"/>
                <w:color w:val="auto"/>
                <w:szCs w:val="22"/>
                <w:highlight w:val="none"/>
              </w:rPr>
              <w:t xml:space="preserve">储</w:t>
            </w:r>
            <w:r>
              <w:rPr>
                <w:rFonts w:hint="eastAsia" w:ascii="宋体" w:hAnsi="宋体" w:eastAsia="宋体" w:cs="宋体"/>
                <w:color w:val="auto"/>
                <w:szCs w:val="22"/>
                <w:highlight w:val="none"/>
              </w:rPr>
              <w:t xml:space="preserve">，格式为</w:t>
            </w:r>
            <w:r>
              <w:rPr>
                <w:rFonts w:hint="eastAsia" w:ascii="宋体" w:hAnsi="宋体" w:eastAsia="宋体" w:cs="宋体"/>
                <w:color w:val="auto"/>
                <w:szCs w:val="22"/>
                <w:highlight w:val="none"/>
                <w:lang w:val="en-US" w:eastAsia="zh-CN"/>
              </w:rPr>
              <w:t xml:space="preserve">盖章签字版PDF</w:t>
            </w:r>
            <w:r>
              <w:rPr>
                <w:rFonts w:hint="eastAsia" w:ascii="宋体" w:hAnsi="宋体" w:eastAsia="宋体" w:cs="宋体"/>
                <w:color w:val="auto"/>
                <w:szCs w:val="22"/>
                <w:highlight w:val="none"/>
              </w:rPr>
              <w:t xml:space="preserve">）</w:t>
            </w:r>
            <w:r/>
          </w:p>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b/>
                <w:bCs/>
                <w:color w:val="auto"/>
                <w:szCs w:val="22"/>
                <w:highlight w:val="none"/>
              </w:rPr>
              <w:t xml:space="preserve">备注：电子投标</w:t>
            </w:r>
            <w:r>
              <w:rPr>
                <w:rFonts w:hint="eastAsia"/>
                <w:b/>
                <w:bCs/>
                <w:color w:val="auto"/>
                <w:szCs w:val="22"/>
                <w:highlight w:val="none"/>
                <w:lang w:val="en-US" w:eastAsia="zh-CN"/>
              </w:rPr>
              <w:t xml:space="preserve">文件</w:t>
            </w:r>
            <w:r>
              <w:rPr>
                <w:rFonts w:hint="eastAsia"/>
                <w:b/>
                <w:bCs/>
                <w:color w:val="auto"/>
                <w:szCs w:val="22"/>
                <w:highlight w:val="none"/>
              </w:rPr>
              <w:t xml:space="preserve">须与投标</w:t>
            </w:r>
            <w:r>
              <w:rPr>
                <w:rFonts w:hint="eastAsia"/>
                <w:b/>
                <w:bCs/>
                <w:color w:val="auto"/>
                <w:szCs w:val="22"/>
                <w:highlight w:val="none"/>
                <w:lang w:val="en-US" w:eastAsia="zh-CN"/>
              </w:rPr>
              <w:t xml:space="preserve">文件</w:t>
            </w:r>
            <w:r>
              <w:rPr>
                <w:rFonts w:hint="eastAsia"/>
                <w:b/>
                <w:bCs/>
                <w:color w:val="auto"/>
                <w:szCs w:val="22"/>
                <w:highlight w:val="none"/>
              </w:rPr>
              <w:t xml:space="preserve">正本完全一致或为投标</w:t>
            </w:r>
            <w:r>
              <w:rPr>
                <w:rFonts w:hint="eastAsia"/>
                <w:b/>
                <w:bCs/>
                <w:color w:val="auto"/>
                <w:szCs w:val="22"/>
                <w:highlight w:val="none"/>
                <w:lang w:val="en-US" w:eastAsia="zh-CN"/>
              </w:rPr>
              <w:t xml:space="preserve">文件</w:t>
            </w:r>
            <w:r>
              <w:rPr>
                <w:rFonts w:hint="eastAsia"/>
                <w:b/>
                <w:bCs/>
                <w:color w:val="auto"/>
                <w:szCs w:val="22"/>
                <w:highlight w:val="none"/>
              </w:rPr>
              <w:t xml:space="preserve">正本扫描件，与投标文件一同递交。</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现场踏勘</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根据自身投标需要，投标人可对有关现场和周围环境自行进行踏勘，以获取编制投标文件和签署合同所需的信息，所发生的费用由投标人自己承担。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报名成功的</w:t>
            </w:r>
            <w:r>
              <w:rPr>
                <w:rFonts w:hint="eastAsia" w:asciiTheme="minorEastAsia" w:hAnsiTheme="minorEastAsia" w:eastAsiaTheme="minorEastAsia" w:cstheme="minorEastAsia"/>
                <w:color w:val="auto"/>
                <w:szCs w:val="24"/>
                <w:highlight w:val="none"/>
                <w:lang w:val="en-US" w:eastAsia="zh-CN"/>
              </w:rPr>
              <w:t xml:space="preserve">供应商</w:t>
            </w:r>
            <w:r>
              <w:rPr>
                <w:rFonts w:hint="eastAsia" w:asciiTheme="minorEastAsia" w:hAnsiTheme="minorEastAsia" w:eastAsiaTheme="minorEastAsia" w:cstheme="minorEastAsia"/>
                <w:color w:val="auto"/>
                <w:szCs w:val="24"/>
                <w:highlight w:val="none"/>
              </w:rPr>
              <w:t xml:space="preserve">在</w:t>
            </w:r>
            <w:r>
              <w:rPr>
                <w:rFonts w:hint="eastAsia" w:asciiTheme="minorEastAsia" w:hAnsiTheme="minorEastAsia" w:eastAsiaTheme="minorEastAsia" w:cstheme="minorEastAsia"/>
                <w:color w:val="auto"/>
                <w:szCs w:val="24"/>
                <w:highlight w:val="none"/>
                <w:lang w:val="en-US" w:eastAsia="zh-CN"/>
              </w:rPr>
              <w:t xml:space="preserve">领取</w:t>
            </w:r>
            <w:r>
              <w:rPr>
                <w:rFonts w:hint="eastAsia" w:asciiTheme="minorEastAsia" w:hAnsiTheme="minorEastAsia" w:eastAsiaTheme="minorEastAsia" w:cstheme="minorEastAsia"/>
                <w:color w:val="auto"/>
                <w:szCs w:val="24"/>
                <w:highlight w:val="none"/>
              </w:rPr>
              <w:t xml:space="preserve">招标文件后，对招标文件有疑问的：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询问：供应商认为</w:t>
            </w:r>
            <w:r>
              <w:rPr>
                <w:rFonts w:hint="eastAsia" w:asciiTheme="minorEastAsia" w:hAnsiTheme="minorEastAsia" w:eastAsiaTheme="minorEastAsia" w:cstheme="minorEastAsia"/>
                <w:color w:val="auto"/>
                <w:sz w:val="24"/>
                <w:szCs w:val="24"/>
                <w:highlight w:val="none"/>
                <w:lang w:eastAsia="zh-CN"/>
              </w:rPr>
              <w:t xml:space="preserve">招标文件有疑问的，可使用书面、电话等</w:t>
            </w:r>
            <w:r>
              <w:rPr>
                <w:rFonts w:hint="eastAsia" w:asciiTheme="minorEastAsia" w:hAnsiTheme="minorEastAsia" w:eastAsiaTheme="minorEastAsia" w:cstheme="minorEastAsia"/>
                <w:color w:val="auto"/>
                <w:sz w:val="24"/>
                <w:szCs w:val="24"/>
                <w:highlight w:val="none"/>
              </w:rPr>
              <w:t xml:space="preserve">形式向</w:t>
            </w:r>
            <w:r>
              <w:rPr>
                <w:rFonts w:hint="eastAsia" w:asciiTheme="minorEastAsia" w:hAnsiTheme="minorEastAsia" w:eastAsiaTheme="minorEastAsia" w:cstheme="minorEastAsia"/>
                <w:color w:val="auto"/>
                <w:sz w:val="24"/>
                <w:szCs w:val="24"/>
                <w:highlight w:val="none"/>
                <w:lang w:eastAsia="zh-CN"/>
              </w:rPr>
              <w:t xml:space="preserve">采购</w:t>
            </w:r>
            <w:r>
              <w:rPr>
                <w:rFonts w:hint="eastAsia" w:asciiTheme="minorEastAsia" w:hAnsiTheme="minorEastAsia" w:eastAsiaTheme="minorEastAsia" w:cstheme="minorEastAsia"/>
                <w:color w:val="auto"/>
                <w:sz w:val="24"/>
                <w:szCs w:val="24"/>
                <w:highlight w:val="none"/>
              </w:rPr>
              <w:t xml:space="preserve">代理机构提出</w:t>
            </w:r>
            <w:r>
              <w:rPr>
                <w:rFonts w:hint="eastAsia" w:asciiTheme="minorEastAsia" w:hAnsiTheme="minorEastAsia" w:eastAsiaTheme="minorEastAsia" w:cstheme="minorEastAsia"/>
                <w:color w:val="auto"/>
                <w:sz w:val="24"/>
                <w:szCs w:val="24"/>
                <w:highlight w:val="none"/>
                <w:lang w:eastAsia="zh-CN"/>
              </w:rPr>
              <w:t xml:space="preserve">询问</w:t>
            </w:r>
            <w:r>
              <w:rPr>
                <w:rFonts w:hint="eastAsia" w:asciiTheme="minorEastAsia" w:hAnsiTheme="minorEastAsia" w:eastAsiaTheme="minorEastAsia" w:cstheme="minorEastAsia"/>
                <w:color w:val="auto"/>
                <w:sz w:val="24"/>
                <w:szCs w:val="24"/>
                <w:highlight w:val="none"/>
              </w:rPr>
              <w:t xml:space="preserve">。代理机构</w:t>
            </w:r>
            <w:r>
              <w:rPr>
                <w:rFonts w:hint="eastAsia" w:asciiTheme="minorEastAsia" w:hAnsiTheme="minorEastAsia" w:eastAsiaTheme="minorEastAsia" w:cstheme="minorEastAsia"/>
                <w:color w:val="auto"/>
                <w:sz w:val="24"/>
                <w:szCs w:val="24"/>
                <w:highlight w:val="none"/>
                <w:lang w:eastAsia="zh-CN"/>
              </w:rPr>
              <w:t xml:space="preserve">在</w:t>
            </w:r>
            <w:r>
              <w:rPr>
                <w:rFonts w:hint="eastAsia" w:asciiTheme="minorEastAsia" w:hAnsiTheme="minorEastAsia" w:eastAsiaTheme="minorEastAsia" w:cstheme="minorEastAsia"/>
                <w:color w:val="auto"/>
                <w:sz w:val="24"/>
                <w:szCs w:val="24"/>
                <w:highlight w:val="none"/>
              </w:rPr>
              <w:t xml:space="preserve">收到询问后应在三个工作日内予以解答。</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质疑：供应商认为</w:t>
            </w:r>
            <w:r>
              <w:rPr>
                <w:rFonts w:hint="eastAsia" w:asciiTheme="minorEastAsia" w:hAnsiTheme="minorEastAsia" w:eastAsiaTheme="minorEastAsia" w:cstheme="minorEastAsia"/>
                <w:color w:val="auto"/>
                <w:sz w:val="24"/>
                <w:szCs w:val="24"/>
                <w:highlight w:val="none"/>
                <w:lang w:eastAsia="zh-CN"/>
              </w:rPr>
              <w:t xml:space="preserve">招标文件</w:t>
            </w:r>
            <w:r>
              <w:rPr>
                <w:rFonts w:hint="eastAsia" w:asciiTheme="minorEastAsia" w:hAnsiTheme="minorEastAsia" w:eastAsiaTheme="minorEastAsia" w:cstheme="minorEastAsia"/>
                <w:color w:val="auto"/>
                <w:sz w:val="24"/>
                <w:szCs w:val="24"/>
                <w:highlight w:val="none"/>
              </w:rPr>
              <w:t xml:space="preserve">、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供应商在法定质疑期内对同一采购程序环节存在质疑的，须一次性提出质疑事项。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其他未尽事项，请供应商参照《政府采购质疑和投诉办法》或其他相关法律法规。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联系单位：江苏纵驰工程管理有限公司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权威</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本项目不收取</w:t>
            </w:r>
            <w:r>
              <w:rPr>
                <w:rFonts w:hint="eastAsia" w:asciiTheme="minorEastAsia" w:hAnsiTheme="minorEastAsia" w:eastAsiaTheme="minorEastAsia" w:cstheme="minorEastAsia"/>
                <w:color w:val="auto"/>
                <w:szCs w:val="24"/>
                <w:highlight w:val="none"/>
                <w:u w:val="none"/>
                <w:lang w:val="en-US" w:eastAsia="zh-CN"/>
              </w:rPr>
              <w:t xml:space="preserve">投标</w:t>
            </w:r>
            <w:r>
              <w:rPr>
                <w:rFonts w:hint="eastAsia" w:asciiTheme="minorEastAsia" w:hAnsiTheme="minorEastAsia" w:eastAsiaTheme="minorEastAsia" w:cstheme="minorEastAsia"/>
                <w:color w:val="auto"/>
                <w:szCs w:val="24"/>
                <w:highlight w:val="none"/>
              </w:rPr>
              <w:t xml:space="preserve">保证金</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开始接收时间</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val="en-US" w:eastAsia="zh-CN" w:bidi="ar-SA"/>
              </w:rPr>
              <w:t xml:space="preserve">2024年</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月</w:t>
            </w:r>
            <w:r>
              <w:rPr>
                <w:rFonts w:hint="eastAsia" w:ascii="宋体" w:hAnsi="宋体" w:cs="宋体"/>
                <w:color w:val="auto"/>
                <w:sz w:val="24"/>
                <w:highlight w:val="none"/>
                <w:lang w:val="en-US" w:eastAsia="zh-CN" w:bidi="ar-SA"/>
              </w:rPr>
              <w:t xml:space="preserve">20</w:t>
            </w:r>
            <w:r>
              <w:rPr>
                <w:rFonts w:hint="eastAsia" w:ascii="宋体" w:hAnsi="宋体" w:eastAsia="宋体" w:cs="宋体"/>
                <w:color w:val="auto"/>
                <w:sz w:val="24"/>
                <w:highlight w:val="none"/>
                <w:lang w:val="en-US" w:eastAsia="zh-CN" w:bidi="ar-SA"/>
              </w:rPr>
              <w:t xml:space="preserve">日</w:t>
            </w:r>
            <w:r>
              <w:rPr>
                <w:rFonts w:hint="eastAsia" w:ascii="宋体" w:hAnsi="宋体" w:cs="宋体"/>
                <w:color w:val="auto"/>
                <w:sz w:val="24"/>
                <w:highlight w:val="none"/>
                <w:lang w:val="en-US" w:eastAsia="zh-CN" w:bidi="ar-SA"/>
              </w:rPr>
              <w:t xml:space="preserve">9</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0</w:t>
            </w:r>
            <w:r>
              <w:rPr>
                <w:rFonts w:hint="eastAsia" w:ascii="宋体" w:hAnsi="宋体" w:eastAsia="宋体" w:cs="宋体"/>
                <w:color w:val="auto"/>
                <w:sz w:val="24"/>
                <w:highlight w:val="none"/>
                <w:lang w:val="en-US" w:eastAsia="zh-CN" w:bidi="ar-SA"/>
              </w:rPr>
              <w:t xml:space="preserve">0（北京时间）</w:t>
            </w:r>
            <w:r/>
          </w:p>
        </w:tc>
      </w:tr>
      <w:tr>
        <w:trPr>
          <w:jc w:val="center"/>
          <w:trHeight w:val="562"/>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接收截止时间</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val="en-US" w:eastAsia="zh-CN" w:bidi="ar-SA"/>
              </w:rPr>
              <w:t xml:space="preserve">2024年</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月</w:t>
            </w:r>
            <w:r>
              <w:rPr>
                <w:rFonts w:hint="eastAsia" w:ascii="宋体" w:hAnsi="宋体" w:cs="宋体"/>
                <w:color w:val="auto"/>
                <w:sz w:val="24"/>
                <w:highlight w:val="none"/>
                <w:lang w:val="en-US" w:eastAsia="zh-CN" w:bidi="ar-SA"/>
              </w:rPr>
              <w:t xml:space="preserve">20</w:t>
            </w:r>
            <w:r>
              <w:rPr>
                <w:rFonts w:hint="eastAsia" w:ascii="宋体" w:hAnsi="宋体" w:eastAsia="宋体" w:cs="宋体"/>
                <w:color w:val="auto"/>
                <w:sz w:val="24"/>
                <w:highlight w:val="none"/>
                <w:lang w:val="en-US" w:eastAsia="zh-CN" w:bidi="ar-SA"/>
              </w:rPr>
              <w:t xml:space="preserve">日</w:t>
            </w:r>
            <w:r>
              <w:rPr>
                <w:rFonts w:hint="eastAsia" w:ascii="宋体" w:hAnsi="宋体" w:cs="宋体"/>
                <w:color w:val="auto"/>
                <w:sz w:val="24"/>
                <w:highlight w:val="none"/>
                <w:lang w:val="en-US" w:eastAsia="zh-CN" w:bidi="ar-SA"/>
              </w:rPr>
              <w:t xml:space="preserve">9</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0（北京时间）</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投标文件递交地点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lang w:eastAsia="zh-CN"/>
              </w:rPr>
              <w:t xml:space="preserve">苏州市相城区阳澄湖西路1299号万家邻里生活广场A2座10楼</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开标时间和地点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18"/>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w:t>
            </w:r>
            <w:r>
              <w:rPr>
                <w:rFonts w:hint="eastAsia"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w:t>
            </w: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北京时间）</w:t>
            </w:r>
            <w:r/>
          </w:p>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lang w:eastAsia="zh-CN"/>
              </w:rPr>
              <w:t xml:space="preserve">苏州市相城区阳澄湖西路1299号万家邻里生活广场A2座10楼</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default" w:asciiTheme="minorEastAsia" w:hAnsiTheme="minorEastAsia" w:eastAsiaTheme="minorEastAsia" w:cstheme="minorEastAsia"/>
                <w:b w:val="0"/>
                <w:bCs w:val="0"/>
                <w:color w:val="auto"/>
                <w:szCs w:val="24"/>
                <w:highlight w:val="none"/>
                <w:lang w:val="en-US" w:eastAsia="zh-CN"/>
              </w:rPr>
              <w:t xml:space="preserve">本项目不收取履约保证金，招标文件中有关对履约保证金的描述均不适用</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代理服务费收费标准：</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按国家计价格[2002]1980号文收费标准的70%收取代理服务费。</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本项目代理服务费由中标人在领取中标通知书时向采购代理机构一次性付清。</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账户名：江苏纵驰工程管理有限公司</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开户行：江苏银行苏州分行营业部</w:t>
            </w:r>
            <w:r/>
          </w:p>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s="宋体"/>
                <w:color w:val="auto"/>
                <w:highlight w:val="none"/>
              </w:rPr>
              <w:t xml:space="preserve">账号：30160188000070359</w:t>
            </w:r>
            <w:r/>
          </w:p>
        </w:tc>
      </w:tr>
    </w:tbl>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ind w:firstLine="964"/>
        <w:jc w:val="center"/>
        <w:spacing w:line="360" w:lineRule="auto"/>
        <w:rPr>
          <w:rStyle w:val="1040"/>
          <w:rFonts w:asciiTheme="minorEastAsia" w:hAnsiTheme="minorEastAsia" w:eastAsiaTheme="minorEastAsia" w:cstheme="minorEastAsia"/>
          <w:color w:val="auto"/>
          <w:sz w:val="48"/>
          <w:szCs w:val="48"/>
          <w:highlight w:val="none"/>
        </w:rPr>
        <w:sectPr>
          <w:footerReference w:type="default" r:id="rId12"/>
          <w:footerReference w:type="first" r:id="rId13"/>
          <w:footnotePr/>
          <w:endnotePr/>
          <w:type w:val="nextPage"/>
          <w:pgSz w:w="11906" w:h="16838" w:orient="portrait"/>
          <w:pgMar w:top="1440" w:right="1080" w:bottom="1440" w:left="1080" w:header="624" w:footer="680" w:gutter="0"/>
          <w:pgNumType w:start="1"/>
          <w:cols w:num="1" w:sep="0" w:space="720" w:equalWidth="1"/>
          <w:docGrid w:linePitch="360"/>
          <w:titlePg/>
        </w:sectPr>
      </w:pPr>
      <w:r/>
      <w:bookmarkStart w:id="1" w:name="_Toc388026583"/>
      <w:r/>
      <w:bookmarkStart w:id="2" w:name="_Toc9148"/>
      <w:r/>
      <w:r/>
    </w:p>
    <w:p>
      <w:pPr>
        <w:ind w:firstLine="883"/>
        <w:jc w:val="center"/>
        <w:spacing w:line="360" w:lineRule="auto"/>
        <w:rPr>
          <w:rStyle w:val="1040"/>
          <w:rFonts w:asciiTheme="minorEastAsia" w:hAnsiTheme="minorEastAsia" w:eastAsiaTheme="minorEastAsia" w:cstheme="minorEastAsia"/>
          <w:color w:val="auto"/>
          <w:sz w:val="44"/>
          <w:szCs w:val="44"/>
          <w:highlight w:val="none"/>
        </w:rPr>
        <w:outlineLvl w:val="0"/>
      </w:pPr>
      <w:r/>
      <w:bookmarkStart w:id="3" w:name="_Toc19756"/>
      <w:r>
        <w:rPr>
          <w:rStyle w:val="1040"/>
          <w:rFonts w:hint="eastAsia" w:asciiTheme="minorEastAsia" w:hAnsiTheme="minorEastAsia" w:eastAsiaTheme="minorEastAsia" w:cstheme="minorEastAsia"/>
          <w:color w:val="auto"/>
          <w:sz w:val="44"/>
          <w:szCs w:val="44"/>
          <w:highlight w:val="none"/>
        </w:rPr>
        <w:t xml:space="preserve">第一章 </w:t>
      </w:r>
      <w:bookmarkEnd w:id="1"/>
      <w:r>
        <w:rPr>
          <w:rStyle w:val="1040"/>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03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 xml:space="preserve">放射科一体化阅片中心设备</w:t>
            </w:r>
            <w:r>
              <w:rPr>
                <w:rFonts w:hint="eastAsia" w:asciiTheme="minorEastAsia" w:hAnsiTheme="minorEastAsia" w:eastAsiaTheme="minorEastAsia" w:cstheme="minorEastAsia"/>
                <w:color w:val="auto"/>
                <w:sz w:val="24"/>
                <w:szCs w:val="24"/>
                <w:highlight w:val="none"/>
              </w:rPr>
              <w:t xml:space="preserve">招标项目的潜在投标人应在</w:t>
            </w:r>
            <w:r>
              <w:rPr>
                <w:rFonts w:hint="eastAsia" w:asciiTheme="minorEastAsia" w:hAnsiTheme="minorEastAsia" w:eastAsiaTheme="minorEastAsia" w:cstheme="minorEastAsia"/>
                <w:color w:val="auto"/>
                <w:sz w:val="24"/>
                <w:szCs w:val="24"/>
                <w:highlight w:val="none"/>
                <w:u w:val="single"/>
                <w:lang w:eastAsia="zh-CN"/>
              </w:rPr>
              <w:t xml:space="preserve">苏</w:t>
            </w:r>
            <w:r>
              <w:rPr>
                <w:rFonts w:hint="eastAsia" w:asciiTheme="minorEastAsia" w:hAnsiTheme="minorEastAsia" w:eastAsiaTheme="minorEastAsia" w:cstheme="minorEastAsia"/>
                <w:color w:val="auto"/>
                <w:sz w:val="24"/>
                <w:szCs w:val="24"/>
                <w:highlight w:val="none"/>
                <w:u w:val="single"/>
              </w:rPr>
              <w:t xml:space="preserve">州市相城区阳澄湖西路1299号万家邻里生活广场A2座10楼</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江苏纵驰工程管理有限公司</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rPr>
              <w:t xml:space="preserve">获取招标文件，并于</w:t>
            </w:r>
            <w:r>
              <w:rPr>
                <w:rFonts w:hint="eastAsia" w:ascii="宋体" w:hAnsi="宋体" w:eastAsia="宋体" w:cs="宋体"/>
                <w:color w:val="auto"/>
                <w:sz w:val="24"/>
                <w:highlight w:val="none"/>
                <w:u w:val="single"/>
                <w:lang w:val="en-US" w:eastAsia="zh-CN" w:bidi="ar-SA"/>
              </w:rPr>
              <w:t xml:space="preserve">2024年</w:t>
            </w:r>
            <w:r>
              <w:rPr>
                <w:rFonts w:hint="eastAsia" w:ascii="宋体" w:hAnsi="宋体" w:cs="宋体"/>
                <w:color w:val="auto"/>
                <w:sz w:val="24"/>
                <w:highlight w:val="none"/>
                <w:u w:val="single"/>
                <w:lang w:val="en-US" w:eastAsia="zh-CN" w:bidi="ar-SA"/>
              </w:rPr>
              <w:t xml:space="preserve">8</w:t>
            </w:r>
            <w:r>
              <w:rPr>
                <w:rFonts w:hint="eastAsia" w:ascii="宋体" w:hAnsi="宋体" w:eastAsia="宋体" w:cs="宋体"/>
                <w:color w:val="auto"/>
                <w:sz w:val="24"/>
                <w:highlight w:val="none"/>
                <w:u w:val="single"/>
                <w:lang w:val="en-US" w:eastAsia="zh-CN" w:bidi="ar-SA"/>
              </w:rPr>
              <w:t xml:space="preserve">月</w:t>
            </w:r>
            <w:r>
              <w:rPr>
                <w:rFonts w:hint="eastAsia" w:ascii="宋体" w:hAnsi="宋体" w:cs="宋体"/>
                <w:color w:val="auto"/>
                <w:sz w:val="24"/>
                <w:highlight w:val="none"/>
                <w:u w:val="single"/>
                <w:lang w:val="en-US" w:eastAsia="zh-CN" w:bidi="ar-SA"/>
              </w:rPr>
              <w:t xml:space="preserve">20</w:t>
            </w:r>
            <w:r>
              <w:rPr>
                <w:rFonts w:hint="eastAsia" w:ascii="宋体" w:hAnsi="宋体" w:eastAsia="宋体" w:cs="宋体"/>
                <w:color w:val="auto"/>
                <w:sz w:val="24"/>
                <w:highlight w:val="none"/>
                <w:u w:val="single"/>
                <w:lang w:val="en-US" w:eastAsia="zh-CN" w:bidi="ar-SA"/>
              </w:rPr>
              <w:t xml:space="preserve">日</w:t>
            </w:r>
            <w:r>
              <w:rPr>
                <w:rFonts w:hint="eastAsia" w:ascii="宋体" w:hAnsi="宋体" w:cs="宋体"/>
                <w:color w:val="auto"/>
                <w:sz w:val="24"/>
                <w:highlight w:val="none"/>
                <w:u w:val="single"/>
                <w:lang w:val="en-US" w:eastAsia="zh-CN" w:bidi="ar-SA"/>
              </w:rPr>
              <w:t xml:space="preserve">9</w:t>
            </w:r>
            <w:r>
              <w:rPr>
                <w:rFonts w:hint="eastAsia" w:ascii="宋体" w:hAnsi="宋体" w:eastAsia="宋体" w:cs="宋体"/>
                <w:color w:val="auto"/>
                <w:sz w:val="24"/>
                <w:highlight w:val="none"/>
                <w:u w:val="single"/>
                <w:lang w:val="en-US" w:eastAsia="zh-CN" w:bidi="ar-SA"/>
              </w:rPr>
              <w:t xml:space="preserve">点</w:t>
            </w:r>
            <w:r>
              <w:rPr>
                <w:rFonts w:hint="eastAsia" w:ascii="宋体" w:hAnsi="宋体" w:cs="宋体"/>
                <w:color w:val="auto"/>
                <w:sz w:val="24"/>
                <w:highlight w:val="none"/>
                <w:u w:val="single"/>
                <w:lang w:val="en-US" w:eastAsia="zh-CN" w:bidi="ar-SA"/>
              </w:rPr>
              <w:t xml:space="preserve">30</w:t>
            </w:r>
            <w:r>
              <w:rPr>
                <w:rFonts w:hint="eastAsia" w:ascii="宋体" w:hAnsi="宋体" w:eastAsia="宋体" w:cs="宋体"/>
                <w:color w:val="auto"/>
                <w:sz w:val="24"/>
                <w:highlight w:val="none"/>
                <w:u w:val="single"/>
                <w:lang w:val="en-US" w:eastAsia="zh-CN" w:bidi="ar-SA"/>
              </w:rPr>
              <w:t xml:space="preserve">分（北京时间）</w:t>
            </w:r>
            <w:r>
              <w:rPr>
                <w:rFonts w:hint="eastAsia" w:asciiTheme="minorEastAsia" w:hAnsiTheme="minorEastAsia" w:eastAsiaTheme="minorEastAsia" w:cstheme="minorEastAsia"/>
                <w:color w:val="auto"/>
                <w:sz w:val="24"/>
                <w:szCs w:val="24"/>
                <w:highlight w:val="none"/>
              </w:rPr>
              <w:t xml:space="preserve">前提交投标文件。</w:t>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放射科一体化阅片中心设备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招标编号</w:t>
      </w:r>
      <w:r>
        <w:rPr>
          <w:rFonts w:hint="eastAsia" w:asciiTheme="minorEastAsia" w:hAnsiTheme="minorEastAsia" w:eastAsiaTheme="minorEastAsia" w:cstheme="minorEastAsia"/>
          <w:color w:val="auto"/>
          <w:sz w:val="24"/>
          <w:szCs w:val="24"/>
          <w:highlight w:val="none"/>
          <w:lang w:eastAsia="zh-CN"/>
        </w:rPr>
        <w:t xml:space="preserve">：JSZC-320000-JZCZ-G2024-0039</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预算</w:t>
      </w:r>
      <w:r>
        <w:rPr>
          <w:rFonts w:hint="eastAsia" w:asciiTheme="minorEastAsia" w:hAnsiTheme="minorEastAsia" w:eastAsiaTheme="minorEastAsia" w:cstheme="minorEastAsia"/>
          <w:color w:val="auto"/>
          <w:sz w:val="24"/>
          <w:szCs w:val="24"/>
          <w:highlight w:val="none"/>
          <w:lang w:val="en-US" w:eastAsia="zh-CN"/>
        </w:rPr>
        <w:t xml:space="preserve">金额</w:t>
      </w:r>
      <w:r>
        <w:rPr>
          <w:rFonts w:hint="eastAsia" w:asciiTheme="minorEastAsia" w:hAnsiTheme="minorEastAsia" w:eastAsiaTheme="minorEastAsia" w:cstheme="minorEastAsia"/>
          <w:color w:val="auto"/>
          <w:sz w:val="24"/>
          <w:szCs w:val="24"/>
          <w:highlight w:val="none"/>
        </w:rPr>
        <w:t xml:space="preserve">：</w:t>
      </w:r>
      <w:r>
        <w:rPr>
          <w:rFonts w:hint="eastAsia" w:ascii="宋体" w:hAnsi="宋体" w:cs="宋体"/>
          <w:color w:val="auto"/>
          <w:sz w:val="24"/>
          <w:highlight w:val="none"/>
          <w:lang w:val="en-US" w:eastAsia="zh-CN" w:bidi="ar-SA"/>
        </w:rPr>
        <w:t xml:space="preserve">人民币叁佰玖拾万元整（￥3900000.00）</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2"/>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采购需求：苏州大学附属第一医院</w:t>
      </w:r>
      <w:r>
        <w:rPr>
          <w:rFonts w:hint="eastAsia" w:asciiTheme="minorEastAsia" w:hAnsiTheme="minorEastAsia" w:eastAsiaTheme="minorEastAsia" w:cstheme="minorEastAsia"/>
          <w:color w:val="auto"/>
          <w:sz w:val="24"/>
          <w:szCs w:val="24"/>
          <w:highlight w:val="none"/>
          <w:lang w:eastAsia="zh-CN"/>
        </w:rPr>
        <w:t xml:space="preserve">放射科一体化阅片中心设备</w:t>
      </w:r>
      <w:r>
        <w:rPr>
          <w:rFonts w:hint="eastAsia" w:asciiTheme="minorEastAsia" w:hAnsiTheme="minorEastAsia" w:eastAsiaTheme="minorEastAsia" w:cstheme="minorEastAsia"/>
          <w:color w:val="auto"/>
          <w:sz w:val="24"/>
          <w:szCs w:val="24"/>
          <w:highlight w:val="none"/>
        </w:rPr>
        <w:t xml:space="preserve">，以保证满足科室办公，晨会交班，远程会诊，规培教学及学术会议需要，要求实现具体功能及参数</w:t>
      </w:r>
      <w:r>
        <w:rPr>
          <w:rFonts w:hint="eastAsia" w:asciiTheme="minorEastAsia" w:hAnsiTheme="minorEastAsia" w:eastAsiaTheme="minorEastAsia" w:cstheme="minorEastAsia"/>
          <w:color w:val="auto"/>
          <w:sz w:val="24"/>
          <w:szCs w:val="22"/>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2"/>
          <w:highlight w:val="none"/>
          <w:lang w:val="en-US" w:eastAsia="zh-CN"/>
        </w:rPr>
        <w:outlineLvl w:val="9"/>
      </w:pPr>
      <w:r>
        <w:rPr>
          <w:rFonts w:hint="eastAsia" w:asciiTheme="minorEastAsia" w:hAnsiTheme="minorEastAsia" w:eastAsiaTheme="minorEastAsia" w:cstheme="minorEastAsia"/>
          <w:color w:val="auto"/>
          <w:sz w:val="24"/>
          <w:szCs w:val="22"/>
          <w:highlight w:val="none"/>
          <w:lang w:val="en-US" w:eastAsia="zh-CN"/>
        </w:rPr>
        <w:t xml:space="preserve">6.合同履行期限：</w:t>
      </w:r>
      <w:r>
        <w:rPr>
          <w:rFonts w:hint="eastAsia" w:ascii="宋体" w:hAnsi="宋体" w:eastAsia="宋体" w:cs="宋体"/>
          <w:color w:val="auto"/>
          <w:sz w:val="24"/>
          <w:szCs w:val="24"/>
          <w:highlight w:val="none"/>
          <w:lang w:val="zh-CN" w:eastAsia="zh-CN" w:bidi="ar-SA"/>
        </w:rPr>
        <w:t xml:space="preserve">合同签订生效后</w:t>
      </w:r>
      <w:r>
        <w:rPr>
          <w:rFonts w:hint="default"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zh-CN" w:eastAsia="zh-CN" w:bidi="ar-SA"/>
        </w:rPr>
        <w:t xml:space="preserve">日内送货并安装调试完成。</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Cs w:val="24"/>
          <w:highlight w:val="none"/>
        </w:rPr>
        <w:t xml:space="preserve">申请人的资格要求</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rPr>
        <w:t xml:space="preserve">1.满足《中华人民共和国政府采购法》第二十二条规定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pageBreakBefore w:val="0"/>
        <w:spacing w:line="360" w:lineRule="auto"/>
        <w:rPr>
          <w:rFonts w:hint="default" w:asciiTheme="minorEastAsia" w:hAnsiTheme="minorEastAsia" w:eastAsiaTheme="minorEastAsia" w:cstheme="minorEastAsia"/>
          <w:b w:val="0"/>
          <w:bCs/>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宋体" w:hAnsi="宋体" w:cs="宋体"/>
          <w:color w:val="auto"/>
          <w:sz w:val="24"/>
          <w:highlight w:val="none"/>
          <w:lang w:val="en-US" w:eastAsia="zh-CN" w:bidi="ar-SA"/>
        </w:rPr>
        <w:t xml:space="preserve">无。</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w:t>
      </w:r>
      <w:r>
        <w:rPr>
          <w:rFonts w:hint="eastAsia" w:asciiTheme="minorEastAsia" w:hAnsiTheme="minorEastAsia" w:eastAsiaTheme="minorEastAsia" w:cstheme="minorEastAsia"/>
          <w:b w:val="0"/>
          <w:bCs w:val="0"/>
          <w:color w:val="auto"/>
          <w:szCs w:val="24"/>
          <w:highlight w:val="none"/>
          <w:lang w:val="en-US" w:eastAsia="zh-CN"/>
        </w:rPr>
        <w:t xml:space="preserve">无。</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（4）凡为采购项目提供整体设计、规范编制或者项目管理、监理、检测等服务的供应商，不得再参加本项目的采购活动。本项目的被监管对象不得参与本项目投标；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auto"/>
          <w:sz w:val="24"/>
          <w:szCs w:val="24"/>
          <w:highlight w:val="none"/>
        </w:rPr>
      </w:pPr>
      <w:r/>
      <w:bookmarkStart w:id="4" w:name="_Toc28359001"/>
      <w:r/>
      <w:bookmarkStart w:id="5" w:name="_Toc35393789"/>
      <w:r>
        <w:rPr>
          <w:rFonts w:hint="eastAsia" w:asciiTheme="minorEastAsia" w:hAnsiTheme="minorEastAsia" w:eastAsiaTheme="minorEastAsia" w:cstheme="minorEastAsia"/>
          <w:color w:val="auto"/>
          <w:sz w:val="24"/>
          <w:szCs w:val="24"/>
          <w:highlight w:val="none"/>
        </w:rPr>
        <w:t xml:space="preserve">三、报名及</w:t>
      </w:r>
      <w:r>
        <w:rPr>
          <w:rFonts w:hint="eastAsia" w:asciiTheme="minorEastAsia" w:hAnsiTheme="minorEastAsia" w:eastAsiaTheme="minorEastAsia" w:cstheme="minorEastAsia"/>
          <w:color w:val="auto"/>
          <w:sz w:val="24"/>
          <w:szCs w:val="24"/>
          <w:highlight w:val="none"/>
          <w:lang w:eastAsia="zh-CN"/>
        </w:rPr>
        <w:t xml:space="preserve">招标文件</w:t>
      </w:r>
      <w:r>
        <w:rPr>
          <w:rFonts w:hint="eastAsia" w:asciiTheme="minorEastAsia" w:hAnsiTheme="minorEastAsia" w:eastAsiaTheme="minorEastAsia" w:cstheme="minorEastAsia"/>
          <w:color w:val="auto"/>
          <w:sz w:val="24"/>
          <w:szCs w:val="24"/>
          <w:highlight w:val="none"/>
        </w:rPr>
        <w:t xml:space="preserve">的获取</w:t>
      </w:r>
      <w:bookmarkEnd w:id="4"/>
      <w:r/>
      <w:bookmarkEnd w:id="5"/>
      <w:r/>
      <w:r/>
    </w:p>
    <w:p>
      <w:pPr>
        <w:ind w:firstLine="480"/>
        <w:spacing w:line="360" w:lineRule="auto"/>
        <w:rPr>
          <w:rFonts w:ascii="宋体" w:hAnsi="宋体" w:cs="宋体"/>
          <w:color w:val="auto"/>
          <w:szCs w:val="24"/>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报名时间：</w:t>
      </w:r>
      <w:r>
        <w:rPr>
          <w:rFonts w:hint="eastAsia" w:ascii="宋体" w:hAnsi="宋体" w:cs="宋体"/>
          <w:color w:val="auto"/>
          <w:szCs w:val="24"/>
          <w:highlight w:val="none"/>
        </w:rPr>
        <w:t xml:space="preserve">自招标公告发出之日起至截止时间</w:t>
      </w:r>
      <w:r>
        <w:rPr>
          <w:rFonts w:hint="eastAsia" w:ascii="宋体" w:hAnsi="宋体" w:eastAsia="宋体" w:cs="宋体"/>
          <w:color w:val="auto"/>
          <w:sz w:val="24"/>
          <w:highlight w:val="none"/>
          <w:u w:val="single"/>
          <w:lang w:val="en-US" w:eastAsia="zh-CN" w:bidi="ar-SA"/>
        </w:rPr>
        <w:t xml:space="preserve">2024年</w:t>
      </w:r>
      <w:r>
        <w:rPr>
          <w:rFonts w:hint="eastAsia" w:ascii="宋体" w:hAnsi="宋体" w:cs="宋体"/>
          <w:color w:val="auto"/>
          <w:sz w:val="24"/>
          <w:highlight w:val="none"/>
          <w:u w:val="single"/>
          <w:lang w:val="en-US" w:eastAsia="zh-CN" w:bidi="ar-SA"/>
        </w:rPr>
        <w:t xml:space="preserve">8</w:t>
      </w:r>
      <w:r>
        <w:rPr>
          <w:rFonts w:hint="eastAsia" w:ascii="宋体" w:hAnsi="宋体" w:eastAsia="宋体" w:cs="宋体"/>
          <w:color w:val="auto"/>
          <w:sz w:val="24"/>
          <w:highlight w:val="none"/>
          <w:u w:val="single"/>
          <w:lang w:val="en-US" w:eastAsia="zh-CN" w:bidi="ar-SA"/>
        </w:rPr>
        <w:t xml:space="preserve">月</w:t>
      </w:r>
      <w:r>
        <w:rPr>
          <w:rFonts w:hint="eastAsia" w:ascii="宋体" w:hAnsi="宋体" w:cs="宋体"/>
          <w:color w:val="auto"/>
          <w:sz w:val="24"/>
          <w:highlight w:val="none"/>
          <w:u w:val="single"/>
          <w:lang w:val="en-US" w:eastAsia="zh-CN" w:bidi="ar-SA"/>
        </w:rPr>
        <w:t xml:space="preserve">6</w:t>
      </w:r>
      <w:r>
        <w:rPr>
          <w:rFonts w:hint="eastAsia" w:ascii="宋体" w:hAnsi="宋体" w:eastAsia="宋体" w:cs="宋体"/>
          <w:color w:val="auto"/>
          <w:sz w:val="24"/>
          <w:highlight w:val="none"/>
          <w:u w:val="single"/>
          <w:lang w:val="en-US" w:eastAsia="zh-CN" w:bidi="ar-SA"/>
        </w:rPr>
        <w:t xml:space="preserve">日</w:t>
      </w:r>
      <w:r>
        <w:rPr>
          <w:rFonts w:hint="eastAsia" w:ascii="宋体" w:hAnsi="宋体" w:cs="宋体"/>
          <w:color w:val="auto"/>
          <w:szCs w:val="24"/>
          <w:highlight w:val="none"/>
        </w:rPr>
        <w:t xml:space="preserve">（每日上午09:00—11：30，13:30—16:00节假日、双休日除外)</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报名地点：苏州市相城区阳澄湖西路1299号万家邻里生活广场A2座10楼</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招标文件领取方式：</w:t>
      </w:r>
      <w:r>
        <w:rPr>
          <w:rFonts w:hint="eastAsia" w:ascii="宋体" w:hAnsi="宋体" w:eastAsia="宋体" w:cs="宋体"/>
          <w:color w:val="auto"/>
          <w:sz w:val="24"/>
          <w:highlight w:val="none"/>
          <w:u w:val="none"/>
          <w:lang w:val="en-US" w:eastAsia="zh-CN" w:bidi="ar-SA"/>
        </w:rPr>
        <w:t xml:space="preserve">现场填写报名表并领取招标文件</w:t>
      </w:r>
      <w:r/>
    </w:p>
    <w:p>
      <w:pPr>
        <w:ind w:firstLine="480"/>
        <w:spacing w:line="360" w:lineRule="auto"/>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rPr>
        <w:t xml:space="preserve">出售金额：</w:t>
      </w:r>
      <w:r>
        <w:rPr>
          <w:rFonts w:hint="eastAsia" w:asciiTheme="minorEastAsia" w:hAnsiTheme="minorEastAsia" w:eastAsiaTheme="minorEastAsia" w:cstheme="minorEastAsia"/>
          <w:color w:val="auto"/>
          <w:highlight w:val="none"/>
          <w:lang w:val="en-US" w:eastAsia="zh-CN"/>
        </w:rPr>
        <w:t xml:space="preserve">400.00元</w:t>
      </w:r>
      <w:r/>
    </w:p>
    <w:p>
      <w:pPr>
        <w:pStyle w:val="1017"/>
        <w:ind w:left="0" w:firstLine="480"/>
        <w:jc w:val="left"/>
        <w:spacing w:after="0" w:line="360" w:lineRule="auto"/>
        <w:rPr>
          <w:rFonts w:hint="eastAsia" w:asciiTheme="minorEastAsia" w:hAnsiTheme="minorEastAsia" w:eastAsiaTheme="minorEastAsia" w:cstheme="minorEastAsia"/>
          <w:color w:val="auto"/>
          <w:sz w:val="24"/>
          <w:szCs w:val="22"/>
          <w:highlight w:val="none"/>
          <w:lang w:val="en-US" w:eastAsia="zh-CN"/>
        </w:rPr>
      </w:pPr>
      <w:r>
        <w:rPr>
          <w:rFonts w:hint="eastAsia" w:asciiTheme="minorEastAsia" w:hAnsiTheme="minorEastAsia" w:eastAsiaTheme="minorEastAsia" w:cstheme="minorEastAsia"/>
          <w:color w:val="auto"/>
          <w:sz w:val="24"/>
          <w:szCs w:val="22"/>
          <w:highlight w:val="none"/>
        </w:rPr>
        <w:t xml:space="preserve">5</w:t>
      </w:r>
      <w:r>
        <w:rPr>
          <w:rFonts w:hint="eastAsia" w:asciiTheme="minorEastAsia" w:hAnsiTheme="minorEastAsia" w:eastAsiaTheme="minorEastAsia" w:cstheme="minorEastAsia"/>
          <w:color w:val="auto"/>
          <w:sz w:val="24"/>
          <w:szCs w:val="22"/>
          <w:highlight w:val="none"/>
          <w:lang w:val="en-US" w:eastAsia="zh-CN"/>
        </w:rPr>
        <w:t xml:space="preserve">.</w:t>
      </w:r>
      <w:r>
        <w:rPr>
          <w:rFonts w:hint="eastAsia" w:asciiTheme="minorEastAsia" w:hAnsiTheme="minorEastAsia" w:eastAsiaTheme="minorEastAsia" w:cstheme="minorEastAsia"/>
          <w:color w:val="auto"/>
          <w:sz w:val="24"/>
          <w:szCs w:val="22"/>
          <w:highlight w:val="none"/>
        </w:rPr>
        <w:t xml:space="preserve">报名联系人：</w:t>
      </w:r>
      <w:r>
        <w:rPr>
          <w:rFonts w:hint="eastAsia" w:asciiTheme="minorEastAsia" w:hAnsiTheme="minorEastAsia" w:eastAsiaTheme="minorEastAsia" w:cstheme="minorEastAsia"/>
          <w:color w:val="auto"/>
          <w:sz w:val="24"/>
          <w:szCs w:val="22"/>
          <w:highlight w:val="none"/>
          <w:lang w:val="en-US" w:eastAsia="zh-CN"/>
        </w:rPr>
        <w:t xml:space="preserve">邵静</w:t>
      </w:r>
      <w:r/>
    </w:p>
    <w:p>
      <w:pPr>
        <w:pStyle w:val="1017"/>
        <w:ind w:left="0" w:firstLine="480"/>
        <w:jc w:val="left"/>
        <w:spacing w:after="0"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2"/>
          <w:highlight w:val="none"/>
        </w:rPr>
        <w:t xml:space="preserve">6</w:t>
      </w:r>
      <w:r>
        <w:rPr>
          <w:rFonts w:hint="eastAsia" w:asciiTheme="minorEastAsia" w:hAnsiTheme="minorEastAsia" w:eastAsiaTheme="minorEastAsia" w:cstheme="minorEastAsia"/>
          <w:color w:val="auto"/>
          <w:sz w:val="24"/>
          <w:szCs w:val="22"/>
          <w:highlight w:val="none"/>
          <w:lang w:val="en-US" w:eastAsia="zh-CN"/>
        </w:rPr>
        <w:t xml:space="preserve">.</w:t>
      </w:r>
      <w:r>
        <w:rPr>
          <w:rFonts w:hint="eastAsia" w:asciiTheme="minorEastAsia" w:hAnsiTheme="minorEastAsia" w:eastAsiaTheme="minorEastAsia" w:cstheme="minorEastAsia"/>
          <w:color w:val="auto"/>
          <w:sz w:val="24"/>
          <w:szCs w:val="22"/>
          <w:highlight w:val="none"/>
        </w:rPr>
        <w:t xml:space="preserve">报名联</w:t>
      </w:r>
      <w:r>
        <w:rPr>
          <w:rFonts w:hint="eastAsia" w:asciiTheme="minorEastAsia" w:hAnsiTheme="minorEastAsia" w:eastAsiaTheme="minorEastAsia" w:cstheme="minorEastAsia"/>
          <w:color w:val="auto"/>
          <w:sz w:val="24"/>
          <w:highlight w:val="none"/>
        </w:rPr>
        <w:t xml:space="preserve">系电话：0512-68708379</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宋体" w:hAnsi="宋体" w:cs="宋体"/>
          <w:color w:val="auto"/>
          <w:sz w:val="24"/>
          <w:szCs w:val="24"/>
          <w:highlight w:val="none"/>
          <w:lang w:val="en-US" w:eastAsia="zh-CN"/>
        </w:rPr>
        <w:t xml:space="preserve">7.在领取招标文件时须向采购代理机构提供以下材料：</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1</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投标人营业执照副本、税务登记证副本、组织机构代码证副本或三证合一营业执照副本复印件；</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投标人法定代表人身份证复印件，如为委托代理人参与投标的还需提供法定代表人授权委托书原件和委托代理人的身份证复印件</w:t>
      </w:r>
      <w:r>
        <w:rPr>
          <w:rFonts w:hint="eastAsia" w:asciiTheme="minorEastAsia" w:hAnsiTheme="minorEastAsia" w:eastAsiaTheme="minorEastAsia" w:cstheme="minorEastAsia"/>
          <w:color w:val="auto"/>
          <w:szCs w:val="24"/>
          <w:highlight w:val="none"/>
          <w:lang w:eastAsia="zh-CN"/>
        </w:rPr>
        <w:t xml:space="preserve">。</w:t>
      </w:r>
      <w:r/>
    </w:p>
    <w:p>
      <w:pPr>
        <w:ind w:firstLine="482"/>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注：请各投标人将符合以上资格要求的有效证明文件加盖投标人公章（</w:t>
      </w:r>
      <w:r>
        <w:rPr>
          <w:rFonts w:hint="eastAsia" w:asciiTheme="minorEastAsia" w:hAnsiTheme="minorEastAsia" w:eastAsiaTheme="minorEastAsia" w:cstheme="minorEastAsia"/>
          <w:b/>
          <w:bCs/>
          <w:color w:val="auto"/>
          <w:highlight w:val="none"/>
        </w:rPr>
        <w:t xml:space="preserve">鲜</w:t>
      </w:r>
      <w:r>
        <w:rPr>
          <w:rFonts w:hint="eastAsia" w:asciiTheme="minorEastAsia" w:hAnsiTheme="minorEastAsia" w:eastAsiaTheme="minorEastAsia" w:cstheme="minorEastAsia"/>
          <w:b/>
          <w:bCs/>
          <w:color w:val="auto"/>
          <w:szCs w:val="24"/>
          <w:highlight w:val="none"/>
        </w:rPr>
        <w:t xml:space="preserve">章）后装订成册，封面注明投标人名称、编号、联系人、联系电话、电子邮箱、传真等信息。报名资料经评审委员会审核，如不符合招标文件规定要求或伪造、虚报等情况，则评审委员会有权取消该投标人的投标资格。</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w:t>
      </w:r>
      <w:r>
        <w:rPr>
          <w:rFonts w:hint="eastAsia" w:asciiTheme="minorEastAsia" w:hAnsiTheme="minorEastAsia" w:eastAsiaTheme="minorEastAsia" w:cstheme="minorEastAsia"/>
          <w:color w:val="auto"/>
          <w:szCs w:val="24"/>
          <w:highlight w:val="none"/>
        </w:rPr>
        <w:t xml:space="preserve">开始接收时间：</w:t>
      </w:r>
      <w:r>
        <w:rPr>
          <w:rFonts w:hint="eastAsia" w:ascii="宋体" w:hAnsi="宋体" w:eastAsia="宋体" w:cs="宋体"/>
          <w:color w:val="auto"/>
          <w:sz w:val="24"/>
          <w:highlight w:val="none"/>
          <w:u w:val="single"/>
          <w:lang w:val="en-US" w:eastAsia="zh-CN" w:bidi="ar-SA"/>
        </w:rPr>
        <w:t xml:space="preserve">2024年</w:t>
      </w:r>
      <w:r>
        <w:rPr>
          <w:rFonts w:hint="eastAsia" w:ascii="宋体" w:hAnsi="宋体" w:cs="宋体"/>
          <w:color w:val="auto"/>
          <w:sz w:val="24"/>
          <w:highlight w:val="none"/>
          <w:u w:val="single"/>
          <w:lang w:val="en-US" w:eastAsia="zh-CN" w:bidi="ar-SA"/>
        </w:rPr>
        <w:t xml:space="preserve">8</w:t>
      </w:r>
      <w:r>
        <w:rPr>
          <w:rFonts w:hint="eastAsia" w:ascii="宋体" w:hAnsi="宋体" w:eastAsia="宋体" w:cs="宋体"/>
          <w:color w:val="auto"/>
          <w:sz w:val="24"/>
          <w:highlight w:val="none"/>
          <w:u w:val="single"/>
          <w:lang w:val="en-US" w:eastAsia="zh-CN" w:bidi="ar-SA"/>
        </w:rPr>
        <w:t xml:space="preserve">月</w:t>
      </w:r>
      <w:r>
        <w:rPr>
          <w:rFonts w:hint="eastAsia" w:ascii="宋体" w:hAnsi="宋体" w:cs="宋体"/>
          <w:color w:val="auto"/>
          <w:sz w:val="24"/>
          <w:highlight w:val="none"/>
          <w:u w:val="single"/>
          <w:lang w:val="en-US" w:eastAsia="zh-CN" w:bidi="ar-SA"/>
        </w:rPr>
        <w:t xml:space="preserve">20</w:t>
      </w:r>
      <w:r>
        <w:rPr>
          <w:rFonts w:hint="eastAsia" w:ascii="宋体" w:hAnsi="宋体" w:eastAsia="宋体" w:cs="宋体"/>
          <w:color w:val="auto"/>
          <w:sz w:val="24"/>
          <w:highlight w:val="none"/>
          <w:u w:val="single"/>
          <w:lang w:val="en-US" w:eastAsia="zh-CN" w:bidi="ar-SA"/>
        </w:rPr>
        <w:t xml:space="preserve">日</w:t>
      </w:r>
      <w:r>
        <w:rPr>
          <w:rFonts w:hint="eastAsia" w:ascii="宋体" w:hAnsi="宋体" w:cs="宋体"/>
          <w:color w:val="auto"/>
          <w:sz w:val="24"/>
          <w:highlight w:val="none"/>
          <w:u w:val="single"/>
          <w:lang w:val="en-US" w:eastAsia="zh-CN" w:bidi="ar-SA"/>
        </w:rPr>
        <w:t xml:space="preserve">9</w:t>
      </w:r>
      <w:r>
        <w:rPr>
          <w:rFonts w:hint="eastAsia" w:ascii="宋体" w:hAnsi="宋体" w:eastAsia="宋体" w:cs="宋体"/>
          <w:color w:val="auto"/>
          <w:sz w:val="24"/>
          <w:highlight w:val="none"/>
          <w:u w:val="single"/>
          <w:lang w:val="en-US" w:eastAsia="zh-CN" w:bidi="ar-SA"/>
        </w:rPr>
        <w:t xml:space="preserve">:</w:t>
      </w:r>
      <w:r>
        <w:rPr>
          <w:rFonts w:hint="eastAsia" w:ascii="宋体" w:hAnsi="宋体" w:cs="宋体"/>
          <w:color w:val="auto"/>
          <w:sz w:val="24"/>
          <w:highlight w:val="none"/>
          <w:u w:val="single"/>
          <w:lang w:val="en-US" w:eastAsia="zh-CN" w:bidi="ar-SA"/>
        </w:rPr>
        <w:t xml:space="preserve">0</w:t>
      </w:r>
      <w:r>
        <w:rPr>
          <w:rFonts w:hint="eastAsia" w:ascii="宋体" w:hAnsi="宋体" w:eastAsia="宋体" w:cs="宋体"/>
          <w:color w:val="auto"/>
          <w:sz w:val="24"/>
          <w:highlight w:val="none"/>
          <w:u w:val="single"/>
          <w:lang w:val="en-US" w:eastAsia="zh-CN" w:bidi="ar-SA"/>
        </w:rPr>
        <w:t xml:space="preserve">0（北京时间）</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w:t>
      </w:r>
      <w:r>
        <w:rPr>
          <w:rFonts w:hint="eastAsia" w:asciiTheme="minorEastAsia" w:hAnsiTheme="minorEastAsia" w:eastAsiaTheme="minorEastAsia" w:cstheme="minorEastAsia"/>
          <w:color w:val="auto"/>
          <w:szCs w:val="24"/>
          <w:highlight w:val="none"/>
        </w:rPr>
        <w:t xml:space="preserve">接收截止时间：</w:t>
      </w:r>
      <w:r>
        <w:rPr>
          <w:rFonts w:hint="eastAsia" w:ascii="宋体" w:hAnsi="宋体" w:eastAsia="宋体" w:cs="宋体"/>
          <w:color w:val="auto"/>
          <w:sz w:val="24"/>
          <w:highlight w:val="none"/>
          <w:u w:val="single"/>
          <w:lang w:val="en-US" w:eastAsia="zh-CN" w:bidi="ar-SA"/>
        </w:rPr>
        <w:t xml:space="preserve">2024年</w:t>
      </w:r>
      <w:r>
        <w:rPr>
          <w:rFonts w:hint="eastAsia" w:ascii="宋体" w:hAnsi="宋体" w:cs="宋体"/>
          <w:color w:val="auto"/>
          <w:sz w:val="24"/>
          <w:highlight w:val="none"/>
          <w:u w:val="single"/>
          <w:lang w:val="en-US" w:eastAsia="zh-CN" w:bidi="ar-SA"/>
        </w:rPr>
        <w:t xml:space="preserve">8</w:t>
      </w:r>
      <w:r>
        <w:rPr>
          <w:rFonts w:hint="eastAsia" w:ascii="宋体" w:hAnsi="宋体" w:eastAsia="宋体" w:cs="宋体"/>
          <w:color w:val="auto"/>
          <w:sz w:val="24"/>
          <w:highlight w:val="none"/>
          <w:u w:val="single"/>
          <w:lang w:val="en-US" w:eastAsia="zh-CN" w:bidi="ar-SA"/>
        </w:rPr>
        <w:t xml:space="preserve">月</w:t>
      </w:r>
      <w:r>
        <w:rPr>
          <w:rFonts w:hint="eastAsia" w:ascii="宋体" w:hAnsi="宋体" w:cs="宋体"/>
          <w:color w:val="auto"/>
          <w:sz w:val="24"/>
          <w:highlight w:val="none"/>
          <w:u w:val="single"/>
          <w:lang w:val="en-US" w:eastAsia="zh-CN" w:bidi="ar-SA"/>
        </w:rPr>
        <w:t xml:space="preserve">20</w:t>
      </w:r>
      <w:r>
        <w:rPr>
          <w:rFonts w:hint="eastAsia" w:ascii="宋体" w:hAnsi="宋体" w:eastAsia="宋体" w:cs="宋体"/>
          <w:color w:val="auto"/>
          <w:sz w:val="24"/>
          <w:highlight w:val="none"/>
          <w:u w:val="single"/>
          <w:lang w:val="en-US" w:eastAsia="zh-CN" w:bidi="ar-SA"/>
        </w:rPr>
        <w:t xml:space="preserve">日</w:t>
      </w:r>
      <w:r>
        <w:rPr>
          <w:rFonts w:hint="eastAsia" w:ascii="宋体" w:hAnsi="宋体" w:cs="宋体"/>
          <w:color w:val="auto"/>
          <w:sz w:val="24"/>
          <w:highlight w:val="none"/>
          <w:u w:val="single"/>
          <w:lang w:val="en-US" w:eastAsia="zh-CN" w:bidi="ar-SA"/>
        </w:rPr>
        <w:t xml:space="preserve">9</w:t>
      </w:r>
      <w:r>
        <w:rPr>
          <w:rFonts w:hint="eastAsia" w:ascii="宋体" w:hAnsi="宋体" w:eastAsia="宋体" w:cs="宋体"/>
          <w:color w:val="auto"/>
          <w:sz w:val="24"/>
          <w:highlight w:val="none"/>
          <w:u w:val="single"/>
          <w:lang w:val="en-US" w:eastAsia="zh-CN" w:bidi="ar-SA"/>
        </w:rPr>
        <w:t xml:space="preserve">:</w:t>
      </w:r>
      <w:r>
        <w:rPr>
          <w:rFonts w:hint="eastAsia" w:ascii="宋体" w:hAnsi="宋体" w:cs="宋体"/>
          <w:color w:val="auto"/>
          <w:sz w:val="24"/>
          <w:highlight w:val="none"/>
          <w:u w:val="single"/>
          <w:lang w:val="en-US" w:eastAsia="zh-CN" w:bidi="ar-SA"/>
        </w:rPr>
        <w:t xml:space="preserve">3</w:t>
      </w:r>
      <w:r>
        <w:rPr>
          <w:rFonts w:hint="eastAsia" w:ascii="宋体" w:hAnsi="宋体" w:eastAsia="宋体" w:cs="宋体"/>
          <w:color w:val="auto"/>
          <w:sz w:val="24"/>
          <w:highlight w:val="none"/>
          <w:u w:val="single"/>
          <w:lang w:val="en-US" w:eastAsia="zh-CN" w:bidi="ar-SA"/>
        </w:rPr>
        <w:t xml:space="preserve">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3.递交</w:t>
      </w:r>
      <w:r>
        <w:rPr>
          <w:rFonts w:hint="eastAsia" w:ascii="宋体" w:hAnsi="宋体" w:eastAsia="宋体" w:cs="宋体"/>
          <w:color w:val="auto"/>
          <w:sz w:val="24"/>
          <w:szCs w:val="24"/>
          <w:highlight w:val="none"/>
        </w:rPr>
        <w:t xml:space="preserve">地点：苏州市相城区阳澄湖西路1299号万家邻里生活广场A2座10楼</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sz w:val="24"/>
          <w:szCs w:val="24"/>
          <w:highlight w:val="none"/>
        </w:rPr>
        <w:t xml:space="preserve">开启</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1.开启</w:t>
      </w:r>
      <w:r>
        <w:rPr>
          <w:rFonts w:hint="eastAsia" w:asciiTheme="minorEastAsia" w:hAnsiTheme="minorEastAsia" w:eastAsiaTheme="minorEastAsia" w:cstheme="minorEastAsia"/>
          <w:color w:val="auto"/>
          <w:sz w:val="24"/>
          <w:szCs w:val="24"/>
          <w:highlight w:val="none"/>
        </w:rPr>
        <w:t xml:space="preserve">时间：</w:t>
      </w:r>
      <w:r>
        <w:rPr>
          <w:rFonts w:hint="eastAsia" w:ascii="宋体" w:hAnsi="宋体" w:eastAsia="宋体" w:cs="宋体"/>
          <w:color w:val="auto"/>
          <w:sz w:val="24"/>
          <w:highlight w:val="none"/>
          <w:u w:val="single"/>
          <w:lang w:val="en-US" w:eastAsia="zh-CN" w:bidi="ar-SA"/>
        </w:rPr>
        <w:t xml:space="preserve">2024年</w:t>
      </w:r>
      <w:r>
        <w:rPr>
          <w:rFonts w:hint="eastAsia" w:ascii="宋体" w:hAnsi="宋体" w:cs="宋体"/>
          <w:color w:val="auto"/>
          <w:sz w:val="24"/>
          <w:highlight w:val="none"/>
          <w:u w:val="single"/>
          <w:lang w:val="en-US" w:eastAsia="zh-CN" w:bidi="ar-SA"/>
        </w:rPr>
        <w:t xml:space="preserve">8</w:t>
      </w:r>
      <w:r>
        <w:rPr>
          <w:rFonts w:hint="eastAsia" w:ascii="宋体" w:hAnsi="宋体" w:eastAsia="宋体" w:cs="宋体"/>
          <w:color w:val="auto"/>
          <w:sz w:val="24"/>
          <w:highlight w:val="none"/>
          <w:u w:val="single"/>
          <w:lang w:val="en-US" w:eastAsia="zh-CN" w:bidi="ar-SA"/>
        </w:rPr>
        <w:t xml:space="preserve">月</w:t>
      </w:r>
      <w:r>
        <w:rPr>
          <w:rFonts w:hint="eastAsia" w:ascii="宋体" w:hAnsi="宋体" w:cs="宋体"/>
          <w:color w:val="auto"/>
          <w:sz w:val="24"/>
          <w:highlight w:val="none"/>
          <w:u w:val="single"/>
          <w:lang w:val="en-US" w:eastAsia="zh-CN" w:bidi="ar-SA"/>
        </w:rPr>
        <w:t xml:space="preserve">20</w:t>
      </w:r>
      <w:r>
        <w:rPr>
          <w:rFonts w:hint="eastAsia" w:ascii="宋体" w:hAnsi="宋体" w:eastAsia="宋体" w:cs="宋体"/>
          <w:color w:val="auto"/>
          <w:sz w:val="24"/>
          <w:highlight w:val="none"/>
          <w:u w:val="single"/>
          <w:lang w:val="en-US" w:eastAsia="zh-CN" w:bidi="ar-SA"/>
        </w:rPr>
        <w:t xml:space="preserve">日</w:t>
      </w:r>
      <w:r>
        <w:rPr>
          <w:rFonts w:hint="eastAsia" w:ascii="宋体" w:hAnsi="宋体" w:cs="宋体"/>
          <w:color w:val="auto"/>
          <w:sz w:val="24"/>
          <w:highlight w:val="none"/>
          <w:u w:val="single"/>
          <w:lang w:val="en-US" w:eastAsia="zh-CN" w:bidi="ar-SA"/>
        </w:rPr>
        <w:t xml:space="preserve">9</w:t>
      </w:r>
      <w:r>
        <w:rPr>
          <w:rFonts w:hint="eastAsia" w:ascii="宋体" w:hAnsi="宋体" w:eastAsia="宋体" w:cs="宋体"/>
          <w:color w:val="auto"/>
          <w:sz w:val="24"/>
          <w:highlight w:val="none"/>
          <w:u w:val="single"/>
          <w:lang w:val="en-US" w:eastAsia="zh-CN" w:bidi="ar-SA"/>
        </w:rPr>
        <w:t xml:space="preserve">:</w:t>
      </w:r>
      <w:r>
        <w:rPr>
          <w:rFonts w:hint="eastAsia" w:ascii="宋体" w:hAnsi="宋体" w:cs="宋体"/>
          <w:color w:val="auto"/>
          <w:sz w:val="24"/>
          <w:highlight w:val="none"/>
          <w:u w:val="single"/>
          <w:lang w:val="en-US" w:eastAsia="zh-CN" w:bidi="ar-SA"/>
        </w:rPr>
        <w:t xml:space="preserve">3</w:t>
      </w:r>
      <w:r>
        <w:rPr>
          <w:rFonts w:hint="eastAsia" w:ascii="宋体" w:hAnsi="宋体" w:eastAsia="宋体" w:cs="宋体"/>
          <w:color w:val="auto"/>
          <w:sz w:val="24"/>
          <w:highlight w:val="none"/>
          <w:u w:val="single"/>
          <w:lang w:val="en-US" w:eastAsia="zh-CN" w:bidi="ar-SA"/>
        </w:rPr>
        <w:t xml:space="preserve">0（北京时间）</w:t>
      </w:r>
      <w:r/>
    </w:p>
    <w:p>
      <w:pPr>
        <w:pStyle w:val="104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2.开启</w:t>
      </w:r>
      <w:r>
        <w:rPr>
          <w:rFonts w:hint="eastAsia" w:asciiTheme="minorEastAsia" w:hAnsiTheme="minorEastAsia" w:eastAsiaTheme="minorEastAsia" w:cstheme="minorEastAsia"/>
          <w:color w:val="auto"/>
          <w:sz w:val="24"/>
          <w:szCs w:val="24"/>
          <w:highlight w:val="none"/>
        </w:rPr>
        <w:t xml:space="preserve">地点：</w:t>
      </w:r>
      <w:r>
        <w:rPr>
          <w:rFonts w:hint="eastAsia" w:ascii="宋体" w:hAnsi="宋体" w:eastAsia="宋体" w:cs="宋体"/>
          <w:color w:val="auto"/>
          <w:sz w:val="24"/>
          <w:szCs w:val="24"/>
          <w:highlight w:val="none"/>
        </w:rPr>
        <w:t xml:space="preserve">苏州市相城区阳澄湖西路1299号万家邻里生活广场A2座10楼</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接收人：江苏纵驰工程管理有限公司</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投标文件必须在投标截止时间前送达开标地点并交与接收人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逾期送达的投标文件恕不接收。本次招标不接受邮寄的投标文件。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、公告期限：自本公告发布之日起5个工作日。</w:t>
      </w:r>
      <w:r/>
    </w:p>
    <w:p>
      <w:pPr>
        <w:pStyle w:val="1041"/>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七、本次招标的有关信息在：江苏省政府采购网发布</w:t>
      </w:r>
      <w:r/>
    </w:p>
    <w:p>
      <w:pPr>
        <w:pStyle w:val="1041"/>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bookmarkStart w:id="6" w:name="_Toc35393635"/>
      <w:r/>
      <w:bookmarkStart w:id="7" w:name="_Toc35393804"/>
      <w:r>
        <w:rPr>
          <w:rFonts w:hint="eastAsia" w:asciiTheme="minorEastAsia" w:hAnsiTheme="minorEastAsia" w:eastAsiaTheme="minorEastAsia" w:cstheme="minorEastAsia"/>
          <w:color w:val="auto"/>
          <w:sz w:val="24"/>
          <w:szCs w:val="24"/>
          <w:highlight w:val="none"/>
          <w:lang w:val="en-US" w:eastAsia="zh-CN"/>
        </w:rPr>
        <w:t xml:space="preserve">八</w:t>
      </w:r>
      <w:r>
        <w:rPr>
          <w:rFonts w:hint="eastAsia" w:asciiTheme="minorEastAsia" w:hAnsiTheme="minorEastAsia" w:eastAsiaTheme="minorEastAsia" w:cstheme="minorEastAsia"/>
          <w:color w:val="auto"/>
          <w:sz w:val="24"/>
          <w:szCs w:val="24"/>
          <w:highlight w:val="none"/>
        </w:rPr>
        <w:t xml:space="preserve">、其他补充事宜</w:t>
      </w:r>
      <w:bookmarkEnd w:id="6"/>
      <w:r/>
      <w:bookmarkEnd w:id="7"/>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报名成功的供应商在领取招标文件后，对招标文件有疑问的：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询问：供应商认为</w:t>
      </w:r>
      <w:r>
        <w:rPr>
          <w:rFonts w:hint="eastAsia" w:asciiTheme="minorEastAsia" w:hAnsiTheme="minorEastAsia" w:eastAsiaTheme="minorEastAsia" w:cstheme="minorEastAsia"/>
          <w:color w:val="auto"/>
          <w:sz w:val="24"/>
          <w:szCs w:val="24"/>
          <w:highlight w:val="none"/>
          <w:lang w:eastAsia="zh-CN"/>
        </w:rPr>
        <w:t xml:space="preserve">招标文件有疑问的，可使用书面、电话等</w:t>
      </w:r>
      <w:r>
        <w:rPr>
          <w:rFonts w:hint="eastAsia" w:asciiTheme="minorEastAsia" w:hAnsiTheme="minorEastAsia" w:eastAsiaTheme="minorEastAsia" w:cstheme="minorEastAsia"/>
          <w:color w:val="auto"/>
          <w:sz w:val="24"/>
          <w:szCs w:val="24"/>
          <w:highlight w:val="none"/>
        </w:rPr>
        <w:t xml:space="preserve">形式向</w:t>
      </w:r>
      <w:r>
        <w:rPr>
          <w:rFonts w:hint="eastAsia" w:asciiTheme="minorEastAsia" w:hAnsiTheme="minorEastAsia" w:eastAsiaTheme="minorEastAsia" w:cstheme="minorEastAsia"/>
          <w:color w:val="auto"/>
          <w:sz w:val="24"/>
          <w:szCs w:val="24"/>
          <w:highlight w:val="none"/>
          <w:lang w:eastAsia="zh-CN"/>
        </w:rPr>
        <w:t xml:space="preserve">采购</w:t>
      </w:r>
      <w:r>
        <w:rPr>
          <w:rFonts w:hint="eastAsia" w:asciiTheme="minorEastAsia" w:hAnsiTheme="minorEastAsia" w:eastAsiaTheme="minorEastAsia" w:cstheme="minorEastAsia"/>
          <w:color w:val="auto"/>
          <w:sz w:val="24"/>
          <w:szCs w:val="24"/>
          <w:highlight w:val="none"/>
        </w:rPr>
        <w:t xml:space="preserve">代理机构提出</w:t>
      </w:r>
      <w:r>
        <w:rPr>
          <w:rFonts w:hint="eastAsia" w:asciiTheme="minorEastAsia" w:hAnsiTheme="minorEastAsia" w:eastAsiaTheme="minorEastAsia" w:cstheme="minorEastAsia"/>
          <w:color w:val="auto"/>
          <w:sz w:val="24"/>
          <w:szCs w:val="24"/>
          <w:highlight w:val="none"/>
          <w:lang w:eastAsia="zh-CN"/>
        </w:rPr>
        <w:t xml:space="preserve">询问</w:t>
      </w:r>
      <w:r>
        <w:rPr>
          <w:rFonts w:hint="eastAsia" w:asciiTheme="minorEastAsia" w:hAnsiTheme="minorEastAsia" w:eastAsiaTheme="minorEastAsia" w:cstheme="minorEastAsia"/>
          <w:color w:val="auto"/>
          <w:sz w:val="24"/>
          <w:szCs w:val="24"/>
          <w:highlight w:val="none"/>
        </w:rPr>
        <w:t xml:space="preserve">。代理机构</w:t>
      </w:r>
      <w:r>
        <w:rPr>
          <w:rFonts w:hint="eastAsia" w:asciiTheme="minorEastAsia" w:hAnsiTheme="minorEastAsia" w:eastAsiaTheme="minorEastAsia" w:cstheme="minorEastAsia"/>
          <w:color w:val="auto"/>
          <w:sz w:val="24"/>
          <w:szCs w:val="24"/>
          <w:highlight w:val="none"/>
          <w:lang w:eastAsia="zh-CN"/>
        </w:rPr>
        <w:t xml:space="preserve">在</w:t>
      </w:r>
      <w:r>
        <w:rPr>
          <w:rFonts w:hint="eastAsia" w:asciiTheme="minorEastAsia" w:hAnsiTheme="minorEastAsia" w:eastAsiaTheme="minorEastAsia" w:cstheme="minorEastAsia"/>
          <w:color w:val="auto"/>
          <w:sz w:val="24"/>
          <w:szCs w:val="24"/>
          <w:highlight w:val="none"/>
        </w:rPr>
        <w:t xml:space="preserve">收到询问后应在三个工作日内予以解答。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质疑：供应商认为</w:t>
      </w:r>
      <w:r>
        <w:rPr>
          <w:rFonts w:hint="eastAsia" w:asciiTheme="minorEastAsia" w:hAnsiTheme="minorEastAsia" w:eastAsiaTheme="minorEastAsia" w:cstheme="minorEastAsia"/>
          <w:color w:val="auto"/>
          <w:sz w:val="24"/>
          <w:szCs w:val="24"/>
          <w:highlight w:val="none"/>
          <w:lang w:eastAsia="zh-CN"/>
        </w:rPr>
        <w:t xml:space="preserve">招标文件</w:t>
      </w:r>
      <w:r>
        <w:rPr>
          <w:rFonts w:hint="eastAsia" w:asciiTheme="minorEastAsia" w:hAnsiTheme="minorEastAsia" w:eastAsiaTheme="minorEastAsia" w:cstheme="minorEastAsia"/>
          <w:color w:val="auto"/>
          <w:sz w:val="24"/>
          <w:szCs w:val="24"/>
          <w:highlight w:val="none"/>
        </w:rPr>
        <w:t xml:space="preserve">、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供应商在法定质疑期内对同一采购程序环节存在质疑的，须一次性提出质疑事项。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其他未尽事项，请供应商参照《政府采购质疑和投诉办法》或其他相关法律法规。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质疑函格式请自行至苏州市政府采购网“下载中心”下载，并按照格式要求执行。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联系单位：江苏纵驰工程管理有限公司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pStyle w:val="1041"/>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权威</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041"/>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pStyle w:val="104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曹芳</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0512-67972978</w:t>
      </w:r>
      <w:r>
        <w:rPr>
          <w:rFonts w:hint="eastAsia" w:asciiTheme="minorEastAsia" w:hAnsiTheme="minorEastAsia" w:eastAsiaTheme="minorEastAsia" w:cstheme="minorEastAsia"/>
          <w:color w:val="auto"/>
          <w:sz w:val="24"/>
          <w:szCs w:val="24"/>
          <w:highlight w:val="none"/>
          <w:lang w:val="en-US" w:eastAsia="zh-CN"/>
        </w:rPr>
      </w:r>
      <w:r/>
    </w:p>
    <w:p>
      <w:pPr>
        <w:pStyle w:val="1041"/>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04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权威、张薇、王勇</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04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电子邮件：szzongchi@126.com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项目联系人：</w:t>
      </w:r>
      <w:r>
        <w:rPr>
          <w:rFonts w:hint="eastAsia" w:ascii="宋体" w:hAnsi="宋体" w:cs="宋体"/>
          <w:color w:val="auto"/>
          <w:szCs w:val="24"/>
          <w:highlight w:val="none"/>
          <w:lang w:val="en-US" w:eastAsia="zh-CN"/>
        </w:rPr>
        <w:t xml:space="preserve">权威</w:t>
      </w:r>
      <w:r/>
    </w:p>
    <w:p>
      <w:pPr>
        <w:ind w:firstLine="480"/>
        <w:spacing w:line="360" w:lineRule="auto"/>
        <w:rPr>
          <w:color w:val="auto"/>
          <w:highlight w:val="none"/>
        </w:rPr>
      </w:pPr>
      <w:r>
        <w:rPr>
          <w:rFonts w:hint="eastAsia" w:ascii="宋体" w:hAnsi="宋体" w:eastAsia="宋体" w:cs="宋体"/>
          <w:color w:val="auto"/>
          <w:szCs w:val="24"/>
          <w:highlight w:val="none"/>
        </w:rPr>
        <w:t xml:space="preserve">电话：0512-68708379</w:t>
      </w:r>
      <w:r/>
    </w:p>
    <w:p>
      <w:pPr>
        <w:ind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w:t>
      </w:r>
      <w:r/>
    </w:p>
    <w:p>
      <w:pPr>
        <w:ind w:firstLine="480"/>
        <w:jc w:val="right"/>
        <w:spacing w:line="360" w:lineRule="auto"/>
        <w:rPr>
          <w:rFonts w:hint="eastAsia" w:ascii="宋体" w:hAnsi="宋体" w:eastAsia="宋体" w:cs="宋体"/>
          <w:color w:val="auto"/>
          <w:sz w:val="24"/>
          <w:highlight w:val="none"/>
          <w:u w:val="none"/>
          <w:lang w:val="en-US" w:eastAsia="zh-CN" w:bidi="ar-SA"/>
        </w:rPr>
      </w:pPr>
      <w:r>
        <w:rPr>
          <w:rFonts w:hint="eastAsia" w:ascii="宋体" w:hAnsi="宋体" w:eastAsia="宋体" w:cs="宋体"/>
          <w:color w:val="auto"/>
          <w:sz w:val="24"/>
          <w:highlight w:val="none"/>
          <w:u w:val="none"/>
          <w:lang w:val="en-US" w:eastAsia="zh-CN" w:bidi="ar-SA"/>
        </w:rPr>
        <w:t xml:space="preserve">2024年</w:t>
      </w:r>
      <w:r>
        <w:rPr>
          <w:rFonts w:hint="eastAsia" w:ascii="宋体" w:hAnsi="宋体" w:cs="宋体"/>
          <w:color w:val="auto"/>
          <w:sz w:val="24"/>
          <w:highlight w:val="none"/>
          <w:u w:val="none"/>
          <w:lang w:val="en-US" w:eastAsia="zh-CN" w:bidi="ar-SA"/>
        </w:rPr>
        <w:t xml:space="preserve">7</w:t>
      </w:r>
      <w:r>
        <w:rPr>
          <w:rFonts w:hint="eastAsia" w:ascii="宋体" w:hAnsi="宋体" w:eastAsia="宋体" w:cs="宋体"/>
          <w:color w:val="auto"/>
          <w:sz w:val="24"/>
          <w:highlight w:val="none"/>
          <w:u w:val="none"/>
          <w:lang w:val="en-US" w:eastAsia="zh-CN" w:bidi="ar-SA"/>
        </w:rPr>
        <w:t xml:space="preserve">月</w:t>
      </w:r>
      <w:r>
        <w:rPr>
          <w:rFonts w:hint="eastAsia" w:ascii="宋体" w:hAnsi="宋体" w:cs="宋体"/>
          <w:color w:val="auto"/>
          <w:sz w:val="24"/>
          <w:highlight w:val="none"/>
          <w:u w:val="none"/>
          <w:lang w:val="en-US" w:eastAsia="zh-CN" w:bidi="ar-SA"/>
        </w:rPr>
        <w:t xml:space="preserve">30</w:t>
      </w:r>
      <w:r>
        <w:rPr>
          <w:rFonts w:hint="eastAsia" w:ascii="宋体" w:hAnsi="宋体" w:eastAsia="宋体" w:cs="宋体"/>
          <w:color w:val="auto"/>
          <w:sz w:val="24"/>
          <w:highlight w:val="none"/>
          <w:u w:val="none"/>
          <w:lang w:val="en-US" w:eastAsia="zh-CN" w:bidi="ar-SA"/>
        </w:rPr>
        <w:t xml:space="preserve">日</w:t>
      </w:r>
      <w:bookmarkStart w:id="8" w:name="_Toc388026584"/>
      <w:r/>
      <w:bookmarkEnd w:id="8"/>
      <w:r/>
      <w:r/>
    </w:p>
    <w:p>
      <w:pPr>
        <w:ind w:firstLine="480"/>
        <w:jc w:val="center"/>
        <w:spacing w:line="360" w:lineRule="auto"/>
        <w:rPr>
          <w:rStyle w:val="104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9" w:name="_Toc14457"/>
      <w:r/>
      <w:bookmarkStart w:id="10" w:name="_Toc8317"/>
      <w:r/>
      <w:bookmarkStart w:id="11" w:name="_Toc30293"/>
      <w:r>
        <w:rPr>
          <w:rStyle w:val="1040"/>
          <w:rFonts w:hint="eastAsia" w:asciiTheme="minorEastAsia" w:hAnsiTheme="minorEastAsia" w:eastAsiaTheme="minorEastAsia" w:cstheme="minorEastAsia"/>
          <w:color w:val="auto"/>
          <w:sz w:val="44"/>
          <w:szCs w:val="44"/>
          <w:highlight w:val="none"/>
        </w:rPr>
        <w:t xml:space="preserve">第二章 投标人须知</w:t>
      </w:r>
      <w:bookmarkEnd w:id="9"/>
      <w:r/>
      <w:bookmarkEnd w:id="10"/>
      <w:r/>
      <w:bookmarkEnd w:id="11"/>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val="0"/>
          <w:color w:val="auto"/>
          <w:szCs w:val="24"/>
          <w:highlight w:val="none"/>
        </w:rPr>
        <w:t xml:space="preserve">4、合格投标人的特定条件：</w:t>
      </w:r>
      <w:r>
        <w:rPr>
          <w:rFonts w:hint="eastAsia" w:asciiTheme="minorEastAsia" w:hAnsiTheme="minorEastAsia" w:eastAsiaTheme="minorEastAsia" w:cstheme="minorEastAsia"/>
          <w:b w:val="0"/>
          <w:bCs w:val="0"/>
          <w:color w:val="auto"/>
          <w:szCs w:val="24"/>
          <w:highlight w:val="none"/>
          <w:lang w:val="en-US" w:eastAsia="zh-CN"/>
        </w:rPr>
        <w:t xml:space="preserve">无。</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10.2招标文件不是投标人通过现场报名在代理机构获取的，采购人或采购代理机构对招标文件及其补遗的真实性、完整性不承担任何责任。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 w:val="24"/>
          <w:szCs w:val="24"/>
          <w:highlight w:val="none"/>
        </w:rPr>
        <w:t xml:space="preserve">在投标截止时间15日前，采购人或者采购代理机构无论出于自己的考虑，还是出于对投标人提问的澄清，均可对招标文件用更正公告的方式进行澄清或者修改，并通过</w:t>
      </w:r>
      <w:r>
        <w:rPr>
          <w:rFonts w:hint="eastAsia" w:asciiTheme="minorEastAsia" w:hAnsiTheme="minorEastAsia" w:eastAsiaTheme="minorEastAsia" w:cstheme="minorEastAsia"/>
          <w:color w:val="auto"/>
          <w:sz w:val="24"/>
          <w:szCs w:val="24"/>
          <w:highlight w:val="none"/>
          <w:lang w:val="en-US" w:eastAsia="zh-CN"/>
        </w:rPr>
        <w:t xml:space="preserve">招标文件规定的发布网站</w:t>
      </w:r>
      <w:r>
        <w:rPr>
          <w:rFonts w:hint="eastAsia" w:asciiTheme="minorEastAsia" w:hAnsiTheme="minorEastAsia" w:eastAsiaTheme="minorEastAsia" w:cstheme="minorEastAsia"/>
          <w:color w:val="auto"/>
          <w:sz w:val="24"/>
          <w:szCs w:val="24"/>
          <w:highlight w:val="none"/>
        </w:rPr>
        <w:t xml:space="preserve">对外进行发布。</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11.2对于补充通知（包括更正公告），报名成功的投标人通过“</w:t>
      </w:r>
      <w:r>
        <w:rPr>
          <w:rFonts w:hint="eastAsia" w:asciiTheme="minorEastAsia" w:hAnsiTheme="minorEastAsia" w:eastAsiaTheme="minorEastAsia" w:cstheme="minorEastAsia"/>
          <w:color w:val="auto"/>
          <w:sz w:val="24"/>
          <w:szCs w:val="24"/>
          <w:highlight w:val="none"/>
          <w:lang w:val="en-US" w:eastAsia="zh-CN"/>
        </w:rPr>
        <w:t xml:space="preserve">招标文件规定的发布网站</w:t>
      </w:r>
      <w:r>
        <w:rPr>
          <w:rFonts w:hint="eastAsia" w:asciiTheme="minorEastAsia" w:hAnsiTheme="minorEastAsia" w:eastAsiaTheme="minorEastAsia" w:cstheme="minorEastAsia"/>
          <w:bCs/>
          <w:color w:val="auto"/>
          <w:sz w:val="24"/>
          <w:szCs w:val="24"/>
          <w:highlight w:val="none"/>
        </w:rPr>
        <w:t xml:space="preserve">”自行查看所报项目的补充通知（包括更正公告）。补充通知（包括更正公告）将作为招标文件的组成部分，对所有投标人有约束力。</w:t>
      </w:r>
      <w:r/>
    </w:p>
    <w:p>
      <w:pPr>
        <w:ind w:firstLine="480"/>
        <w:keepLines w:val="0"/>
        <w:keepNext w:val="0"/>
        <w:pageBreakBefore w:val="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11.3</w:t>
      </w:r>
      <w:r>
        <w:rPr>
          <w:rFonts w:hint="eastAsia" w:asciiTheme="minorEastAsia" w:hAnsiTheme="minorEastAsia" w:eastAsiaTheme="minorEastAsia" w:cstheme="minorEastAsia"/>
          <w:color w:val="auto"/>
          <w:sz w:val="24"/>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12、提示与要求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12.2无论是否递交投标文件，投标人都应将招标文件及以后的所有通知、文件等视为保密文件。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13、投标文件计量单位和使用文字</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14、投标文件的组成和顺序</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14.1</w:t>
      </w:r>
      <w:r>
        <w:rPr>
          <w:rFonts w:hint="eastAsia" w:asciiTheme="minorEastAsia" w:hAnsiTheme="minorEastAsia" w:eastAsiaTheme="minorEastAsia" w:cstheme="minorEastAsia"/>
          <w:b/>
          <w:bCs/>
          <w:color w:val="auto"/>
          <w:sz w:val="24"/>
          <w:szCs w:val="24"/>
          <w:highlight w:val="none"/>
        </w:rPr>
        <w:t xml:space="preserve">投标书一（报价部分）(格式见第三章)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14.1.1投标函；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14.1.2</w:t>
      </w:r>
      <w:r>
        <w:rPr>
          <w:rFonts w:hint="eastAsia" w:asciiTheme="minorEastAsia" w:hAnsiTheme="minorEastAsia" w:eastAsiaTheme="minorEastAsia" w:cstheme="minorEastAsia"/>
          <w:color w:val="auto"/>
          <w:sz w:val="24"/>
          <w:szCs w:val="24"/>
          <w:highlight w:val="none"/>
          <w:lang w:eastAsia="zh-CN"/>
        </w:rPr>
        <w:t xml:space="preserve">开标一览表</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14.1.3投标报价明细表；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outlineLvl w:val="9"/>
      </w:pPr>
      <w:r>
        <w:rPr>
          <w:rFonts w:hint="eastAsia" w:asciiTheme="minorEastAsia" w:hAnsiTheme="minorEastAsia" w:eastAsiaTheme="minorEastAsia" w:cstheme="minorEastAsia"/>
          <w:b/>
          <w:bCs/>
          <w:color w:val="auto"/>
          <w:sz w:val="24"/>
          <w:szCs w:val="24"/>
          <w:highlight w:val="none"/>
        </w:rPr>
        <w:t xml:space="preserve">14.2投标书二（资格及技术部分）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14.2.1关于资格文件的声明函（详见第三章）；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14.2.2投标人情况表（详见第三章）；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14.2.3投标人的营业执照副本、税务登记证副本、组织机构代码证副本或三证合一营业执照副本复印件；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14.2.4投标人法定代表人身份证复印件；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14.2.5法定代表人授权委托书（如有授权）；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14.2.6投标人代理人身份证复印件（如有授权）（详见第三章）；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14.2.7投标人证明其满足合格投标人资格条件的证明材料：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（2）包括但不限于202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年度或202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年度经审计的财务报告，其他组织、自然人及成立未满一年的法人应提供银行出具的资信证明；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（3）履行合同所必备的设备和专业技术能力的证明材料或承诺；</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（5）参加本次招标前三年内在经营活动中没有重大违法记录、行贿记录的书面声明函；</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val="en-US" w:eastAsia="zh-CN"/>
        </w:rPr>
        <w:t xml:space="preserve">。</w:t>
      </w:r>
      <w:r/>
    </w:p>
    <w:p>
      <w:pPr>
        <w:pStyle w:val="1038"/>
        <w:keepLines w:val="0"/>
        <w:keepNext w:val="0"/>
        <w:pageBreakBefore w:val="0"/>
        <w:spacing w:line="360" w:lineRule="auto"/>
        <w:widowControl/>
        <w:rPr>
          <w:rFonts w:asciiTheme="minorEastAsia" w:hAnsiTheme="minorEastAsia" w:eastAsiaTheme="minorEastAsia" w:cstheme="minorEastAsia"/>
          <w:color w:val="auto"/>
          <w:szCs w:val="24"/>
          <w:highlight w:val="none"/>
        </w:rPr>
        <w:outlineLvl w:val="9"/>
      </w:pPr>
      <w:r>
        <w:rPr>
          <w:rFonts w:hint="eastAsia" w:ascii="宋体" w:hAnsi="宋体" w:eastAsia="宋体" w:cs="宋体"/>
          <w:color w:val="auto"/>
          <w:sz w:val="24"/>
          <w:szCs w:val="24"/>
          <w:highlight w:val="none"/>
          <w:lang w:val="en-US" w:eastAsia="zh-CN"/>
        </w:rPr>
        <w:t xml:space="preserve">14.</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通过“信用中国(https://www.creditchina.gov.cn)”</w:t>
      </w:r>
      <w:r>
        <w:rPr>
          <w:rFonts w:hint="eastAsia" w:ascii="宋体" w:hAnsi="宋体" w:eastAsia="宋体" w:cs="宋体"/>
          <w:color w:val="auto"/>
          <w:sz w:val="24"/>
          <w:szCs w:val="24"/>
          <w:highlight w:val="none"/>
        </w:rPr>
        <w:t xml:space="preserve">网站上的生成的公共信息报告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查询时间不可早于招标公告发布日期</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如查询不到，投标人须提供承诺包含但不限于以下内容：未</w:t>
      </w:r>
      <w:r>
        <w:rPr>
          <w:rFonts w:hint="eastAsia" w:ascii="宋体" w:hAnsi="宋体" w:eastAsia="宋体" w:cs="宋体"/>
          <w:color w:val="auto"/>
          <w:sz w:val="24"/>
          <w:szCs w:val="24"/>
          <w:highlight w:val="none"/>
          <w:lang w:val="en-US" w:eastAsia="zh-CN"/>
        </w:rPr>
        <w:t xml:space="preserve">列入“失信被执行人”、“重大税收违法案件当事人名单”、“严重违法失信行为记录名单”及其他存在失信信息</w:t>
      </w:r>
      <w:r>
        <w:rPr>
          <w:rFonts w:hint="eastAsia" w:ascii="宋体" w:hAnsi="宋体" w:cs="宋体"/>
          <w:color w:val="auto"/>
          <w:sz w:val="24"/>
          <w:szCs w:val="24"/>
          <w:highlight w:val="none"/>
          <w:lang w:val="en-US" w:eastAsia="zh-CN"/>
        </w:rPr>
        <w:t xml:space="preserve">（格式自拟）。如投标人属于：</w:t>
      </w:r>
      <w:r>
        <w:rPr>
          <w:rFonts w:hint="eastAsia" w:ascii="宋体" w:hAnsi="宋体" w:eastAsia="宋体" w:cs="宋体"/>
          <w:color w:val="auto"/>
          <w:sz w:val="24"/>
          <w:szCs w:val="24"/>
          <w:highlight w:val="none"/>
          <w:lang w:val="en-US" w:eastAsia="zh-CN"/>
        </w:rPr>
        <w:t xml:space="preserve">列入“失信被执行人”、“重大税收违法案件当事人名单”、“严重违法失信行为记录名单”及其他存在失信信息</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不得参加本次招标活动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default"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val="en-US" w:eastAsia="zh-CN"/>
        </w:rPr>
        <w:t xml:space="preserve">14.2.9</w:t>
      </w:r>
      <w:r>
        <w:rPr>
          <w:rFonts w:hint="eastAsia" w:ascii="宋体" w:hAnsi="宋体" w:cs="宋体"/>
          <w:color w:val="auto"/>
          <w:szCs w:val="24"/>
          <w:highlight w:val="none"/>
          <w:lang w:val="en-US" w:eastAsia="zh-CN"/>
        </w:rPr>
        <w:t xml:space="preserve">中小企业声明函/残疾人福利性单位声明函(格式见第三章)/监狱企业证明材料（如属）；</w:t>
      </w:r>
      <w:r/>
    </w:p>
    <w:p>
      <w:pPr>
        <w:ind w:firstLine="480"/>
        <w:keepLines w:val="0"/>
        <w:keepNext w:val="0"/>
        <w:pageBreakBefore w:val="0"/>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highlight w:val="none"/>
        </w:rPr>
        <w:t xml:space="preserve">14.</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10</w:t>
      </w:r>
      <w:r>
        <w:rPr>
          <w:rFonts w:hint="eastAsia" w:asciiTheme="minorEastAsia" w:hAnsiTheme="minorEastAsia" w:eastAsiaTheme="minorEastAsia" w:cstheme="minorEastAsia"/>
          <w:color w:val="auto"/>
          <w:highlight w:val="none"/>
        </w:rPr>
        <w:t xml:space="preserve">投标人与其他单位存在控股、管理关系情况表（格式见第三章）</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 xml:space="preserve">14.2.1</w:t>
      </w:r>
      <w:r>
        <w:rPr>
          <w:rFonts w:hint="eastAsia" w:ascii="宋体" w:hAnsi="宋体" w:cs="Times New Roman"/>
          <w:color w:val="auto"/>
          <w:szCs w:val="24"/>
          <w:highlight w:val="none"/>
          <w:lang w:val="en-US" w:eastAsia="zh-CN"/>
        </w:rPr>
        <w:t xml:space="preserve">1</w:t>
      </w:r>
      <w:r>
        <w:rPr>
          <w:rFonts w:hint="eastAsia" w:ascii="宋体" w:hAnsi="宋体" w:eastAsia="宋体" w:cs="Times New Roman"/>
          <w:color w:val="auto"/>
          <w:szCs w:val="24"/>
          <w:highlight w:val="none"/>
        </w:rPr>
        <w:t xml:space="preserve">产品配置清单表</w:t>
      </w:r>
      <w:r>
        <w:rPr>
          <w:rFonts w:hint="eastAsia" w:ascii="宋体" w:hAnsi="宋体" w:eastAsia="宋体" w:cs="Times New Roman"/>
          <w:color w:val="auto"/>
          <w:szCs w:val="24"/>
          <w:highlight w:val="none"/>
          <w:lang w:val="zh-CN"/>
        </w:rPr>
        <w:t xml:space="preserve">；</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lang w:val="en-US" w:eastAsia="zh-CN"/>
        </w:rPr>
        <w:t xml:space="preserve">14.2.1</w:t>
      </w:r>
      <w:r>
        <w:rPr>
          <w:rFonts w:hint="eastAsia" w:ascii="宋体" w:hAnsi="宋体" w:cs="Times New Roman"/>
          <w:color w:val="auto"/>
          <w:szCs w:val="24"/>
          <w:highlight w:val="none"/>
          <w:lang w:val="en-US" w:eastAsia="zh-CN"/>
        </w:rPr>
        <w:t xml:space="preserve">2</w:t>
      </w:r>
      <w:r>
        <w:rPr>
          <w:rFonts w:hint="eastAsia" w:ascii="宋体" w:hAnsi="宋体" w:eastAsia="宋体" w:cs="Times New Roman"/>
          <w:color w:val="auto"/>
          <w:szCs w:val="24"/>
          <w:highlight w:val="none"/>
        </w:rPr>
        <w:t xml:space="preserve">投标货物的技术参数、性能等</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rPr>
          <w:rFonts w:hint="eastAsia" w:ascii="宋体" w:hAnsi="宋体" w:eastAsia="宋体" w:cs="Times New Roman"/>
          <w:color w:val="auto"/>
          <w:szCs w:val="24"/>
          <w:highlight w:val="none"/>
          <w:lang w:val="zh-CN" w:eastAsia="zh-CN"/>
        </w:rPr>
      </w:pPr>
      <w:r>
        <w:rPr>
          <w:rFonts w:hint="eastAsia" w:ascii="宋体" w:hAnsi="宋体" w:eastAsia="宋体" w:cs="Times New Roman"/>
          <w:color w:val="auto"/>
          <w:szCs w:val="24"/>
          <w:highlight w:val="none"/>
          <w:lang w:val="en-US" w:eastAsia="zh-CN"/>
        </w:rPr>
        <w:t xml:space="preserve">14.2.1</w:t>
      </w:r>
      <w:r>
        <w:rPr>
          <w:rFonts w:hint="eastAsia" w:ascii="宋体" w:hAnsi="宋体" w:cs="Times New Roman"/>
          <w:color w:val="auto"/>
          <w:szCs w:val="24"/>
          <w:highlight w:val="none"/>
          <w:lang w:val="en-US" w:eastAsia="zh-CN"/>
        </w:rPr>
        <w:t xml:space="preserve">3</w:t>
      </w:r>
      <w:r>
        <w:rPr>
          <w:rFonts w:hint="eastAsia" w:ascii="宋体" w:hAnsi="宋体" w:eastAsia="宋体" w:cs="Times New Roman"/>
          <w:color w:val="auto"/>
          <w:szCs w:val="24"/>
          <w:highlight w:val="none"/>
        </w:rPr>
        <w:t xml:space="preserve">产品质量承诺</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14.2.14</w:t>
      </w:r>
      <w:r>
        <w:rPr>
          <w:rFonts w:hint="eastAsia" w:ascii="宋体" w:hAnsi="宋体"/>
          <w:color w:val="auto"/>
          <w:szCs w:val="24"/>
          <w:highlight w:val="none"/>
        </w:rPr>
        <w:t xml:space="preserve">详细的服务实施方案</w:t>
      </w:r>
      <w:r>
        <w:rPr>
          <w:rFonts w:hint="eastAsia" w:ascii="宋体" w:hAnsi="宋体"/>
          <w:color w:val="auto"/>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14.2.15</w:t>
      </w:r>
      <w:r>
        <w:rPr>
          <w:rFonts w:hint="eastAsia" w:ascii="宋体" w:hAnsi="宋体"/>
          <w:color w:val="auto"/>
          <w:szCs w:val="24"/>
          <w:highlight w:val="none"/>
        </w:rPr>
        <w:t xml:space="preserve">货物的技术服务、售后服务体系与维保方案，包括《售后服务承诺书》、《</w:t>
      </w:r>
      <w:r>
        <w:rPr>
          <w:rFonts w:hint="eastAsia" w:ascii="宋体" w:hAnsi="宋体" w:cs="宋体"/>
          <w:color w:val="auto"/>
          <w:szCs w:val="24"/>
          <w:highlight w:val="none"/>
        </w:rPr>
        <w:t xml:space="preserve">技术规格偏离表》、</w:t>
      </w:r>
      <w:r>
        <w:rPr>
          <w:rFonts w:hint="eastAsia" w:ascii="宋体" w:hAnsi="宋体"/>
          <w:color w:val="auto"/>
          <w:szCs w:val="24"/>
          <w:highlight w:val="none"/>
        </w:rPr>
        <w:t xml:space="preserve">《商务条款偏离表》、《投入本项目人员一览表》等</w:t>
      </w:r>
      <w:r>
        <w:rPr>
          <w:rFonts w:hint="eastAsia" w:ascii="宋体" w:hAnsi="宋体"/>
          <w:color w:val="auto"/>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对本次投标的详细说明及其他优惠条件(投标人视需要自行编写)；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招标文件要求须提供的其他技术资料；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Cs w:val="24"/>
          <w:highlight w:val="none"/>
        </w:rPr>
        <w:t xml:space="preserve">投标人认为需要提供的其他资料。</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cs="宋体"/>
          <w:b/>
          <w:bCs w:val="0"/>
          <w:color w:val="auto"/>
          <w:szCs w:val="24"/>
          <w:highlight w:val="none"/>
        </w:rPr>
        <w:t xml:space="preserve">1、投标书二（资格及技术部分）中不得出现投标总报价。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投标文件由14.1、14.2款规定的内容共同组成。</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15、投标文件编制要求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15.1投标文件按统一格式、顺序编写，投标书一（报价部分）、投标书二（资格及技术部分）应分别装订成册。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15.2《开标一览表》为在开标仪式上唱标的内容，要求按格式填写，统一规范，不得自行增减内容。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16.投标报价（编制）要求的说明</w:t>
      </w:r>
      <w:r/>
    </w:p>
    <w:p>
      <w:pPr>
        <w:pStyle w:val="1019"/>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除非合同中另有规定，投标人对《标的物清单》中的全部货物和服务的报价应包括但不限于本合同所涉全部设备、辅助材料、安装、调试、培训、验收、人工、机械、运输、仓储、保险、运费、各种税费、劳保、与现有/后期设备对接费、</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rPr>
        <w:t xml:space="preserve">专利技术及质保期间等一切费用；甲方无须支付其他任何费用。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16.2投标人应按《投标报价表》中的全部货物和服务计算单价和总价。《投标报价表》中的每一单项均应计算并填写单价和总价，并由法定代表人或授权委托人签署。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16.5投标文件报价中的单价和总价全部采用人民币表示，除非合同的特殊条款另有规定。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18、投标文件的有效期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18.1在招标文件前附表规定的投标文件有效期内，投标人所提交的投标文件应保持有效。有效期短于这个规定期限的投标文件，将被认定为未实质性响应招标文件要求。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18.2在特殊情况下，采购人或者采购代理机构可与投标人协商延长投标书的有效期。这种要求和答复都应以书面形式进行。同意延长有效期的投标人不能修改投标文件。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19、投标文件的份数和签署</w:t>
      </w:r>
      <w:r/>
    </w:p>
    <w:p>
      <w:pPr>
        <w:ind w:firstLine="482"/>
        <w:keepLines w:val="0"/>
        <w:keepNext w:val="0"/>
        <w:pageBreakBefore w:val="0"/>
        <w:spacing w:line="360" w:lineRule="auto"/>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19.1投标人应按前附表所述份数，编制投标文件“正本”、“副本”“电子投标书”，并明确标明“正本”“副本”“电子投标书”。投标文件正本、副本、电子版如有不一致之处，以正本为准。如未按规定的份数提供，其投标文件将被拒接。</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19.2投标文件正本和副本均应使用不能擦去的黑色或蓝色墨水打印或书写，由投标人法定代表人或代理人在招标文件要求处亲自签署或盖章，并加盖公章。若未按上述要求签署的投标文件将拒绝。电子投标书须与投标书正本完全一致或为投标书正本扫描件。</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19.3全套投标文件应无涂改和行间插字，除非这些删改是根据采购人或者采购代理机构指示进行的,或者是投标人造成的必须修改的错误。但修改处应由投标文件签字人签字证明。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20、投标文件的密封及标记</w:t>
      </w:r>
      <w:r/>
    </w:p>
    <w:p>
      <w:pPr>
        <w:ind w:firstLine="480"/>
        <w:keepLines w:val="0"/>
        <w:keepNext w:val="0"/>
        <w:pageBreakBefore w:val="0"/>
        <w:spacing w:line="360" w:lineRule="auto"/>
        <w:rPr>
          <w:rFonts w:asciiTheme="minorEastAsia" w:hAnsiTheme="minorEastAsia" w:eastAsiaTheme="minorEastAsia" w:cstheme="minorEastAsia"/>
          <w:b w:val="0"/>
          <w:bCs/>
          <w:color w:val="auto"/>
          <w:szCs w:val="24"/>
          <w:highlight w:val="none"/>
          <w:u w:val="none"/>
        </w:rPr>
      </w:pPr>
      <w:r>
        <w:rPr>
          <w:rFonts w:hint="eastAsia" w:asciiTheme="minorEastAsia" w:hAnsiTheme="minorEastAsia" w:eastAsiaTheme="minorEastAsia" w:cstheme="minorEastAsia"/>
          <w:color w:val="auto"/>
          <w:szCs w:val="24"/>
          <w:highlight w:val="none"/>
        </w:rPr>
        <w:t xml:space="preserve">20.1</w:t>
      </w:r>
      <w:r>
        <w:rPr>
          <w:rFonts w:hint="eastAsia" w:ascii="宋体" w:hAnsi="宋体" w:eastAsia="宋体"/>
          <w:b w:val="0"/>
          <w:bCs/>
          <w:color w:val="auto"/>
          <w:sz w:val="24"/>
          <w:szCs w:val="24"/>
          <w:highlight w:val="none"/>
          <w:u w:val="none"/>
        </w:rPr>
        <w:t xml:space="preserve">投标人应将全部投标文件〔含投标书一（报价部分）、投标书二（资格及技术部分）</w:t>
      </w:r>
      <w:r>
        <w:rPr>
          <w:rFonts w:hint="eastAsia" w:ascii="宋体" w:hAnsi="宋体" w:eastAsia="宋体"/>
          <w:b w:val="0"/>
          <w:bCs/>
          <w:color w:val="auto"/>
          <w:sz w:val="24"/>
          <w:szCs w:val="24"/>
          <w:highlight w:val="none"/>
          <w:u w:val="none"/>
          <w:lang w:eastAsia="zh-CN"/>
        </w:rPr>
        <w:t xml:space="preserve">、电子投标书</w:t>
      </w:r>
      <w:r>
        <w:rPr>
          <w:rFonts w:hint="eastAsia" w:ascii="宋体" w:hAnsi="宋体" w:eastAsia="宋体"/>
          <w:b w:val="0"/>
          <w:bCs/>
          <w:color w:val="auto"/>
          <w:sz w:val="24"/>
          <w:szCs w:val="24"/>
          <w:highlight w:val="none"/>
          <w:u w:val="none"/>
        </w:rPr>
        <w:t xml:space="preserve">及认为有必要提交的其他资料〕进行密封。密封</w:t>
      </w:r>
      <w:r>
        <w:rPr>
          <w:rFonts w:hint="eastAsia" w:ascii="宋体" w:hAnsi="宋体" w:eastAsia="宋体"/>
          <w:b w:val="0"/>
          <w:bCs/>
          <w:color w:val="auto"/>
          <w:sz w:val="24"/>
          <w:szCs w:val="24"/>
          <w:highlight w:val="none"/>
          <w:u w:val="none"/>
          <w:lang w:val="en-US" w:eastAsia="zh-CN"/>
        </w:rPr>
        <w:t xml:space="preserve">袋</w:t>
      </w:r>
      <w:r>
        <w:rPr>
          <w:rFonts w:hint="eastAsia" w:ascii="宋体" w:hAnsi="宋体" w:eastAsia="宋体"/>
          <w:b w:val="0"/>
          <w:bCs/>
          <w:color w:val="auto"/>
          <w:sz w:val="24"/>
          <w:szCs w:val="24"/>
          <w:highlight w:val="none"/>
          <w:u w:val="none"/>
        </w:rPr>
        <w:t xml:space="preserve">的封皮上写明采购编号、标段号</w:t>
      </w:r>
      <w:r>
        <w:rPr>
          <w:rFonts w:hint="eastAsia" w:ascii="宋体" w:hAnsi="宋体" w:eastAsia="宋体"/>
          <w:b w:val="0"/>
          <w:bCs/>
          <w:color w:val="auto"/>
          <w:sz w:val="24"/>
          <w:szCs w:val="24"/>
          <w:highlight w:val="none"/>
          <w:u w:val="none"/>
          <w:lang w:eastAsia="zh-CN"/>
        </w:rPr>
        <w:t xml:space="preserve">（</w:t>
      </w:r>
      <w:r>
        <w:rPr>
          <w:rFonts w:hint="eastAsia" w:ascii="宋体" w:hAnsi="宋体" w:eastAsia="宋体"/>
          <w:b w:val="0"/>
          <w:bCs/>
          <w:color w:val="auto"/>
          <w:sz w:val="24"/>
          <w:szCs w:val="24"/>
          <w:highlight w:val="none"/>
          <w:u w:val="none"/>
          <w:lang w:val="en-US" w:eastAsia="zh-CN"/>
        </w:rPr>
        <w:t xml:space="preserve">如有</w:t>
      </w:r>
      <w:r>
        <w:rPr>
          <w:rFonts w:hint="eastAsia" w:ascii="宋体" w:hAnsi="宋体" w:eastAsia="宋体"/>
          <w:b w:val="0"/>
          <w:bCs/>
          <w:color w:val="auto"/>
          <w:sz w:val="24"/>
          <w:szCs w:val="24"/>
          <w:highlight w:val="none"/>
          <w:u w:val="none"/>
          <w:lang w:eastAsia="zh-CN"/>
        </w:rPr>
        <w:t xml:space="preserve">）</w:t>
      </w:r>
      <w:r>
        <w:rPr>
          <w:rFonts w:hint="eastAsia" w:ascii="宋体" w:hAnsi="宋体" w:eastAsia="宋体"/>
          <w:b w:val="0"/>
          <w:bCs/>
          <w:color w:val="auto"/>
          <w:sz w:val="24"/>
          <w:szCs w:val="24"/>
          <w:highlight w:val="none"/>
          <w:u w:val="none"/>
        </w:rPr>
        <w:t xml:space="preserve">、</w:t>
      </w:r>
      <w:r>
        <w:rPr>
          <w:rFonts w:hint="eastAsia" w:ascii="宋体" w:hAnsi="宋体" w:eastAsia="宋体"/>
          <w:b w:val="0"/>
          <w:bCs/>
          <w:color w:val="auto"/>
          <w:sz w:val="24"/>
          <w:szCs w:val="24"/>
          <w:highlight w:val="none"/>
          <w:u w:val="none"/>
          <w:lang w:val="en-US" w:eastAsia="zh-CN"/>
        </w:rPr>
        <w:t xml:space="preserve">采购</w:t>
      </w:r>
      <w:r>
        <w:rPr>
          <w:rFonts w:hint="eastAsia" w:ascii="宋体" w:hAnsi="宋体" w:eastAsia="宋体"/>
          <w:b w:val="0"/>
          <w:bCs/>
          <w:color w:val="auto"/>
          <w:sz w:val="24"/>
          <w:szCs w:val="24"/>
          <w:highlight w:val="none"/>
          <w:u w:val="none"/>
          <w:lang w:eastAsia="zh-CN"/>
        </w:rPr>
        <w:t xml:space="preserve">人</w:t>
      </w:r>
      <w:r>
        <w:rPr>
          <w:rFonts w:hint="eastAsia" w:ascii="宋体" w:hAnsi="宋体" w:eastAsia="宋体"/>
          <w:b w:val="0"/>
          <w:bCs/>
          <w:color w:val="auto"/>
          <w:sz w:val="24"/>
          <w:szCs w:val="24"/>
          <w:highlight w:val="none"/>
          <w:u w:val="none"/>
        </w:rPr>
        <w:t xml:space="preserve">或采购代理机构名称、招标项目名称、投标人名称，并注明“开标时启封”字样。在封口处应有投标人法定代表人或其授权代理人的签字或盖章，并加盖投标人公章。</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20.2如果投标人未按上述要求密封及加写标记，采购人或采购代理机构将不承担投标文件提前开封的责任并有权拒绝接受其投标文件。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21、投标截止时间</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投标人应当在招标文件要求提交投标文件的截止时间前，将投标文件密封送达投标地点。采购人或者采购代理机构收到投标文件后，应当如实记载投标文件的送达时间和密封情况，签收保存，并向投标人出具签收回执。任何单位和个人不得在开标前开启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21.2采购人或者采购代理机构推迟投标截止时间时，应以书面形式通知所有投标人。在这种情况下，采购人或者采购代理机构和投标人的权利和义务将受到新的截止期的约束。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21.3在投标截止时间以后送达的投标文件，采购人或者采购代理机构拒绝接收。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21.4在投标截止时间止采购人或者采购代理机构收到的投标文件少于三份，采购人或者采购代理机构有权宣布本次招标失败。</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22、投标文件的修改和撤回</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22.2投标人在投标截止时间前撤回已提交的投标文件的，采购人或者采购代理机构应当自收到投标人书面撤回通知之日起5个工作日内，退还已收取的投标保证金，但因投标人自身原因导致无法及时退还的除外（如缴纳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23.开标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23.1</w:t>
      </w:r>
      <w:r>
        <w:rPr>
          <w:rFonts w:hint="eastAsia" w:ascii="宋体" w:hAnsi="宋体" w:eastAsia="宋体" w:cs="宋体"/>
          <w:color w:val="auto"/>
          <w:szCs w:val="24"/>
          <w:highlight w:val="none"/>
        </w:rPr>
        <w:t xml:space="preserve">开标由采购人或采购代理机构按规定的时间、地点主持，邀请投标人等相关方面代表参加。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23.2参加开标的投标人法定代表人或代理人应携带本人身份证明签名报到，以证明其出席开标会议。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23.3开标时由投标人或者其推选的代表检查投标文件的密封情况；经确认无误后，由采购人或者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工作人员当众拆封。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23.4</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在开标仪式上，将公布投标人的名称。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23.5投标人法定代表人或授权代理人未准时参加开标会议的视为自动放弃投标，其投标文件将不予评审。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23.6开标结束后，采购人或</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应当依法对投标人的资格进行审查。合格投标人不足3家的，不得评标。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23.7投标人未参加开标的，视同认可开标结果。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24.评标委员会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24.1评标委员会由采购人代表和评审专家组成；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24.2评标委员会负责具体评标事务，并独立履行下列职责：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24.2.1审查、评价投标文件是否符合招标文件的商务、技术等实质性要求；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24.2.2要求投标人对投标文件有关事项作出澄清或者说明；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24.2.3对投标文件进行比较和评价；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24.2.4确定中标候选人名单，以及根据采购人委托直接确定</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24.2.5向采购人、</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或者有关部门报告评标中发现的违法行为。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24.3评标委员会成员应当履行下列义务：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24.3.1遵纪守法，客观、公正、廉洁地履行职责；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24.3.2按照招标文件规定的评标办法和评标标准进行评标，对评审意见承担个人责任；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24.3.3对评标过程和结果，以及投标人的商业秘密保密；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24.3.4参与评标报告的起草；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24.3.5配合相关部门的投诉处理工作；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24.3.6配合采购人或者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答复投标人提出的质疑。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25.评标内容的保密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25.1公开开标后，直到宣布授予</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合同为止，凡属于审查、澄清、评价和比较投标的所有资料，有关授予合同的信息都不应向投标人或与评标无关的其他人泄露。</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25.2在投标文件的审查、澄清、评价和比较以及授予合同的过程中，投标人对采购人或者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和评标委员会成员施加影响的任何行为，都将取消其投标资格。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25.3在评标期间，采购人或者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将通过指定联络人与投标人进行联系。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26.对投标文件初审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w:t>
      </w:r>
      <w:r>
        <w:rPr>
          <w:rFonts w:hint="eastAsia" w:ascii="宋体" w:hAnsi="宋体" w:eastAsia="宋体" w:cs="宋体"/>
          <w:color w:val="auto"/>
          <w:szCs w:val="24"/>
          <w:highlight w:val="none"/>
        </w:rPr>
        <w:t xml:space="preserve">符合性检查。依据招标文件的规定，从投标文件的有效性、完整性和对招标文件的响应程度进行审查。以确定是否对招标文件的实质性要求作出响应。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26.2</w:t>
      </w:r>
      <w:r>
        <w:rPr>
          <w:rFonts w:hint="eastAsia" w:ascii="宋体" w:hAnsi="宋体" w:eastAsia="宋体" w:cs="宋体"/>
          <w:color w:val="auto"/>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26.1.1投标文件未按照本须知规定签署和盖章；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26.1.2未按本须知规定提交资格文件；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26.1.3与招标文件有重大偏离；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26.1.4投标人拒绝修正错误；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其他被评委会认定无效的情况。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26.3</w:t>
      </w:r>
      <w:r>
        <w:rPr>
          <w:rFonts w:hint="eastAsia" w:ascii="宋体" w:hAnsi="宋体" w:eastAsia="宋体" w:cs="宋体"/>
          <w:color w:val="auto"/>
          <w:szCs w:val="24"/>
          <w:highlight w:val="none"/>
        </w:rPr>
        <w:t xml:space="preserve">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26.3.1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26.4</w:t>
      </w:r>
      <w:r>
        <w:rPr>
          <w:rFonts w:hint="eastAsia" w:ascii="宋体" w:hAnsi="宋体" w:eastAsia="宋体" w:cs="宋体"/>
          <w:color w:val="auto"/>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26.5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27.投标的澄清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27.1为了有助于对投标文件进行审查、评估和比较，采购人或者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有权就投标文件中含混之处向投标人提出询问或澄清要求。投标人必须按照采购人或者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通知的时间、地点派技术和商务人员进行答疑和澄清。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27.2有关澄清的答复应采用书面形式，该书面答复应有投标人全权代表签署确认，并将作为投标内容的一部分。</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27.3</w:t>
      </w:r>
      <w:r>
        <w:rPr>
          <w:rFonts w:hint="eastAsia" w:ascii="宋体" w:hAnsi="宋体" w:eastAsia="宋体" w:cs="宋体"/>
          <w:color w:val="auto"/>
          <w:szCs w:val="24"/>
          <w:highlight w:val="none"/>
        </w:rPr>
        <w:t xml:space="preserve">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28.1.1投标文件未按招标文件要求签署、盖章的；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28.1.2不具备招标文件中规定的资格要求的；</w:t>
      </w:r>
      <w:r/>
    </w:p>
    <w:p>
      <w:pPr>
        <w:ind w:firstLine="480"/>
        <w:keepLines w:val="0"/>
        <w:keepNext w:val="0"/>
        <w:pageBreakBefore w:val="0"/>
        <w:spacing w:line="360" w:lineRule="auto"/>
        <w:widowControl w:val="off"/>
        <w:rPr>
          <w:rFonts w:hint="default"/>
          <w:color w:val="auto"/>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28.1.3</w:t>
      </w:r>
      <w:r>
        <w:rPr>
          <w:rFonts w:hint="eastAsia" w:ascii="宋体" w:hAnsi="宋体" w:eastAsia="宋体" w:cs="宋体"/>
          <w:color w:val="auto"/>
          <w:szCs w:val="24"/>
          <w:highlight w:val="none"/>
        </w:rPr>
        <w:t xml:space="preserve">报价超过招标文件中规定的预算金额或者最高限价的；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投标文件含有采购人不能接受的附加条件的；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28.2在招标采购中，出现下列情形之一的，应予废标：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28.2.1符合专业条件的投标人或者对招标文件作实质响应的投标人不足三家的；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28.2.2出现影响采购公正的违法、违规行为的；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28.2.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因重大变故，采购任务取消的</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eastAsia="宋体" w:asciiTheme="minorEastAsia" w:hAnsi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28.2.4</w:t>
      </w:r>
      <w:r>
        <w:rPr>
          <w:rFonts w:hint="eastAsia" w:ascii="宋体" w:hAnsi="宋体" w:eastAsia="宋体" w:cs="宋体"/>
          <w:color w:val="auto"/>
          <w:szCs w:val="24"/>
          <w:highlight w:val="none"/>
        </w:rPr>
        <w:t xml:space="preserve">投标人的报价均超过了采购预算，采购人不能支付的</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29.投标文件的评价和比较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29.1评标委员会将仅对按照本须知有关规定确定为实质上响应招标文件要求的投标文件进行评价和比较。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29.2本次招标评标采用综合评分法，具体内容详见招标文件第六章。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29.3评价和比较采用综合评分法，评标委员会严格按照招标文件的要求、条件、评分标准，对所提供货物或服务的先进性、可靠性、售后服务承诺、质量保证承诺等实质性响应内容进行比较，同时考虑以下因素：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29.3.1</w:t>
      </w:r>
      <w:r>
        <w:rPr>
          <w:rFonts w:hint="eastAsia" w:ascii="宋体" w:hAnsi="宋体"/>
          <w:color w:val="auto"/>
          <w:szCs w:val="24"/>
          <w:highlight w:val="none"/>
        </w:rPr>
        <w:t xml:space="preserve">交货状态和交货期；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29.3.2</w:t>
      </w:r>
      <w:r>
        <w:rPr>
          <w:rFonts w:hint="eastAsia" w:ascii="宋体" w:hAnsi="宋体"/>
          <w:color w:val="auto"/>
          <w:szCs w:val="24"/>
          <w:highlight w:val="none"/>
          <w:lang w:val="en-US" w:eastAsia="zh-CN"/>
        </w:rPr>
        <w:t xml:space="preserve">售后</w:t>
      </w:r>
      <w:r>
        <w:rPr>
          <w:rFonts w:hint="eastAsia" w:ascii="宋体" w:hAnsi="宋体"/>
          <w:color w:val="auto"/>
          <w:szCs w:val="24"/>
          <w:highlight w:val="none"/>
        </w:rPr>
        <w:t xml:space="preserve">服务措施；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29.3.3</w:t>
      </w:r>
      <w:r>
        <w:rPr>
          <w:rFonts w:hint="eastAsia" w:ascii="宋体" w:hAnsi="宋体"/>
          <w:color w:val="auto"/>
          <w:szCs w:val="24"/>
          <w:highlight w:val="none"/>
        </w:rPr>
        <w:t xml:space="preserve">货物出厂验收情况；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29.3.4</w:t>
      </w:r>
      <w:r>
        <w:rPr>
          <w:rFonts w:hint="eastAsia" w:ascii="宋体" w:hAnsi="宋体"/>
          <w:color w:val="auto"/>
          <w:szCs w:val="24"/>
          <w:highlight w:val="none"/>
        </w:rPr>
        <w:t xml:space="preserve">投标人的资信情况和履约能力；</w:t>
      </w:r>
      <w:r/>
    </w:p>
    <w:p>
      <w:pPr>
        <w:ind w:firstLine="480"/>
        <w:keepLines w:val="0"/>
        <w:keepNext w:val="0"/>
        <w:pageBreakBefore w:val="0"/>
        <w:spacing w:line="360" w:lineRule="auto"/>
        <w:shd w:val="clear" w:color="auto" w:fill="auto"/>
        <w:widowControl w:val="off"/>
        <w:rPr>
          <w:rFonts w:hint="eastAsia" w:ascii="宋体" w:hAnsi="宋体"/>
          <w:color w:val="auto"/>
          <w:szCs w:val="24"/>
          <w:highlight w:val="none"/>
        </w:rPr>
      </w:pPr>
      <w:r>
        <w:rPr>
          <w:rFonts w:hint="eastAsia" w:ascii="宋体" w:hAnsi="宋体"/>
          <w:color w:val="auto"/>
          <w:szCs w:val="24"/>
          <w:highlight w:val="none"/>
          <w:lang w:val="en-US" w:eastAsia="zh-CN"/>
        </w:rPr>
        <w:t xml:space="preserve">29</w:t>
      </w:r>
      <w:r>
        <w:rPr>
          <w:rFonts w:hint="eastAsia" w:ascii="宋体" w:hAnsi="宋体"/>
          <w:color w:val="auto"/>
          <w:szCs w:val="24"/>
          <w:highlight w:val="none"/>
        </w:rPr>
        <w:t xml:space="preserve">.3.5投标人的供货状况及销售业绩及服务措施；</w:t>
      </w:r>
      <w:r/>
    </w:p>
    <w:p>
      <w:pPr>
        <w:ind w:firstLine="480"/>
        <w:keepLines w:val="0"/>
        <w:keepNext w:val="0"/>
        <w:pageBreakBefore w:val="0"/>
        <w:spacing w:line="360" w:lineRule="auto"/>
        <w:shd w:val="clear" w:color="auto" w:fill="auto"/>
        <w:widowControl w:val="off"/>
        <w:rPr>
          <w:rFonts w:hint="eastAsia" w:ascii="宋体" w:hAnsi="宋体"/>
          <w:color w:val="auto"/>
          <w:szCs w:val="24"/>
          <w:highlight w:val="none"/>
        </w:rPr>
      </w:pPr>
      <w:r>
        <w:rPr>
          <w:rFonts w:hint="eastAsia" w:ascii="宋体" w:hAnsi="宋体"/>
          <w:color w:val="auto"/>
          <w:szCs w:val="24"/>
          <w:highlight w:val="none"/>
          <w:lang w:val="en-US" w:eastAsia="zh-CN"/>
        </w:rPr>
        <w:t xml:space="preserve">29</w:t>
      </w:r>
      <w:r>
        <w:rPr>
          <w:rFonts w:hint="eastAsia" w:ascii="宋体" w:hAnsi="宋体"/>
          <w:color w:val="auto"/>
          <w:szCs w:val="24"/>
          <w:highlight w:val="none"/>
        </w:rPr>
        <w:t xml:space="preserve">.3.6投标人提供的其他优惠条件；</w:t>
      </w:r>
      <w:r/>
    </w:p>
    <w:p>
      <w:pPr>
        <w:ind w:firstLine="480"/>
        <w:keepLines w:val="0"/>
        <w:keepNext w:val="0"/>
        <w:pageBreakBefore w:val="0"/>
        <w:spacing w:line="360" w:lineRule="auto"/>
        <w:shd w:val="clear" w:color="auto" w:fill="auto"/>
        <w:widowControl w:val="off"/>
        <w:rPr>
          <w:rFonts w:hint="eastAsia" w:ascii="宋体" w:hAnsi="宋体"/>
          <w:color w:val="auto"/>
          <w:szCs w:val="24"/>
          <w:highlight w:val="none"/>
        </w:rPr>
      </w:pPr>
      <w:r>
        <w:rPr>
          <w:rFonts w:hint="eastAsia" w:ascii="宋体" w:hAnsi="宋体"/>
          <w:color w:val="auto"/>
          <w:szCs w:val="24"/>
          <w:highlight w:val="none"/>
          <w:lang w:val="en-US" w:eastAsia="zh-CN"/>
        </w:rPr>
        <w:t xml:space="preserve">29</w:t>
      </w:r>
      <w:r>
        <w:rPr>
          <w:rFonts w:hint="eastAsia" w:ascii="宋体" w:hAnsi="宋体"/>
          <w:color w:val="auto"/>
          <w:szCs w:val="24"/>
          <w:highlight w:val="none"/>
        </w:rPr>
        <w:t xml:space="preserve">.3.7参与采购工作的态度及信誉。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30.</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的确认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30.1评标委员会根据投标人资格审查情况，对投标文件进行评价和比较，按照评标办法和标准进行评标，由采购人授权评标委员会在中标候选人名单中直接确定</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30.2经评标委员会评审并确定中标人后，采购人</w:t>
      </w:r>
      <w:r>
        <w:rPr>
          <w:rFonts w:hint="eastAsia" w:asciiTheme="minorEastAsia" w:hAnsiTheme="minorEastAsia" w:eastAsiaTheme="minorEastAsia" w:cstheme="minorEastAsia"/>
          <w:color w:val="auto"/>
          <w:sz w:val="24"/>
          <w:szCs w:val="24"/>
          <w:highlight w:val="none"/>
        </w:rPr>
        <w:t xml:space="preserve">或者采购代理机构将在规定的时间内将中标结果在相关媒体上予以公示。各有关当事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30.3</w:t>
      </w:r>
      <w:r>
        <w:rPr>
          <w:rFonts w:hint="eastAsia" w:ascii="宋体" w:hAnsi="宋体" w:eastAsia="宋体" w:cs="宋体"/>
          <w:color w:val="auto"/>
          <w:szCs w:val="24"/>
          <w:highlight w:val="none"/>
        </w:rPr>
        <w:t xml:space="preserve">在采购合同履行中，采购人需追加与合同标的相同的货物、工程或者服务的，在不改变合同其他条款的前提下，可以与供应商协商签订补充合同，但所有补充合同的采购金额不得超过原合同采购金额的百分之十。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31.合同授予标准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将把合同授予其投标文件在实质上响应招标文件要求和按本须知规定评选出的投标人。确定为中标的投标人必须具有实施本合同的能力和资源。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32.中标通知书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32.1在公告中标结果的同时，采购人或者</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向</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发出中标通知书。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32.2中标通知书发出后，采购人不得违法改变中标结果，</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无正当理由不得放弃中标。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32.3中标通知书将成为合同的组成部分。</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32.4</w:t>
      </w:r>
      <w:r>
        <w:rPr>
          <w:rFonts w:hint="eastAsia" w:ascii="宋体" w:hAnsi="宋体" w:eastAsia="宋体" w:cs="宋体"/>
          <w:color w:val="auto"/>
          <w:szCs w:val="24"/>
          <w:highlight w:val="none"/>
        </w:rPr>
        <w:t xml:space="preserve">采购人或者采购代理机构对参与项目评审的未中标人发放《未中标通知书》，将以电子邮件、现场发放、纸质寄送的方式书面告知该未中标投标人的评审得分与排名，未中标人应在收到通知书之日起1个工作日告知信息情况，如未按约定的时间和方式告知信息情况的，视为自动放弃并自行承担相应后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33.</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34.合同的签订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34.1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应按中标通知书中规定的时间和地点，由法定代表人或代理人与采购人代表签订合同。否则按放弃中标权处理。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34.2签订合同及合同条款应以招标文件和</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35.代理服务费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35.1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35.2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36.</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36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12"/>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12" w:name="_Toc22388"/>
      <w:r/>
      <w:bookmarkStart w:id="13" w:name="_Toc10066"/>
      <w:r/>
      <w:bookmarkStart w:id="14" w:name="_Toc49"/>
      <w:r>
        <w:rPr>
          <w:rStyle w:val="1040"/>
          <w:rFonts w:hint="eastAsia" w:asciiTheme="minorEastAsia" w:hAnsiTheme="minorEastAsia" w:eastAsiaTheme="minorEastAsia" w:cstheme="minorEastAsia"/>
          <w:b/>
          <w:color w:val="auto"/>
          <w:sz w:val="44"/>
          <w:szCs w:val="44"/>
          <w:highlight w:val="none"/>
        </w:rPr>
        <w:t xml:space="preserve">第三章 投标文件格式</w:t>
      </w:r>
      <w:bookmarkEnd w:id="12"/>
      <w:r/>
      <w:bookmarkEnd w:id="13"/>
      <w:r/>
      <w:bookmarkEnd w:id="14"/>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对本章所有的投标书格式，投标</w:t>
      </w:r>
      <w:r>
        <w:rPr>
          <w:rFonts w:hint="eastAsia" w:asciiTheme="minorEastAsia" w:hAnsiTheme="minorEastAsia" w:eastAsiaTheme="minorEastAsia" w:cstheme="minorEastAsia"/>
          <w:color w:val="auto"/>
          <w:szCs w:val="24"/>
          <w:highlight w:val="none"/>
          <w:lang w:val="en-US"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19"/>
        <w:ind w:firstLine="480"/>
        <w:spacing w:line="360" w:lineRule="auto"/>
        <w:rPr>
          <w:rFonts w:asciiTheme="minorEastAsia" w:hAnsiTheme="minorEastAsia" w:eastAsiaTheme="minorEastAsia" w:cstheme="minorEastAsia"/>
          <w:color w:val="auto"/>
          <w:szCs w:val="24"/>
          <w:highlight w:val="none"/>
        </w:rPr>
      </w:pPr>
      <w:r/>
      <w:bookmarkStart w:id="15"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19"/>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19"/>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   </w:t>
      </w:r>
      <w:r>
        <w:rPr>
          <w:rFonts w:hint="eastAsia" w:asciiTheme="minorEastAsia" w:hAnsiTheme="minorEastAsia" w:eastAsiaTheme="minorEastAsia" w:cstheme="minorEastAsia"/>
          <w:color w:val="auto"/>
          <w:szCs w:val="24"/>
          <w:highlight w:val="none"/>
        </w:rPr>
        <w:t xml:space="preserve">号的招标活动。代理人在开标、评标、合同谈判过程中所签署的一切文件和处理与这有关的一切事务，我均予以承认。</w:t>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19"/>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4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042"/>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宋体"/>
          <w:color w:val="auto"/>
          <w:sz w:val="24"/>
          <w:szCs w:val="24"/>
          <w:highlight w:val="none"/>
        </w:rPr>
        <w:t xml:space="preserve">包括但不限于本合同所涉全部设备、辅助材料、安装、调试、培训、验收、人工、机械、运输、仓储、保险、运费、各种税费、劳保、与现有/后期设备对接费、</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rPr>
        <w:t xml:space="preserve">专利技术及质保期间等一切费用；甲方无须支付其他任何费用。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p>
    <w:p>
      <w:pPr>
        <w:pStyle w:val="1046"/>
        <w:rPr>
          <w:rFonts w:hint="eastAsia" w:hAnsi="宋体" w:eastAsia="宋体"/>
          <w:color w:val="auto"/>
          <w:sz w:val="24"/>
          <w:szCs w:val="24"/>
          <w:highlight w:val="none"/>
        </w:rPr>
      </w:pPr>
      <w:r>
        <w:rPr>
          <w:rFonts w:hint="eastAsia" w:hAnsi="宋体" w:eastAsia="宋体"/>
          <w:color w:val="auto"/>
          <w:sz w:val="24"/>
          <w:szCs w:val="24"/>
          <w:highlight w:val="none"/>
        </w:rPr>
      </w:r>
      <w:r/>
    </w:p>
    <w:tbl>
      <w:tblPr>
        <w:tblStyle w:val="1016"/>
        <w:tblW w:w="9960" w:type="dxa"/>
        <w:jc w:val="center"/>
        <w:tblLayout w:type="fixed"/>
        <w:tblCellMar>
          <w:left w:w="108" w:type="dxa"/>
          <w:top w:w="0" w:type="dxa"/>
          <w:right w:w="108" w:type="dxa"/>
          <w:bottom w:w="0" w:type="dxa"/>
        </w:tblCellMar>
        <w:tblLook w:val="04A0" w:firstRow="1" w:lastRow="0" w:firstColumn="1" w:lastColumn="0" w:noHBand="0" w:noVBand="1"/>
      </w:tblPr>
      <w:tblGrid>
        <w:gridCol w:w="883"/>
        <w:gridCol w:w="1464"/>
        <w:gridCol w:w="777"/>
        <w:gridCol w:w="717"/>
        <w:gridCol w:w="2198"/>
        <w:gridCol w:w="3921"/>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项目名称</w:t>
            </w:r>
            <w:r/>
          </w:p>
        </w:tc>
        <w:tc>
          <w:tcPr>
            <w:gridSpan w:val="3"/>
            <w:tcBorders>
              <w:top w:val="single" w:color="auto" w:sz="4" w:space="0"/>
              <w:left w:val="none" w:color="000000" w:sz="4" w:space="0"/>
              <w:bottom w:val="single" w:color="auto" w:sz="4" w:space="0"/>
              <w:right w:val="single" w:color="auto" w:sz="4" w:space="0"/>
            </w:tcBorders>
            <w:tcW w:w="6836" w:type="dxa"/>
            <w:vAlign w:val="center"/>
            <w:textDirection w:val="lrTb"/>
            <w:noWrap w:val="false"/>
          </w:tcPr>
          <w:p>
            <w:pPr>
              <w:spacing w:line="360" w:lineRule="auto"/>
              <w:widowControl/>
              <w:rPr>
                <w:rFonts w:ascii="宋体" w:hAnsi="宋体" w:cs="宋体"/>
                <w:color w:val="auto"/>
                <w:szCs w:val="24"/>
                <w:highlight w:val="none"/>
              </w:rPr>
            </w:pPr>
            <w:r>
              <w:rPr>
                <w:rFonts w:ascii="宋体" w:hAnsi="宋体" w:cs="宋体"/>
                <w:color w:val="auto"/>
                <w:szCs w:val="24"/>
                <w:highlight w:val="none"/>
              </w:rPr>
            </w:r>
            <w:r/>
          </w:p>
        </w:tc>
      </w:tr>
      <w:tr>
        <w:trPr>
          <w:jc w:val="center"/>
          <w:trHeight w:val="771"/>
        </w:trPr>
        <w:tc>
          <w:tcPr>
            <w:gridSpan w:val="3"/>
            <w:tcBorders>
              <w:top w:val="single" w:color="auto" w:sz="4" w:space="0"/>
              <w:left w:val="single" w:color="auto" w:sz="4" w:space="0"/>
              <w:bottom w:val="single" w:color="auto" w:sz="4" w:space="0"/>
              <w:right w:val="single" w:color="auto" w:sz="4" w:space="0"/>
            </w:tcBorders>
            <w:tcW w:w="3124"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招标编号</w:t>
            </w:r>
            <w:r/>
          </w:p>
        </w:tc>
        <w:tc>
          <w:tcPr>
            <w:gridSpan w:val="3"/>
            <w:tcBorders>
              <w:top w:val="single" w:color="auto" w:sz="4" w:space="0"/>
              <w:left w:val="none" w:color="000000" w:sz="4" w:space="0"/>
              <w:bottom w:val="single" w:color="auto" w:sz="4" w:space="0"/>
              <w:right w:val="single" w:color="auto" w:sz="4" w:space="0"/>
            </w:tcBorders>
            <w:tcW w:w="6836" w:type="dxa"/>
            <w:vAlign w:val="center"/>
            <w:textDirection w:val="lrTb"/>
            <w:noWrap w:val="false"/>
          </w:tcPr>
          <w:p>
            <w:pPr>
              <w:spacing w:line="360" w:lineRule="auto"/>
              <w:widowControl/>
              <w:rPr>
                <w:rFonts w:ascii="宋体" w:hAnsi="宋体"/>
                <w:color w:val="auto"/>
                <w:szCs w:val="24"/>
                <w:highlight w:val="none"/>
              </w:rPr>
            </w:pPr>
            <w:r>
              <w:rPr>
                <w:rFonts w:ascii="宋体" w:hAnsi="宋体"/>
                <w:color w:val="auto"/>
                <w:szCs w:val="24"/>
                <w:highlight w:val="none"/>
              </w:rPr>
            </w:r>
            <w:r/>
          </w:p>
        </w:tc>
      </w:tr>
      <w:tr>
        <w:trPr>
          <w:jc w:val="center"/>
          <w:trHeight w:val="960"/>
        </w:trPr>
        <w:tc>
          <w:tcPr>
            <w:tcBorders>
              <w:top w:val="none" w:color="000000" w:sz="4" w:space="0"/>
              <w:left w:val="single" w:color="auto" w:sz="4" w:space="0"/>
              <w:bottom w:val="single" w:color="auto" w:sz="4" w:space="0"/>
              <w:right w:val="single" w:color="auto" w:sz="4" w:space="0"/>
            </w:tcBorders>
            <w:tcW w:w="883" w:type="dxa"/>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序号</w:t>
            </w:r>
            <w:r/>
          </w:p>
        </w:tc>
        <w:tc>
          <w:tcPr>
            <w:gridSpan w:val="3"/>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采购内容</w:t>
            </w:r>
            <w:r/>
          </w:p>
        </w:tc>
        <w:tc>
          <w:tcPr>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lang w:val="en-US" w:eastAsia="zh-CN"/>
              </w:rPr>
              <w:t xml:space="preserve">数量</w:t>
            </w:r>
            <w:r/>
          </w:p>
        </w:tc>
        <w:tc>
          <w:tcPr>
            <w:tcBorders>
              <w:top w:val="none" w:color="000000" w:sz="4" w:space="0"/>
              <w:left w:val="none" w:color="000000" w:sz="4" w:space="0"/>
              <w:bottom w:val="single" w:color="auto" w:sz="4" w:space="0"/>
              <w:right w:val="single" w:color="auto" w:sz="4" w:space="0"/>
            </w:tcBorders>
            <w:tcW w:w="3921" w:type="dxa"/>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报价（元）</w:t>
            </w:r>
            <w:r/>
          </w:p>
        </w:tc>
      </w:tr>
      <w:tr>
        <w:trPr>
          <w:jc w:val="center"/>
          <w:trHeight w:val="977"/>
        </w:trPr>
        <w:tc>
          <w:tcPr>
            <w:tcBorders>
              <w:top w:val="none" w:color="000000" w:sz="4" w:space="0"/>
              <w:left w:val="single" w:color="auto" w:sz="4" w:space="0"/>
              <w:bottom w:val="single" w:color="auto" w:sz="4" w:space="0"/>
              <w:right w:val="single" w:color="auto" w:sz="4" w:space="0"/>
            </w:tcBorders>
            <w:tcW w:w="883" w:type="dxa"/>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1</w:t>
            </w:r>
            <w:r/>
          </w:p>
        </w:tc>
        <w:tc>
          <w:tcPr>
            <w:gridSpan w:val="3"/>
            <w:tcBorders>
              <w:top w:val="none" w:color="000000" w:sz="4" w:space="0"/>
              <w:left w:val="none" w:color="000000" w:sz="4" w:space="0"/>
              <w:bottom w:val="single" w:color="auto" w:sz="4" w:space="0"/>
              <w:right w:val="single" w:color="auto" w:sz="4" w:space="0"/>
            </w:tcBorders>
            <w:tcW w:w="2958" w:type="dxa"/>
            <w:vAlign w:val="center"/>
            <w:textDirection w:val="lrTb"/>
            <w:noWrap w:val="false"/>
          </w:tcPr>
          <w:p>
            <w:pPr>
              <w:jc w:val="center"/>
              <w:spacing w:line="360" w:lineRule="auto"/>
              <w:widowControl/>
              <w:rPr>
                <w:rFonts w:ascii="宋体" w:hAnsi="宋体" w:cs="宋体"/>
                <w:bCs/>
                <w:color w:val="auto"/>
                <w:szCs w:val="24"/>
                <w:highlight w:val="none"/>
              </w:rPr>
            </w:pPr>
            <w:r>
              <w:rPr>
                <w:rFonts w:ascii="宋体" w:hAnsi="宋体" w:cs="宋体"/>
                <w:bCs/>
                <w:color w:val="auto"/>
                <w:szCs w:val="24"/>
                <w:highlight w:val="none"/>
              </w:rPr>
            </w:r>
            <w:r/>
          </w:p>
        </w:tc>
        <w:tc>
          <w:tcPr>
            <w:tcBorders>
              <w:top w:val="none" w:color="000000" w:sz="4" w:space="0"/>
              <w:left w:val="none" w:color="000000" w:sz="4" w:space="0"/>
              <w:bottom w:val="single" w:color="auto" w:sz="4" w:space="0"/>
              <w:right w:val="single" w:color="auto" w:sz="4" w:space="0"/>
            </w:tcBorders>
            <w:tcW w:w="2198" w:type="dxa"/>
            <w:vAlign w:val="center"/>
            <w:textDirection w:val="lrTb"/>
            <w:noWrap w:val="false"/>
          </w:tcPr>
          <w:p>
            <w:pPr>
              <w:jc w:val="center"/>
              <w:spacing w:line="360" w:lineRule="auto"/>
              <w:rPr>
                <w:rFonts w:ascii="宋体" w:hAnsi="宋体" w:cs="宋体"/>
                <w:bCs/>
                <w:color w:val="auto"/>
                <w:szCs w:val="24"/>
                <w:highlight w:val="none"/>
              </w:rPr>
            </w:pPr>
            <w:r>
              <w:rPr>
                <w:rFonts w:ascii="宋体" w:hAnsi="宋体" w:cs="宋体"/>
                <w:bCs/>
                <w:color w:val="auto"/>
                <w:szCs w:val="24"/>
                <w:highlight w:val="none"/>
              </w:rPr>
            </w:r>
            <w:r/>
          </w:p>
        </w:tc>
        <w:tc>
          <w:tcPr>
            <w:tcBorders>
              <w:top w:val="none" w:color="000000" w:sz="4" w:space="0"/>
              <w:left w:val="none" w:color="000000" w:sz="4" w:space="0"/>
              <w:bottom w:val="single" w:color="auto" w:sz="4" w:space="0"/>
              <w:right w:val="single" w:color="auto" w:sz="4" w:space="0"/>
            </w:tcBorders>
            <w:tcW w:w="3921" w:type="dxa"/>
            <w:vAlign w:val="center"/>
            <w:textDirection w:val="lrTb"/>
            <w:noWrap w:val="false"/>
          </w:tcPr>
          <w:p>
            <w:pPr>
              <w:jc w:val="center"/>
              <w:spacing w:line="360" w:lineRule="auto"/>
              <w:widowControl/>
              <w:rPr>
                <w:rFonts w:ascii="宋体" w:hAnsi="宋体" w:cs="宋体"/>
                <w:bCs/>
                <w:color w:val="auto"/>
                <w:szCs w:val="24"/>
                <w:highlight w:val="none"/>
              </w:rPr>
            </w:pPr>
            <w:r>
              <w:rPr>
                <w:rFonts w:ascii="宋体" w:hAnsi="宋体" w:cs="宋体"/>
                <w:bCs/>
                <w:color w:val="auto"/>
                <w:szCs w:val="24"/>
                <w:highlight w:val="none"/>
              </w:rPr>
            </w:r>
            <w:r/>
          </w:p>
        </w:tc>
      </w:tr>
      <w:tr>
        <w:trPr>
          <w:jc w:val="center"/>
          <w:trHeight w:val="1271"/>
        </w:trPr>
        <w:tc>
          <w:tcPr>
            <w:gridSpan w:val="2"/>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投标总价</w:t>
            </w:r>
            <w:r/>
          </w:p>
        </w:tc>
        <w:tc>
          <w:tcPr>
            <w:gridSpan w:val="4"/>
            <w:tcBorders>
              <w:top w:val="single" w:color="auto" w:sz="4" w:space="0"/>
              <w:left w:val="none" w:color="000000" w:sz="4" w:space="0"/>
              <w:bottom w:val="single" w:color="auto" w:sz="4" w:space="0"/>
              <w:right w:val="single" w:color="auto" w:sz="4" w:space="0"/>
            </w:tcBorders>
            <w:tcW w:w="7613" w:type="dxa"/>
            <w:vAlign w:val="center"/>
            <w:textDirection w:val="lrTb"/>
            <w:noWrap w:val="false"/>
          </w:tcPr>
          <w:p>
            <w:pPr>
              <w:spacing w:line="360" w:lineRule="auto"/>
              <w:widowControl/>
              <w:rPr>
                <w:rFonts w:ascii="宋体" w:hAnsi="宋体" w:cs="宋体"/>
                <w:color w:val="auto"/>
                <w:szCs w:val="24"/>
                <w:highlight w:val="none"/>
              </w:rPr>
            </w:pPr>
            <w:r>
              <w:rPr>
                <w:rFonts w:hint="eastAsia" w:ascii="宋体" w:hAnsi="宋体"/>
                <w:color w:val="auto"/>
                <w:szCs w:val="24"/>
                <w:highlight w:val="none"/>
              </w:rPr>
              <w:t xml:space="preserve">人民币大写：</w:t>
            </w:r>
            <w:r>
              <w:rPr>
                <w:rFonts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w:t>
            </w:r>
            <w:r>
              <w:rPr>
                <w:rFonts w:hint="eastAsia" w:ascii="宋体" w:hAnsi="宋体"/>
                <w:color w:val="auto"/>
                <w:szCs w:val="24"/>
                <w:highlight w:val="none"/>
                <w:u w:val="single"/>
                <w:lang w:eastAsia="zh-CN"/>
              </w:rPr>
              <w:t xml:space="preserve">￥</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w:t>
            </w:r>
            <w:r/>
          </w:p>
        </w:tc>
      </w:tr>
    </w:tbl>
    <w:p>
      <w:pPr>
        <w:pStyle w:val="1046"/>
        <w:jc w:val="center"/>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未按照本报价表格式进行报价，其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文件将被拒绝。</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46"/>
        <w:rPr>
          <w:rFonts w:hint="eastAsia" w:hAnsi="宋体" w:eastAsia="宋体"/>
          <w:b/>
          <w:color w:val="auto"/>
          <w:sz w:val="24"/>
          <w:szCs w:val="24"/>
          <w:highlight w:val="none"/>
        </w:rPr>
      </w:pPr>
      <w:r>
        <w:rPr>
          <w:rFonts w:hint="eastAsia" w:hAnsi="宋体" w:eastAsia="宋体"/>
          <w:color w:val="auto"/>
          <w:sz w:val="24"/>
          <w:szCs w:val="24"/>
          <w:highlight w:val="none"/>
        </w:rPr>
        <w:t xml:space="preserve">4、投标报价明细表</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投标报价明细表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项目名称：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招标编号：</w:t>
      </w:r>
      <w:r/>
    </w:p>
    <w:tbl>
      <w:tblPr>
        <w:tblStyle w:val="101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4"/>
        <w:gridCol w:w="851"/>
        <w:gridCol w:w="867"/>
        <w:gridCol w:w="2114"/>
        <w:gridCol w:w="2141"/>
        <w:gridCol w:w="1761"/>
      </w:tblGrid>
      <w:tr>
        <w:trPr>
          <w:cantSplit/>
          <w:jc w:val="center"/>
          <w:trHeight w:val="567"/>
        </w:trPr>
        <w:tc>
          <w:tcPr>
            <w:tcW w:w="750"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序号</w:t>
            </w:r>
            <w:r/>
          </w:p>
        </w:tc>
        <w:tc>
          <w:tcPr>
            <w:tcW w:w="1474"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费用条目</w:t>
            </w:r>
            <w:r/>
          </w:p>
        </w:tc>
        <w:tc>
          <w:tcPr>
            <w:tcW w:w="851"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单位</w:t>
            </w:r>
            <w:r/>
          </w:p>
        </w:tc>
        <w:tc>
          <w:tcPr>
            <w:tcW w:w="867"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数量</w:t>
            </w:r>
            <w:r/>
          </w:p>
        </w:tc>
        <w:tc>
          <w:tcPr>
            <w:tcW w:w="2114"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单价</w:t>
            </w:r>
            <w:r/>
          </w:p>
        </w:tc>
        <w:tc>
          <w:tcPr>
            <w:tcW w:w="2141"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总价</w:t>
            </w:r>
            <w:r/>
          </w:p>
        </w:tc>
        <w:tc>
          <w:tcPr>
            <w:tcW w:w="1761" w:type="dxa"/>
            <w:vAlign w:val="center"/>
            <w:textDirection w:val="lrTb"/>
            <w:noWrap w:val="false"/>
          </w:tcPr>
          <w:p>
            <w:pPr>
              <w:pStyle w:val="1070"/>
              <w:ind w:left="0" w:right="0"/>
              <w:jc w:val="center"/>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备注</w:t>
            </w:r>
            <w:r/>
          </w:p>
        </w:tc>
      </w:tr>
      <w:tr>
        <w:trPr>
          <w:cantSplit/>
          <w:jc w:val="center"/>
          <w:trHeight w:val="567"/>
        </w:trPr>
        <w:tc>
          <w:tcPr>
            <w:tcW w:w="750"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47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5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67"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1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4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76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r>
      <w:tr>
        <w:trPr>
          <w:cantSplit/>
          <w:jc w:val="center"/>
          <w:trHeight w:val="567"/>
        </w:trPr>
        <w:tc>
          <w:tcPr>
            <w:tcW w:w="750"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47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5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67"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1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4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76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r>
      <w:tr>
        <w:trPr>
          <w:cantSplit/>
          <w:jc w:val="center"/>
          <w:trHeight w:val="567"/>
        </w:trPr>
        <w:tc>
          <w:tcPr>
            <w:tcW w:w="750"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47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5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67"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1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4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76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r>
      <w:tr>
        <w:trPr>
          <w:cantSplit/>
          <w:jc w:val="center"/>
          <w:trHeight w:val="567"/>
        </w:trPr>
        <w:tc>
          <w:tcPr>
            <w:tcW w:w="750"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47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5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867"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14"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214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c>
          <w:tcPr>
            <w:tcW w:w="1761"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default" w:hAnsi="宋体" w:eastAsia="宋体" w:cs="宋体"/>
                <w:color w:val="auto"/>
                <w:sz w:val="24"/>
                <w:szCs w:val="24"/>
                <w:highlight w:val="none"/>
              </w:rPr>
            </w:r>
            <w:r/>
          </w:p>
        </w:tc>
      </w:tr>
      <w:tr>
        <w:trPr>
          <w:cantSplit/>
          <w:jc w:val="center"/>
          <w:trHeight w:val="567"/>
        </w:trPr>
        <w:tc>
          <w:tcPr>
            <w:gridSpan w:val="4"/>
            <w:tcW w:w="3942" w:type="dxa"/>
            <w:vAlign w:val="center"/>
            <w:textDirection w:val="lrTb"/>
            <w:noWrap w:val="false"/>
          </w:tcPr>
          <w:p>
            <w:pPr>
              <w:pStyle w:val="1070"/>
              <w:ind w:left="0" w:right="0" w:firstLine="48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合计金额</w:t>
            </w:r>
            <w:r/>
          </w:p>
        </w:tc>
        <w:tc>
          <w:tcPr>
            <w:gridSpan w:val="3"/>
            <w:tcW w:w="6016" w:type="dxa"/>
            <w:vAlign w:val="center"/>
            <w:textDirection w:val="lrTb"/>
            <w:noWrap w:val="false"/>
          </w:tcPr>
          <w:p>
            <w:pPr>
              <w:pStyle w:val="1070"/>
              <w:ind w:left="0" w:right="0"/>
              <w:keepLines w:val="0"/>
              <w:keepNext w:val="0"/>
              <w:spacing w:before="0" w:beforeAutospacing="0" w:after="0" w:afterAutospacing="0" w:line="360" w:lineRule="auto"/>
              <w:rPr>
                <w:rFonts w:hint="default" w:hAnsi="宋体" w:eastAsia="宋体" w:cs="宋体"/>
                <w:color w:val="auto"/>
                <w:sz w:val="24"/>
                <w:szCs w:val="24"/>
                <w:highlight w:val="none"/>
              </w:rPr>
              <w:suppressLineNumbers w:val="0"/>
            </w:pPr>
            <w:r>
              <w:rPr>
                <w:rFonts w:hint="eastAsia" w:hAnsi="宋体" w:eastAsia="宋体" w:cs="宋体"/>
                <w:color w:val="auto"/>
                <w:sz w:val="24"/>
                <w:szCs w:val="24"/>
                <w:highlight w:val="none"/>
              </w:rPr>
              <w:t xml:space="preserve">人民币（大写）：</w:t>
            </w:r>
            <w:r>
              <w:rPr>
                <w:rFonts w:hint="default" w:hAnsi="宋体" w:eastAsia="宋体" w:cs="Times New Roman"/>
                <w:bCs/>
                <w:color w:val="auto"/>
                <w:sz w:val="24"/>
                <w:szCs w:val="24"/>
                <w:highlight w:val="none"/>
              </w:rPr>
              <w:t xml:space="preserve">（</w:t>
            </w:r>
            <w:r>
              <w:rPr>
                <w:rFonts w:hint="eastAsia" w:hAnsi="宋体" w:eastAsia="宋体" w:cs="Times New Roman"/>
                <w:bCs/>
                <w:color w:val="auto"/>
                <w:sz w:val="24"/>
                <w:szCs w:val="24"/>
                <w:highlight w:val="none"/>
              </w:rPr>
              <w:t xml:space="preserve">￥</w:t>
            </w:r>
            <w:r>
              <w:rPr>
                <w:rFonts w:hint="default" w:hAnsi="宋体" w:eastAsia="宋体" w:cs="Times New Roman"/>
                <w:bCs/>
                <w:color w:val="auto"/>
                <w:sz w:val="24"/>
                <w:szCs w:val="24"/>
                <w:highlight w:val="none"/>
              </w:rPr>
              <w:t xml:space="preserve"> ）</w:t>
            </w:r>
            <w:r/>
          </w:p>
        </w:tc>
      </w:tr>
    </w:tbl>
    <w:p>
      <w:pPr>
        <w:ind w:firstLine="360"/>
        <w:keepLines w:val="0"/>
        <w:keepNext w:val="0"/>
        <w:pageBreakBefore w:val="0"/>
        <w:spacing w:line="360" w:lineRule="auto"/>
        <w:widowControl w:val="off"/>
        <w:rPr>
          <w:rFonts w:hint="eastAsia" w:ascii="宋体" w:hAnsi="宋体"/>
          <w:bCs/>
          <w:color w:val="auto"/>
          <w:szCs w:val="24"/>
          <w:highlight w:val="none"/>
        </w:rPr>
        <w:outlineLvl w:val="9"/>
      </w:pPr>
      <w:r>
        <w:rPr>
          <w:rFonts w:hint="eastAsia" w:ascii="宋体" w:hAnsi="宋体"/>
          <w:color w:val="auto"/>
          <w:szCs w:val="24"/>
          <w:highlight w:val="none"/>
        </w:rPr>
        <w:t xml:space="preserve">注：1、投标人必须按“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ind w:firstLine="480"/>
        <w:jc w:val="left"/>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2、</w:t>
      </w:r>
      <w:r>
        <w:rPr>
          <w:rFonts w:hint="eastAsia" w:ascii="宋体" w:hAnsi="宋体"/>
          <w:color w:val="auto"/>
          <w:szCs w:val="24"/>
          <w:highlight w:val="none"/>
        </w:rPr>
        <w:t xml:space="preserve">“</w:t>
      </w:r>
      <w:r>
        <w:rPr>
          <w:rFonts w:hint="eastAsia" w:ascii="宋体" w:hAnsi="宋体"/>
          <w:bCs/>
          <w:color w:val="auto"/>
          <w:szCs w:val="24"/>
          <w:highlight w:val="none"/>
        </w:rPr>
        <w:t xml:space="preserve">投标报价明细表”各分项报价合计应当与“开标一览表”（</w:t>
      </w:r>
      <w:r>
        <w:rPr>
          <w:rFonts w:hint="eastAsia" w:ascii="宋体" w:hAnsi="宋体" w:cs="宋体"/>
          <w:color w:val="auto"/>
          <w:szCs w:val="24"/>
          <w:highlight w:val="none"/>
        </w:rPr>
        <w:t xml:space="preserve">投标总价</w:t>
      </w:r>
      <w:r>
        <w:rPr>
          <w:rFonts w:hint="eastAsia" w:ascii="宋体" w:hAnsi="宋体"/>
          <w:bCs/>
          <w:color w:val="auto"/>
          <w:szCs w:val="24"/>
          <w:highlight w:val="none"/>
        </w:rPr>
        <w:t xml:space="preserve">）相等，如不相等，投标总价以“开标一览表”为准。</w:t>
      </w:r>
      <w:r/>
    </w:p>
    <w:p>
      <w:pPr>
        <w:pStyle w:val="1046"/>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46"/>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46"/>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46"/>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spacing w:line="360" w:lineRule="auto"/>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02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p>
    <w:tbl>
      <w:tblPr>
        <w:tblStyle w:val="1016"/>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24"/>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2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24"/>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04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4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19"/>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19"/>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偏离表</w:t>
      </w:r>
      <w:r/>
    </w:p>
    <w:p>
      <w:pPr>
        <w:jc w:val="center"/>
        <w:spacing w:line="360" w:lineRule="auto"/>
        <w:rPr>
          <w:rFonts w:hint="eastAsia" w:ascii="宋体" w:hAnsi="宋体"/>
          <w:color w:val="auto"/>
          <w:szCs w:val="24"/>
          <w:highlight w:val="none"/>
        </w:rPr>
      </w:pPr>
      <w:r>
        <w:rPr>
          <w:rFonts w:hint="eastAsia" w:ascii="宋体" w:hAnsi="宋体"/>
          <w:color w:val="auto"/>
          <w:szCs w:val="24"/>
          <w:highlight w:val="none"/>
        </w:rPr>
        <w:t xml:space="preserve">技术规格偏离表</w:t>
      </w:r>
      <w:r/>
    </w:p>
    <w:p>
      <w:pPr>
        <w:jc w:val="center"/>
        <w:spacing w:line="380" w:lineRule="exact"/>
        <w:rPr>
          <w:rFonts w:hint="eastAsia" w:ascii="宋体" w:hAnsi="宋体"/>
          <w:b/>
          <w:color w:val="auto"/>
          <w:spacing w:val="20"/>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451"/>
        <w:gridCol w:w="2086"/>
        <w:gridCol w:w="2013"/>
        <w:gridCol w:w="2324"/>
      </w:tblGrid>
      <w:tr>
        <w:trPr>
          <w:jc w:val="center"/>
        </w:trPr>
        <w:tc>
          <w:tcPr>
            <w:tcW w:w="1084" w:type="dxa"/>
            <w:vAlign w:val="center"/>
            <w:textDirection w:val="lrTb"/>
            <w:noWrap w:val="false"/>
          </w:tcPr>
          <w:p>
            <w:pPr>
              <w:jc w:val="center"/>
              <w:rPr>
                <w:rFonts w:hint="eastAsia" w:ascii="宋体" w:hAnsi="宋体"/>
                <w:color w:val="auto"/>
                <w:szCs w:val="24"/>
                <w:highlight w:val="none"/>
              </w:rPr>
            </w:pPr>
            <w:r>
              <w:rPr>
                <w:rFonts w:hint="eastAsia" w:ascii="宋体" w:hAnsi="宋体"/>
                <w:color w:val="auto"/>
                <w:szCs w:val="24"/>
                <w:highlight w:val="none"/>
              </w:rPr>
              <w:t xml:space="preserve">序号</w:t>
            </w:r>
            <w:r/>
          </w:p>
        </w:tc>
        <w:tc>
          <w:tcPr>
            <w:tcW w:w="2451" w:type="dxa"/>
            <w:vAlign w:val="center"/>
            <w:textDirection w:val="lrTb"/>
            <w:noWrap w:val="false"/>
          </w:tcPr>
          <w:p>
            <w:pPr>
              <w:pStyle w:val="1019"/>
              <w:ind w:left="54" w:firstLine="0"/>
              <w:jc w:val="center"/>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采购要求</w:t>
            </w:r>
            <w:r/>
          </w:p>
        </w:tc>
        <w:tc>
          <w:tcPr>
            <w:tcW w:w="2086" w:type="dxa"/>
            <w:vAlign w:val="center"/>
            <w:textDirection w:val="lrTb"/>
            <w:noWrap w:val="false"/>
          </w:tcPr>
          <w:p>
            <w:pPr>
              <w:pStyle w:val="1019"/>
              <w:ind w:firstLine="0"/>
              <w:jc w:val="center"/>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响应内容</w:t>
            </w:r>
            <w:r/>
          </w:p>
        </w:tc>
        <w:tc>
          <w:tcPr>
            <w:tcW w:w="2013" w:type="dxa"/>
            <w:vAlign w:val="center"/>
            <w:textDirection w:val="lrTb"/>
            <w:noWrap w:val="false"/>
          </w:tcPr>
          <w:p>
            <w:pPr>
              <w:pStyle w:val="1019"/>
              <w:ind w:firstLine="0"/>
              <w:jc w:val="center"/>
              <w:spacing w:line="360" w:lineRule="auto"/>
              <w:rPr>
                <w:rFonts w:ascii="宋体" w:hAnsi="宋体"/>
                <w:color w:val="auto"/>
                <w:szCs w:val="24"/>
                <w:highlight w:val="none"/>
              </w:rPr>
            </w:pPr>
            <w:r>
              <w:rPr>
                <w:rFonts w:ascii="宋体" w:hAnsi="宋体"/>
                <w:color w:val="auto"/>
                <w:szCs w:val="24"/>
                <w:highlight w:val="none"/>
              </w:rPr>
              <w:t xml:space="preserve">偏离说明</w:t>
            </w:r>
            <w:r/>
          </w:p>
        </w:tc>
        <w:tc>
          <w:tcPr>
            <w:tcW w:w="2324" w:type="dxa"/>
            <w:vAlign w:val="center"/>
            <w:textDirection w:val="lrTb"/>
            <w:noWrap w:val="false"/>
          </w:tcPr>
          <w:p>
            <w:pPr>
              <w:pStyle w:val="1019"/>
              <w:ind w:firstLine="0"/>
              <w:jc w:val="center"/>
              <w:spacing w:line="360" w:lineRule="auto"/>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证明材料页码</w:t>
            </w:r>
            <w:r/>
          </w:p>
        </w:tc>
      </w:tr>
      <w:tr>
        <w:trPr>
          <w:jc w:val="center"/>
        </w:trPr>
        <w:tc>
          <w:tcPr>
            <w:tcW w:w="1084" w:type="dxa"/>
            <w:vAlign w:val="center"/>
            <w:textDirection w:val="lrTb"/>
            <w:noWrap w:val="false"/>
          </w:tcPr>
          <w:p>
            <w:pPr>
              <w:jc w:val="center"/>
              <w:rPr>
                <w:rFonts w:hint="eastAsia" w:ascii="宋体" w:hAnsi="宋体"/>
                <w:color w:val="auto"/>
                <w:szCs w:val="24"/>
                <w:highlight w:val="none"/>
              </w:rPr>
            </w:pPr>
            <w:r>
              <w:rPr>
                <w:rFonts w:hint="eastAsia" w:ascii="宋体" w:hAnsi="宋体"/>
                <w:color w:val="auto"/>
                <w:szCs w:val="24"/>
                <w:highlight w:val="none"/>
              </w:rPr>
              <w:t xml:space="preserve">1</w:t>
            </w:r>
            <w:r/>
          </w:p>
        </w:tc>
        <w:tc>
          <w:tcPr>
            <w:tcW w:w="2451"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86"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13"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324"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r>
      <w:tr>
        <w:trPr>
          <w:jc w:val="center"/>
        </w:trPr>
        <w:tc>
          <w:tcPr>
            <w:tcW w:w="1084" w:type="dxa"/>
            <w:vAlign w:val="center"/>
            <w:textDirection w:val="lrTb"/>
            <w:noWrap w:val="false"/>
          </w:tcPr>
          <w:p>
            <w:pPr>
              <w:jc w:val="center"/>
              <w:rPr>
                <w:rFonts w:hint="eastAsia" w:ascii="宋体" w:hAnsi="宋体"/>
                <w:color w:val="auto"/>
                <w:szCs w:val="24"/>
                <w:highlight w:val="none"/>
              </w:rPr>
            </w:pPr>
            <w:r>
              <w:rPr>
                <w:rFonts w:hint="eastAsia" w:ascii="宋体" w:hAnsi="宋体"/>
                <w:color w:val="auto"/>
                <w:szCs w:val="24"/>
                <w:highlight w:val="none"/>
              </w:rPr>
              <w:t xml:space="preserve">2</w:t>
            </w:r>
            <w:r/>
          </w:p>
        </w:tc>
        <w:tc>
          <w:tcPr>
            <w:tcW w:w="2451"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86"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13"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324"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r>
      <w:tr>
        <w:trPr>
          <w:jc w:val="center"/>
        </w:trPr>
        <w:tc>
          <w:tcPr>
            <w:tcW w:w="1084" w:type="dxa"/>
            <w:vAlign w:val="center"/>
            <w:textDirection w:val="lrTb"/>
            <w:noWrap w:val="false"/>
          </w:tcPr>
          <w:p>
            <w:pPr>
              <w:jc w:val="center"/>
              <w:rPr>
                <w:rFonts w:hint="eastAsia" w:ascii="宋体" w:hAnsi="宋体"/>
                <w:color w:val="auto"/>
                <w:szCs w:val="24"/>
                <w:highlight w:val="none"/>
              </w:rPr>
            </w:pPr>
            <w:r>
              <w:rPr>
                <w:rFonts w:hint="eastAsia" w:ascii="宋体" w:hAnsi="宋体"/>
                <w:color w:val="auto"/>
                <w:szCs w:val="24"/>
                <w:highlight w:val="none"/>
              </w:rPr>
              <w:t xml:space="preserve">3</w:t>
            </w:r>
            <w:r/>
          </w:p>
        </w:tc>
        <w:tc>
          <w:tcPr>
            <w:tcW w:w="2451"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86"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13"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324"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r>
      <w:tr>
        <w:trPr>
          <w:jc w:val="center"/>
        </w:trPr>
        <w:tc>
          <w:tcPr>
            <w:tcW w:w="1084" w:type="dxa"/>
            <w:vAlign w:val="center"/>
            <w:textDirection w:val="lrTb"/>
            <w:noWrap w:val="false"/>
          </w:tcPr>
          <w:p>
            <w:pPr>
              <w:jc w:val="center"/>
              <w:rPr>
                <w:rFonts w:hint="eastAsia" w:ascii="宋体" w:hAnsi="宋体"/>
                <w:color w:val="auto"/>
                <w:szCs w:val="24"/>
                <w:highlight w:val="none"/>
              </w:rPr>
            </w:pPr>
            <w:r>
              <w:rPr>
                <w:rFonts w:hint="eastAsia" w:ascii="宋体" w:hAnsi="宋体"/>
                <w:color w:val="auto"/>
                <w:szCs w:val="24"/>
                <w:highlight w:val="none"/>
              </w:rPr>
            </w:r>
            <w:r/>
          </w:p>
        </w:tc>
        <w:tc>
          <w:tcPr>
            <w:tcW w:w="2451"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86"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013"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c>
          <w:tcPr>
            <w:tcW w:w="2324" w:type="dxa"/>
            <w:vAlign w:val="top"/>
            <w:textDirection w:val="lrTb"/>
            <w:noWrap w:val="false"/>
          </w:tcPr>
          <w:p>
            <w:pPr>
              <w:pStyle w:val="1019"/>
              <w:ind w:firstLine="799"/>
              <w:jc w:val="center"/>
              <w:spacing w:line="360" w:lineRule="auto"/>
              <w:rPr>
                <w:rFonts w:ascii="宋体" w:hAnsi="宋体"/>
                <w:color w:val="auto"/>
                <w:szCs w:val="24"/>
                <w:highlight w:val="none"/>
              </w:rPr>
            </w:pPr>
            <w:r>
              <w:rPr>
                <w:rFonts w:ascii="宋体" w:hAnsi="宋体"/>
                <w:color w:val="auto"/>
                <w:szCs w:val="24"/>
                <w:highlight w:val="none"/>
              </w:r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rFonts w:hint="eastAsia"/>
          <w:color w:val="auto"/>
          <w:szCs w:val="22"/>
          <w:highlight w:val="none"/>
        </w:rPr>
      </w:pPr>
      <w:r>
        <w:rPr>
          <w:rFonts w:hint="eastAsia"/>
          <w:color w:val="auto"/>
          <w:szCs w:val="22"/>
          <w:highlight w:val="none"/>
        </w:rPr>
        <w:t xml:space="preserve">商务条款偏离表</w:t>
      </w:r>
      <w:r/>
    </w:p>
    <w:p>
      <w:pPr>
        <w:ind w:firstLine="720"/>
        <w:spacing w:line="380" w:lineRule="exact"/>
        <w:rPr>
          <w:rFonts w:hint="eastAsia" w:ascii="宋体" w:hAnsi="宋体"/>
          <w:color w:val="auto"/>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591"/>
        <w:gridCol w:w="2198"/>
        <w:gridCol w:w="2041"/>
        <w:gridCol w:w="2310"/>
      </w:tblGrid>
      <w:tr>
        <w:trPr>
          <w:cantSplit/>
          <w:jc w:val="center"/>
          <w:trHeight w:val="105"/>
          <w:tblHeader/>
        </w:trPr>
        <w:tc>
          <w:tcPr>
            <w:tcW w:w="818" w:type="dxa"/>
            <w:vAlign w:val="center"/>
            <w:textDirection w:val="lrTb"/>
            <w:noWrap w:val="false"/>
          </w:tcPr>
          <w:p>
            <w:pPr>
              <w:jc w:val="center"/>
              <w:spacing w:line="360" w:lineRule="auto"/>
              <w:rPr>
                <w:rFonts w:ascii="宋体" w:hAnsi="宋体"/>
                <w:bCs/>
                <w:color w:val="auto"/>
                <w:szCs w:val="24"/>
                <w:highlight w:val="none"/>
              </w:rPr>
            </w:pPr>
            <w:r>
              <w:rPr>
                <w:rFonts w:hint="eastAsia" w:ascii="宋体" w:hAnsi="宋体"/>
                <w:bCs/>
                <w:color w:val="auto"/>
                <w:szCs w:val="24"/>
                <w:highlight w:val="none"/>
              </w:rPr>
              <w:t xml:space="preserve">序号</w:t>
            </w:r>
            <w:r/>
          </w:p>
        </w:tc>
        <w:tc>
          <w:tcPr>
            <w:tcW w:w="2591" w:type="dxa"/>
            <w:vAlign w:val="center"/>
            <w:textDirection w:val="lrTb"/>
            <w:noWrap w:val="false"/>
          </w:tcPr>
          <w:p>
            <w:pPr>
              <w:pStyle w:val="1019"/>
              <w:ind w:left="54" w:firstLine="0"/>
              <w:jc w:val="center"/>
              <w:spacing w:line="360" w:lineRule="auto"/>
              <w:rPr>
                <w:rFonts w:ascii="宋体" w:hAnsi="宋体"/>
                <w:bCs/>
                <w:color w:val="auto"/>
                <w:szCs w:val="24"/>
                <w:highlight w:val="none"/>
              </w:rPr>
            </w:pPr>
            <w:r>
              <w:rPr>
                <w:rFonts w:hint="eastAsia" w:ascii="宋体" w:hAnsi="宋体"/>
                <w:color w:val="auto"/>
                <w:szCs w:val="24"/>
                <w:highlight w:val="none"/>
                <w:lang w:val="en-US" w:eastAsia="zh-CN"/>
              </w:rPr>
              <w:t xml:space="preserve">采购要求</w:t>
            </w:r>
            <w:r/>
          </w:p>
        </w:tc>
        <w:tc>
          <w:tcPr>
            <w:tcW w:w="2198" w:type="dxa"/>
            <w:vAlign w:val="center"/>
            <w:textDirection w:val="lrTb"/>
            <w:noWrap w:val="false"/>
          </w:tcPr>
          <w:p>
            <w:pPr>
              <w:pStyle w:val="1019"/>
              <w:ind w:firstLine="0"/>
              <w:jc w:val="center"/>
              <w:spacing w:line="360" w:lineRule="auto"/>
              <w:rPr>
                <w:rFonts w:ascii="宋体" w:hAnsi="宋体"/>
                <w:color w:val="auto"/>
                <w:szCs w:val="24"/>
                <w:highlight w:val="none"/>
              </w:rPr>
            </w:pPr>
            <w:r>
              <w:rPr>
                <w:rFonts w:hint="eastAsia" w:ascii="宋体" w:hAnsi="宋体"/>
                <w:color w:val="auto"/>
                <w:szCs w:val="24"/>
                <w:highlight w:val="none"/>
                <w:lang w:val="en-US" w:eastAsia="zh-CN"/>
              </w:rPr>
              <w:t xml:space="preserve">响应内容</w:t>
            </w:r>
            <w:r/>
          </w:p>
        </w:tc>
        <w:tc>
          <w:tcPr>
            <w:tcW w:w="2041" w:type="dxa"/>
            <w:vAlign w:val="center"/>
            <w:textDirection w:val="lrTb"/>
            <w:noWrap w:val="false"/>
          </w:tcPr>
          <w:p>
            <w:pPr>
              <w:pStyle w:val="1019"/>
              <w:ind w:firstLine="0"/>
              <w:jc w:val="center"/>
              <w:spacing w:line="360" w:lineRule="auto"/>
              <w:rPr>
                <w:rFonts w:ascii="宋体" w:hAnsi="宋体"/>
                <w:color w:val="auto"/>
                <w:szCs w:val="24"/>
                <w:highlight w:val="none"/>
              </w:rPr>
            </w:pPr>
            <w:r>
              <w:rPr>
                <w:rFonts w:ascii="宋体" w:hAnsi="宋体"/>
                <w:color w:val="auto"/>
                <w:szCs w:val="24"/>
                <w:highlight w:val="none"/>
              </w:rPr>
              <w:t xml:space="preserve">偏离说明</w:t>
            </w:r>
            <w:r/>
          </w:p>
        </w:tc>
        <w:tc>
          <w:tcPr>
            <w:tcW w:w="2310" w:type="dxa"/>
            <w:vAlign w:val="center"/>
            <w:textDirection w:val="lrTb"/>
            <w:noWrap w:val="false"/>
          </w:tcPr>
          <w:p>
            <w:pPr>
              <w:pStyle w:val="1019"/>
              <w:ind w:firstLine="0"/>
              <w:jc w:val="center"/>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lang w:val="en-US" w:eastAsia="zh-CN"/>
              </w:rPr>
              <w:t xml:space="preserve">备注</w:t>
            </w:r>
            <w:r/>
          </w:p>
        </w:tc>
      </w:tr>
      <w:tr>
        <w:trPr>
          <w:cantSplit/>
          <w:jc w:val="center"/>
          <w:trHeight w:val="105"/>
        </w:trPr>
        <w:tc>
          <w:tcPr>
            <w:tcW w:w="818" w:type="dxa"/>
            <w:vAlign w:val="top"/>
            <w:textDirection w:val="lrTb"/>
            <w:noWrap w:val="false"/>
          </w:tcPr>
          <w:p>
            <w:pPr>
              <w:jc w:val="center"/>
              <w:spacing w:line="360" w:lineRule="auto"/>
              <w:rPr>
                <w:rFonts w:ascii="宋体" w:hAnsi="宋体"/>
                <w:bCs/>
                <w:color w:val="auto"/>
                <w:szCs w:val="24"/>
                <w:highlight w:val="none"/>
              </w:rPr>
            </w:pPr>
            <w:r>
              <w:rPr>
                <w:rFonts w:hint="eastAsia" w:ascii="宋体" w:hAnsi="宋体"/>
                <w:bCs/>
                <w:color w:val="auto"/>
                <w:szCs w:val="24"/>
                <w:highlight w:val="none"/>
              </w:rPr>
              <w:t xml:space="preserve">1</w:t>
            </w:r>
            <w:r/>
          </w:p>
        </w:tc>
        <w:tc>
          <w:tcPr>
            <w:tcW w:w="2591" w:type="dxa"/>
            <w:vAlign w:val="top"/>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W w:w="2198"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041"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310"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jc w:val="center"/>
          <w:trHeight w:val="105"/>
        </w:trPr>
        <w:tc>
          <w:tcPr>
            <w:tcW w:w="818" w:type="dxa"/>
            <w:vAlign w:val="top"/>
            <w:textDirection w:val="lrTb"/>
            <w:noWrap w:val="false"/>
          </w:tcPr>
          <w:p>
            <w:pPr>
              <w:jc w:val="center"/>
              <w:spacing w:line="360" w:lineRule="auto"/>
              <w:rPr>
                <w:rFonts w:ascii="宋体" w:hAnsi="宋体"/>
                <w:bCs/>
                <w:color w:val="auto"/>
                <w:szCs w:val="24"/>
                <w:highlight w:val="none"/>
              </w:rPr>
            </w:pPr>
            <w:r>
              <w:rPr>
                <w:rFonts w:hint="eastAsia" w:ascii="宋体" w:hAnsi="宋体"/>
                <w:bCs/>
                <w:color w:val="auto"/>
                <w:szCs w:val="24"/>
                <w:highlight w:val="none"/>
              </w:rPr>
              <w:t xml:space="preserve">2</w:t>
            </w:r>
            <w:r/>
          </w:p>
        </w:tc>
        <w:tc>
          <w:tcPr>
            <w:tcW w:w="2591" w:type="dxa"/>
            <w:vAlign w:val="top"/>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W w:w="2198"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041"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310"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jc w:val="center"/>
          <w:trHeight w:val="105"/>
        </w:trPr>
        <w:tc>
          <w:tcPr>
            <w:tcW w:w="818" w:type="dxa"/>
            <w:vAlign w:val="top"/>
            <w:textDirection w:val="lrTb"/>
            <w:noWrap w:val="false"/>
          </w:tcPr>
          <w:p>
            <w:pPr>
              <w:jc w:val="center"/>
              <w:spacing w:line="360" w:lineRule="auto"/>
              <w:rPr>
                <w:rFonts w:ascii="宋体" w:hAnsi="宋体"/>
                <w:bCs/>
                <w:color w:val="auto"/>
                <w:szCs w:val="24"/>
                <w:highlight w:val="none"/>
              </w:rPr>
            </w:pPr>
            <w:r>
              <w:rPr>
                <w:rFonts w:hint="eastAsia" w:ascii="宋体" w:hAnsi="宋体"/>
                <w:bCs/>
                <w:color w:val="auto"/>
                <w:szCs w:val="24"/>
                <w:highlight w:val="none"/>
              </w:rPr>
              <w:t xml:space="preserve">3</w:t>
            </w:r>
            <w:r/>
          </w:p>
        </w:tc>
        <w:tc>
          <w:tcPr>
            <w:tcW w:w="2591" w:type="dxa"/>
            <w:vAlign w:val="top"/>
            <w:textDirection w:val="lrTb"/>
            <w:noWrap w:val="false"/>
          </w:tcPr>
          <w:p>
            <w:pPr>
              <w:spacing w:line="360" w:lineRule="auto"/>
              <w:rPr>
                <w:rFonts w:ascii="宋体" w:hAnsi="宋体" w:cs="仿宋_GB2312"/>
                <w:color w:val="auto"/>
                <w:szCs w:val="24"/>
                <w:highlight w:val="none"/>
                <w:lang w:val="zh-CN"/>
              </w:rPr>
            </w:pPr>
            <w:r>
              <w:rPr>
                <w:rFonts w:ascii="宋体" w:hAnsi="宋体" w:cs="仿宋_GB2312"/>
                <w:color w:val="auto"/>
                <w:szCs w:val="24"/>
                <w:highlight w:val="none"/>
                <w:lang w:val="zh-CN"/>
              </w:rPr>
            </w:r>
            <w:r/>
          </w:p>
        </w:tc>
        <w:tc>
          <w:tcPr>
            <w:tcW w:w="2198"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041"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310"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r>
        <w:trPr>
          <w:cantSplit/>
          <w:jc w:val="center"/>
          <w:trHeight w:val="105"/>
        </w:trPr>
        <w:tc>
          <w:tcPr>
            <w:tcW w:w="818" w:type="dxa"/>
            <w:vAlign w:val="top"/>
            <w:textDirection w:val="lrTb"/>
            <w:noWrap w:val="false"/>
          </w:tcPr>
          <w:p>
            <w:pPr>
              <w:jc w:val="center"/>
              <w:spacing w:line="360" w:lineRule="auto"/>
              <w:rPr>
                <w:rFonts w:ascii="宋体" w:hAnsi="宋体"/>
                <w:bCs/>
                <w:color w:val="auto"/>
                <w:szCs w:val="24"/>
                <w:highlight w:val="none"/>
              </w:rPr>
            </w:pPr>
            <w:r>
              <w:rPr>
                <w:rFonts w:ascii="宋体" w:hAnsi="宋体"/>
                <w:bCs/>
                <w:color w:val="auto"/>
                <w:szCs w:val="24"/>
                <w:highlight w:val="none"/>
              </w:rPr>
            </w:r>
            <w:r/>
          </w:p>
        </w:tc>
        <w:tc>
          <w:tcPr>
            <w:tcW w:w="2591" w:type="dxa"/>
            <w:vAlign w:val="top"/>
            <w:textDirection w:val="lrTb"/>
            <w:noWrap w:val="false"/>
          </w:tcPr>
          <w:p>
            <w:pPr>
              <w:spacing w:line="360" w:lineRule="auto"/>
              <w:rPr>
                <w:rFonts w:ascii="宋体" w:hAnsi="宋体"/>
                <w:bCs/>
                <w:color w:val="auto"/>
                <w:szCs w:val="24"/>
                <w:highlight w:val="none"/>
              </w:rPr>
            </w:pPr>
            <w:r>
              <w:rPr>
                <w:rFonts w:ascii="宋体" w:hAnsi="宋体"/>
                <w:bCs/>
                <w:color w:val="auto"/>
                <w:szCs w:val="24"/>
                <w:highlight w:val="none"/>
              </w:rPr>
            </w:r>
            <w:r/>
          </w:p>
        </w:tc>
        <w:tc>
          <w:tcPr>
            <w:tcW w:w="2198"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041"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c>
          <w:tcPr>
            <w:tcW w:w="2310" w:type="dxa"/>
            <w:vAlign w:val="top"/>
            <w:textDirection w:val="lrTb"/>
            <w:noWrap w:val="false"/>
          </w:tcPr>
          <w:p>
            <w:pPr>
              <w:spacing w:line="360" w:lineRule="auto"/>
              <w:rPr>
                <w:rFonts w:ascii="宋体" w:hAnsi="宋体"/>
                <w:color w:val="auto"/>
                <w:szCs w:val="24"/>
                <w:highlight w:val="none"/>
              </w:rPr>
            </w:pPr>
            <w:r>
              <w:rPr>
                <w:rFonts w:ascii="宋体" w:hAnsi="宋体"/>
                <w:color w:val="auto"/>
                <w:szCs w:val="24"/>
                <w:highlight w:val="none"/>
              </w:r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1、投标人须在投标文件中将实际响应内容与招标文件技术、商务部分的要求逐项对应列出，并在“偏离说明”项下填写以下内容：优于的，填写“正偏离”；符合的，填写“无偏离”；低于的，填写“负偏离”。</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t xml:space="preserve">2、若事项较多，投标人可根据响应内容的实际情况另纸说明。</w:t>
      </w:r>
      <w:r/>
    </w:p>
    <w:p>
      <w:pPr>
        <w:pStyle w:val="1019"/>
        <w:ind w:left="0"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19"/>
        <w:ind w:firstLine="480"/>
        <w:rPr>
          <w:rFonts w:hint="eastAsia" w:ascii="宋体" w:hAnsi="宋体"/>
          <w:color w:val="auto"/>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7、</w:t>
      </w:r>
      <w:r>
        <w:rPr>
          <w:rFonts w:hint="eastAsia" w:ascii="宋体" w:hAnsi="宋体"/>
          <w:bCs/>
          <w:color w:val="auto"/>
          <w:szCs w:val="24"/>
          <w:highlight w:val="none"/>
        </w:rPr>
        <w:t xml:space="preserve">售后服务承诺书</w:t>
      </w:r>
      <w:r/>
    </w:p>
    <w:p>
      <w:pPr>
        <w:ind w:firstLine="480"/>
        <w:jc w:val="center"/>
        <w:spacing w:before="25" w:after="25" w:line="360" w:lineRule="auto"/>
        <w:rPr>
          <w:rFonts w:hint="eastAsia" w:ascii="宋体" w:hAnsi="宋体"/>
          <w:bCs/>
          <w:color w:val="auto"/>
          <w:szCs w:val="24"/>
          <w:highlight w:val="none"/>
        </w:rPr>
      </w:pPr>
      <w:r>
        <w:rPr>
          <w:rFonts w:hint="eastAsia" w:ascii="宋体" w:hAnsi="宋体"/>
          <w:bCs/>
          <w:color w:val="auto"/>
          <w:szCs w:val="24"/>
          <w:highlight w:val="none"/>
        </w:rPr>
        <w:t xml:space="preserve">售后服务承诺书</w:t>
      </w:r>
      <w:r/>
    </w:p>
    <w:tbl>
      <w:tblPr>
        <w:tblStyle w:val="101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590"/>
      </w:tblGrid>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序号</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售后服务内容</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期限（时间）</w:t>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备注</w:t>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1</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免费质保期</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2</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服务响应</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3</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到达现场</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4</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解决问题</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590"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bl>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注：1、针对服务内容有必须说明的事项，请在“备注”栏目内注明；</w:t>
      </w:r>
      <w:r/>
    </w:p>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2、如有其它售后服务内容，自行填写。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19"/>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19"/>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19"/>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p>
    <w:p>
      <w:pPr>
        <w:pStyle w:val="1019"/>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单位名称（盖章）</w:t>
      </w:r>
      <w:r/>
    </w:p>
    <w:tbl>
      <w:tblPr>
        <w:tblStyle w:val="1016"/>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19"/>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23</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3</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lang w:val="en-US" w:eastAsia="zh-CN"/>
        </w:rPr>
        <w:t xml:space="preserve">9</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bCs/>
          <w:color w:val="auto"/>
          <w:szCs w:val="24"/>
          <w:highlight w:val="none"/>
        </w:rPr>
        <w:t xml:space="preserve">投标人与其他单位存在控股、管理关系情况表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16"/>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10</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中小企业声明函（货物）</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ascii="宋体" w:hAnsi="宋体" w:eastAsia="宋体" w:cstheme="minorEastAsia"/>
          <w:bCs/>
          <w:color w:val="auto"/>
          <w:sz w:val="24"/>
          <w:szCs w:val="24"/>
          <w:highlight w:val="none"/>
        </w:rPr>
      </w:r>
      <w:r/>
    </w:p>
    <w:p>
      <w:pPr>
        <w:pStyle w:val="1039"/>
        <w:ind w:firstLine="480"/>
        <w:keepLines w:val="0"/>
        <w:keepNext w:val="0"/>
        <w:pageBreakBefore w:val="0"/>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本公司（联合体）郑重声明，根据《政府采购促进中小企业发展管理办法》（财库〔</w:t>
      </w:r>
      <w:r>
        <w:rPr>
          <w:rFonts w:hint="eastAsia" w:ascii="宋体" w:hAnsi="宋体" w:eastAsia="宋体" w:cs="宋体"/>
          <w:color w:val="auto"/>
          <w:sz w:val="24"/>
          <w:szCs w:val="24"/>
          <w:highlight w:val="none"/>
          <w:lang w:val="en-US"/>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46号）的规定，本公司（联合体）参加</w:t>
      </w:r>
      <w:r>
        <w:rPr>
          <w:rFonts w:hint="eastAsia" w:ascii="宋体" w:hAnsi="宋体" w:eastAsia="宋体" w:cs="宋体"/>
          <w:color w:val="auto"/>
          <w:sz w:val="24"/>
          <w:szCs w:val="24"/>
          <w:highlight w:val="none"/>
          <w:u w:val="single"/>
          <w:lang w:val="en-US"/>
        </w:rPr>
        <w:t xml:space="preserve">   （单位名称）   </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u w:val="single"/>
          <w:lang w:val="en-US"/>
        </w:rPr>
        <w:t xml:space="preserve">   （项目名称）   </w:t>
      </w:r>
      <w:r>
        <w:rPr>
          <w:rFonts w:hint="eastAsia" w:ascii="宋体" w:hAnsi="宋体" w:eastAsia="宋体" w:cs="宋体"/>
          <w:color w:val="auto"/>
          <w:sz w:val="24"/>
          <w:szCs w:val="24"/>
          <w:highlight w:val="none"/>
          <w:lang w:val="en-US"/>
        </w:rPr>
        <w:t xml:space="preserve">采购活动，提供的货物全部由符合政策要求的中小企业制造。相关企业（含联合体中的中小企业，签订分包意向协议的中小企业）的具体情况如下：</w:t>
      </w:r>
      <w:r/>
    </w:p>
    <w:p>
      <w:pPr>
        <w:pStyle w:val="1039"/>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（采购文件中明确的所属行业）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万元¹</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039"/>
        <w:ind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（采购文件中明确的所属行业）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rFonts w:ascii="宋体" w:hAnsi="宋体" w:eastAsia="宋体" w:cstheme="minorEastAsia"/>
          <w:bCs/>
          <w:color w:val="auto"/>
          <w:sz w:val="24"/>
          <w:szCs w:val="24"/>
          <w:highlight w:val="none"/>
        </w:rPr>
      </w:pPr>
      <w:r>
        <w:rPr>
          <w:rFonts w:hint="eastAsia" w:ascii="宋体" w:hAnsi="宋体" w:eastAsia="宋体" w:cstheme="minorEastAsia"/>
          <w:bCs/>
          <w:color w:val="auto"/>
          <w:sz w:val="24"/>
          <w:szCs w:val="24"/>
          <w:highlight w:val="none"/>
        </w:rPr>
        <w:t xml:space="preserve">本企业对上述声明内容的真实性负责。如有虚假，将依法承担相应责任。</w:t>
      </w:r>
      <w:r/>
    </w:p>
    <w:p>
      <w:pPr>
        <w:pStyle w:val="1039"/>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pStyle w:val="1039"/>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企业名称（盖章）：</w:t>
      </w:r>
      <w:r/>
    </w:p>
    <w:p>
      <w:pPr>
        <w:pStyle w:val="1039"/>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w:t>
      </w:r>
      <w:r/>
    </w:p>
    <w:p>
      <w:pPr>
        <w:pStyle w:val="1039"/>
        <w:keepLines w:val="0"/>
        <w:keepNext w:val="0"/>
        <w:pageBreakBefore w:val="0"/>
        <w:spacing w:line="360" w:lineRule="auto"/>
        <w:widowControl w:val="off"/>
        <w:rPr>
          <w:rFonts w:hint="eastAsia" w:eastAsia="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11</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宋体" w:hAnsi="宋体" w:eastAsia="宋体" w:cs="宋体"/>
          <w:color w:val="auto"/>
          <w:szCs w:val="24"/>
          <w:highlight w:val="none"/>
          <w:lang w:val="zh-CN"/>
        </w:rPr>
        <w:t xml:space="preserve">日期：    年   月   日</w:t>
      </w:r>
      <w:r/>
    </w:p>
    <w:p>
      <w:pP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Cs w:val="24"/>
          <w:highlight w:val="none"/>
        </w:rPr>
        <w:br w:type="page" w:clear="all"/>
      </w:r>
      <w:r/>
    </w:p>
    <w:p>
      <w:pP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、中标通知书回执</w:t>
      </w:r>
      <w:r/>
    </w:p>
    <w:p>
      <w:pPr>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中标通知书回执</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 xml:space="preserve">江苏纵驰工程管理有限公司</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我公司于</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 xml:space="preserve">年</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 xml:space="preserve">月</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 xml:space="preserve">日收到贵公司编号为</w:t>
      </w:r>
      <w:r>
        <w:rPr>
          <w:rFonts w:hint="eastAsia" w:asciiTheme="minorEastAsia" w:hAnsiTheme="minorEastAsia" w:eastAsiaTheme="minorEastAsia" w:cstheme="minorEastAsia"/>
          <w:color w:val="auto"/>
          <w:szCs w:val="24"/>
          <w:highlight w:val="none"/>
          <w:u w:val="single"/>
          <w:lang w:val="en-US" w:eastAsia="zh-CN"/>
        </w:rPr>
        <w:t xml:space="preserve">       </w:t>
      </w:r>
      <w:r>
        <w:rPr>
          <w:rFonts w:hint="eastAsia" w:asciiTheme="minorEastAsia" w:hAnsiTheme="minorEastAsia" w:eastAsiaTheme="minorEastAsia" w:cstheme="minorEastAsia"/>
          <w:color w:val="auto"/>
          <w:szCs w:val="24"/>
          <w:highlight w:val="none"/>
        </w:rPr>
        <w:t xml:space="preserve">的中标通知书，特作以下确认：</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1、我司愿意遵守招标文件和中标通知书的规定，在指定时间和地点与采购人签订合同。</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2、我司愿意遵守招标文件规定，向贵公司支付按照差额定率累进计费方式进行收取的代理服务费，逾期按中国人民银行公布的同期人民币贷款最高利率计付利息。</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3、如果我司不遵守招标文件和中标通知书上的规定，贵公司可以按招标文件的规定向我公司要求赔偿的权利。</w:t>
      </w:r>
      <w:r/>
    </w:p>
    <w:p>
      <w:pPr>
        <w:ind w:firstLine="480"/>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中标人：（盖章）</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法定代表人或授权委托人签字：</w:t>
      </w:r>
      <w:r/>
    </w:p>
    <w:p>
      <w:pPr>
        <w:ind w:firstLine="480"/>
        <w:jc w:val="left"/>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23"/>
        <w:ind w:firstLine="420"/>
        <w:jc w:val="center"/>
        <w:spacing w:line="579" w:lineRule="auto"/>
        <w:rPr>
          <w:rStyle w:val="104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16" w:name="_Toc3099"/>
      <w:r/>
      <w:bookmarkStart w:id="17" w:name="_Toc24908"/>
      <w:r/>
      <w:bookmarkStart w:id="18" w:name="_Toc21567"/>
      <w:r>
        <w:rPr>
          <w:rStyle w:val="1040"/>
          <w:rFonts w:hint="eastAsia" w:asciiTheme="minorEastAsia" w:hAnsiTheme="minorEastAsia" w:eastAsiaTheme="minorEastAsia" w:cstheme="minorEastAsia"/>
          <w:color w:val="auto"/>
          <w:sz w:val="44"/>
          <w:szCs w:val="44"/>
          <w:highlight w:val="none"/>
        </w:rPr>
        <w:t xml:space="preserve">第四章 采购内容</w:t>
      </w:r>
      <w:bookmarkEnd w:id="15"/>
      <w:r/>
      <w:bookmarkEnd w:id="16"/>
      <w:r/>
      <w:bookmarkEnd w:id="17"/>
      <w:r/>
      <w:bookmarkStart w:id="19" w:name="_Toc217446094"/>
      <w:r/>
      <w:bookmarkEnd w:id="18"/>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放射科一体化阅片中心设备</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：JSZC-320000-JZCZ-G2024-0039</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放射科一体化阅片中心设备</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rPr>
        <w:t xml:space="preserve">三、采购预算：</w:t>
      </w:r>
      <w:r>
        <w:rPr>
          <w:rFonts w:hint="eastAsia" w:ascii="宋体" w:hAnsi="宋体" w:cs="宋体"/>
          <w:color w:val="auto"/>
          <w:sz w:val="24"/>
          <w:highlight w:val="none"/>
          <w:lang w:val="en-US" w:eastAsia="zh-CN" w:bidi="ar-SA"/>
        </w:rPr>
        <w:t xml:space="preserve">人民币叁佰玖拾万元整（￥3900000.00）</w:t>
      </w:r>
      <w:bookmarkEnd w:id="19"/>
      <w:r/>
      <w:r/>
    </w:p>
    <w:p>
      <w:pPr>
        <w:ind w:firstLine="480"/>
        <w:spacing w:line="360" w:lineRule="auto"/>
        <w:rPr>
          <w:rFonts w:hint="eastAsia" w:ascii="宋体" w:hAnsi="宋体" w:cs="宋体"/>
          <w:color w:val="auto"/>
          <w:szCs w:val="24"/>
          <w:highlight w:val="none"/>
        </w:rPr>
      </w:pPr>
      <w:r/>
      <w:bookmarkStart w:id="20" w:name="_Toc388026587"/>
      <w:r/>
      <w:bookmarkStart w:id="21" w:name="_Toc409438747"/>
      <w:r>
        <w:rPr>
          <w:rFonts w:hint="eastAsia" w:ascii="宋体" w:hAnsi="宋体" w:eastAsia="宋体" w:cs="宋体"/>
          <w:color w:val="auto"/>
          <w:sz w:val="24"/>
          <w:szCs w:val="24"/>
          <w:highlight w:val="none"/>
        </w:rPr>
        <w:t xml:space="preserve">四、</w:t>
      </w:r>
      <w:r>
        <w:rPr>
          <w:rFonts w:hint="eastAsia" w:ascii="宋体" w:hAnsi="宋体" w:cs="宋体"/>
          <w:color w:val="auto"/>
          <w:szCs w:val="24"/>
          <w:highlight w:val="none"/>
        </w:rPr>
        <w:t xml:space="preserve">采购清单及技术要求：</w:t>
      </w:r>
      <w:r/>
    </w:p>
    <w:p>
      <w:pPr>
        <w:pStyle w:val="1021"/>
        <w:ind w:firstLine="480"/>
        <w:jc w:val="both"/>
        <w:rPr>
          <w:rFonts w:hint="default" w:eastAsia="方正大黑简体"/>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一）采购清单</w:t>
      </w:r>
      <w:r/>
    </w:p>
    <w:tbl>
      <w:tblPr>
        <w:tblStyle w:val="1016"/>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49"/>
        <w:gridCol w:w="2946"/>
        <w:gridCol w:w="4735"/>
      </w:tblGrid>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采购内容及数量</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技术参数</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1.总体要求：</w:t>
            </w:r>
            <w:r/>
          </w:p>
        </w:tc>
      </w:tr>
      <w:tr>
        <w:trPr>
          <w:trHeight w:val="3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为保证满足科室</w:t>
            </w:r>
            <w:r>
              <w:rPr>
                <w:rFonts w:hint="eastAsia" w:ascii="宋体" w:hAnsi="宋体" w:cs="宋体"/>
                <w:color w:val="auto"/>
                <w:sz w:val="24"/>
                <w:szCs w:val="24"/>
                <w:highlight w:val="none"/>
                <w:lang w:val="en-US" w:eastAsia="zh-CN"/>
              </w:rPr>
              <w:t xml:space="preserve">日常医疗、诊断</w:t>
            </w:r>
            <w:r>
              <w:rPr>
                <w:rFonts w:hint="eastAsia" w:ascii="宋体" w:hAnsi="宋体" w:eastAsia="宋体" w:cs="宋体"/>
                <w:color w:val="auto"/>
                <w:sz w:val="24"/>
                <w:szCs w:val="24"/>
                <w:highlight w:val="none"/>
              </w:rPr>
              <w:t xml:space="preserve">，晨会交班，远程会诊，规培教学及学术会议需要，要求实现具体功能及参数。</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2.一楼晨会交班（四区联动）+远程会诊室+影像课堂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医用专业</w:t>
            </w:r>
            <w:r>
              <w:rPr>
                <w:rFonts w:hint="eastAsia" w:ascii="宋体" w:hAnsi="宋体" w:eastAsia="宋体" w:cs="宋体"/>
                <w:color w:val="auto"/>
                <w:sz w:val="24"/>
                <w:szCs w:val="24"/>
                <w:highlight w:val="none"/>
                <w:lang w:val="en-US" w:eastAsia="zh-CN"/>
              </w:rPr>
              <w:t xml:space="preserve">会诊套件</w:t>
            </w:r>
            <w:r/>
          </w:p>
        </w:tc>
        <w:tc>
          <w:tcPr>
            <w:tcW w:w="4735" w:type="dxa"/>
            <w:vAlign w:val="center"/>
            <w:textDirection w:val="lrTb"/>
            <w:noWrap w:val="false"/>
          </w:tcPr>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要求可快捷实现横幅，快捷单屏，2分屏，4分屏互相切换功能。</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138寸</w:t>
            </w:r>
            <w:r>
              <w:rPr>
                <w:rFonts w:hint="eastAsia" w:ascii="宋体" w:hAnsi="宋体" w:eastAsia="宋体" w:cs="宋体"/>
                <w:color w:val="auto"/>
                <w:sz w:val="24"/>
                <w:szCs w:val="24"/>
                <w:highlight w:val="none"/>
                <w:lang w:val="en-US" w:eastAsia="zh-CN" w:bidi="ar-SA"/>
              </w:rPr>
              <w:t xml:space="preserve">点间距≦P1.3。（提供具有检测资质的检测机构出具的检测报告）</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白屏最大亮度：≧800cd/㎡。</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对比度：10000:1；色域：≧128%NTSC。</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整机完全符合DICOM3.14标准，整机逐点校正，支持DICOM、Gamma曲线，可根据应用场景选配不同的曲线，满足CT/MR/DR/PET等各种图像显示要求，设备技术集成度高，能全方位满足影像科会议、远程会诊、教学等显示场景的需求（提供具有检测资质的检测机构出具的检测报告）</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▲支持会议模式、演示模式、节能模式、DICOM模式、用户模式，可根据不同的应用场景选择对应的情景模式。（提供实际产品功能图片或者截图证明）</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长方会议桌×2，每个会议桌满足4个个工位</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会议椅×8</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订制长方会议桌×2，每个会议桌满足4个个工位</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折叠椅×20，无扶手，可快速折叠打开</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背景墙设计，白底+医院名称+医院LOGO</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订制资料架，根据现场尺寸订制</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普通单人沙发×3+普通三人沙发×1，根据现场尺寸订制</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消毒衣柜*14，带消毒功能</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配套电子讲台</w:t>
            </w:r>
            <w:r/>
          </w:p>
        </w:tc>
        <w:tc>
          <w:tcPr>
            <w:tcW w:w="4735" w:type="dxa"/>
            <w:vAlign w:val="center"/>
            <w:textDirection w:val="lrTb"/>
            <w:noWrap w:val="false"/>
          </w:tcPr>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适配≧138寸屏幕，内置≧21.5英寸电容人机交互屏。</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配置电动升降讲台支架，集成音频输出设备、脚轮；同时支持音视频接口输出。</w:t>
            </w:r>
            <w:r/>
          </w:p>
          <w:p>
            <w:pPr>
              <w:pStyle w:val="102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可与阅片室管理系统无缝对接，进行会议及授课内容管理。</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可以提供专业分组、排班功能。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跟医院现有的RIS、PACS系统直接对接，通过病人门诊号、住院号等信息，可直接导入病人信息。</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具备晨会数据看板功能：第一，可查看本月、本季度、本年度的累计晨会以及累计病例，第二，可查看晨会类型的分布占比，第三，可查看晨会演讲者的演讲次数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提供软件截图。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可对晨会疑难病例讨论记录</w:t>
            </w:r>
            <w:r>
              <w:rPr>
                <w:rFonts w:hint="eastAsia" w:ascii="宋体" w:hAnsi="宋体" w:eastAsia="宋体" w:cs="宋体"/>
                <w:color w:val="auto"/>
                <w:sz w:val="24"/>
                <w:szCs w:val="24"/>
                <w:highlight w:val="none"/>
                <w:lang w:val="en-US" w:eastAsia="zh-CN"/>
              </w:rPr>
              <w:t xml:space="preserve">并可将记录按预设模板批量</w:t>
            </w:r>
            <w:r>
              <w:rPr>
                <w:rFonts w:hint="eastAsia" w:ascii="宋体" w:hAnsi="宋体" w:eastAsia="宋体" w:cs="宋体"/>
                <w:color w:val="auto"/>
                <w:sz w:val="24"/>
                <w:szCs w:val="24"/>
                <w:highlight w:val="none"/>
              </w:rPr>
              <w:t xml:space="preserve">导出，提供</w:t>
            </w:r>
            <w:r>
              <w:rPr>
                <w:rFonts w:hint="eastAsia" w:ascii="宋体" w:hAnsi="宋体" w:eastAsia="宋体" w:cs="宋体"/>
                <w:color w:val="auto"/>
                <w:sz w:val="24"/>
                <w:szCs w:val="24"/>
                <w:highlight w:val="none"/>
                <w:lang w:val="en-US" w:eastAsia="zh-CN"/>
              </w:rPr>
              <w:t xml:space="preserve">该功能界面</w:t>
            </w:r>
            <w:r>
              <w:rPr>
                <w:rFonts w:hint="eastAsia" w:ascii="宋体" w:hAnsi="宋体" w:eastAsia="宋体" w:cs="宋体"/>
                <w:color w:val="auto"/>
                <w:sz w:val="24"/>
                <w:szCs w:val="24"/>
                <w:highlight w:val="none"/>
              </w:rPr>
              <w:t xml:space="preserve">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具备预置病例病种多级菜单分类和关键词管理功能：方便影像病例分类及科研讨论，提供</w:t>
            </w:r>
            <w:r>
              <w:rPr>
                <w:rFonts w:hint="eastAsia" w:ascii="宋体" w:hAnsi="宋体" w:eastAsia="宋体" w:cs="宋体"/>
                <w:color w:val="auto"/>
                <w:sz w:val="24"/>
                <w:szCs w:val="24"/>
                <w:highlight w:val="none"/>
                <w:lang w:val="en-US" w:eastAsia="zh-CN"/>
              </w:rPr>
              <w:t xml:space="preserve">该功能</w:t>
            </w:r>
            <w:r>
              <w:rPr>
                <w:rFonts w:hint="eastAsia" w:ascii="宋体" w:hAnsi="宋体" w:eastAsia="宋体" w:cs="宋体"/>
                <w:color w:val="auto"/>
                <w:sz w:val="24"/>
                <w:szCs w:val="24"/>
                <w:highlight w:val="none"/>
              </w:rPr>
              <w:t xml:space="preserve">界面截图。</w:t>
            </w:r>
            <w:r/>
          </w:p>
        </w:tc>
      </w:tr>
      <w:tr>
        <w:trPr>
          <w:trHeight w:val="581"/>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p>
        </w:tc>
        <w:tc>
          <w:tcPr>
            <w:tcW w:w="2946" w:type="dxa"/>
            <w:vAlign w:val="center"/>
            <w:textDirection w:val="lrTb"/>
            <w:noWrap w:val="false"/>
          </w:tcPr>
          <w:p>
            <w:pPr>
              <w:jc w:val="both"/>
              <w:tabs>
                <w:tab w:val="left" w:pos="14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晨会服务端(虚拟化部署，由医院分配资源）</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视频输入接口：可接入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8路全高清分辨率视频信号（分辨率最大为1920×1080），接口为DVI接口或HDMI接口。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输出接口：可支持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1路超高清视频信号（分辨率为3840×2160）输出到会诊屏，接口为DVI接口或DP接口。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自适应处理：支持分辨率自适应功能，根据信号源的分辨率自动调节会诊屏端显示影像的分辨率及图像长宽比例，确保所投画面分辨率不变，显示比例不变。提供样板医院使用场景照片。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编码方式：非软件编解码方式。采用硬件的方式实现医学影像处理及传输，医学影像信号输出到会诊屏的物理分辨率跟输入的原始物理分辨率一致（最高可达4K）。</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控制方式：可通过专用的软件实现远程的控制，可提供控制接口的协议开放。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EDID支持输入接口EDID的读取、修改、自定义。</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w:t>
            </w:r>
            <w:r/>
          </w:p>
        </w:tc>
        <w:tc>
          <w:tcPr>
            <w:tcW w:w="2946" w:type="dxa"/>
            <w:vAlign w:val="center"/>
            <w:textDirection w:val="lrTb"/>
            <w:noWrap w:val="false"/>
          </w:tcPr>
          <w:p>
            <w:pPr>
              <w:jc w:val="both"/>
              <w:tabs>
                <w:tab w:val="left" w:pos="7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晨会客户端</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每个使用者一个专有账号。</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晨会管理端</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可以对所有账号进行权限管理。</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晨会演讲端</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适用于演讲台对晨会内容的统一管理。</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医用语音识别终端</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具备拾音设备</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医用词汇数据库</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医用专用词汇数据库，可实现内网部署，翻译准确率大于9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语音识别AI系统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可通过AI完成基础会议纪要整理，将疑难病例讨论、会诊过程等时刻实时记录下来，提供更快捷准确的会议记录。</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音视频系统</w:t>
            </w:r>
            <w:r/>
          </w:p>
        </w:tc>
        <w:tc>
          <w:tcPr>
            <w:tcW w:w="4735" w:type="dxa"/>
            <w:vAlign w:val="center"/>
            <w:textDirection w:val="lrTb"/>
            <w:noWrap w:val="false"/>
          </w:tcPr>
          <w:p>
            <w:pPr>
              <w:jc w:val="both"/>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可实现医院内部音频的网络扩展，可实现本地音频的扩声，可实现远程会诊中音频的接入，并具备回声抑制、啸叫消除等高级音频处理功能。</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POE交换机</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接口：≥8路千兆RJ45端口，不少于2路千兆SFP端口，PoE端口8GE。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功率：整机输出功率≥</w:t>
            </w: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W，整机功耗≤</w:t>
            </w:r>
            <w:r>
              <w:rPr>
                <w:rFonts w:hint="eastAsia" w:ascii="宋体" w:hAnsi="宋体" w:eastAsia="宋体" w:cs="宋体"/>
                <w:color w:val="auto"/>
                <w:sz w:val="24"/>
                <w:szCs w:val="24"/>
                <w:highlight w:val="none"/>
                <w:lang w:val="en-US" w:eastAsia="zh-CN"/>
              </w:rPr>
              <w:t xml:space="preserve">140</w:t>
            </w:r>
            <w:r>
              <w:rPr>
                <w:rFonts w:hint="eastAsia" w:ascii="宋体" w:hAnsi="宋体" w:eastAsia="宋体" w:cs="宋体"/>
                <w:color w:val="auto"/>
                <w:sz w:val="24"/>
                <w:szCs w:val="24"/>
                <w:highlight w:val="none"/>
              </w:rPr>
              <w:t xml:space="preserve">W。</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PoE标准: IEEE802.3at(PoE+)、IEEE802.3af。</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路由功能：支持RIPV1/V2动态路由，支持静态路由，支持ARP代理。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DHCP：支持DHCP服务器，支持DHCP中继，支持DHCPSnooping，支持Option138、Option82、Option60。</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LAN：支持≥4个VLAN，支持802.1QVLAN、MACVLAN、协议VLAN、PrivateVLAN，支持GuestVLAN、VoiceVLAN，支持VLANVPN（QinQ），支持GVRP协议，支持1:1和N:1VLANMapping功能。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特性：基于用户分级管理和口令保护，支持基于端口号、IP地址、MAC地址限制用户访问，支持HTTPS、SSLV3、TLSV1、SSHV1/V2，支持IP-MAC-PORT-VLAN四元绑定，支持ARP防护、IP源防护、DoS防护，支持DHCPSnooping、DHCP攻击防护，支持802.1X认证、AAA，支持端口安全、端口隔离，支持CPU保护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服务质量：支持≥8个端口队列，支持端口优先级、802.1P优先级、DSCP优先级，支持SP、WRR、SP+WRR、Equ优先级调度算法。</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维护：支持WEB网关（HTTP、HTTPS、SSLV3、TLSV1），支持CLI（Telnet、SSHV1/V2、本地串口），支持SNMPV1/V2/V3，兼容公共MIBS及TP-LINK私有MIBs，支持LLDP、RMON，支持ARP防护、IP源防护、DoS防护，支持CPU监控、内存监控，支持系统日志、分级警告，支持Ping、Tracert检测、线缆检测。</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STP协议支持STP(IEEE802.1d)，RSTP(IEEE802.1w)和MSTP(IEEE802.1s)协议，支持环路保护、根桥保护、TC保护、BPDU保护、BPDU过滤。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音频处理器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8路平衡式话筒／线路输入，采用裸线接口端子,8路平衡式输出，采用裸线接口端子。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高速DSP处理芯片。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全功能矩阵混音功能，不单单是混音和自动混音功能，还具备混音分量控制功能；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内置Dante网络传输模块,支持DANTE无损音频网络传输。</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自适应POE外部面板控制接口，可自行选着面板功能。</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兼容多方平台控制管理，支持windows系统、iOS系统（iPAD、Iphone)以及Andriod系统,通过iPAD或iPhone或安卓手机APP软件进行操作控制、切换8个不同场景。面板具有USB接口，支持多媒体存储，可进行播放录制。USB接口可进行软件自动升级。</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吸顶音响×4</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频率响应：50Hz~20KHz(±3dB)。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单元数量：LF:1x6.5"(1"voicecoil),HF:1x1"(1"voicecoil)。</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承受功率：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60WAES。</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灵敏度：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dB。</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最大声压级：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dB/1m。</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全景摄像头（后）</w:t>
            </w:r>
            <w:r/>
          </w:p>
        </w:tc>
        <w:tc>
          <w:tcPr>
            <w:tcW w:w="4735" w:type="dxa"/>
            <w:vAlign w:val="center"/>
            <w:vMerge w:val="restart"/>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°高品质超广焦镜头，光学变焦达到12倍。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支持USB3.0接口，可传输无压缩原始视频图像，同时向下兼容USB2.0。另支持HDMI高清输出，USB3.0、HDMI、网络三路可同时输出。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采用1/2.7英寸、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200万有效像素的高品质HD CMOS传感器，可实现最大1920x1080（60fps）高分辨率的优质图像。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超高性噪比的全新CMOS图像传感器可有效降低在低照度情况下的图像噪声，同时应用2D和3D降噪算法，大幅降低了图像噪声，即便是超低照度情况下，依然保持画面干净清晰，图像信噪比高达55dB以上。</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使用RS232和RS485串口，可对摄像机进行控制。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支持摄像头自动寻声模式，提供产品说明书。</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寻声摄像头（前）</w:t>
            </w:r>
            <w:r/>
          </w:p>
        </w:tc>
        <w:tc>
          <w:tcPr>
            <w:tcW w:w="4735" w:type="dxa"/>
            <w:vAlign w:val="center"/>
            <w:vMerge w:val="continue"/>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w:t>
            </w:r>
            <w:r/>
          </w:p>
        </w:tc>
        <w:tc>
          <w:tcPr>
            <w:tcW w:w="2946" w:type="dxa"/>
            <w:vAlign w:val="center"/>
            <w:textDirection w:val="lrTb"/>
            <w:noWrap w:val="false"/>
          </w:tcPr>
          <w:p>
            <w:pPr>
              <w:jc w:val="both"/>
              <w:tabs>
                <w:tab w:val="left" w:pos="110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无线话筒×7</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信号质量：综合失真度：＜0.5%@1KHz，综合S/N比：±105dB（1KHz-A）</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载波频段：UHF频段(721.100MHz~820.600MHz)。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频带宽度：50MHz。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频带间隔：200KHz。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振荡模式：PLL相位锁定频率合成。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最大无线传输距离：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80m。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输出插座：XLR平衡式、Ф6.3不平衡式。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输入通道音频处理：前级放大、信号发生器、扩展器、压缩器、5段参量均衡。</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输出通道音频处理：31段图示均衡、延时器、分频器、限幅器。</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p>
        </w:tc>
        <w:tc>
          <w:tcPr>
            <w:tcW w:w="2946" w:type="dxa"/>
            <w:vAlign w:val="center"/>
            <w:textDirection w:val="lrTb"/>
            <w:noWrap w:val="false"/>
          </w:tcPr>
          <w:p>
            <w:pPr>
              <w:jc w:val="both"/>
              <w:tabs>
                <w:tab w:val="left" w:pos="110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高兼容性信息传输模块</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可将外来胶片、云胶片以及笔记本等通过专业设备直接投射到会诊屏上，用于多人会诊。并可跟PACS影像同屏显示，实现不同阶段病例的对比分析。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1.胶片扫描设备集成云胶片扫描模组：可通过二维码扫描设备扫描云胶片二维码，并输出给显示设备（提供功能演示图片及产品实物图片）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2.可实现胶片直投和云胶片扫描自动切换显示，或根据需要选择显示胶片直投画面和云胶片画面</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3.摄像机具有DICOM校准功能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.无线投屏系统可接入工作平台、笔记本电脑、手机、平板等设备；可将屏幕内容共享至会诊；</w:t>
            </w:r>
            <w:r/>
          </w:p>
          <w:p>
            <w:pPr>
              <w:jc w:val="both"/>
              <w:tabs>
                <w:tab w:val="left" w:pos="110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无线投屏系统支持同时连接并显示≥4路画面</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p>
        </w:tc>
        <w:tc>
          <w:tcPr>
            <w:tcW w:w="2946" w:type="dxa"/>
            <w:vAlign w:val="center"/>
            <w:textDirection w:val="lrTb"/>
            <w:noWrap w:val="false"/>
          </w:tcPr>
          <w:p>
            <w:pPr>
              <w:jc w:val="both"/>
              <w:tabs>
                <w:tab w:val="left" w:pos="110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胶片直投系统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基本要求，可实现胶片扫描直投，将外来胶片放置于专业的胶片扫描台上，即可自动完成扫描，并一键投射至会诊屏，用于多人胶片会诊，且图片可进行放大缩小等操作。</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亮度</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胶片扫描台亮度高于4000cd/m²</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分辨率，摄像机分辨率达到4K*2K，</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自启动，观片灯支持插片自启动。</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一体机设计胶片扫描采用一体式设计，并提供实物照片。</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DICOM校准，具有DICOM校准功能，提供具有DICOM校准的摄像机菜单照片。</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p>
        </w:tc>
        <w:tc>
          <w:tcPr>
            <w:tcW w:w="2946" w:type="dxa"/>
            <w:vAlign w:val="center"/>
            <w:textDirection w:val="lrTb"/>
            <w:noWrap w:val="false"/>
          </w:tcPr>
          <w:p>
            <w:pPr>
              <w:jc w:val="both"/>
              <w:tabs>
                <w:tab w:val="left" w:pos="110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无线投屏系统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系统设有专用投屏互动AP，手机、平板、笔记本电脑等无线移动设备均可在连入AP后，将屏幕内容共享至并轨会诊显示屏上。</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支持双向控制，投射至会诊显示终端后，可通过会诊屏的触摸功直接对所投内容进行操作（调阅文件、PPT翻页等），提供操作及配置说明，并配图说明。</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支持白板功能，可针对所投内容进行标注，并将标注内容进行保存。</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无线投屏最多可同时连接并显示≥2路画面</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无线投射支持Airplay,Miracast、DLNA，并支持Mirror0p应用。</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演示系统支持多种工作模式：独立工作模式、网络集成方式及混合方式，并提供系统连接拓扑图。</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一楼审核办公室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诊断工位</w:t>
            </w:r>
            <w:r>
              <w:rPr>
                <w:rFonts w:hint="eastAsia" w:ascii="宋体" w:hAnsi="宋体" w:eastAsia="宋体" w:cs="宋体"/>
                <w:color w:val="auto"/>
                <w:sz w:val="24"/>
                <w:szCs w:val="24"/>
                <w:highlight w:val="none"/>
              </w:rPr>
              <w:t xml:space="preserve">×30</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rPr>
              <w:t xml:space="preserve">阅片桌</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人体工学椅子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1.3×0.75m（高度可调），尺寸可根据要求定制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功能说明：带有电动升降功能，桌面接口单元，布线模组，环境光，万向支臂、背景灯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全向支臂：全</w:t>
            </w:r>
            <w:r>
              <w:rPr>
                <w:rFonts w:hint="eastAsia" w:ascii="宋体" w:hAnsi="宋体" w:eastAsia="宋体" w:cs="宋体"/>
                <w:color w:val="auto"/>
                <w:sz w:val="24"/>
                <w:szCs w:val="24"/>
                <w:highlight w:val="none"/>
              </w:rPr>
              <w:t xml:space="preserve">方位无死角定位，支臂可实现自由定位，全向可调，+75°~-45°可调俯仰角，支臂由航空铝合金制成，支臂具有液压杆，承重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20kg</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桌面接口：桌面预留翻转隐藏式防水接口集成插座，提供5孔电源插孔、USB、电话线等三种以上接口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升降功能：支持预设高度功能，可预设高度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4个</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电源管理：阅片桌内置预留接口给所有的设备供电，无需借助额外的插线板，具备防雷功能。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布线要求：采用隐藏式线匣，所有的内部走线均通过专用的布线槽，确保阅片工位干净整洁</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承重要求：根据机型配置专用电脑主机支架，承重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30kg，可根据重量调节支臂配重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可升级快速截图传输模块</w:t>
            </w:r>
            <w:r/>
          </w:p>
          <w:p>
            <w:pPr>
              <w:pStyle w:val="1017"/>
              <w:ind w:left="0" w:firstLine="0"/>
              <w:jc w:val="both"/>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bidi="ar-SA"/>
              </w:rPr>
              <w:t xml:space="preserve">另外含，配套衣柜×7，根据现场尺寸订制；环境光窗帘×8，根据现场尺寸订制</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五楼VIP诊疗室（两间）</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12M高清专业</w:t>
            </w:r>
            <w:r>
              <w:rPr>
                <w:rFonts w:hint="eastAsia" w:ascii="宋体" w:hAnsi="宋体" w:eastAsia="宋体" w:cs="宋体"/>
                <w:color w:val="auto"/>
                <w:sz w:val="24"/>
                <w:szCs w:val="24"/>
                <w:highlight w:val="none"/>
                <w:lang w:val="en-US" w:eastAsia="zh-CN"/>
              </w:rPr>
              <w:t xml:space="preserve">医用诊断终端</w:t>
            </w:r>
            <w:r>
              <w:rPr>
                <w:rFonts w:hint="eastAsia" w:ascii="宋体" w:hAnsi="宋体" w:eastAsia="宋体" w:cs="宋体"/>
                <w:color w:val="auto"/>
                <w:sz w:val="24"/>
                <w:szCs w:val="24"/>
                <w:highlight w:val="none"/>
              </w:rPr>
              <w:t xml:space="preserve">×2</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可以自动校准亮度曲线，完全符合dicom3.14标准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对角线尺寸≧31英寸，分辨率≧4200×2800，点距≦0.1554×0.1554mm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最大亮度≧1200cd/m²，最大校正亮度≥800cd/m²，对比度≧1500：1，响应时间≦14ms，可视角度≧178°，亮度一致性≧90%</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LUT表可以动态生成，DICOM曲线可以在500-800cd/m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固定亮度下动态调节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可设定系统所在的阅片环境，包括关闭、自动、诊断室、CT/MR/NM、办公室、观察室、急诊室、手术室，根据设定的阅片环境自动补偿和校准亮度，确保影像精准显示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可以对医学彩色和灰阶图像自动校准，保证在同时显示彩色图像和灰阶图像的时候，可以分别对彩色图像调用GAMMA曲线校正，灰阶图像调用DICOM曲线校正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具有亮度均匀性调节功能，确保全屏幕亮度均衡</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色彩度≧281.47Trillion Colors(16bit</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输入接口： DP×2；输出接口：HDMI×1</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可以突出显示病灶区域，通过触控按键或键盘热键快速打开聚光灯，形状可切换成圆形或矩形，尺寸≧3种，提供圆形和矩形聚光灯功能演示实拍照片各1张</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前方具有两个生命体探头， 可探测前方是否有使用人员，自动待机或唤醒，用于消除医用残影并自行保养延长寿命，并更好地实现节能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提供实物照片。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具有切换阅片灯模式的功能，可通过触控按键或键盘热键快速打开观片灯模式，方便医生查看胶片，可调整观片灯的大小和位置，</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可设置双屏模式，并调整任意半屏分辨率≧1600×1200，亮度≧200cd/m²，用于显示文本，另外的半屏分辨率仍保持2100×2800，用于显示影像</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可设置病理模式，自动调整亮度至200~600 cd/m²、打开3DLUT、色温校正等功能，用于显示病理图像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提供功能演示证明材料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底座可通过升降按钮电动升降，满足各种不同视角下观察图像的需要。整机最大高度≧654mm，整机最低高度≦589mm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具有屏幕克隆功能，可通过热键将≧2台的内容自动拼接成一个画面输出给≧2台。</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具有多分屏显示功能，可通过热键将分屏，提供≧5种分屏方案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提供证明材料</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具备内置显示质量控制系统，在国际标准下，在400cd/m2亮度设定下质控结果DICOM曲线误差率需小于15%，需提供所投型号检测质控报告</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具有自由截图功能，可在不依赖第三方软件的情况下通过热键唤醒截图功能，自由选择所需的截图区域与保存方式。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具有光标功能，允许鼠标在不同分辨率边界平滑移动。</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具有查找鼠标功能，可通过热键高亮显示鼠标，解决多屏显示和高分辨率下鼠标光标经常找不到的问题。</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具有主显识别功能，可通过自动识别鼠标所在，执行鼠标移入时变亮，移出时变暗。</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备隐藏式电动翻转前置探头，在日常阅片时探头隐藏在内部，外观上看不到探头的存在，不影响阅片显示区域大小，使用时探头从内部向外翻转，检测实际显示区域的亮度、色彩等，保证质控数据的真实有效。在国际标准下，在400cd/m2亮度设定下质控结果DICOM曲线误差率需小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%，（需提供相同型号检测质控报告</w:t>
            </w:r>
            <w:r>
              <w:rPr>
                <w:rFonts w:hint="eastAsia" w:ascii="宋体" w:hAnsi="宋体" w:eastAsia="宋体" w:cs="宋体"/>
                <w:color w:val="auto"/>
                <w:sz w:val="24"/>
                <w:szCs w:val="24"/>
                <w:highlight w:val="none"/>
                <w:lang w:val="en-US" w:eastAsia="zh-CN"/>
              </w:rPr>
              <w:t xml:space="preserve">和检测过程中的实物照片</w:t>
            </w:r>
            <w:r>
              <w:rPr>
                <w:rFonts w:hint="eastAsia" w:ascii="宋体" w:hAnsi="宋体" w:eastAsia="宋体" w:cs="宋体"/>
                <w:color w:val="auto"/>
                <w:sz w:val="24"/>
                <w:szCs w:val="24"/>
                <w:highlight w:val="none"/>
              </w:rPr>
              <w:t xml:space="preserve">）</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（具备灯箱功能）×2</w:t>
            </w:r>
            <w:r/>
          </w:p>
        </w:tc>
        <w:tc>
          <w:tcPr>
            <w:tcW w:w="473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尺寸≧65英寸；分辨率≧3840×2160；点距≦0.372（H）×</w:t>
            </w:r>
            <w:r>
              <w:rPr>
                <w:rFonts w:hint="eastAsia" w:ascii="宋体" w:hAnsi="宋体" w:eastAsia="宋体" w:cs="宋体"/>
                <w:color w:val="auto"/>
                <w:sz w:val="24"/>
                <w:szCs w:val="24"/>
                <w:highlight w:val="none"/>
              </w:rPr>
              <w:t xml:space="preserve">0.372（V）mm；</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最大亮度：≧750cd/㎡</w:t>
            </w:r>
            <w:r>
              <w:rPr>
                <w:rFonts w:hint="eastAsia" w:ascii="宋体" w:hAnsi="宋体" w:eastAsia="宋体" w:cs="宋体"/>
                <w:b w:val="0"/>
                <w:bCs/>
                <w:color w:val="auto"/>
                <w:sz w:val="24"/>
                <w:szCs w:val="24"/>
                <w:highlight w:val="none"/>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色域≧90% NTSC，可显示更真实更鲜艳的色彩</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会诊终端符合DICOM3.14标准，满足CT/MR/DR/PET等各种图像显示要求</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全贴合技术：整机玻璃与屏幕保护层采用全贴合技术，减少显示面板与玻璃间的偏光、散射，画面显示更加清晰通透、可视角度更广</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云胶片功能：通过外接扫码枪扫描云胶片二维码，可快速打开全屏的云胶片影像页面</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远程会诊摄像头：整机正面上边框居中内置1200W像素高清摄像头与整机一体设计</w:t>
            </w:r>
            <w:r>
              <w:rPr>
                <w:rFonts w:hint="eastAsia" w:ascii="宋体" w:hAnsi="宋体" w:eastAsia="宋体" w:cs="宋体"/>
                <w:b w:val="0"/>
                <w:bCs/>
                <w:color w:val="auto"/>
                <w:sz w:val="24"/>
                <w:szCs w:val="24"/>
                <w:highlight w:val="none"/>
                <w:lang w:eastAsia="zh-CN"/>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lang w:eastAsia="zh-CN"/>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灯箱功能：取代传统的观片灯箱，支持分屏、横屏、全屏三种模式</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无线传屏系统：整机内置接收模块，除无线传屏外不需要连接任何附加设备，可实现外部电脑音视频信号实时传输到会诊终端上，并可支持触摸回传</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高兼容性信息传输模块</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可将外来胶片、云胶片以及笔记本等通过专业设备直接投射到会诊屏上，用于多人胶诊。并可跟PACS影像同屏显示，实现不同阶段病例的对比分析，远程互联互通实现远程会诊</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胶片直投系统×2</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基本要求，可实现胶片扫描直投，将外来胶片放置于专业的胶片扫描台上，即可自动完成扫描，并一键投射至会诊屏，用于多人胶片会诊，且图片可进行放大缩小等操作。</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亮度</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胶片扫描台亮度不低于4000cd/m²</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分辨率，摄像机分辨率不低于4K*2K。</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自启动，观片灯支持插片自启动。</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一体机设计胶片扫描采用一体式设计，并提供实物照片。</w:t>
            </w:r>
            <w:r/>
          </w:p>
          <w:p>
            <w:pPr>
              <w:jc w:val="both"/>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具有DICOM校准功能，提供具有DICOM校准的摄像机菜单照片。</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云胶片扫</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×2</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具备云胶片扫描器和</w:t>
            </w:r>
            <w:r>
              <w:rPr>
                <w:rFonts w:hint="eastAsia" w:ascii="宋体" w:hAnsi="宋体" w:eastAsia="宋体" w:cs="宋体"/>
                <w:color w:val="auto"/>
                <w:sz w:val="24"/>
                <w:szCs w:val="24"/>
                <w:highlight w:val="none"/>
              </w:rPr>
              <w:t xml:space="preserve">云胶片</w:t>
            </w:r>
            <w:r>
              <w:rPr>
                <w:rFonts w:hint="eastAsia" w:ascii="宋体" w:hAnsi="宋体" w:eastAsia="宋体" w:cs="宋体"/>
                <w:color w:val="auto"/>
                <w:sz w:val="24"/>
                <w:szCs w:val="24"/>
                <w:highlight w:val="none"/>
                <w:lang w:val="en-US" w:eastAsia="zh-CN"/>
              </w:rPr>
              <w:t xml:space="preserve">识别主机。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具备二维码扫描设备，可扫描病人云胶片二维码</w:t>
            </w:r>
            <w:r/>
          </w:p>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云影像可输出给显示设备</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具备云影像浏览软件，可对影像进行常规的窗宽床位调节、标记、测量等功能</w:t>
            </w:r>
            <w:r>
              <w:rPr>
                <w:rFonts w:hint="eastAsia" w:ascii="宋体" w:hAnsi="宋体" w:eastAsia="宋体" w:cs="宋体"/>
                <w:color w:val="auto"/>
                <w:sz w:val="24"/>
                <w:szCs w:val="24"/>
                <w:highlight w:val="none"/>
                <w:lang w:eastAsia="zh-CN"/>
              </w:rPr>
              <w:t xml:space="preserve">。</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无线投屏系统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系统设有专用投屏互动AP，手机、平板、笔记本电脑等无线移动设备均可在连入AP后，将屏幕内容共享至并轨会诊显示屏上。</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支持双向控制，投射至会诊显示终端后，可通过会诊屏的触摸功直接对所投内容进行操作（调阅文件、PPT翻页等），提供操作及配置说明，并配图说明。</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支持白板功能，可针对所投内容进行标注，并将标注内容进行保存。</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无线投屏最多可同时连接并显示≥2路画面</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无线投射支持Airplay,Miracast、DLNA，并支持Mirror0p应用。</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演示系统支持多种工作模式：独立工作模式、网络集成方式及混合方式，并提供系统连接拓扑图。</w:t>
            </w:r>
            <w:r/>
          </w:p>
        </w:tc>
      </w:tr>
      <w:tr>
        <w:trPr>
          <w:trHeight w:val="381"/>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二楼多功能会议室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小间距</w:t>
            </w:r>
            <w:r>
              <w:rPr>
                <w:rFonts w:hint="eastAsia" w:ascii="宋体" w:hAnsi="宋体" w:eastAsia="宋体" w:cs="宋体"/>
                <w:color w:val="auto"/>
                <w:sz w:val="24"/>
                <w:szCs w:val="24"/>
                <w:highlight w:val="none"/>
              </w:rPr>
              <w:t xml:space="preserve">医用</w:t>
            </w:r>
            <w:r>
              <w:rPr>
                <w:rFonts w:hint="eastAsia" w:ascii="宋体" w:hAnsi="宋体" w:eastAsia="宋体" w:cs="宋体"/>
                <w:color w:val="auto"/>
                <w:sz w:val="24"/>
                <w:szCs w:val="24"/>
                <w:highlight w:val="none"/>
                <w:lang w:val="en-US" w:eastAsia="zh-CN"/>
              </w:rPr>
              <w:t xml:space="preserve">高清</w:t>
            </w:r>
            <w:r>
              <w:rPr>
                <w:rFonts w:hint="eastAsia" w:ascii="宋体" w:hAnsi="宋体" w:eastAsia="宋体" w:cs="宋体"/>
                <w:color w:val="auto"/>
                <w:sz w:val="24"/>
                <w:szCs w:val="24"/>
                <w:highlight w:val="none"/>
              </w:rPr>
              <w:t xml:space="preserve">专业</w:t>
            </w:r>
            <w:r>
              <w:rPr>
                <w:rFonts w:hint="eastAsia" w:ascii="宋体" w:hAnsi="宋体" w:eastAsia="宋体" w:cs="宋体"/>
                <w:color w:val="auto"/>
                <w:sz w:val="24"/>
                <w:szCs w:val="24"/>
                <w:highlight w:val="none"/>
                <w:lang w:val="en-US" w:eastAsia="zh-CN"/>
              </w:rPr>
              <w:t xml:space="preserve">会诊终端</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尺寸≧178英寸尺寸（支持定制）</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点间距≦0.9375mm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提供证明材料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分辨率≧600万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最大校正亮度≧500cd/㎡</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医学校正：支持DICOM校正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灰阶度≧16bit</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具备分屏功能，可满足场景预设，可快捷实现横幅功能，单屏，2分屏，4分屏及6分屏布局任意切换，可满足场景预设。</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包含相关配套-</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资料柜，根据现场尺寸订制。</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会议椅×12，人体工程学设计，减少职业病对长时间工作的医生的影响。</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配套环境灯系统，根据现场订制。</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无线电子席卡×12，实现快捷切换专家姓名</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订制会议桌×9，可无缝拼接，实现多种会议模式。</w:t>
            </w:r>
            <w:r/>
          </w:p>
          <w:p>
            <w:pPr>
              <w:pStyle w:val="1017"/>
              <w:ind w:left="0" w:firstLine="0"/>
              <w:jc w:val="both"/>
              <w:tabs>
                <w:tab w:val="left" w:pos="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折叠椅×20，无扶手，可快速折叠打开</w:t>
            </w:r>
            <w:r/>
          </w:p>
          <w:p>
            <w:pPr>
              <w:pStyle w:val="1017"/>
              <w:ind w:left="0" w:firstLine="0"/>
              <w:jc w:val="both"/>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秘书席</w:t>
            </w:r>
            <w:r>
              <w:rPr>
                <w:rFonts w:hint="eastAsia" w:ascii="宋体" w:hAnsi="宋体" w:eastAsia="宋体" w:cs="宋体"/>
                <w:b w:val="0"/>
                <w:color w:val="auto"/>
                <w:sz w:val="24"/>
                <w:szCs w:val="24"/>
                <w:highlight w:val="none"/>
                <w:lang w:val="en-US" w:eastAsia="zh-CN" w:bidi="ar-SA"/>
              </w:rPr>
              <w:tab/>
            </w:r>
            <w:r>
              <w:rPr>
                <w:rFonts w:hint="eastAsia" w:ascii="宋体" w:hAnsi="宋体" w:eastAsia="宋体" w:cs="宋体"/>
                <w:b w:val="0"/>
                <w:color w:val="auto"/>
                <w:sz w:val="24"/>
                <w:szCs w:val="24"/>
                <w:highlight w:val="none"/>
                <w:lang w:val="en-US" w:eastAsia="zh-CN" w:bidi="ar-SA"/>
              </w:rPr>
              <w:t xml:space="preserve">快捷实现大屏多分屏切换调整，电子席卡切换。</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超高清影像</w:t>
            </w:r>
            <w:r>
              <w:rPr>
                <w:rFonts w:hint="eastAsia" w:ascii="宋体" w:hAnsi="宋体" w:eastAsia="宋体" w:cs="宋体"/>
                <w:color w:val="auto"/>
                <w:sz w:val="24"/>
                <w:szCs w:val="24"/>
                <w:highlight w:val="none"/>
                <w:lang w:val="en-US" w:eastAsia="zh-CN"/>
              </w:rPr>
              <w:t xml:space="preserve">矩阵</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1.视频输入接口：可接入≥8路全高清分辨率视频信号（分辨率最大为1920×1080），接口为DVI接口或HDMI接口。</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2.输出接口：可支持≥1路超高清视频信号（分辨率为3840×2160）输出到会诊屏，接口为DVI接口或DP接口。</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3.自适应处理：支持分辨率自适应功能，根据信号源的分辨率自动调节会诊屏端显示影像的分辨率及图像长宽比例，确保所投画面分辨率不变，显示比例不变。提供样板医院使用场景照片。</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4.编码方式：非软件编解码方式。采用硬件的方式实现医学影像处理及传输，医学影像信号输出到会诊屏的物理分辨率跟输入的原始物理分辨率一致。（最高可达4K）</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5.控制方式：可通过专用的软件实现远程的控制，可提供控制接口的协议开放。</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6.EDID支持输入接口EDID的读取、修改、自定义</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7.图像增强功能：具备专业的图像增强功能，确保医学影像在系统的互动过程中不损失图像质量，最终显示的时候能够达到很好的诊断效果，需提供证明材料。</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音视频系统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可实现医院内部音频的网络扩展，可实现本地音频的扩声，可实现远程会诊中音频的接入，并具备回声抑制、啸叫消除等高级音频处理功能。</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POE交换机</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接口：≥8路千兆RJ45端口，不少于2路千兆SFP端口，PoE端口8GE。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功率：整机输出功率≥11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W，整机功耗≤1</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PoE标准: IEEE802.3at(PoE+)、IEEE802.3af。</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路由功能：支持RIPV1/V2动态路由，支持静态路由，支持ARP代理。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DHCP：支持DHCP服务器，支持DHCP中继，支持DHCPSnooping，支持Option138、Option82、Option60。</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LAN：支持≥4个VLAN，支持802.1QVLAN、MACVLAN、协议VLAN、PrivateVLAN，支持GuestVLAN、VoiceVLAN，支持VLANVPN（QinQ），支持GVRP协议，支持1:1和N:1VLANMapping功能。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特性：基于用户分级管理和口令保护，支持基于端口号、IP地址、MAC地址限制用户访问，支持HTTPS、SSLV3、TLSV1、SSHV1/V2，支持IP-MAC-PORT-VLAN四元绑定，支持ARP防护、IP源防护、DoS防护，支持DHCPSnooping、DHCP攻击防护，支持802.1X认证、AAA，支持端口安全、端口隔离，支持CPU保护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服务质量：支持≥8个端口队列，支持端口优先级、802.1P优先级、DSCP优先级，支持SP、WRR、SP+WRR、Equ优先级调度算法。</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维护：支持WEB网关（HTTP、HTTPS、SSLV3、TLSV1），支持CLI（Telnet、SSHV1/V2、本地串口），支持SNMPV1/V2/V3，兼容公共MIBS及TP-LINK私有MIBs，支持LLDP、RMON，支持ARP防护、IP源防护、DoS防护，支持CPU监控、内存监控，支持系统日志、分级警告，支持Ping、Tracert检测、线缆检测。</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STP协议支持STP(IEEE802.1d)，RSTP(IEEE802.1w)和MSTP(IEEE802.1s)协议，支持环路保护、根桥保护、TC保护、BPDU保护、BPDU过滤。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音频处理器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8路平衡式话筒／线路输入，采用裸线接口端子,8路平衡式输出，采用裸线接口端子。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高速DSP处理芯片。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全功能矩阵混音功能，不单单是混音和自动混音功能，还具备混音分量控制功能；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内置Dante网络传输模块,支持DANTE无损音频网络传输。</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自适应POE外部面板控制接口，可自行选着面板功能。</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兼容多方平台控制管理，支持windows系统、iOS系统（iPAD、Iphone)以及Andriod系统,通过iPAD或iPhone或安卓手机APP软件进行操作控制、切换8个不同场景。面板具有USB接口，支持多媒体存储，可进行播放录制。USB接口可进行软件自动升级。</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吸顶音响×4</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频率响应：50Hz~20KHz(±3dB)。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单元数量：LF:1x6.5"(1"voicecoil),HF:1x1"(1"voicecoil)。</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承受功率：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60WAES。</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灵敏度：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dB。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最大声压级：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dB/1m。</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指向性：90°Hx60°V。</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全景摄像头（后）</w:t>
            </w:r>
            <w:r/>
          </w:p>
        </w:tc>
        <w:tc>
          <w:tcPr>
            <w:tcW w:w="4735" w:type="dxa"/>
            <w:vAlign w:val="center"/>
            <w:vMerge w:val="restart"/>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°高品质超广焦镜头，光学变焦</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12倍。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支持USB3.0接口，可传输无压缩原始视频图像，同时向下兼容USB2.0。另支持HDMI高清输出，USB3.0、HDMI、网络三路可同时输出。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1/2.7英寸、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200万有效像素的高品质HD CMOS传感器，可实现最大1920x1080（60fps）高分辨率的优质图像。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超高性噪比的全新CMOS图像传感器可有效降低在低照度情况下的图像噪声，同时应用2D和3D降噪算法，大幅降低了图像噪声，即便是超低照度情况下，依然保持画面干净清晰，图像信噪比高达55dB以上。</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使用RS232和RS485串口，可对摄像机进行控制。</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支持摄像头自动寻声模式，提供产品说明书。</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5.3.5</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寻声摄像头（前）</w:t>
            </w:r>
            <w:r/>
          </w:p>
        </w:tc>
        <w:tc>
          <w:tcPr>
            <w:tcW w:w="4735" w:type="dxa"/>
            <w:vAlign w:val="center"/>
            <w:vMerge w:val="continue"/>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5.3.6</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语音识别服务端</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具备拾音设备，满足房间内的清晰拾音。</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5.3.7</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无线话筒×8</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信号质量：综合失真度：＜0.5%@1KHz，综合S/N比：±105dB（1KHz-A）</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载波频段：UHF频段(721.100MHz~820.600MHz)。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频带宽度：50MHz。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频带间隔：200KHz。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振荡模式：PLL相位锁定频率合成。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最大无线传输距离：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80m。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输出插座：XLR平衡式、Ф6.3不平衡式。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输入通道音频处理：前级放大、信号发生器、扩展器、压缩器、5段参量均衡。</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输出通道音频处理：31段图示均衡、延时器、分频器、限幅器。</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高兼容性信息传输模块</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可将外来胶片、云胶片以及笔记本等通过专业设备直接投射到会诊屏上，用于多人会诊。并可跟PACS影像同屏显示，实现不同阶段病例的对比分析。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1.胶片扫描设备集成云胶片扫描模组：可通过二维码扫描设备扫描云胶片二维码，并输出给显示设备（提供功能演示图片及产品实物图片）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2.可实现胶片直投和云胶片扫描自动切换显示，或根据需要选择显示胶片直投画面和云胶片画面</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3.摄像机具有DICOM校准功能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.无线投屏系统可接入工作平台、笔记本电脑、手机、平板等设备；可将屏幕内容共享至会诊；</w:t>
            </w:r>
            <w:r/>
          </w:p>
          <w:p>
            <w:pPr>
              <w:jc w:val="both"/>
              <w:tabs>
                <w:tab w:val="left" w:pos="110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无线投屏系统支持同时连接并显示≥4路画面</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胶片直投系统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基本要求，可实现胶片扫描直投，将外来胶片放置于专业的胶片扫描台上，即可自动完成扫描，并一键投射至会诊屏，用于多人胶片会诊，且图片可进行放大缩小等操作。</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亮度：胶片扫描台亮度不低于4000cd/m²</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分辨率：摄像机分辨率不低于4K*2K，</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自启动：观片灯支持插片自启动。</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一体机设计胶片扫描采用一体式设计，并提供实物照片。</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具有DICOM校准功能，提供具有DICOM校准的摄像机菜单照片。</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无线投屏系统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系统设有专用投屏互动AP，手机、平板、笔记本电脑等无线移动设备均可在连入AP后，将屏幕内容共享至并轨会诊显示屏上。</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支持双向控制，投射至会诊显示终端后，可通过会诊屏的触摸功直接对所投内容进行操作（调阅文件、PPT翻页等），提供操作及配置说明，并配图说明。</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支持白板功能，可针对所投内容进行标注，并将标注内容进行保存。</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无线投屏最多可同时连接并显示≥2路画面</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无线投射支持Airplay,Miracast、DLNA，并支持Mirror0p应用。</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演示系统支持多种工作模式：独立工作模式、网络集成方式及混合方式，并提供系统连接拓扑图。</w:t>
            </w:r>
            <w:r/>
          </w:p>
        </w:tc>
      </w:tr>
      <w:tr>
        <w:trPr>
          <w:trHeight w:val="323"/>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w:t>
            </w:r>
            <w:r>
              <w:rPr>
                <w:rFonts w:hint="eastAsia" w:ascii="宋体" w:hAnsi="宋体" w:eastAsia="宋体" w:cs="宋体"/>
                <w:color w:val="auto"/>
                <w:sz w:val="24"/>
                <w:szCs w:val="24"/>
                <w:highlight w:val="none"/>
                <w:lang w:val="en-US" w:eastAsia="zh-CN"/>
              </w:rPr>
              <w:t xml:space="preserve">人机交互设备</w:t>
            </w:r>
            <w:r>
              <w:rPr>
                <w:rFonts w:hint="eastAsia" w:ascii="宋体" w:hAnsi="宋体" w:eastAsia="宋体" w:cs="宋体"/>
                <w:color w:val="auto"/>
                <w:sz w:val="24"/>
                <w:szCs w:val="24"/>
                <w:highlight w:val="none"/>
              </w:rPr>
              <w:t xml:space="preserve">电子讲台</w:t>
            </w:r>
            <w:r/>
          </w:p>
        </w:tc>
        <w:tc>
          <w:tcPr>
            <w:tcW w:w="4735" w:type="dxa"/>
            <w:vAlign w:val="center"/>
            <w:textDirection w:val="lrTb"/>
            <w:noWrap w:val="false"/>
          </w:tcPr>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1.内置：≥27英寸，分辨率≥3840×2160</w:t>
            </w:r>
            <w:r/>
          </w:p>
          <w:p>
            <w:pPr>
              <w:jc w:val="both"/>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2.一体机</w:t>
            </w:r>
            <w:r>
              <w:rPr>
                <w:rFonts w:hint="eastAsia" w:ascii="宋体" w:hAnsi="宋体" w:eastAsia="宋体" w:cs="宋体"/>
                <w:color w:val="auto"/>
                <w:sz w:val="24"/>
                <w:szCs w:val="24"/>
                <w:highlight w:val="none"/>
                <w:lang w:val="en-US" w:eastAsia="zh-CN"/>
              </w:rPr>
              <w:t xml:space="preserve">主机，满足电子讲台需求</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人机交互设备</w:t>
            </w:r>
            <w:r>
              <w:rPr>
                <w:rFonts w:hint="eastAsia" w:ascii="宋体" w:hAnsi="宋体" w:eastAsia="宋体" w:cs="宋体"/>
                <w:color w:val="auto"/>
                <w:sz w:val="24"/>
                <w:szCs w:val="24"/>
                <w:highlight w:val="none"/>
              </w:rPr>
              <w:t xml:space="preserve">控制：支持手写和电容笔书写</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4.音响：内置音箱，满足扩音需要</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5.音源输入：双麦克风音源输入</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6.视频输入接口：HDMI×1</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7.视频切换：可一键在讲台一体机和外来输入视频之间切换。</w:t>
            </w:r>
            <w:r/>
          </w:p>
          <w:p>
            <w:pPr>
              <w:jc w:val="both"/>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8.一体设计：整机采用一体机设计，所有功能都集成在一个可移动的讲台内，无其他附属设备。</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6.二楼VIP接待室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医用专业</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（具备灯箱功能）</w:t>
            </w:r>
            <w:r/>
          </w:p>
        </w:tc>
        <w:tc>
          <w:tcPr>
            <w:tcW w:w="4735"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尺寸≧65英寸；分辨率≧3840×2160；点距≦0.372（H）×</w:t>
            </w:r>
            <w:r>
              <w:rPr>
                <w:rFonts w:hint="eastAsia" w:ascii="宋体" w:hAnsi="宋体" w:eastAsia="宋体" w:cs="宋体"/>
                <w:color w:val="auto"/>
                <w:sz w:val="24"/>
                <w:szCs w:val="24"/>
                <w:highlight w:val="none"/>
              </w:rPr>
              <w:t xml:space="preserve">0.372（V）mm；</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最大亮度：≧750cd/㎡</w:t>
            </w:r>
            <w:r>
              <w:rPr>
                <w:rFonts w:hint="eastAsia" w:ascii="宋体" w:hAnsi="宋体" w:eastAsia="宋体" w:cs="宋体"/>
                <w:b w:val="0"/>
                <w:bCs/>
                <w:color w:val="auto"/>
                <w:sz w:val="24"/>
                <w:szCs w:val="24"/>
                <w:highlight w:val="none"/>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色域≧90% NTSC，可显示更真实更鲜艳的色彩</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会诊终端符合DICOM3.14标准，满足CT/MR/DR/PET等各种图像显示要求</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全贴合技术：整机玻璃与屏幕保护层采用全贴合技术，减少显示面板与玻璃间的偏光、散射，画面显示更加清晰通透、可视角度更广</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云胶片功能：通过外接扫码枪扫描云胶片二维码，可快速打开全屏的云胶片影像页面</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远程会诊摄像头：整机正面上边框居中内置1200W像素高清摄像头与整机一体设计</w:t>
            </w:r>
            <w:r>
              <w:rPr>
                <w:rFonts w:hint="eastAsia" w:ascii="宋体" w:hAnsi="宋体" w:eastAsia="宋体" w:cs="宋体"/>
                <w:b w:val="0"/>
                <w:bCs/>
                <w:color w:val="auto"/>
                <w:sz w:val="24"/>
                <w:szCs w:val="24"/>
                <w:highlight w:val="none"/>
                <w:lang w:eastAsia="zh-CN"/>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lang w:eastAsia="zh-CN"/>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灯箱功能：取代传统的观片灯箱，支持分屏、横屏、全屏三种模式</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无线传屏系统：整机内置接收模块，除无线传屏外不需要连接任何附加设备，可实现外部电脑音视频信号实时传输到会诊终端上，并可支持触摸回传</w:t>
            </w:r>
            <w:r>
              <w:rPr>
                <w:rFonts w:hint="eastAsia" w:ascii="宋体" w:hAnsi="宋体" w:eastAsia="宋体" w:cs="宋体"/>
                <w:b w:val="0"/>
                <w:bCs/>
                <w:color w:val="auto"/>
                <w:sz w:val="24"/>
                <w:szCs w:val="24"/>
                <w:highlight w:val="none"/>
                <w:lang w:eastAsia="zh-CN"/>
              </w:rPr>
              <w:t xml:space="preserve">。</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包含配套——</w:t>
            </w:r>
            <w:r>
              <w:rPr>
                <w:rFonts w:hint="eastAsia" w:ascii="宋体" w:hAnsi="宋体" w:eastAsia="宋体" w:cs="宋体"/>
                <w:b w:val="0"/>
                <w:color w:val="auto"/>
                <w:sz w:val="24"/>
                <w:szCs w:val="24"/>
                <w:highlight w:val="none"/>
                <w:lang w:val="en-US" w:eastAsia="zh-CN" w:bidi="ar-SA"/>
              </w:rPr>
              <w:t xml:space="preserve">单人沙发*5、茶几、饮水机等。</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配套环境灯系统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1.环境标准：诊断环境符合满足DIN6868-157中对于环境的要求。环境照度50-100Lux之间，负效应光角度为0。色温在4000—6000K之间，光照均匀，无频闪。</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2.检测管理：具备环境照度检测功能，可实时显示阅片室内环境照度。包括温湿度检测功能，可实时显示阅片室内温湿度。</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3.分区控制：每个分区的灯光可单独调节亮度以及控制开关，并且控制方式便捷，提供软件界面截图。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4.情景模式控制：提供阅片情景模式快捷功能，在阅片时，可通过该快捷功能，一键将灯光调节至标准值。该模式下的灯光照度值等信息需在软件界面中提示以方便操作者做出正确的选择，提供软件界面截图。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会诊情景模式快捷功能，在会诊时，可通过该快捷功能，一键将灯光调节至合适状态，并自动打开会诊屏。该模式下的灯光照度值、会诊屏状态等信息需在软件界面中提示以方便操作者做出正确操作选择，提供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6.提供讨论情景模式快捷功能，在讨论时，可通过该快捷功能，一键将灯光调节明亮状态。该模式下的灯光照度值等信息需在软件界面中提示以方便操作者做出正确操作选择，提供软件界面截图。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自定义模式：系统需提供至少两个自定义模式，当上述情景模式无法满足科室需求时，科室可根据实际情况自行设置，且自定义模式下灯光、会诊屏等状态需在软件界面中显示，以方便操作者做出正确操作选择，需提供自定义模式的设置步骤，配上操作界面截图。</w:t>
            </w:r>
            <w:r/>
          </w:p>
          <w:p>
            <w:pPr>
              <w:pStyle w:val="1017"/>
              <w:ind w:left="0" w:firstLine="0"/>
              <w:jc w:val="both"/>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8.含</w:t>
            </w:r>
            <w:r>
              <w:rPr>
                <w:rFonts w:hint="eastAsia" w:ascii="宋体" w:hAnsi="宋体" w:cs="宋体"/>
                <w:b w:val="0"/>
                <w:color w:val="auto"/>
                <w:sz w:val="24"/>
                <w:szCs w:val="24"/>
                <w:highlight w:val="none"/>
                <w:lang w:val="en-US" w:eastAsia="zh-CN"/>
              </w:rPr>
              <w:t xml:space="preserve">环境</w:t>
            </w:r>
            <w:r>
              <w:rPr>
                <w:rFonts w:hint="eastAsia" w:ascii="宋体" w:hAnsi="宋体" w:eastAsia="宋体" w:cs="宋体"/>
                <w:b w:val="0"/>
                <w:color w:val="auto"/>
                <w:sz w:val="24"/>
                <w:szCs w:val="24"/>
                <w:highlight w:val="none"/>
                <w:lang w:val="en-US" w:eastAsia="zh-CN"/>
              </w:rPr>
              <w:t xml:space="preserve">改造</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7.二楼党建多功能办公室</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党建文化墙</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cs="宋体"/>
                <w:b w:val="0"/>
                <w:bCs w:val="0"/>
                <w:color w:val="auto"/>
                <w:szCs w:val="24"/>
                <w:highlight w:val="none"/>
                <w:lang w:val="en-US" w:eastAsia="zh-CN"/>
              </w:rPr>
              <w:t xml:space="preserve">见表“环境改造清单”要求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配套附属设备</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cs="宋体"/>
                <w:b w:val="0"/>
                <w:bCs w:val="0"/>
                <w:color w:val="auto"/>
                <w:szCs w:val="24"/>
                <w:highlight w:val="none"/>
                <w:lang w:val="en-US" w:eastAsia="zh-CN"/>
              </w:rPr>
              <w:t xml:space="preserve">见表“环境改造清单”要求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8.二楼阅片室（三间）</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环境控制系统×3</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负效应光角度为0，环境照度50-100Lux，可分区实现灯光的无极控制，可实现多种场景模式一键切换，可自定义情景模式。并可实现音响等设备的集中管理。</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环境光驱动模组</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电源：输入电源DC24V。</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接口：提供TCP/IP网络接口，提供RS485控制接口。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通信协议：提供</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不少于2路EC-NET总线A/B，支持RS485协议，支持DINEN50022标准导轨。</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控制回路：提供</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4路专业LED光源回路的环路控制。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控制容量：每路总线可带</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64个ID设备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安全性：高强度弹性热朔外壳，强抗冲击，可回收，强阻燃性。</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控制带宽：</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4个模数宽度（约18mm）。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处理器：32位高速嵌入式ARM处理器，能高速运行复杂的逻辑指令。</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闭环控制：配置环境照度闭环控制功能，智能墙面控制开关支持</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4个情景模式一键控制。</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含</w:t>
            </w:r>
            <w:r>
              <w:rPr>
                <w:rFonts w:hint="eastAsia" w:ascii="宋体" w:hAnsi="宋体" w:cs="宋体"/>
                <w:b w:val="0"/>
                <w:color w:val="auto"/>
                <w:sz w:val="24"/>
                <w:szCs w:val="24"/>
                <w:highlight w:val="none"/>
                <w:lang w:val="en-US" w:eastAsia="zh-CN" w:bidi="ar-SA"/>
              </w:rPr>
              <w:t xml:space="preserve">环境</w:t>
            </w:r>
            <w:r>
              <w:rPr>
                <w:rFonts w:hint="eastAsia" w:ascii="宋体" w:hAnsi="宋体" w:eastAsia="宋体" w:cs="宋体"/>
                <w:b w:val="0"/>
                <w:color w:val="auto"/>
                <w:sz w:val="24"/>
                <w:szCs w:val="24"/>
                <w:highlight w:val="none"/>
                <w:lang w:val="en-US" w:eastAsia="zh-CN" w:bidi="ar-SA"/>
              </w:rPr>
              <w:t xml:space="preserve">改造</w:t>
            </w:r>
            <w:r>
              <w:rPr>
                <w:rFonts w:hint="eastAsia" w:ascii="宋体" w:hAnsi="宋体" w:cs="宋体"/>
                <w:b w:val="0"/>
                <w:color w:val="auto"/>
                <w:sz w:val="24"/>
                <w:szCs w:val="24"/>
                <w:highlight w:val="none"/>
                <w:lang w:val="en-US" w:eastAsia="zh-CN" w:bidi="ar-SA"/>
              </w:rPr>
              <w:t xml:space="preserve">。</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墙面控制器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1.嵌入式安装方式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2.支持情景模式一键控制，按键上定制提示文字</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3.提供≥4组按键，每组按键对应一个情景模式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4.情景模式包括上班模式，阅片模式，会诊模式，下班模式</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一体化阅片室环境控制系统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基于C/S架构，中心数据库采用关系数据库，提供专用客户端，非网页浏览方式。提供客户端软件截图、软件安装说明</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客户端至少支持Win、Android平台，并支持在手持设备、PAD、PC端的应用界面</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基于Pyxos总线，实现通信链路供电、双绞线无极性连接、高速可确定性通信、支持总线式和自由拓扑两种组网方式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控制逻辑可自由组态；APP可组态、用户可自定义，实现移动端App软件的自由定制，可以根据需要快速配置出个性化、多样化的智能控制</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设备/环境控制调度主机</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安装方式：机架式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满足调度功能要求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影像中心服务器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于互联网+的系统架构，由服务器、中央控制系统及各子模块系统构成，子功能模块在服务器中注册即可使用。可实现高度定制化。并充分考虑远程会诊需求，可实现房间内摄像头、音频的接入，并能与远程系统对接，实现远程会诊，可实现讲台及会议桌等跟会诊屏的互动，系统可接入多路信号源，包括内外网主机、远程信号、电子讲台信号；支持影像画面的路由管理，包括内外网切换等。</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企业级无线路由器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1.无线参数：支持2.4GHz以及5.0GHz，2.4GHz下速率达到450Mbps，5.0GHz下速率达到867Mbps，外置5根dBi单频偶极子全向天线。</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2.标准及协议：支持IEEE802.11n、IEEE802.11g、IEEE802.11b、IEEE802.3、IEEE802.3u、IEEE802.3x、IEEE802.11e、IEEE802.3ab、IEEE802.11i、CSMA/CA、CSMA/CD、TCP/IP、DHCP、ICMP、NAT、PPPoE、SNTP、HTTP、DNS、L2TP、PPTP、IPSec。</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3.接口：WAN/LAN可变口支持≥3个10/100/1000BASE-T千兆以太网RJ45接口；LAN口支持≥1个10/100/1000BASE-T千兆以太网RJ45接口；支持≥1个USB2.0接口。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4.终端管理：支持一键拉黑，支持上网时间限制，支持上网速度限制。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5.WAN口特性：支持PPPoE、静态IP、动态IP接入，支持带宽均衡和连接均衡，支持ISP选路和特殊应用程序选路，支持WAN口MAC地址克隆，支持WAN口在线监测。</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6.LAN口特性：支持DHCP服务器，支持静态地址分配。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7.无线特性：支持SSDI数量≥13、支持WDS功能，支持无线MAC地址过滤，支持无线网络内部用户隔离，支持访客网络，支持MU-MIMO。</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8.行为管理：支持PC端应用限制，支持网站设置和访问控制，支持文件下载类型限制，支持带宽限制。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9.安全管理：支持APR防护、支持有限MAC地址过滤，支持防DoS、扫描类、可疑包攻击。</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10.认证管理：支持Web认证、支持认证用户管理、支持微信连Wi-Fi。</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11.其他要求：支持策略选路和静态路由设置，支持NAT设置，支持虚拟服务器和DMZ1主机功能，支持动态DNS，支持UPnP服务，支持IP流量统计，支持端口监控。</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影像中心管理</w:t>
            </w:r>
            <w:r>
              <w:rPr>
                <w:rFonts w:hint="eastAsia" w:ascii="宋体" w:hAnsi="宋体" w:eastAsia="宋体" w:cs="宋体"/>
                <w:color w:val="auto"/>
                <w:sz w:val="24"/>
                <w:szCs w:val="24"/>
                <w:highlight w:val="none"/>
                <w:lang w:val="en-US" w:eastAsia="zh-CN"/>
              </w:rPr>
              <w:t xml:space="preserve">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1.布局管理：系统可进行会诊屏布局的管理，可支持会诊屏的单屏、双屏、三屏、四屏显示，且支持多种布局模式的快速调用。需提供软件界面截图等相应证明材料。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2.信号管理：系统可接入多路信号源，至少应包括4台工作站、一路远程视频信号、无线投屏信号以及电子讲台信号；系统可输出超高清信号＞1路，系统并具有升级的能力。需提供软件界面截图等相应证明材料。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3.分辨率自适应：系统支持分辨率自适应功能，根据信号源的分辨率自动调节会诊屏端显示影像的分辨率及图像长宽比例，确保所投画面分辨率不变，显示比例不变。提供样板医院使用场景照片。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4.影像投射：可通过智能控制终端快速将接入系统的影像内容投射到会诊屏上，并可通过智能控制终端切换会诊屏的画面布局和显示的画面内容。需提供软件界面截图及其他样板医院的实际应用照片及操作说明。</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智能电源管理终端</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1.输入电源：220V/50Hz。</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2.输入通道数量≥6路。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3.电源输入接口：火线、零线、地线≥3x4mm2三芯同轴线。</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4.电源输出接口：≥6个多功能插座，≥1个常供电多功能插座。</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5.通道负载：单通道最大输出负载≥10A。</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6.整机设备最大输出负载≥40A。</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7.开关器件：继电器30A/250VACnom（±5%）。</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控制接口：支持不少于1路RJ45，支持不少于1路RS232，支持不少于1X2路IO控制接口（TTL电平）；支持1x时序按钮开关控制方式，支持8x单通道开关，支持软件指令进行开关控制，提供1-8号端口的独立开关控制指令和时序控制指令，提供1-8号端口的独立开关的延时控制设置，延时时间不少于15h。</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系统定制机柜</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1.标准符合ANSI/EIARS-310-D、IEC297-2、DIN41491;PART1、DIN41494;PART7、GB/T3047.2-92标准;兼容ETSI标准。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2.材质采用SPCC优质冷扎钢板制作；厚度：方孔条≥2.0mm,安装梁≥1.5mm，其他≥1.2mm.，脱脂、酸洗、磷化、静电喷塑.</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3.同时安装脚轮和支撑脚，最大静载达≥800KG。</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4.透明钢化玻璃前门，后面可开；开门方向左右可调前后为圆形通风孔的上下框。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5.机柜顶部具有散热风扇。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6.可关闭的上部、下部多处走线通道，底部大走线孔尺寸可按需调整。</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7.尺寸：≥600（长）×600（宽）×1600mm（高）</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8.其他要求：可选配安装底座，达到固定机柜、底部过线、底部送冷风、防鼠的要求。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一体化诊断工位</w:t>
            </w:r>
            <w:r>
              <w:rPr>
                <w:rFonts w:hint="eastAsia" w:ascii="宋体" w:hAnsi="宋体" w:eastAsia="宋体" w:cs="宋体"/>
                <w:color w:val="auto"/>
                <w:sz w:val="24"/>
                <w:szCs w:val="24"/>
                <w:highlight w:val="none"/>
              </w:rPr>
              <w:t xml:space="preserve">×40</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包含一体化阅片桌、人体工学椅子、环境光模块和万向支臂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1.3×0.75m（高度可调），尺寸可根据要求定制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功能说明：带有电动升降功能，桌面接口单元，布线模组，环境光，万向支臂、背景灯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全向支臂：全方位无死角定位，支臂可实现自由定位，全向可调，+75°~-45°可调俯仰角，支臂由航空铝合金制成，支臂具有液压杆，承重</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20kg</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桌面接口：桌面预留翻转隐藏式防水接口集成插座，提供5孔电源插孔、USB、电话线等三种以上接口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升降功能：支持预设高度功能，可预设高度</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4个</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电源管理：阅片桌内置预留接口给所有的设备供电，无需借助额外的插线板，具备防雷功能。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布线要求：采用隐藏式线匣，所有的内部走线均通过专用的布线槽，确保阅片工位干净整洁</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承重要求：根据机型配置专用电脑主机支架，承重</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30kg，可根据重量调节支臂配重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可升级快速截图传输模块</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医用4M专业</w:t>
            </w:r>
            <w:r>
              <w:rPr>
                <w:rFonts w:hint="eastAsia" w:ascii="宋体" w:hAnsi="宋体" w:eastAsia="宋体" w:cs="宋体"/>
                <w:color w:val="auto"/>
                <w:sz w:val="24"/>
                <w:szCs w:val="24"/>
                <w:highlight w:val="none"/>
                <w:lang w:val="en-US" w:eastAsia="zh-CN"/>
              </w:rPr>
              <w:t xml:space="preserve">诊断终端</w:t>
            </w:r>
            <w:r>
              <w:rPr>
                <w:rFonts w:hint="eastAsia" w:ascii="宋体" w:hAnsi="宋体" w:eastAsia="宋体" w:cs="宋体"/>
                <w:color w:val="auto"/>
                <w:sz w:val="24"/>
                <w:szCs w:val="24"/>
                <w:highlight w:val="none"/>
              </w:rPr>
              <w:t xml:space="preserve">×40</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可以自动校准亮度曲线，完全符合dicom3.14标准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≧27英寸, 分辨率≧2560×1440，点距≦0.2331×0.2331mm</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最大亮度≧550cd/m²，对比度≧1000：1，响应时间≦16ms，可视角度≧178°，亮度一致性≧75%</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LUT表可以动态生成，内置DICOM曲线可以在100-350cd/m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之间动态调节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内置的DICOM曲线和GAMMA曲线误差最大误差值＜10%</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具有亮度均匀性调节功能，确保全屏幕亮度均衡</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色彩度≧4.398Trillion(42bit)</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输入接口：DVI-D×1、DP×1、HDMI×1，输出接口：DP×1</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具有自动切换阅片灯模式的功能，可通过触控按键快速打开观片灯模式，方便医生查看胶片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基于AI的图像颜色校准：需对所显示的彩色像素点在AI协助下自动校准，需提供知识产权局认可的基于AI的图像颜色校准功能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具备曲线数据纠错功能：需自动根据显示图像变化、性能数据变化，自动修正所调用曲线数据，（需提供专利软件著作权或具备同等效力的材料）</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一体化音响系统×3</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可实现医院内部音频的网络扩展，可实现本地音频的扩声，可实现远程会诊中音频的接入，并具备回声抑制、啸叫消除等高级音频处理功能。</w:t>
            </w:r>
            <w:r/>
          </w:p>
        </w:tc>
      </w:tr>
      <w:tr>
        <w:trPr>
          <w:trHeight w:val="330"/>
        </w:trPr>
        <w:tc>
          <w:tcPr>
            <w:tcW w:w="949" w:type="dxa"/>
            <w:vAlign w:val="center"/>
            <w:textDirection w:val="lrTb"/>
            <w:noWrap w:val="false"/>
          </w:tcPr>
          <w:p>
            <w:pPr>
              <w:jc w:val="both"/>
              <w:tabs>
                <w:tab w:val="left" w:pos="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POE交换机</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接口：≥8路千兆RJ45端口，不少于2路千兆SFP端口，PoE端口8GE。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功率：整机输出功率≥116W，整机功耗≤136W。</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PoE标准: IEEE802.3at(PoE+)、IEEE802.3af。</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路由功能：支持RIPV1/V2动态路由，支持静态路由，支持ARP代理。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DHCP：支持DHCP服务器，支持DHCP中继，支持DHCPSnooping，支持Option138、Option82、Option60。</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LAN：支持≥4个VLAN，支持802.1QVLAN、MACVLAN、协议VLAN、PrivateVLAN，支持GuestVLAN、VoiceVLAN，支持VLANVPN（QinQ），支持GVRP协议，支持1:1和N:1VLANMapping功能。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特性：基于用户分级管理和口令保护，支持基于端口号、IP地址、MAC地址限制用户访问，支持HTTPS、SSLV3、TLSV1、SSHV1/V2，支持IP-MAC-PORT-VLAN四元绑定，支持ARP防护、IP源防护、DoS防护，支持DHCPSnooping、DHCP攻击防护，支持802.1X认证、AAA，支持端口安全、端口隔离，支持CPU保护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服务质量：支持≥8个端口队列，支持端口优先级、802.1P优先级、DSCP优先级，支持SP、WRR、SP+WRR、Equ优先级调度算法。</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维护：支持WEB网关（HTTP、HTTPS、SSLV3、TLSV1），支持CLI（Telnet、SSHV1/V2、本地串口），支持SNMPV1/V2/V3，兼容公共MIBS及TP-LINK私有MIBs，支持LLDP、RMON，支持ARP防护、IP源防护、DoS防护，支持CPU监控、内存监控，支持系统日志、分级警告，支持Ping、Tracert检测、线缆检测。</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STP协议支持STP(IEEE802.1d)，RSTP(IEEE802.1w)和MSTP(IEEE802.1s)协议，支持环路保护、根桥保护、TC保护、BPDU保护、BPDU过滤。</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音频处理器</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8路平衡式话筒／线路输入，采用裸线接口端子,8路平衡式输出，采用裸线接口端子。</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高速DSP处理芯片。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全功能矩阵混音功能，不单单是混音和自动混音功能，还具备混音分量控制功能；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内置Dante网络传输模块,支持DANTE无损音频网络传输。</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自适应POE外部面板控制接口，可自行选着面板功能。</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兼容多方平台控制管理，支持windows系统、iOS系统（iPAD、Iphone)以及Andriod系统,通过iPAD或iPhone或安卓手机APP软件进行操作控制、切换8个不同场景。面板具有USB接口，支持多媒体存储，可进行播放录制。USB接口可进行软件自动升级。</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吸顶音响</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频率响应：50Hz~20KHz(±3dB)。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单元数量：LF:1x6.5"(1"voicecoil),HF:1x1"(1"voicecoil)。</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承受功率：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60WAES。</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灵敏度：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dB。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最大声压级：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dB/1m。</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指向性：90°Hx60°V。</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8.5.4</w:t>
            </w:r>
            <w:r/>
          </w:p>
        </w:tc>
        <w:tc>
          <w:tcPr>
            <w:tcW w:w="2946" w:type="dxa"/>
            <w:vAlign w:val="center"/>
            <w:textDirection w:val="lrTb"/>
            <w:noWrap w:val="false"/>
          </w:tcPr>
          <w:p>
            <w:pPr>
              <w:jc w:val="both"/>
              <w:tabs>
                <w:tab w:val="left" w:pos="79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全景摄像头</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°高品质超广焦镜头，光学变焦达到12倍。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支持USB3.0接口，可传输无压缩原始视频图像，同时向下兼容USB2.0。另支持HDMI高清输出，USB3.0、HDMI、网络三路可同时输出。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采用1/2.7英寸、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200万有效像素的高品质HD CMOS传感器，可实现最大1920x1080（60fps）高分辨率的优质图像。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超高性噪比的全新CMOS图像传感器可有效降低在低照度情况下的图像噪声，同时应用2D和3D降噪算法，大幅降低了图像噪声，即便是超低照度情况下，依然保持画面干净清晰，图像信噪比高达55dB以上。</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使用RS232和RS485串口，可对摄像机进行控制。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支持摄像头自动寻声模式，提供产品说明书。</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带传输功能的诊断工位</w:t>
            </w:r>
            <w:r>
              <w:rPr>
                <w:rFonts w:hint="eastAsia" w:ascii="宋体" w:hAnsi="宋体" w:eastAsia="宋体" w:cs="宋体"/>
                <w:color w:val="auto"/>
                <w:sz w:val="24"/>
                <w:szCs w:val="24"/>
                <w:highlight w:val="none"/>
              </w:rPr>
              <w:t xml:space="preserve">×3</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具备NFC感应区域，将移动设备靠近感应区，可快速获取医用上的医学影像；提供实物照片；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可通过手机app一键截医用上屏幕画面，提供手机app截取界面截图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截图</w:t>
            </w:r>
            <w:r>
              <w:rPr>
                <w:rFonts w:hint="eastAsia" w:ascii="宋体" w:hAnsi="宋体" w:eastAsia="宋体" w:cs="宋体"/>
                <w:color w:val="auto"/>
                <w:sz w:val="24"/>
                <w:szCs w:val="24"/>
                <w:highlight w:val="none"/>
              </w:rPr>
              <w:t xml:space="preserve">软件兼容IOS系统，并在App Store发布，（提供App Store内的软件下载界面截图）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截取后图片可编辑处理，提供手机app图片编辑界面截图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满足医生分享交流，科研素材需要。</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含论文柜*3</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感应端</w:t>
            </w:r>
            <w:r/>
          </w:p>
        </w:tc>
        <w:tc>
          <w:tcPr>
            <w:tcW w:w="4735" w:type="dxa"/>
            <w:vAlign w:val="center"/>
            <w:vMerge w:val="restart"/>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三间阅片室分别部署</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发射端</w:t>
            </w:r>
            <w:r/>
          </w:p>
        </w:tc>
        <w:tc>
          <w:tcPr>
            <w:tcW w:w="4735" w:type="dxa"/>
            <w:vAlign w:val="center"/>
            <w:vMerge w:val="continue"/>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7</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≧86寸医疗专业</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×2（型号一）</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可以自动校准亮度曲线，完全符合dicom3.14标准</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尺寸≧86英寸；分辨率≧3840×2160；点距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0.4935（H）×0.4935（V）mm；</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最大亮度：≧750cd/㎡</w:t>
            </w:r>
            <w:r>
              <w:rPr>
                <w:rFonts w:hint="eastAsia" w:ascii="宋体" w:hAnsi="宋体" w:eastAsia="宋体" w:cs="宋体"/>
                <w:b w:val="0"/>
                <w:bCs/>
                <w:color w:val="auto"/>
                <w:sz w:val="24"/>
                <w:szCs w:val="24"/>
                <w:highlight w:val="none"/>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色域≧90% NTSC，可显示更真实更鲜艳的色彩</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云胶片功能：通过外接扫码枪扫描云胶片二维码，可快速打开全屏的云胶片影像页面</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远程会诊摄像头：整机正面上边框居中内置1200W像素高清摄像头与整机一体设计</w:t>
            </w:r>
            <w:r>
              <w:rPr>
                <w:rFonts w:hint="eastAsia" w:ascii="宋体" w:hAnsi="宋体" w:eastAsia="宋体" w:cs="宋体"/>
                <w:b w:val="0"/>
                <w:bCs/>
                <w:color w:val="auto"/>
                <w:sz w:val="24"/>
                <w:szCs w:val="24"/>
                <w:highlight w:val="none"/>
                <w:lang w:eastAsia="zh-CN"/>
              </w:rPr>
              <w:t xml:space="preserve">（提供</w:t>
            </w:r>
            <w:r>
              <w:rPr>
                <w:rFonts w:hint="eastAsia" w:ascii="宋体" w:hAnsi="宋体" w:cs="宋体"/>
                <w:b w:val="0"/>
                <w:bCs/>
                <w:color w:val="auto"/>
                <w:sz w:val="24"/>
                <w:szCs w:val="24"/>
                <w:highlight w:val="none"/>
                <w:lang w:eastAsia="zh-CN"/>
              </w:rPr>
              <w:t xml:space="preserve">具有检测资质的检测机构出具的检测</w:t>
            </w:r>
            <w:r>
              <w:rPr>
                <w:rFonts w:hint="eastAsia" w:ascii="宋体" w:hAnsi="宋体" w:eastAsia="宋体" w:cs="宋体"/>
                <w:b w:val="0"/>
                <w:bCs/>
                <w:color w:val="auto"/>
                <w:sz w:val="24"/>
                <w:szCs w:val="24"/>
                <w:highlight w:val="none"/>
                <w:lang w:eastAsia="zh-CN"/>
              </w:rPr>
              <w:t xml:space="preserve">报告）</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灯箱功能：取代传统的观片灯箱，支持分屏、横屏、全屏三种模式</w:t>
            </w:r>
            <w:r>
              <w:rPr>
                <w:rFonts w:hint="eastAsia" w:ascii="宋体" w:hAnsi="宋体" w:eastAsia="宋体" w:cs="宋体"/>
                <w:b w:val="0"/>
                <w:bCs/>
                <w:color w:val="auto"/>
                <w:sz w:val="24"/>
                <w:szCs w:val="24"/>
                <w:highlight w:val="none"/>
                <w:lang w:val="en-US" w:eastAsia="zh-CN"/>
              </w:rPr>
              <w:t xml:space="preserve">（提供产品功能演示照片）</w:t>
            </w:r>
            <w:r/>
          </w:p>
          <w:p>
            <w:pPr>
              <w:pStyle w:val="1017"/>
              <w:ind w:left="0" w:firstLine="0"/>
              <w:jc w:val="both"/>
              <w:spacing w:line="240" w:lineRule="auto"/>
              <w:tabs>
                <w:tab w:val="left" w:pos="0"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无线传屏系统：整机内置接收模块，除无线传屏外不需要连接任何附加设备，可实现外部电脑音视频信号实时传输到会诊终端上，并可支持触摸回传</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8</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≧86寸医疗专业</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×1（型号二）</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可以自动校准亮度曲线，完全符合dicom3.14标准</w:t>
            </w:r>
            <w:r>
              <w:rPr>
                <w:rFonts w:hint="eastAsia" w:ascii="宋体" w:hAnsi="宋体" w:eastAsia="宋体" w:cs="宋体"/>
                <w:color w:val="auto"/>
                <w:sz w:val="24"/>
                <w:szCs w:val="24"/>
                <w:highlight w:val="none"/>
                <w:lang w:eastAsia="zh-CN"/>
              </w:rPr>
              <w:t xml:space="preserv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尺寸≧86英寸；分辨率≧3840×2160；点距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0.4935（H）×0.4935（V）mm；</w:t>
            </w:r>
            <w:r/>
          </w:p>
          <w:p>
            <w:pPr>
              <w:pStyle w:val="1017"/>
              <w:ind w:left="0" w:firstLine="0"/>
              <w:jc w:val="both"/>
              <w:tabs>
                <w:tab w:val="left" w:pos="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最大亮度：≧</w:t>
            </w:r>
            <w:r>
              <w:rPr>
                <w:rFonts w:hint="eastAsia" w:ascii="宋体" w:hAnsi="宋体" w:eastAsia="宋体" w:cs="宋体"/>
                <w:b w:val="0"/>
                <w:bCs/>
                <w:color w:val="auto"/>
                <w:sz w:val="24"/>
                <w:szCs w:val="24"/>
                <w:highlight w:val="none"/>
                <w:lang w:val="en-US" w:eastAsia="zh-CN"/>
              </w:rPr>
              <w:t xml:space="preserve">50</w:t>
            </w:r>
            <w:r>
              <w:rPr>
                <w:rFonts w:hint="eastAsia" w:ascii="宋体" w:hAnsi="宋体" w:eastAsia="宋体" w:cs="宋体"/>
                <w:b w:val="0"/>
                <w:bCs/>
                <w:color w:val="auto"/>
                <w:sz w:val="24"/>
                <w:szCs w:val="24"/>
                <w:highlight w:val="none"/>
              </w:rPr>
              <w:t xml:space="preserve">0cd/㎡</w:t>
            </w:r>
            <w:r>
              <w:rPr>
                <w:rFonts w:hint="eastAsia" w:ascii="宋体" w:hAnsi="宋体" w:eastAsia="宋体" w:cs="宋体"/>
                <w:b w:val="0"/>
                <w:bCs/>
                <w:color w:val="auto"/>
                <w:sz w:val="24"/>
                <w:szCs w:val="24"/>
                <w:highlight w:val="none"/>
                <w:lang w:eastAsia="zh-CN"/>
              </w:rPr>
              <w:t xml:space="preserve">；</w:t>
            </w:r>
            <w:r/>
          </w:p>
          <w:p>
            <w:pPr>
              <w:pStyle w:val="1017"/>
              <w:ind w:left="0" w:firstLine="0"/>
              <w:jc w:val="both"/>
              <w:spacing w:line="24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色域≧90% NTSC，可显示更真实更鲜艳的色彩</w:t>
            </w:r>
            <w:r>
              <w:rPr>
                <w:rFonts w:hint="eastAsia" w:ascii="宋体" w:hAnsi="宋体" w:eastAsia="宋体" w:cs="宋体"/>
                <w:b w:val="0"/>
                <w:bCs/>
                <w:color w:val="auto"/>
                <w:sz w:val="24"/>
                <w:szCs w:val="24"/>
                <w:highlight w:val="none"/>
                <w:lang w:eastAsia="zh-CN"/>
              </w:rPr>
              <w:t xml:space="preserve">；</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内置</w:t>
            </w:r>
            <w:r>
              <w:rPr>
                <w:rFonts w:hint="eastAsia" w:ascii="宋体" w:hAnsi="宋体" w:eastAsia="宋体" w:cs="宋体"/>
                <w:color w:val="auto"/>
                <w:sz w:val="24"/>
                <w:szCs w:val="24"/>
                <w:highlight w:val="none"/>
              </w:rPr>
              <w:t xml:space="preserve">输入端口：Single-link DVI×2，Dual-link DVI-D×2，DP×1，HDMI×2，VGA ×1，最大分辨率可支持3840*2160@60Hz；支持HDMI画面环出功能，将显示屏上显示的内容（尤其是多学科会诊，涉及到多个信号源画面同显时）整屏传输到远端，提供接口实物照片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支持DP输出端口，以菊花链的方式实现画面的环出，提供接口实物照片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触摸操作：红外触摸，使用手套、手指、笔或其他棒状物品，最大支持10点触摸，触摸反应速度≦50ms。</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可跟随图形显示，模拟激光笔功能，指示讲解内容</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可以突出显示病灶区域，通过触控按键快速打开聚光灯，形状可切换成圆形或矩形</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音频输入：DP Audio input × 1、HDMI Audio input × 2、3.5mm Mic in × 1、3.5mm Line in ×2，音频输出：3.5mm Line out × 2、3.5mm IIS out × 1，提供产品说明书音频接口示意图(并加盖公章)</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高度调整支持电动升降，可通过遥控器或升降按钮调整高度，升降范围1862mm≦整机高度≦2362mm</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含论文档案柜*3</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9</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移动便携6M诊断终端</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尺寸分辨率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对角线尺寸≧13.5英寸，3000×2000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分辨率</w:t>
            </w:r>
            <w:r>
              <w:rPr>
                <w:rFonts w:hint="eastAsia" w:ascii="宋体" w:hAnsi="宋体" w:eastAsia="宋体" w:cs="宋体"/>
                <w:color w:val="auto"/>
                <w:sz w:val="24"/>
                <w:szCs w:val="24"/>
                <w:highlight w:val="none"/>
                <w:lang w:val="en-US" w:eastAsia="zh-CN"/>
              </w:rPr>
              <w:t xml:space="preserve">≤3600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2400</w:t>
            </w:r>
            <w:r>
              <w:rPr>
                <w:rFonts w:hint="eastAsia" w:ascii="宋体" w:hAnsi="宋体" w:eastAsia="宋体" w:cs="宋体"/>
                <w:color w:val="auto"/>
                <w:sz w:val="24"/>
                <w:szCs w:val="24"/>
                <w:highlight w:val="none"/>
              </w:rPr>
              <w:t xml:space="preserve">医学影像标准</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完全符合dicom3.14标准，提供国家知识产权局认可的证明材料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最大校准亮度≥500 cd/m²。</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色彩≥4.398Trillion Colors</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视频接口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HDMI×1，Type-C×2，提供实物接口照片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整机重量≤0.75KG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提供说明书</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具备隐藏式支架结构，可展开60°-120°范围内，闭合时整机平整，便于收纳，打开后可放在桌上，并提供打开和闭合的照片。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自动旋转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通过重力感应自动旋转屏幕方向适配横竖屏放置方式</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反向供电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连接电源适配器情况下，使用USB TypeC连接支持PD协议的信号源设备时可为设备反向供电</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一体化双屏模式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支持双画面显示，同时呈现两个3M画面；每个画面可独立调节曲线，左右对比灰阶彩色同时显示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环境光自适应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实时检测环境亮度并可根据环境光亮度值调节亮度，分三档调节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环境光曲线补偿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实时检测环境亮度并可根据环境光亮度值调节DICOM曲线的环境光补偿值</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亮度稳定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背光档位0~100对应亮度范围300~500cd/m²</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调节亮度时，可快速稳定亮度</w:t>
            </w:r>
            <w:r/>
          </w:p>
        </w:tc>
      </w:tr>
      <w:tr>
        <w:trPr>
          <w:trHeight w:val="330"/>
        </w:trPr>
        <w:tc>
          <w:tcPr>
            <w:gridSpan w:val="3"/>
            <w:tcW w:w="8630" w:type="dxa"/>
            <w:vAlign w:val="center"/>
            <w:textDirection w:val="lrTb"/>
            <w:noWrap w:val="false"/>
          </w:tcPr>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9.二楼报告审核室</w:t>
            </w:r>
            <w:r/>
          </w:p>
        </w:tc>
      </w:tr>
      <w:tr>
        <w:trPr>
          <w:trHeight w:val="33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一体化诊断工位</w:t>
            </w:r>
            <w:r>
              <w:rPr>
                <w:rFonts w:hint="eastAsia" w:ascii="宋体" w:hAnsi="宋体" w:eastAsia="宋体" w:cs="宋体"/>
                <w:color w:val="auto"/>
                <w:sz w:val="24"/>
                <w:szCs w:val="24"/>
                <w:highlight w:val="none"/>
              </w:rPr>
              <w:t xml:space="preserve">×20</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rPr>
              <w:t xml:space="preserve">一体化阅片桌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人体工学椅子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环境光模块和万向支臂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尺寸：≧1.3×0.75m（高度可调），尺寸可根据要求定制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功能说明：带有电动升降功能，桌面接口单元，布线模组，环境光，万向支臂、背景灯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全向支臂：全方位无死角定位，支臂可实现自由定位，全向可调，+75°~-45°可调俯仰角，支臂由航空铝合金制成，支臂具有液压杆，承重≧20kg</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桌面接口：桌面预留翻转隐藏式防水接口集成插座，提供5孔电源插孔、USB、电话线等三种以上接口</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升降功能：支持预设高度功能，可预设高度≧4个</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电源管理：阅片桌内置预留接口给所有的设备供电，无需借助额外的插线板，具备防雷功能。</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布线要求：采用隐藏式线匣，所有的内部走线均通过专用的布线槽，确保阅片工位干净整洁</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承重要求：根据机型配置专用电脑主机支架，承重≧30kg，可根据重量调节支臂配重</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可升级快速截图传输模块</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包含相关配套——</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员工衣柜×7</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，根据现场尺寸订制。</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矮柜×7，放置员工水杯，电动升降一体化阅片桌禁止放水杯，根据房间现场尺寸订制。</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环境光窗帘×7，根据窗户尺寸订制。</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订制置物柜×1，10人办公室根据现场尺寸订制</w:t>
            </w:r>
            <w:r/>
          </w:p>
        </w:tc>
      </w:tr>
      <w:tr>
        <w:trPr>
          <w:trHeight w:val="290"/>
        </w:trPr>
        <w:tc>
          <w:tcPr>
            <w:gridSpan w:val="3"/>
            <w:tcW w:w="8630" w:type="dxa"/>
            <w:vAlign w:val="center"/>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10.二楼走廊文化墙</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二楼静态文化墙</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体现科室历史文化</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一楼+二楼动态文化墙</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通过播放动态展示科室学术活动会议通知，质控月报等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需对接科室内网</w:t>
            </w:r>
            <w:r>
              <w:rPr>
                <w:rFonts w:hint="eastAsia" w:ascii="宋体" w:hAnsi="宋体" w:eastAsia="宋体" w:cs="宋体"/>
                <w:color w:val="auto"/>
                <w:sz w:val="24"/>
                <w:szCs w:val="24"/>
                <w:highlight w:val="none"/>
              </w:rPr>
              <w:t xml:space="preserve">。</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43寸画屏×3</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屏幕尺寸：43英寸、分辨率：≧3840×2160、显示效果：原画显示。CPU：≧四核A55,1.9Hz、内存：≧2G+8G、亮度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≧350nit、安装方式：横竖。</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32寸画屏×7</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屏幕尺寸：32英寸、分辨率：≧1920×1080、显示效果：原画显示。CPU：≧四核A55,1.9Hz、内存：≧2G+8G、亮度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≧350nit、安装方式：横竖。</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医生岗位水牌</w:t>
            </w:r>
            <w:r>
              <w:rPr>
                <w:rFonts w:hint="eastAsia" w:ascii="宋体" w:hAnsi="宋体" w:eastAsia="宋体" w:cs="宋体"/>
                <w:color w:val="auto"/>
                <w:sz w:val="24"/>
                <w:szCs w:val="24"/>
                <w:highlight w:val="none"/>
              </w:rPr>
              <w:t xml:space="preserve">×20</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系统：RK3288，≧4核，≧2GB+16GB，≧Android8.1，10点触控，支持NFC。显示：10.1'高清IPS屏幕，≧1280*800分辨率，≧280cd/㎡亮度</w:t>
            </w:r>
            <w:r/>
          </w:p>
        </w:tc>
      </w:tr>
      <w:tr>
        <w:trPr>
          <w:trHeight w:val="305"/>
        </w:trPr>
        <w:tc>
          <w:tcPr>
            <w:gridSpan w:val="3"/>
            <w:tcW w:w="8630" w:type="dxa"/>
            <w:vAlign w:val="center"/>
            <w:textDirection w:val="lrTb"/>
            <w:noWrap w:val="false"/>
          </w:tcPr>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11.一体化阅片中心系统</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教学系统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实现医院医学影像中心规范化培训教学活动的数字化转型。该系统提供一系列的数字化功能，包括入科登记、规培教学、出科考试管理、考勤管理、资源管理等，为医院提供全流程的规培教学记录和管理服务。</w:t>
            </w:r>
            <w:r>
              <w:rPr>
                <w:rFonts w:hint="eastAsia" w:ascii="宋体" w:hAnsi="宋体" w:eastAsia="宋体" w:cs="宋体"/>
                <w:color w:val="auto"/>
                <w:sz w:val="24"/>
                <w:szCs w:val="24"/>
                <w:highlight w:val="none"/>
                <w:lang w:val="en-US" w:eastAsia="zh-CN"/>
              </w:rPr>
              <w:t xml:space="preserve">提供三甲医院使用反馈的证明材料，需加盖使用单位章。</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远程互联互通系统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系统可实现连接影像工作站，视频摄像头以及音频信息，实现与远端分院区影像，视频和音频的实时互动，晨读室+学术报告厅+VIP诊室+3间阅片室+十梓街院区+总院西区+两点位预留。</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2.1</w:t>
            </w:r>
            <w:r/>
          </w:p>
        </w:tc>
        <w:tc>
          <w:tcPr>
            <w:tcW w:w="2946" w:type="dxa"/>
            <w:vAlign w:val="center"/>
            <w:textDirection w:val="lrTb"/>
            <w:noWrap w:val="false"/>
          </w:tcPr>
          <w:p>
            <w:pPr>
              <w:pStyle w:val="1012"/>
              <w:jc w:val="both"/>
              <w:spacing w:before="240" w:after="240" w:line="15"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远程</w:t>
            </w:r>
            <w:r>
              <w:rPr>
                <w:rFonts w:hint="eastAsia" w:ascii="宋体" w:hAnsi="宋体" w:eastAsia="宋体" w:cs="宋体"/>
                <w:b w:val="0"/>
                <w:color w:val="auto"/>
                <w:sz w:val="24"/>
                <w:szCs w:val="24"/>
                <w:highlight w:val="none"/>
                <w:lang w:eastAsia="zh-CN"/>
              </w:rPr>
              <w:t xml:space="preserve">会诊</w:t>
            </w:r>
            <w:r>
              <w:rPr>
                <w:rFonts w:hint="eastAsia" w:ascii="宋体" w:hAnsi="宋体" w:eastAsia="宋体" w:cs="宋体"/>
                <w:b w:val="0"/>
                <w:color w:val="auto"/>
                <w:sz w:val="24"/>
                <w:szCs w:val="24"/>
                <w:highlight w:val="none"/>
              </w:rPr>
              <w:t xml:space="preserve">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客户端软件，支持Windows、iOS、Android等主流操作系统，满足PC电脑、平板电脑、安卓TV、移动手机等多终端接入。</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系统采用基于H.264、MPEG-4等主流的视频编解码协议。</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支持会议录制功能，支持模块化录制和全屏录制，模块化录制支持高清1080P30帧录制效果；全屏录制支持MP4和FLV标准格式便于后期点播观看。</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移动端管理员支持请求用户进行桌面共享。</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p>
        </w:tc>
        <w:tc>
          <w:tcPr>
            <w:tcW w:w="2946" w:type="dxa"/>
            <w:vAlign w:val="center"/>
            <w:textDirection w:val="lrTb"/>
            <w:noWrap w:val="false"/>
          </w:tcPr>
          <w:p>
            <w:pPr>
              <w:pStyle w:val="1012"/>
              <w:jc w:val="both"/>
              <w:spacing w:before="240" w:after="240" w:line="15"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rPr>
              <w:t xml:space="preserve">医学影像远程</w:t>
            </w:r>
            <w:r>
              <w:rPr>
                <w:rFonts w:hint="eastAsia" w:ascii="宋体" w:hAnsi="宋体" w:eastAsia="宋体" w:cs="宋体"/>
                <w:b w:val="0"/>
                <w:color w:val="auto"/>
                <w:sz w:val="24"/>
                <w:szCs w:val="24"/>
                <w:highlight w:val="none"/>
                <w:lang w:eastAsia="zh-CN"/>
              </w:rPr>
              <w:t xml:space="preserve">会诊</w:t>
            </w:r>
            <w:r>
              <w:rPr>
                <w:rFonts w:hint="eastAsia" w:ascii="宋体" w:hAnsi="宋体" w:eastAsia="宋体" w:cs="宋体"/>
                <w:b w:val="0"/>
                <w:color w:val="auto"/>
                <w:sz w:val="24"/>
                <w:szCs w:val="24"/>
                <w:highlight w:val="none"/>
              </w:rPr>
              <w:t xml:space="preserve">终端</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能够通过集中控制终端实现摄像机的云台控制，可调节焦距及摄像位置。</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可同时采集影像工作站画面、主讲人视频画面，并能够对2个画面进行融合处理，处理后的画面接近远程终端。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对远程系统的音频进行集成，能够接入阅片室/会诊室内的音响系统，不额外增加话筒及音响。</w:t>
            </w:r>
            <w:r/>
          </w:p>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具备远程示教软件功能，能够将会议及会诊过程直播到下级医院或者学校</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2.3</w:t>
            </w:r>
            <w:r/>
          </w:p>
        </w:tc>
        <w:tc>
          <w:tcPr>
            <w:tcW w:w="2946"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全网直播服务</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可实现医院、科室的全网在线讲课和示教</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具备PPT、WORD等文件资料或视频的在线直播功能，同时具备学生端线上提问和讲课端答疑功能</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制造厂家为</w:t>
            </w:r>
            <w:r>
              <w:rPr>
                <w:rFonts w:hint="eastAsia" w:ascii="宋体" w:hAnsi="宋体" w:eastAsia="宋体" w:cs="宋体"/>
                <w:color w:val="auto"/>
                <w:sz w:val="24"/>
                <w:szCs w:val="24"/>
                <w:highlight w:val="none"/>
              </w:rPr>
              <w:t xml:space="preserve">同一品牌，并提供直播平台的备案号查询证明文件。</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2.4</w:t>
            </w:r>
            <w:r/>
          </w:p>
        </w:tc>
        <w:tc>
          <w:tcPr>
            <w:tcW w:w="2946" w:type="dxa"/>
            <w:vAlign w:val="center"/>
            <w:textDirection w:val="lrTb"/>
            <w:noWrap w:val="false"/>
          </w:tcPr>
          <w:p>
            <w:pPr>
              <w:pStyle w:val="1012"/>
              <w:jc w:val="both"/>
              <w:spacing w:before="240" w:after="240" w:line="15"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rPr>
              <w:t xml:space="preserve">医学影像协同系统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使影像科医生之间能够跨工位、房间、院区对阅片过程中的疑点和问题进行双方讨论，实现科室内部或是与临床医生的跨学科会诊、与学生进行跨院区读片讲解等应用场景。</w:t>
            </w:r>
            <w:r>
              <w:rPr>
                <w:rFonts w:hint="eastAsia" w:ascii="宋体" w:hAnsi="宋体" w:eastAsia="宋体" w:cs="宋体"/>
                <w:color w:val="auto"/>
                <w:sz w:val="24"/>
                <w:szCs w:val="24"/>
                <w:highlight w:val="none"/>
                <w:lang w:val="en-US" w:eastAsia="zh-CN"/>
              </w:rPr>
              <w:t xml:space="preserve">提供功能截图和使用说明。招标结束后能够提供现场演示。</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可通过客户端用于获取用户列表，发起影像协同请求、同意请求、拒绝请求、挂断请求，及进行音频交互等操作，通过影像协同软件进行影像操作协同；</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影像协同软件客户端主要包括请求协同、拒绝协同、接受协同、挂断协同四种协同交互操作，用户状态主要包括空闲、繁忙、离线三种状态。</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都可以在协同主界面进行操作，操作包括序列、滑动切换图层、层级、长度、矩形、放大、移动、灰度反转、顺时针旋转、清除、Eraser、复原等操作，操作结果都会被同步到协同组内的每一个协同主界面上，并确保操作信息同步正确无误；</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支持协同时通过实时语音沟通。</w:t>
            </w:r>
            <w:r/>
          </w:p>
        </w:tc>
      </w:tr>
      <w:tr>
        <w:trPr>
          <w:trHeight w:val="305"/>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p>
        </w:tc>
        <w:tc>
          <w:tcPr>
            <w:tcW w:w="29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质控系统</w:t>
            </w:r>
            <w:r/>
          </w:p>
        </w:tc>
        <w:tc>
          <w:tcPr>
            <w:tcW w:w="4735"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1.软件具备性能检测功能，可自动对进行全方位性能检测，可在检测界面查看≥5次检测记录，包含序列号和检测结果，需提供性能检测界面截图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2.医生可通过目视浏览标准测试图案对进行视觉常规检测，软件需默认内置TG18-AD\QC\OIQ\MP,TG270-pQC\sQC标准测试图案，需提供包含标准测试图案的视觉常规检测软件界面截图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3.标准测试图案需集成测试项并分步骤引导医生对测试图案进行评价，提供标准测试图案测试过程截图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4.软件默认内置多个x线影像和病理影像，医生可对图像进行浏览，以验证当前质量，图像支持导入，需提供包含x线影像和病理影像的视觉诊断检测界面截图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5.软件可对进行自定义检测，可自定应RGB-Pattern对颜色显示效果进行检测，可在自定义灰阶度下显示TG19-LN\TG18-UN标准图像对灰阶显示效果进行检测，需提供视觉自定义检测界面截图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控制与设置模块：</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6.软件可对的曲线亮度等功能进行设置调节，提供功能设置调节的软件界面截图。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7.软件可通过控制模块进行分屏操作、屏幕截图等功能自定义设置快捷组合键进行控制，提供设置快捷组合键的软件界面截图。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8.软件设置模块支持导出日志文件与配置文件，并支持导入配置文件，提供软件功能界面截图。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9.软件设置模块可查看当前软件版本并检查是否需要更新并进行更新，提供软件功能界面截图。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10.软件设置模块提供≥12个不可变更的标准QC策略库，此类策略只可查看，不支持修改，提供软件功能界面截图并标注每个策略的应用范围。</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11.软件设置模块可根据内置的标准QC策略库创建自定义策略，提供软件功能界面截图。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软件设置模块可查看当前色度计的连接状态，并设置当前软件所使用的默认色度计，软件支持连接CA310，CA410，ColorMaster、CDMon、LxCan五种色度计，并能显示连接状态，提供以上五种色度计配置选择的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13.软件设置模块可设置自动检测的时间周期，可以按照按天、按周、按月、按年的周期并设置检测的间隔时间和精确到分钟的具体时间，提供时间周期设置的软件功能界面截图。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14.软件设置模块可对锁屏进行设置，可选择跟随Windows休眠或关闭休眠模式，提供软件功能界面截图。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15.软件设置模块可设置对环境光进行预警，当外部环境光达到设置的预警环境光照度时，会进行提醒，提供软件功能界面截图。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16.软件支持开机自启，提供软件功能界面截图。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报告模块：</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17.软件可通过机型、SN、操作类型、结果、QC策略、操作人、日期范围、类型等多维信息检索检测报告，提供软件功能界面截图。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18.检测报告包含和操作系统相关信息，信息包括机型、SN、QC策略、位置、操作人、操作日期、色度计和软件版本，系统信息包括系统类型、系统版本、显卡型号和显卡驱动版本</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19.软件支持传感器状态检测，提供检测报告结果。</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20.性能检测报告结论包括环境光反射亮度、最大亮度、最小亮度、最大亮度误差、对比度、灰度标准显示函数GSDF误差。</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校准模块：</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21.DICOM校准：系统可对进行DICOM曲线校准，并实时呈现校准进度、被检测序列号、校准结果及校准记录，提供相应的软件截图。</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22.软件支持传感器标定，提供操作步骤</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23.软件支持复位功能，可将的曲线、亮度及色温恢复到出厂数值。</w:t>
            </w:r>
            <w:r/>
          </w:p>
        </w:tc>
      </w:tr>
      <w:tr>
        <w:trPr>
          <w:trHeight w:val="290"/>
        </w:trPr>
        <w:tc>
          <w:tcPr>
            <w:gridSpan w:val="3"/>
            <w:tcW w:w="86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12.其他</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需提供核心产品（</w:t>
            </w:r>
            <w:r>
              <w:rPr>
                <w:rFonts w:hint="eastAsia" w:ascii="宋体" w:hAnsi="宋体" w:eastAsia="宋体" w:cs="宋体"/>
                <w:color w:val="auto"/>
                <w:sz w:val="24"/>
                <w:szCs w:val="24"/>
                <w:highlight w:val="none"/>
              </w:rPr>
              <w:t xml:space="preserve">医用专业会诊套件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小间距医用高清专业会诊终端</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售后服务承诺函，售后服务时间不低于5年</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提供使用、维修手册；相关软件终身免费升级；所有设备（所有类型、音视频设备人体升降桌椅、PACS电脑）</w:t>
            </w:r>
            <w:r>
              <w:rPr>
                <w:rFonts w:hint="eastAsia" w:ascii="宋体" w:hAnsi="宋体" w:eastAsia="宋体" w:cs="宋体"/>
                <w:color w:val="auto"/>
                <w:sz w:val="24"/>
                <w:szCs w:val="24"/>
                <w:highlight w:val="none"/>
                <w:lang w:val="en-US" w:eastAsia="zh-CN"/>
              </w:rPr>
              <w:t xml:space="preserve">质保期内</w:t>
            </w:r>
            <w:r>
              <w:rPr>
                <w:rFonts w:hint="eastAsia" w:ascii="宋体" w:hAnsi="宋体" w:eastAsia="宋体" w:cs="宋体"/>
                <w:color w:val="auto"/>
                <w:sz w:val="24"/>
                <w:szCs w:val="24"/>
                <w:highlight w:val="none"/>
              </w:rPr>
              <w:t xml:space="preserve">免费包修。（人工、设备）。</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（138寸</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，178寸</w:t>
            </w:r>
            <w:r>
              <w:rPr>
                <w:rFonts w:hint="eastAsia" w:ascii="宋体" w:hAnsi="宋体" w:eastAsia="宋体" w:cs="宋体"/>
                <w:color w:val="auto"/>
                <w:sz w:val="24"/>
                <w:szCs w:val="24"/>
                <w:highlight w:val="none"/>
                <w:lang w:val="en-US" w:eastAsia="zh-CN"/>
              </w:rPr>
              <w:t xml:space="preserve">会诊终端</w:t>
            </w:r>
            <w:r>
              <w:rPr>
                <w:rFonts w:hint="eastAsia" w:ascii="宋体" w:hAnsi="宋体" w:eastAsia="宋体" w:cs="宋体"/>
                <w:color w:val="auto"/>
                <w:sz w:val="24"/>
                <w:szCs w:val="24"/>
                <w:highlight w:val="none"/>
              </w:rPr>
              <w:t xml:space="preserve">，配套触摸电子讲台）及会议音响系统（会议软件系统，话筒，摄像头，无线电子席卡等）12小时内维修服务完成。</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医学专业</w:t>
            </w:r>
            <w:r>
              <w:rPr>
                <w:rFonts w:hint="eastAsia" w:ascii="宋体" w:hAnsi="宋体" w:eastAsia="宋体" w:cs="宋体"/>
                <w:color w:val="auto"/>
                <w:sz w:val="24"/>
                <w:szCs w:val="24"/>
                <w:highlight w:val="none"/>
                <w:lang w:val="en-US" w:eastAsia="zh-CN"/>
              </w:rPr>
              <w:t xml:space="preserve">诊断终端</w:t>
            </w:r>
            <w:r>
              <w:rPr>
                <w:rFonts w:hint="eastAsia" w:ascii="宋体" w:hAnsi="宋体" w:eastAsia="宋体" w:cs="宋体"/>
                <w:color w:val="auto"/>
                <w:sz w:val="24"/>
                <w:szCs w:val="24"/>
                <w:highlight w:val="none"/>
              </w:rPr>
              <w:t xml:space="preserve">（4M，12M）48小时内维修服务完成。</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一体化诊断工位</w:t>
            </w:r>
            <w:r>
              <w:rPr>
                <w:rFonts w:hint="eastAsia" w:ascii="宋体" w:hAnsi="宋体" w:eastAsia="宋体" w:cs="宋体"/>
                <w:color w:val="auto"/>
                <w:sz w:val="24"/>
                <w:szCs w:val="24"/>
                <w:highlight w:val="none"/>
              </w:rPr>
              <w:t xml:space="preserve">及订制</w:t>
            </w:r>
            <w:r>
              <w:rPr>
                <w:rFonts w:hint="eastAsia" w:ascii="宋体" w:hAnsi="宋体" w:eastAsia="宋体" w:cs="宋体"/>
                <w:color w:val="auto"/>
                <w:sz w:val="24"/>
                <w:szCs w:val="24"/>
                <w:highlight w:val="none"/>
                <w:lang w:val="en-US" w:eastAsia="zh-CN"/>
              </w:rPr>
              <w:t xml:space="preserve">医生</w:t>
            </w:r>
            <w:r>
              <w:rPr>
                <w:rFonts w:hint="eastAsia" w:ascii="宋体" w:hAnsi="宋体" w:cs="宋体"/>
                <w:color w:val="auto"/>
                <w:sz w:val="24"/>
                <w:szCs w:val="24"/>
                <w:highlight w:val="none"/>
                <w:lang w:val="en-US" w:eastAsia="zh-CN"/>
              </w:rPr>
              <w:t xml:space="preserve">设备配套</w:t>
            </w:r>
            <w:r>
              <w:rPr>
                <w:rFonts w:hint="eastAsia" w:ascii="宋体" w:hAnsi="宋体" w:eastAsia="宋体" w:cs="宋体"/>
                <w:color w:val="auto"/>
                <w:sz w:val="24"/>
                <w:szCs w:val="24"/>
                <w:highlight w:val="none"/>
                <w:lang w:val="en-US" w:eastAsia="zh-CN"/>
              </w:rPr>
              <w:t xml:space="preserve">用具</w:t>
            </w:r>
            <w:r>
              <w:rPr>
                <w:rFonts w:hint="eastAsia" w:ascii="宋体" w:hAnsi="宋体" w:eastAsia="宋体" w:cs="宋体"/>
                <w:color w:val="auto"/>
                <w:sz w:val="24"/>
                <w:szCs w:val="24"/>
                <w:highlight w:val="none"/>
              </w:rPr>
              <w:t xml:space="preserve">72小时内维修服务完成。</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3</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提供投标产品与标书技术文件一致的完整的技术参数表。</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w:t>
            </w:r>
            <w:r/>
          </w:p>
        </w:tc>
        <w:tc>
          <w:tcPr>
            <w:gridSpan w:val="2"/>
            <w:tcW w:w="768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提供所有房间的</w:t>
            </w:r>
            <w:r>
              <w:rPr>
                <w:rFonts w:hint="eastAsia" w:ascii="宋体" w:hAnsi="宋体" w:cs="宋体"/>
                <w:color w:val="auto"/>
                <w:sz w:val="24"/>
                <w:szCs w:val="24"/>
                <w:highlight w:val="none"/>
                <w:lang w:val="en-US" w:eastAsia="zh-CN"/>
              </w:rPr>
              <w:t xml:space="preserve">环境</w:t>
            </w:r>
            <w:r>
              <w:rPr>
                <w:rFonts w:hint="eastAsia" w:ascii="宋体" w:hAnsi="宋体" w:eastAsia="宋体" w:cs="宋体"/>
                <w:color w:val="auto"/>
                <w:sz w:val="24"/>
                <w:szCs w:val="24"/>
                <w:highlight w:val="none"/>
                <w:lang w:val="en-US" w:eastAsia="zh-CN"/>
              </w:rPr>
              <w:t xml:space="preserve">改造和</w:t>
            </w:r>
            <w:r>
              <w:rPr>
                <w:rFonts w:hint="eastAsia"/>
                <w:color w:val="auto"/>
                <w:highlight w:val="none"/>
                <w:lang w:val="en-US" w:eastAsia="zh-CN"/>
              </w:rPr>
              <w:t xml:space="preserve">设备配套</w:t>
            </w:r>
            <w:r>
              <w:rPr>
                <w:rFonts w:hint="eastAsia" w:ascii="宋体" w:hAnsi="宋体" w:eastAsia="宋体" w:cs="宋体"/>
                <w:color w:val="auto"/>
                <w:sz w:val="24"/>
                <w:szCs w:val="24"/>
                <w:highlight w:val="none"/>
                <w:lang w:val="en-US" w:eastAsia="zh-CN"/>
              </w:rPr>
              <w:t xml:space="preserve">。（见下改造需求表及办公用具要求）</w:t>
            </w:r>
            <w:r/>
          </w:p>
        </w:tc>
      </w:tr>
      <w:tr>
        <w:trPr>
          <w:trHeight w:val="290"/>
        </w:trPr>
        <w:tc>
          <w:tcPr>
            <w:tcW w:w="949"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w:t>
            </w:r>
            <w:r/>
          </w:p>
        </w:tc>
        <w:tc>
          <w:tcPr>
            <w:gridSpan w:val="2"/>
            <w:tcW w:w="7681" w:type="dxa"/>
            <w:vAlign w:val="center"/>
            <w:textDirection w:val="lrTb"/>
            <w:noWrap w:val="false"/>
          </w:tcPr>
          <w:p>
            <w:pPr>
              <w:pStyle w:val="102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便于兼容和后续服务，教学系统、医学影像协同系统、全网直播服务、质控系统为同一制造商提供，需提供证明材料。</w:t>
            </w:r>
            <w:r/>
          </w:p>
        </w:tc>
      </w:tr>
    </w:tbl>
    <w:p>
      <w:pPr>
        <w:ind w:firstLine="482"/>
        <w:spacing w:line="360" w:lineRule="auto"/>
        <w:rPr>
          <w:rFonts w:hint="default" w:ascii="宋体" w:hAnsi="宋体" w:eastAsia="宋体" w:cs="宋体"/>
          <w:b/>
          <w:bCs/>
          <w:color w:val="auto"/>
          <w:szCs w:val="24"/>
          <w:highlight w:val="none"/>
          <w:lang w:val="en-US"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二）环境改造清单</w:t>
      </w:r>
      <w:r/>
    </w:p>
    <w:tbl>
      <w:tblPr>
        <w:tblStyle w:val="1016"/>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9"/>
        <w:gridCol w:w="1769"/>
        <w:gridCol w:w="1769"/>
        <w:gridCol w:w="1770"/>
        <w:gridCol w:w="1779"/>
      </w:tblGrid>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序号</w:t>
            </w:r>
            <w:r/>
          </w:p>
        </w:tc>
        <w:tc>
          <w:tcPr>
            <w:tcW w:w="17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项目名称</w:t>
            </w:r>
            <w:r/>
          </w:p>
        </w:tc>
        <w:tc>
          <w:tcPr>
            <w:tcW w:w="17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主要材料名称及规格</w:t>
            </w:r>
            <w:r/>
          </w:p>
        </w:tc>
        <w:tc>
          <w:tcPr>
            <w:tcW w:w="17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单位</w:t>
            </w:r>
            <w:r/>
          </w:p>
        </w:tc>
        <w:tc>
          <w:tcPr>
            <w:tcW w:w="1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数量</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1、VIP诊室</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局部拆除项目</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顶面及墙面局部拆除</w:t>
            </w:r>
            <w:r/>
          </w:p>
        </w:tc>
        <w:tc>
          <w:tcPr>
            <w:tcW w:w="17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35</w:t>
            </w:r>
            <w:r/>
          </w:p>
        </w:tc>
      </w:tr>
      <w:tr>
        <w:trPr>
          <w:trHeight w:val="141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顶面石膏板吊顶</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轻钢龙骨石膏板造型吊顶，含人工辅料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墙面石塑板饰面</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欧松板打底石塑板安装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墙面木饰面</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木饰面安装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墙面大理石饰面</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大理石安装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墙面墙布</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石膏板打底墙布安装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金属线装饰线条</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金属装饰线条安装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套装门安装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烤漆门安装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地面地毯安装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定做地毯</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沙发（</w:t>
            </w:r>
            <w:r>
              <w:rPr>
                <w:rStyle w:val="1055"/>
                <w:rFonts w:hint="eastAsia"/>
                <w:color w:val="auto"/>
                <w:highlight w:val="none"/>
                <w:lang w:val="en-US" w:eastAsia="zh-CN" w:bidi="ar"/>
              </w:rPr>
              <w:t xml:space="preserve">单人沙发）</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2、党建室</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局部拆除项目</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顶面及墙面局部拆除</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整体橱柜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实木多层橱柜</w:t>
            </w:r>
            <w:r>
              <w:rPr>
                <w:rFonts w:hint="eastAsia" w:ascii="宋体" w:hAnsi="宋体" w:cs="宋体"/>
                <w:i w:val="0"/>
                <w:iCs w:val="0"/>
                <w:color w:val="auto"/>
                <w:sz w:val="22"/>
                <w:szCs w:val="22"/>
                <w:highlight w:val="none"/>
                <w:u w:val="none"/>
                <w:lang w:val="en-US" w:eastAsia="zh-CN"/>
              </w:rPr>
              <w:t xml:space="preserve">(0.8m*2m*0.6M)</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墙面广告</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墙面党建广告</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12</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3、审核室1</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沙发</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4、审核室2</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沙发</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5、审核室3</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6、审核室4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7、审核室5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8、审核室6</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9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实木矮柜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定做矮柜（</w:t>
            </w:r>
            <w:r>
              <w:rPr>
                <w:rStyle w:val="1055"/>
                <w:rFonts w:hint="eastAsia"/>
                <w:color w:val="auto"/>
                <w:highlight w:val="none"/>
                <w:lang w:val="en-US" w:eastAsia="zh-CN" w:bidi="ar"/>
              </w:rPr>
              <w:t xml:space="preserve">0.8m*2.4m*0.6m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10"/>
        </w:trPr>
        <w:tc>
          <w:tcPr>
            <w:gridSpan w:val="5"/>
            <w:tcW w:w="8856" w:type="dxa"/>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Style w:val="1068"/>
                <w:color w:val="auto"/>
                <w:highlight w:val="none"/>
                <w:lang w:val="en-US" w:eastAsia="zh-CN" w:bidi="ar"/>
              </w:rPr>
              <w:t xml:space="preserve">9、学术报告厅</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局部拆除项目</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顶面及墙面局部拆除</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80</w:t>
            </w:r>
            <w:r/>
          </w:p>
        </w:tc>
      </w:tr>
      <w:tr>
        <w:trPr>
          <w:trHeight w:val="141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顶面石膏板吊顶</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轻钢龙骨石膏板造型吊顶，含人工辅料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顶面涂料</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顶面批腻子滚涂料</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r>
      <w:tr>
        <w:trPr>
          <w:trHeight w:val="85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墙面石塑板饰面</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欧松板打底石塑板安装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金属线装饰线条</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金属装饰线条安装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套装门安装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烤漆门安装</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荣誉墙制作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荣誉墙制作</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收纳柜制作</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矮柜定制（</w:t>
            </w:r>
            <w:r>
              <w:rPr>
                <w:rStyle w:val="1055"/>
                <w:rFonts w:hint="eastAsia"/>
                <w:color w:val="auto"/>
                <w:highlight w:val="none"/>
                <w:lang w:val="en-US" w:eastAsia="zh-CN" w:bidi="ar"/>
              </w:rPr>
              <w:t xml:space="preserve">0.8m*4m*0.8m</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套</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地面地毯安装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定做地毯</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平米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灯具及安装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磁吸灯安装（</w:t>
            </w:r>
            <w:r>
              <w:rPr>
                <w:rStyle w:val="1055"/>
                <w:rFonts w:hint="eastAsia"/>
                <w:color w:val="auto"/>
                <w:highlight w:val="none"/>
                <w:lang w:val="en-US" w:eastAsia="zh-CN" w:bidi="ar"/>
              </w:rPr>
              <w:t xml:space="preserve">可调色、调亮度</w:t>
            </w:r>
            <w:r>
              <w:rPr>
                <w:rStyle w:val="1055"/>
                <w:color w:val="auto"/>
                <w:highlight w:val="none"/>
                <w:lang w:val="en-US" w:eastAsia="zh-CN" w:bidi="ar"/>
              </w:rPr>
              <w:t xml:space="preserve">）</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电路改造</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color w:val="auto"/>
                <w:highlight w:val="none"/>
                <w:lang w:val="en-US" w:eastAsia="zh-CN" w:bidi="ar"/>
              </w:rPr>
              <w:t xml:space="preserve">插座照明线路改造</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米</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trHeight w:val="575"/>
        </w:trPr>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176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配套设施</w:t>
            </w:r>
            <w:r>
              <w:rPr>
                <w:rStyle w:val="1055"/>
                <w:color w:val="auto"/>
                <w:highlight w:val="none"/>
                <w:lang w:val="en-US" w:eastAsia="zh-CN" w:bidi="ar"/>
              </w:rPr>
              <w:t xml:space="preserve">安装</w:t>
            </w:r>
            <w:r/>
          </w:p>
        </w:tc>
        <w:tc>
          <w:tcPr>
            <w:tcW w:w="1769"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配套座位</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055"/>
                <w:rFonts w:hint="eastAsia"/>
                <w:color w:val="auto"/>
                <w:highlight w:val="none"/>
                <w:lang w:val="en-US" w:eastAsia="zh-CN" w:bidi="ar"/>
              </w:rPr>
              <w:t xml:space="preserve">个</w:t>
            </w:r>
            <w:r/>
          </w:p>
        </w:tc>
        <w:tc>
          <w:tcPr>
            <w:tcW w:w="177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30</w:t>
            </w:r>
            <w:r/>
          </w:p>
        </w:tc>
      </w:tr>
    </w:tbl>
    <w:p>
      <w:pPr>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注：1、本项目不接受进口产品。</w:t>
      </w:r>
      <w:r/>
    </w:p>
    <w:p>
      <w:pPr>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2、本项目核心产品为：“医用专业会诊套件”</w:t>
      </w: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小间距</w:t>
      </w:r>
      <w:r>
        <w:rPr>
          <w:rFonts w:hint="eastAsia" w:ascii="宋体" w:hAnsi="宋体" w:eastAsia="宋体" w:cs="宋体"/>
          <w:b/>
          <w:bCs/>
          <w:color w:val="auto"/>
          <w:sz w:val="24"/>
          <w:szCs w:val="24"/>
          <w:highlight w:val="none"/>
        </w:rPr>
        <w:t xml:space="preserve">医用</w:t>
      </w:r>
      <w:r>
        <w:rPr>
          <w:rFonts w:hint="eastAsia" w:ascii="宋体" w:hAnsi="宋体" w:eastAsia="宋体" w:cs="宋体"/>
          <w:b/>
          <w:bCs/>
          <w:color w:val="auto"/>
          <w:sz w:val="24"/>
          <w:szCs w:val="24"/>
          <w:highlight w:val="none"/>
          <w:lang w:val="en-US" w:eastAsia="zh-CN"/>
        </w:rPr>
        <w:t xml:space="preserve">高清</w:t>
      </w:r>
      <w:r>
        <w:rPr>
          <w:rFonts w:hint="eastAsia" w:ascii="宋体" w:hAnsi="宋体" w:eastAsia="宋体" w:cs="宋体"/>
          <w:b/>
          <w:bCs/>
          <w:color w:val="auto"/>
          <w:sz w:val="24"/>
          <w:szCs w:val="24"/>
          <w:highlight w:val="none"/>
        </w:rPr>
        <w:t xml:space="preserve">专业</w:t>
      </w:r>
      <w:r>
        <w:rPr>
          <w:rFonts w:hint="eastAsia" w:ascii="宋体" w:hAnsi="宋体" w:eastAsia="宋体" w:cs="宋体"/>
          <w:b/>
          <w:bCs/>
          <w:color w:val="auto"/>
          <w:sz w:val="24"/>
          <w:szCs w:val="24"/>
          <w:highlight w:val="none"/>
          <w:lang w:val="en-US" w:eastAsia="zh-CN"/>
        </w:rPr>
        <w:t xml:space="preserve">会诊终端</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rPr>
        <w:t xml:space="preserve">。</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3、以上清单中如出现品牌、型号仅作参考</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并没有限制性，投标人在投标文件中可以选用替代标准，但这些替代标准要优于或相当于招标文件要求，同时注明所投产品的品牌、型号、规格和生产厂家及一些必须说明的技术参数，以及使用的材料的清单等，以满足采购人的需要。五、安装实施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1、所有安装施工材料质量必须严格按照国家规范及江苏省或项目交付所在地相关规范、招标文件、材料厂家的技术规范的有关要求执行。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2、中标人应对安装实施安全、质量全面负责，如中标人原因造成质量、安全事故，中标人承担一切经济法律责任。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3、实施期间，中标人应无条件的接受采购人的质量监督，提出的质量问题要及时整改，整改完毕后通知采购人检查验收，合格后书面报送采购人备案。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中标人必须建立健全质量检查制度，严格工序管理，隐蔽工程在隐蔽前应通知采购人检查验收；本着谁实施谁负责产品保护，谁破坏产品谁负责赔偿的原则，中标人必须采取切实有效的产品保护措施，并编制相应的产品保护方案报采购人批准同意后组织实施。</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5、中标后</w:t>
      </w:r>
      <w:r>
        <w:rPr>
          <w:rFonts w:hint="eastAsia" w:ascii="宋体" w:hAnsi="宋体" w:eastAsia="宋体" w:cs="宋体"/>
          <w:color w:val="auto"/>
          <w:szCs w:val="24"/>
          <w:highlight w:val="none"/>
          <w:lang w:val="en-US" w:eastAsia="zh-CN"/>
        </w:rPr>
        <w:t xml:space="preserve">中标人须签订数据安全保密协议（详见合同附件一），确保采购人数据不外泄。</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、综合说明及其他要求：</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1、投标人所投产品明确所投产品的品牌、型号及一些必须说明的技术参数，同时明确生产厂家等，并提供详细的技术参数及性能说明书。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color w:val="auto"/>
          <w:highlight w:val="none"/>
        </w:rPr>
      </w:pPr>
      <w:r>
        <w:rPr>
          <w:rFonts w:hint="eastAsia" w:ascii="宋体" w:hAnsi="宋体" w:eastAsia="宋体" w:cs="宋体"/>
          <w:color w:val="auto"/>
          <w:szCs w:val="24"/>
          <w:highlight w:val="none"/>
          <w:lang w:val="en-US" w:eastAsia="zh-CN"/>
        </w:rPr>
        <w:t xml:space="preserve">3、投标总报价一次报定，包括但不限于本合同所涉全部设备、辅助材料、安装、调试、培训、验收、人工、机械、运输、仓储、保险、运费、各种税费、劳保、与现有/后期设备对接费、代理服务费、专利技术及质保期间等一切费用；甲方无须支付其他任何费用。</w:t>
      </w:r>
      <w:r/>
    </w:p>
    <w:p>
      <w:pPr>
        <w:ind w:firstLine="480"/>
        <w:spacing w:line="360" w:lineRule="auto"/>
        <w:rPr>
          <w:rFonts w:hint="eastAsia" w:ascii="宋体" w:hAnsi="宋体"/>
          <w:color w:val="auto"/>
          <w:highlight w:val="none"/>
        </w:rPr>
      </w:pPr>
      <w:r>
        <w:rPr>
          <w:rFonts w:hint="eastAsia" w:ascii="宋体" w:hAnsi="宋体" w:cs="宋体"/>
          <w:color w:val="auto"/>
          <w:highlight w:val="none"/>
        </w:rPr>
        <w:t xml:space="preserve">4、</w:t>
      </w:r>
      <w:r>
        <w:rPr>
          <w:rFonts w:hint="eastAsia" w:ascii="宋体" w:hAnsi="宋体" w:cs="宋体"/>
          <w:color w:val="auto"/>
          <w:szCs w:val="24"/>
          <w:highlight w:val="none"/>
        </w:rPr>
        <w:t xml:space="preserve">投标人应保证采购人免除且承担由于投标人在其本国使用该项目所需的材料和设计或其任何一部分时而引起第三方提出的侵犯专利权、商标权或工业设计权的起诉、行动、行政程序索赔、请求等，以及采购人为此而产生的损失和损害、费用和支出（包括律师费）。</w:t>
      </w:r>
      <w:r/>
    </w:p>
    <w:p>
      <w:pPr>
        <w:ind w:firstLine="480"/>
        <w:spacing w:line="360" w:lineRule="auto"/>
        <w:rPr>
          <w:rFonts w:hint="eastAsia" w:ascii="宋体" w:hAnsi="宋体"/>
          <w:color w:val="auto"/>
          <w:highlight w:val="none"/>
        </w:rPr>
      </w:pPr>
      <w:r>
        <w:rPr>
          <w:rFonts w:hint="eastAsia" w:ascii="宋体" w:hAnsi="宋体" w:cs="宋体"/>
          <w:color w:val="auto"/>
          <w:szCs w:val="24"/>
          <w:highlight w:val="none"/>
        </w:rPr>
        <w:t xml:space="preserve">5、</w:t>
      </w:r>
      <w:r>
        <w:rPr>
          <w:rFonts w:hint="eastAsia" w:ascii="宋体" w:hAnsi="宋体" w:cs="宋体"/>
          <w:bCs/>
          <w:color w:val="auto"/>
          <w:sz w:val="24"/>
          <w:szCs w:val="24"/>
          <w:highlight w:val="none"/>
        </w:rPr>
        <w:t xml:space="preserve">项目实施质量必须严格按照国家规范及江苏省、苏州市相应地方规范、采购文件的技术规范的有关要求执行，如果在合同履行过程中有新的国家或行业（部）规范和标准出台的，则</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应确保其合同产品达到并符合新的国家或行业（部）规范和标准，因此而增加的费用及风险由</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自行承担。</w:t>
      </w:r>
      <w:r/>
    </w:p>
    <w:p>
      <w:pPr>
        <w:pStyle w:val="1021"/>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6、与本次采购项目有关的质量、安全问题均由投标人负责，相关的人员、财产责任风险均由投标人全部承担，与他人无涉。</w:t>
      </w:r>
      <w:r/>
    </w:p>
    <w:p>
      <w:pPr>
        <w:pStyle w:val="1021"/>
        <w:ind w:firstLine="480"/>
        <w:jc w:val="left"/>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、免费质保期：</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承诺提供硬件5年质保及技术支持服务（质保期自</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zh-CN" w:eastAsia="zh-CN" w:bidi="ar-SA"/>
        </w:rPr>
        <w:t xml:space="preserve">验收合格日起计算；合同期间若发生退回、维修或设备替换等情形，质保期自发生之日起，至标</w:t>
      </w:r>
      <w:r>
        <w:rPr>
          <w:rFonts w:hint="eastAsia" w:ascii="宋体" w:hAnsi="宋体" w:eastAsia="宋体" w:cs="宋体"/>
          <w:color w:val="auto"/>
          <w:sz w:val="24"/>
          <w:szCs w:val="24"/>
          <w:highlight w:val="none"/>
          <w:lang w:val="zh-CN" w:eastAsia="zh-CN" w:bidi="ar-SA"/>
        </w:rPr>
        <w:t xml:space="preserve">的物恢复正常使用之日止，</w:t>
      </w:r>
      <w:r>
        <w:rPr>
          <w:rFonts w:hint="eastAsia" w:ascii="宋体" w:hAnsi="宋体" w:eastAsia="宋体" w:cs="宋体"/>
          <w:color w:val="auto"/>
          <w:sz w:val="24"/>
          <w:szCs w:val="24"/>
          <w:highlight w:val="none"/>
          <w:lang w:val="zh-CN" w:eastAsia="zh-CN" w:bidi="ar-SA"/>
        </w:rPr>
        <w:t xml:space="preserve">停止计算。）在免费维护期内，</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应成立专门的技术支持和售后服务小组，提供完善周到的本地化服务，提供7*24小时免费维修服务热线，设备一旦发生故障，报修后30分钟响应，48小时内到达现场，72小时内排除故障，72小时内无法排除故障的，须允诺提供备用设备，具体赔偿条件：72小时内设备未能修复、不能正常运行时，每超过1天免费质保期延长1周。</w:t>
      </w:r>
      <w:r/>
    </w:p>
    <w:p>
      <w:pPr>
        <w:ind w:firstLine="480"/>
        <w:keepLines w:val="0"/>
        <w:keepNext w:val="0"/>
        <w:pageBreakBefore w:val="0"/>
        <w:spacing w:line="360" w:lineRule="auto"/>
        <w:widowControl w:val="off"/>
        <w:tabs>
          <w:tab w:val="left" w:pos="753" w:leader="none"/>
        </w:tabs>
        <w:rPr>
          <w:rFonts w:hint="eastAsia" w:ascii="宋体" w:hAnsi="宋体" w:eastAsia="宋体" w:cs="宋体"/>
          <w:color w:val="auto"/>
          <w:position w:val="6"/>
          <w:sz w:val="24"/>
          <w:szCs w:val="24"/>
          <w:highlight w:val="none"/>
          <w:lang w:val="zh-CN" w:eastAsia="zh-CN" w:bidi="ar-SA"/>
        </w:rPr>
        <w:outlineLvl w:val="9"/>
      </w:pPr>
      <w:r>
        <w:rPr>
          <w:rFonts w:hint="eastAsia" w:ascii="宋体" w:hAnsi="宋体" w:eastAsia="宋体" w:cs="宋体"/>
          <w:color w:val="auto"/>
          <w:position w:val="6"/>
          <w:sz w:val="24"/>
          <w:szCs w:val="24"/>
          <w:highlight w:val="none"/>
          <w:lang w:val="en-US" w:eastAsia="zh-CN" w:bidi="ar-SA"/>
        </w:rPr>
        <w:t xml:space="preserve">8</w:t>
      </w:r>
      <w:r>
        <w:rPr>
          <w:rFonts w:hint="eastAsia" w:ascii="宋体" w:hAnsi="宋体" w:eastAsia="宋体" w:cs="宋体"/>
          <w:color w:val="auto"/>
          <w:position w:val="6"/>
          <w:sz w:val="24"/>
          <w:szCs w:val="24"/>
          <w:highlight w:val="none"/>
          <w:lang w:val="zh-CN" w:eastAsia="zh-CN" w:bidi="ar-SA"/>
        </w:rPr>
        <w:t xml:space="preserve">、合同履行期限：合同签订生效后</w:t>
      </w:r>
      <w:r>
        <w:rPr>
          <w:rFonts w:hint="default" w:ascii="宋体" w:hAnsi="宋体" w:cs="宋体"/>
          <w:color w:val="auto"/>
          <w:position w:val="6"/>
          <w:sz w:val="24"/>
          <w:szCs w:val="24"/>
          <w:highlight w:val="none"/>
          <w:lang w:val="en-US" w:eastAsia="zh-CN" w:bidi="ar-SA"/>
        </w:rPr>
        <w:t xml:space="preserve">3</w:t>
      </w:r>
      <w:r>
        <w:rPr>
          <w:rFonts w:hint="eastAsia" w:ascii="宋体" w:hAnsi="宋体" w:eastAsia="宋体" w:cs="宋体"/>
          <w:color w:val="auto"/>
          <w:position w:val="6"/>
          <w:sz w:val="24"/>
          <w:szCs w:val="24"/>
          <w:highlight w:val="none"/>
          <w:lang w:val="zh-CN" w:eastAsia="zh-CN" w:bidi="ar-SA"/>
        </w:rPr>
        <w:t xml:space="preserve">0日内送货并安装调试完成。</w:t>
      </w:r>
      <w:r/>
    </w:p>
    <w:p>
      <w:pPr>
        <w:ind w:firstLine="480"/>
        <w:spacing w:line="360" w:lineRule="auto"/>
        <w:tabs>
          <w:tab w:val="left" w:pos="753" w:leader="none"/>
        </w:tabs>
        <w:rPr>
          <w:rFonts w:hint="eastAsia" w:ascii="宋体" w:hAnsi="宋体" w:eastAsia="宋体"/>
          <w:bCs/>
          <w:color w:val="auto"/>
          <w:szCs w:val="24"/>
          <w:highlight w:val="none"/>
          <w:lang w:val="en-US" w:eastAsia="zh-CN"/>
        </w:rPr>
      </w:pPr>
      <w:r>
        <w:rPr>
          <w:rFonts w:hint="eastAsia" w:ascii="宋体" w:hAnsi="宋体"/>
          <w:bCs/>
          <w:color w:val="auto"/>
          <w:szCs w:val="24"/>
          <w:highlight w:val="none"/>
          <w:lang w:val="en-US" w:eastAsia="zh-CN"/>
        </w:rPr>
        <w:t xml:space="preserve">9、</w:t>
      </w:r>
      <w:r>
        <w:rPr>
          <w:rFonts w:hint="eastAsia" w:ascii="宋体" w:hAnsi="宋体" w:eastAsia="宋体" w:cs="宋体"/>
          <w:b w:val="0"/>
          <w:bCs w:val="0"/>
          <w:color w:val="auto"/>
          <w:szCs w:val="24"/>
          <w:highlight w:val="none"/>
          <w:lang w:val="en-US" w:eastAsia="zh-CN"/>
        </w:rPr>
        <w:t xml:space="preserve">如有其他项目需中标人配合完成，中标人须无条件派相关工程师现场配合，直至该项目完成。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bidi="ar-SA"/>
        </w:rPr>
        <w:t xml:space="preserve">10、验收时间：</w:t>
      </w:r>
      <w:r>
        <w:rPr>
          <w:rFonts w:hint="eastAsia" w:ascii="宋体" w:hAnsi="宋体" w:eastAsia="宋体" w:cs="宋体"/>
          <w:color w:val="auto"/>
          <w:sz w:val="24"/>
          <w:szCs w:val="24"/>
          <w:highlight w:val="none"/>
          <w:lang w:eastAsia="zh-CN" w:bidi="ar-SA"/>
        </w:rPr>
        <w:t xml:space="preserve">自标的物交付之日起三十天内。特殊情况需延长的，双方应在合同的特殊条款中约定。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lang w:val="zh-CN"/>
        </w:rPr>
        <w:t xml:space="preserve">、</w:t>
      </w:r>
      <w:r>
        <w:rPr>
          <w:rFonts w:hint="eastAsia" w:ascii="宋体" w:hAnsi="宋体" w:eastAsia="宋体" w:cs="宋体"/>
          <w:color w:val="auto"/>
          <w:sz w:val="24"/>
          <w:szCs w:val="24"/>
          <w:highlight w:val="none"/>
          <w:lang w:val="en-US" w:eastAsia="zh-CN"/>
        </w:rPr>
        <w:t xml:space="preserve">交货地点：</w:t>
      </w:r>
      <w:r>
        <w:rPr>
          <w:rFonts w:hint="eastAsia" w:ascii="宋体" w:hAnsi="宋体" w:cs="宋体"/>
          <w:color w:val="auto"/>
          <w:szCs w:val="24"/>
          <w:highlight w:val="none"/>
        </w:rPr>
        <w:t xml:space="preserve">采购人指定地点。</w:t>
      </w:r>
      <w:r/>
    </w:p>
    <w:p>
      <w:pPr>
        <w:ind w:firstLine="480"/>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lang w:val="en-US" w:eastAsia="zh-CN"/>
        </w:rPr>
        <w:t xml:space="preserve">12</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4"/>
          <w:highlight w:val="none"/>
          <w:lang w:val="en-US" w:eastAsia="zh-CN"/>
        </w:rPr>
        <w:t xml:space="preserve">工业</w:t>
      </w:r>
      <w:r>
        <w:rPr>
          <w:rFonts w:hint="eastAsia" w:ascii="宋体" w:hAnsi="宋体" w:eastAsia="宋体" w:cs="宋体"/>
          <w:b/>
          <w:bCs/>
          <w:color w:val="auto"/>
          <w:szCs w:val="24"/>
          <w:highlight w:val="none"/>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hAnsi="宋体" w:cs="宋体"/>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r/>
    </w:p>
    <w:p>
      <w:pPr>
        <w:jc w:val="center"/>
        <w:spacing w:line="360" w:lineRule="auto"/>
        <w:rPr>
          <w:rFonts w:asciiTheme="minorEastAsia" w:hAnsiTheme="minorEastAsia" w:eastAsiaTheme="minorEastAsia" w:cstheme="minorEastAsia"/>
          <w:color w:val="auto"/>
          <w:szCs w:val="24"/>
          <w:highlight w:val="none"/>
        </w:rPr>
        <w:outlineLvl w:val="0"/>
      </w:pPr>
      <w:r>
        <w:rPr>
          <w:rStyle w:val="1044"/>
          <w:rFonts w:hint="eastAsia" w:asciiTheme="minorEastAsia" w:hAnsiTheme="minorEastAsia" w:eastAsiaTheme="minorEastAsia" w:cstheme="minorEastAsia"/>
          <w:color w:val="auto"/>
          <w:sz w:val="24"/>
          <w:szCs w:val="24"/>
          <w:highlight w:val="none"/>
        </w:rPr>
        <w:br w:type="page" w:clear="all"/>
      </w:r>
      <w:bookmarkStart w:id="22" w:name="_Toc32599"/>
      <w:r/>
      <w:bookmarkStart w:id="23" w:name="_Toc20348"/>
      <w:r/>
      <w:bookmarkStart w:id="24" w:name="_Toc21559"/>
      <w:r>
        <w:rPr>
          <w:rStyle w:val="1044"/>
          <w:rFonts w:hint="eastAsia" w:asciiTheme="minorEastAsia" w:hAnsiTheme="minorEastAsia" w:eastAsiaTheme="minorEastAsia" w:cstheme="minorEastAsia"/>
          <w:color w:val="auto"/>
          <w:highlight w:val="none"/>
        </w:rPr>
        <w:t xml:space="preserve">第五章 </w:t>
      </w:r>
      <w:bookmarkStart w:id="25" w:name="合同一般条款"/>
      <w:r>
        <w:rPr>
          <w:rStyle w:val="1044"/>
          <w:rFonts w:hint="eastAsia" w:asciiTheme="minorEastAsia" w:hAnsiTheme="minorEastAsia" w:eastAsiaTheme="minorEastAsia" w:cstheme="minorEastAsia"/>
          <w:color w:val="auto"/>
          <w:highlight w:val="none"/>
        </w:rPr>
        <w:t xml:space="preserve">合同主要条款</w:t>
      </w:r>
      <w:bookmarkEnd w:id="22"/>
      <w:r/>
      <w:bookmarkEnd w:id="23"/>
      <w:r/>
      <w:bookmarkEnd w:id="24"/>
      <w:r/>
      <w:bookmarkEnd w:id="25"/>
      <w:r/>
      <w:bookmarkEnd w:id="20"/>
      <w:r/>
      <w:bookmarkEnd w:id="21"/>
      <w:r/>
      <w:r/>
    </w:p>
    <w:p>
      <w:pPr>
        <w:ind w:firstLine="480"/>
        <w:jc w:val="left"/>
        <w:spacing w:line="360" w:lineRule="auto"/>
        <w:rPr>
          <w:rFonts w:hint="eastAsia" w:ascii="宋体" w:hAnsi="宋体" w:eastAsia="宋体" w:cs="宋体"/>
          <w:color w:val="auto"/>
          <w:sz w:val="24"/>
          <w:szCs w:val="24"/>
          <w:highlight w:val="none"/>
          <w:lang w:val="zh-CN" w:eastAsia="zh-CN"/>
        </w:rPr>
      </w:pPr>
      <w:r/>
      <w:bookmarkStart w:id="26" w:name="_Toc409438748"/>
      <w:r/>
      <w:bookmarkStart w:id="27" w:name="_Toc388026588"/>
      <w:r>
        <w:rPr>
          <w:rFonts w:hint="eastAsia" w:ascii="宋体" w:hAnsi="宋体" w:eastAsia="宋体" w:cs="宋体"/>
          <w:color w:val="auto"/>
          <w:sz w:val="24"/>
          <w:szCs w:val="24"/>
          <w:highlight w:val="none"/>
          <w:lang w:val="zh-CN" w:eastAsia="zh-CN"/>
        </w:rPr>
        <w:t xml:space="preserve">甲方：苏州大学附属第一医院</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住所地：苏州市姑苏区平海路899号</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邮编：215031</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联系人：张英时</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电话：13962108810</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乙方： </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住所地：</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邮编：</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联系人：</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根据采购编号</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eastAsia="zh-CN" w:bidi="ar-SA"/>
        </w:rPr>
        <w:t xml:space="preserve">号招标文件及乙方中标的投标文件和中标通知书，甲乙双方就此次成交的</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eastAsia="zh-CN" w:bidi="ar-SA"/>
        </w:rPr>
        <w:t xml:space="preserve">事宜，签订本合同书。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（一）合同一般条款</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一、合同文件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1、合同文件适用法律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适用于合同文件的法律是中华人民共和国现行法律、法规及甲方所在地的地方性法规。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2、合同文件组成和解释顺序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 合同文件的组成和解释顺序如下：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2.1.1 合同的特殊性条款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2.1.2 合同的一般性条款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2.1.3 洽商、变更等明确双方权利义务的纪要、协议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2.1.4 成交通知书、响应文件和招标文件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2.1.5 有关图纸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2.1.6 标准、规范和其它有关技术资料、技术要求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2.2 合同的特殊性条款的效力优于合同的一般性条款的效力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3、合同文件使用文字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3.1 合同文件使用中文书写、解释和说明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二、标的物的一般条款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1、完整物权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注：本项目为交钥匙工程（设备如涉及与甲方端口或设备对接或改造现场设施等，相关费用均由乙方承担）。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zh-CN" w:eastAsia="zh-CN" w:bidi="ar-SA"/>
        </w:rPr>
        <w:t xml:space="preserve">质量保证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 乙方应保证所供标的物是全新的，未使用过的，并且是非长期积压的库存商品（距离生产日期应在6个月内），完全</w:t>
      </w:r>
      <w:r>
        <w:rPr>
          <w:rFonts w:hint="eastAsia" w:ascii="宋体" w:hAnsi="宋体" w:eastAsia="宋体" w:cs="宋体"/>
          <w:color w:val="auto"/>
          <w:sz w:val="24"/>
          <w:szCs w:val="24"/>
          <w:highlight w:val="none"/>
          <w:lang w:eastAsia="zh-CN" w:bidi="ar-SA"/>
        </w:rPr>
        <w:t xml:space="preserve">符合合同规定的质量、规格和性能的要求，乙方应保证其提供的标的物在正确安装，正常使用和保养条件下，在其标明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2.3 除合同特殊条款规定外，合同条款成交的标的物的质保期均自标的物通过甲方最终验收之日起计算，若发生退回、维修或设备替换等情形，质保期自发生之日起，至标的物恢复正常使用之日止，停止计算。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2.4 乙方再次承诺严格按照招招投标文件及本合同等文件所记载内容提供服务内容，包括且不限于整体要求、各类功能要求等。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2.5 乙方承诺本合同所涉设备均与甲方要求和标准吻合，确保各类设备及设施均能正常运行，甲方无须另行添置任何设备或设施；如有，则由乙方承担全部费用，包括且不限于添置设备或设施费、改建费等。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val="zh-CN" w:eastAsia="zh-CN" w:bidi="ar-SA"/>
        </w:rPr>
        <w:t xml:space="preserve">包装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4、伴随服务（乙方对甲方待使用设施的周边配套实施等均已现场确认并认可，确保甲方无须另行添置设备或设施；且该部分费用已包括在合同总价内，甲方无须支付任何费用）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 乙方除应履行按期按量交付合格标的物的义务之外，还应提供下列服务。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4.1.1 标的物的现场安装、启动、调试、培训、验收、维护、升级、监督、更换或设备替换等，以及招招投标文件等文件所记录的服务项目；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4.1.2 提供标的物组装和一般维修所必须的工具；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4.1.3 在合同规定的期限内对所提供标的物实行运行监督、维修服务的前提条件是该服务并不能免除乙方在质保期内所承担的义务；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4.1.4 按甲方要求，对甲方技术人员进行技术指导或培训；提供系统完整专业的培训计划；提供厂家免费培训、并提供维修资料及中文的用户操作手册。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bidi="ar-SA"/>
        </w:rPr>
        <w:t xml:space="preserve">4.2 除合同另有规定之外，其他所有费用均已含在合同价款中，甲方不再另行进行支付。</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三、标的物的交付、检验和验收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1、标的物的交付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1.1 标的物的所有权自标的物交付时转移。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1.2 乙方应当按照约定的期限和约定的地点交付标的物。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1.3 乙方应当按照约定或者交易习惯向甲方交付与标的物有关的一切单证和资料。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2、检验和验收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 交货前，乙方应对标的物的各项指标进行全面检验，包括但不限于规格、性能、质量等一切可能影响合同目的实现的指标，并出具相应的检验合格证明，乙方对该检验证明的真实有效性负责。若检验证明不合格或未出具检验证明，甲方有权拒收标的物。该检验证明不作为标的物的最终检验结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2.2 交货后，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2.3 验收期限自标的物交付之日起三十天内。特殊情况需延长的，双方应在合同的特殊条款中约定。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2.4 若双方对上述任一报告的结果有异议，则由第三方专业机构进行检验，并以其检验结果为准。检验费用由有过错一方承担。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3、货物交货时，包装须完整无破损，乙方还必须提供以下材料：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3.1货物装箱清单；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3.2合格证（国产设备必须提供）；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3.3中英文技术资料；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3.4使用维修保养中文说明书；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3.5其它必备材料和必备工具等；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bidi="ar-SA"/>
        </w:rPr>
        <w:t xml:space="preserve">3.6保修单等其它必须材料。</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四、对标的物提出异议的时间和办法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1、对标的物提出异议的时间和办法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 甲方在验收过程中，应当于双方约定的检验期间内将标的物的数量或质量不符合约定的情形及处理方式以书面形式通知乙方。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 如甲方在验收期满后既不出具验收合格证明又未提出书面异议的视为乙方所交标的物符合合同规定。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bidi="ar-SA"/>
        </w:rPr>
        <w:t xml:space="preserve">1.3 乙方应在收到甲方书面异议后七天内负责处理问题，否则将视为默认甲方提出的异议和处理意见。</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五、合同价款和支付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1、合同价款和支付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 本合同的结算货币为人民币，单位元。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 乙方应按照双方签订的合同规定交货并在合同特殊条款规定的期限内持下列单据结算货款。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1.2.1 合格的销售发票；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1.2.2 甲方盖章签收后的送货回单和验收合格证明。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1.3 甲方应按合同特殊条款规定的期限和方式付款。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bidi="ar-SA"/>
        </w:rPr>
        <w:t xml:space="preserve">1.4 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六、违约责任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若实际损失超过违约金的应按照实际损失承担赔偿责任，损失赔偿范围包括但不限于守约方的直接损失、间接损失及维权支出的各项费用（诉讼费、律师费、鉴定费、保全费等）。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2、甲方违约责任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2.1 在合同生效后，甲方无正当理由要求退货的，应向乙方偿付合同总价款5%的违约金，违约金不足以补偿实际损失的，乙方有权要求甲方补足。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2.2 甲方无故逾期付款的应按照逾期付款金额的每天万分之四支付逾期付款违约金。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2.3 甲方无故违反合同规定，拒绝接收乙方交付的合格标的物，应当承担乙方由此造成的实际损失。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3、乙方违约责任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3.1 乙方有下列行为之一的，甲方有权解除合同，要求乙方返还甲方所支付的任何款项并支付合同总价款20%的违约金，违约金不足以补偿实际损失的，甲方有权要求乙方补足：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1）不能交货。乙方交货、安装、检验逾期超过15日（自然日）的，视为不能交货；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2）交付的标的物不符合投标文件及合同约定；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3）因可归责于乙方的情形导致标的物不能正常使用，致使甲方合同目的无法实现；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4）其他合同约定的违约行为，致使甲方合同目的无法实现。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注：乙方提供的货物中有不符合招标文件中的技术要求的，视为该种货物交付不合格。乙方提供的各种规格的货物中有任一种交付不合格的，视同为整个标的物的交付不合格。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SA"/>
        </w:rPr>
        <w:t xml:space="preserve">3.2 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ascii="宋体" w:hAnsi="宋体" w:eastAsia="宋体" w:cs="宋体"/>
          <w:color w:val="auto"/>
          <w:sz w:val="24"/>
          <w:szCs w:val="24"/>
          <w:highlight w:val="none"/>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4.1 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bidi="ar-SA"/>
        </w:rPr>
        <w:t xml:space="preserve">4.2 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七、索赔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1、索赔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 甲方有权根据甲方所出具的验收证明、第三方质量检验机构或其他专业机构、组织、部门出具的检验证书向乙方提出赔偿请求。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 在本合同规定的检验期和质保期内，乙方同意甲方有权按下列一种或多种方式合并解决索赔事宜：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1.2.2 根据标的物的低劣程度、损坏程度以及甲方遭受损失的数额，合并为甲方确定降低标的物的价格。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1.2.3 用符合规格、质量和性能要求的全新零件、部件或标的物来更换有缺陷的部分或修补缺陷部分，乙方应承担一切费用和风险并负担甲方所发生的一切直接费用。质保期自发生上述情形之日起，至标的物恢复正常使用之日止，停止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SA"/>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八、合同的解除和转让（除已有约定外）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1、合同的解除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 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1.1.1 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1.1.2 合同期间，因合同一方违约并无法获得守约方认可，守约方有权解除合同、违约方则退回已收款项并需承担本合同总价款30%作为违约金，并按本合同第六条承担各项违约责任；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1.2 有权解除合同的一方，可在违约事实或不可抗力发生之后三天内书面通知对方以主张解除合同，合同在书面通知寄往对方时即告解除。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 xml:space="preserve">1.3 </w:t>
      </w:r>
      <w:r>
        <w:rPr>
          <w:rFonts w:hint="eastAsia" w:ascii="宋体" w:hAnsi="宋体" w:eastAsia="宋体" w:cs="宋体"/>
          <w:color w:val="auto"/>
          <w:sz w:val="24"/>
          <w:szCs w:val="24"/>
          <w:highlight w:val="none"/>
          <w:lang w:eastAsia="zh-CN" w:bidi="ar-SA"/>
        </w:rPr>
        <w:t xml:space="preserve">本合同当事人联系信息以国家企业信用信息公示系统等查询备注地址为准</w:t>
      </w:r>
      <w:r>
        <w:rPr>
          <w:rFonts w:hint="eastAsia" w:ascii="宋体" w:hAnsi="宋体" w:eastAsia="宋体" w:cs="宋体"/>
          <w:color w:val="auto"/>
          <w:sz w:val="24"/>
          <w:szCs w:val="24"/>
          <w:highlight w:val="none"/>
          <w:lang w:eastAsia="zh-CN" w:bidi="ar-SA"/>
        </w:rPr>
        <w:t xml:space="preserve">，适用于双方往来联系、书面文件送达及争议解决时法律文书（含裁判文书）送达。</w:t>
      </w:r>
      <w:r>
        <w:rPr>
          <w:rFonts w:hint="eastAsia" w:ascii="宋体" w:hAnsi="宋体" w:eastAsia="宋体" w:cs="宋体"/>
          <w:color w:val="auto"/>
          <w:sz w:val="24"/>
          <w:szCs w:val="24"/>
          <w:highlight w:val="none"/>
          <w:lang w:eastAsia="zh-CN" w:bidi="ar-SA"/>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（二）合同特殊条款</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一、合同内容：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1、乙方负责完成甲方的</w:t>
      </w:r>
      <w:r>
        <w:rPr>
          <w:rFonts w:hint="eastAsia" w:ascii="宋体" w:hAnsi="宋体" w:eastAsia="宋体" w:cs="宋体"/>
          <w:color w:val="auto"/>
          <w:sz w:val="24"/>
          <w:szCs w:val="24"/>
          <w:highlight w:val="none"/>
          <w:u w:val="single"/>
          <w:lang w:val="zh-CN" w:eastAsia="zh-CN" w:bidi="ar-SA"/>
        </w:rPr>
        <w:t xml:space="preserve"> </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u w:val="single"/>
          <w:lang w:val="zh-CN" w:eastAsia="zh-CN" w:bidi="ar-SA"/>
        </w:rPr>
        <w:t xml:space="preserve"> </w:t>
      </w:r>
      <w:r>
        <w:rPr>
          <w:rFonts w:hint="eastAsia" w:ascii="宋体" w:hAnsi="宋体" w:eastAsia="宋体" w:cs="宋体"/>
          <w:color w:val="auto"/>
          <w:sz w:val="24"/>
          <w:szCs w:val="24"/>
          <w:highlight w:val="none"/>
          <w:lang w:val="zh-CN" w:eastAsia="zh-CN" w:bidi="ar-SA"/>
        </w:rPr>
        <w:t xml:space="preserve">，详见《标的物清单》。</w:t>
      </w:r>
      <w:r/>
    </w:p>
    <w:tbl>
      <w:tblPr>
        <w:tblStyle w:val="10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1701"/>
        <w:gridCol w:w="1276"/>
        <w:gridCol w:w="1701"/>
        <w:gridCol w:w="1701"/>
      </w:tblGrid>
      <w:tr>
        <w:trPr>
          <w:jc w:val="center"/>
          <w:trHeight w:val="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品牌型号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单价（元）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总价（元）</w:t>
            </w:r>
            <w:r/>
          </w:p>
        </w:tc>
      </w:tr>
      <w:tr>
        <w:trPr>
          <w:jc w:val="center"/>
          <w:trHeight w:val="69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r>
      <w:tr>
        <w:trPr>
          <w:jc w:val="center"/>
          <w:trHeight w:val="690"/>
        </w:trPr>
        <w:tc>
          <w:tcPr>
            <w:gridSpan w:val="6"/>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合同总价（人民币大写）：</w:t>
            </w:r>
            <w:r>
              <w:rPr>
                <w:rFonts w:hint="eastAsia" w:ascii="宋体" w:hAnsi="宋体" w:eastAsia="宋体" w:cs="宋体"/>
                <w:color w:val="auto"/>
                <w:sz w:val="24"/>
                <w:szCs w:val="24"/>
                <w:highlight w:val="none"/>
                <w:lang w:eastAsia="zh-CN" w:bidi="ar-SA"/>
              </w:rPr>
              <w:t xml:space="preserve">        </w:t>
            </w:r>
            <w:r>
              <w:rPr>
                <w:rFonts w:hint="eastAsia" w:ascii="宋体" w:hAnsi="宋体" w:eastAsia="宋体" w:cs="宋体"/>
                <w:color w:val="auto"/>
                <w:sz w:val="24"/>
                <w:szCs w:val="24"/>
                <w:highlight w:val="none"/>
                <w:lang w:val="zh-CN" w:eastAsia="zh-CN" w:bidi="ar-SA"/>
              </w:rPr>
              <w:t xml:space="preserve">整（</w:t>
            </w:r>
            <w:r>
              <w:rPr>
                <w:rFonts w:hint="eastAsia" w:ascii="宋体" w:hAnsi="宋体" w:eastAsia="宋体" w:cs="宋体"/>
                <w:color w:val="auto"/>
                <w:sz w:val="24"/>
                <w:szCs w:val="24"/>
                <w:highlight w:val="none"/>
                <w:lang w:eastAsia="zh-CN" w:bidi="ar-SA"/>
              </w:rPr>
              <w:t xml:space="preserve">含税</w:t>
            </w:r>
            <w:r>
              <w:rPr>
                <w:rFonts w:hint="eastAsia" w:ascii="宋体" w:hAnsi="宋体" w:eastAsia="宋体" w:cs="宋体"/>
                <w:color w:val="auto"/>
                <w:sz w:val="24"/>
                <w:szCs w:val="24"/>
                <w:highlight w:val="none"/>
                <w:lang w:val="zh-CN" w:eastAsia="zh-CN" w:bidi="ar-SA"/>
              </w:rPr>
              <w:t xml:space="preserve">）         （小写）：￥</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①招投标文件及中标通知书；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②</w:t>
      </w:r>
      <w:r>
        <w:rPr>
          <w:rFonts w:hint="eastAsia" w:ascii="宋体" w:hAnsi="宋体" w:eastAsia="宋体" w:cs="宋体"/>
          <w:color w:val="auto"/>
          <w:sz w:val="24"/>
          <w:szCs w:val="24"/>
          <w:highlight w:val="none"/>
          <w:lang w:val="en-US" w:eastAsia="zh-CN" w:bidi="ar-SA"/>
        </w:rPr>
        <w:t xml:space="preserve">标的物</w:t>
      </w:r>
      <w:r>
        <w:rPr>
          <w:rFonts w:hint="eastAsia" w:ascii="宋体" w:hAnsi="宋体" w:eastAsia="宋体" w:cs="宋体"/>
          <w:color w:val="auto"/>
          <w:sz w:val="24"/>
          <w:szCs w:val="24"/>
          <w:highlight w:val="none"/>
          <w:lang w:val="zh-CN" w:eastAsia="zh-CN" w:bidi="ar-SA"/>
        </w:rPr>
        <w:t xml:space="preserve">详细参数；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③合同其他附件。</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二、价格与支付：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1、合同价格按此次成交价格执行，合同总金额为人民币大写：</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val="zh-CN" w:eastAsia="zh-CN" w:bidi="ar-SA"/>
        </w:rPr>
        <w:t xml:space="preserve">元整（</w:t>
      </w:r>
      <w:r>
        <w:rPr>
          <w:rFonts w:hint="eastAsia" w:ascii="宋体" w:hAnsi="宋体" w:eastAsia="宋体" w:cs="宋体"/>
          <w:color w:val="auto"/>
          <w:sz w:val="24"/>
          <w:szCs w:val="24"/>
          <w:highlight w:val="none"/>
          <w:lang w:eastAsia="zh-CN" w:bidi="ar-SA"/>
        </w:rPr>
        <w:t xml:space="preserve">含税</w:t>
      </w:r>
      <w:r>
        <w:rPr>
          <w:rFonts w:hint="eastAsia" w:ascii="宋体" w:hAnsi="宋体" w:eastAsia="宋体" w:cs="宋体"/>
          <w:color w:val="auto"/>
          <w:sz w:val="24"/>
          <w:szCs w:val="24"/>
          <w:highlight w:val="none"/>
          <w:lang w:val="zh-CN" w:eastAsia="zh-CN" w:bidi="ar-SA"/>
        </w:rPr>
        <w:t xml:space="preserve">）（小写：￥</w:t>
      </w:r>
      <w:r>
        <w:rPr>
          <w:rFonts w:hint="eastAsia" w:ascii="宋体" w:hAnsi="宋体" w:eastAsia="宋体" w:cs="宋体"/>
          <w:color w:val="auto"/>
          <w:sz w:val="24"/>
          <w:szCs w:val="24"/>
          <w:highlight w:val="none"/>
          <w:u w:val="single"/>
          <w:lang w:eastAsia="zh-CN" w:bidi="ar-SA"/>
        </w:rPr>
        <w:t xml:space="preserve">       </w:t>
      </w:r>
      <w:r>
        <w:rPr>
          <w:rFonts w:hint="eastAsia" w:ascii="宋体" w:hAnsi="宋体" w:eastAsia="宋体" w:cs="宋体"/>
          <w:color w:val="auto"/>
          <w:sz w:val="24"/>
          <w:szCs w:val="24"/>
          <w:highlight w:val="none"/>
          <w:lang w:val="zh-CN" w:eastAsia="zh-CN" w:bidi="ar-SA"/>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2、付款方式：（由乙方进行勾选）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A、□在签订合同时，乙方明确表示需要甲方支付预付款的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采购合同签订生效后，甲方在10个工作日内向乙方支付合同金额30%的预付款。待全部货物到达甲方指定地点并安装</w:t>
      </w:r>
      <w:r>
        <w:rPr>
          <w:rFonts w:hint="eastAsia" w:ascii="宋体" w:hAnsi="宋体" w:eastAsia="宋体" w:cs="宋体"/>
          <w:color w:val="auto"/>
          <w:sz w:val="24"/>
          <w:szCs w:val="24"/>
          <w:highlight w:val="none"/>
          <w:lang w:val="en-US" w:eastAsia="zh-CN" w:bidi="ar-SA"/>
        </w:rPr>
        <w:t xml:space="preserve">调试</w:t>
      </w:r>
      <w:r>
        <w:rPr>
          <w:rFonts w:hint="eastAsia" w:ascii="宋体" w:hAnsi="宋体" w:eastAsia="宋体" w:cs="宋体"/>
          <w:color w:val="auto"/>
          <w:sz w:val="24"/>
          <w:szCs w:val="24"/>
          <w:highlight w:val="none"/>
          <w:lang w:val="zh-CN" w:eastAsia="zh-CN" w:bidi="ar-SA"/>
        </w:rPr>
        <w:t xml:space="preserve">结束，经甲方最终验收合格，并由乙方提前向甲方提供下列单据（a、b）后</w:t>
      </w:r>
      <w:r>
        <w:rPr>
          <w:rFonts w:hint="eastAsia" w:ascii="宋体" w:hAnsi="宋体" w:eastAsia="宋体" w:cs="宋体"/>
          <w:color w:val="auto"/>
          <w:sz w:val="24"/>
          <w:szCs w:val="24"/>
          <w:highlight w:val="none"/>
          <w:lang w:eastAsia="zh-CN" w:bidi="ar-SA"/>
        </w:rPr>
        <w:t xml:space="preserve">15</w:t>
      </w:r>
      <w:r>
        <w:rPr>
          <w:rFonts w:hint="eastAsia" w:ascii="宋体" w:hAnsi="宋体" w:eastAsia="宋体" w:cs="宋体"/>
          <w:color w:val="auto"/>
          <w:sz w:val="24"/>
          <w:szCs w:val="24"/>
          <w:highlight w:val="none"/>
          <w:lang w:val="zh-CN" w:eastAsia="zh-CN" w:bidi="ar-SA"/>
        </w:rPr>
        <w:t xml:space="preserve">日内，无任何异议情形下由甲方向乙方一次性付至合同总价90%，余10%在验收合格满一年后由甲方在</w:t>
      </w:r>
      <w:r>
        <w:rPr>
          <w:rFonts w:hint="eastAsia" w:ascii="宋体" w:hAnsi="宋体" w:eastAsia="宋体" w:cs="宋体"/>
          <w:color w:val="auto"/>
          <w:sz w:val="24"/>
          <w:szCs w:val="24"/>
          <w:highlight w:val="none"/>
          <w:lang w:eastAsia="zh-CN" w:bidi="ar-SA"/>
        </w:rPr>
        <w:t xml:space="preserve">15</w:t>
      </w:r>
      <w:r>
        <w:rPr>
          <w:rFonts w:hint="eastAsia" w:ascii="宋体" w:hAnsi="宋体" w:eastAsia="宋体" w:cs="宋体"/>
          <w:color w:val="auto"/>
          <w:sz w:val="24"/>
          <w:szCs w:val="24"/>
          <w:highlight w:val="none"/>
          <w:lang w:val="zh-CN" w:eastAsia="zh-CN" w:bidi="ar-SA"/>
        </w:rPr>
        <w:t xml:space="preserve">日内向乙方一次性付清。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B、☑在签订合同时，乙方明确表示无需甲方支付预付款的</w:t>
      </w:r>
      <w:r/>
    </w:p>
    <w:p>
      <w:pPr>
        <w:numPr>
          <w:ilvl w:val="0"/>
          <w:numId w:val="1"/>
        </w:num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采购合同签订生效后，</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lang w:val="zh-CN" w:eastAsia="zh-CN"/>
        </w:rPr>
        <w:t xml:space="preserve">完成</w:t>
      </w:r>
      <w:r>
        <w:rPr>
          <w:rFonts w:hint="eastAsia" w:ascii="宋体" w:hAnsi="宋体" w:eastAsia="宋体" w:cs="宋体"/>
          <w:color w:val="auto"/>
          <w:szCs w:val="21"/>
          <w:highlight w:val="none"/>
          <w:lang w:val="en-US" w:eastAsia="zh-CN"/>
        </w:rPr>
        <w:t xml:space="preserve">全部</w:t>
      </w:r>
      <w:r>
        <w:rPr>
          <w:rFonts w:hint="eastAsia" w:ascii="宋体" w:hAnsi="宋体" w:eastAsia="宋体" w:cs="宋体"/>
          <w:color w:val="auto"/>
          <w:szCs w:val="21"/>
          <w:highlight w:val="none"/>
          <w:lang w:val="zh-CN" w:eastAsia="zh-CN"/>
        </w:rPr>
        <w:t xml:space="preserve">供货并安装</w:t>
      </w:r>
      <w:r>
        <w:rPr>
          <w:rFonts w:hint="eastAsia" w:ascii="宋体" w:hAnsi="宋体" w:eastAsia="宋体" w:cs="宋体"/>
          <w:color w:val="auto"/>
          <w:szCs w:val="21"/>
          <w:highlight w:val="none"/>
          <w:lang w:val="en-US" w:eastAsia="zh-CN"/>
        </w:rPr>
        <w:t xml:space="preserve">调试</w:t>
      </w:r>
      <w:r>
        <w:rPr>
          <w:rFonts w:hint="eastAsia" w:ascii="宋体" w:hAnsi="宋体" w:eastAsia="宋体" w:cs="宋体"/>
          <w:color w:val="auto"/>
          <w:szCs w:val="21"/>
          <w:highlight w:val="none"/>
          <w:lang w:val="zh-CN" w:eastAsia="zh-CN"/>
        </w:rPr>
        <w:t xml:space="preserve">结束，</w:t>
      </w:r>
      <w:r>
        <w:rPr>
          <w:rFonts w:hint="eastAsia" w:ascii="宋体" w:hAnsi="宋体" w:eastAsia="宋体" w:cs="宋体"/>
          <w:color w:val="auto"/>
          <w:szCs w:val="21"/>
          <w:highlight w:val="none"/>
          <w:lang w:val="en-US" w:eastAsia="zh-CN"/>
        </w:rPr>
        <w:t xml:space="preserve">在乙方向甲方提供下列单据（a、b）后30日内，无任何异议情况下甲方向乙方一次支付合同货款总价的30%；试运行完成，项目通过整体验收合格并交付使用后，由乙方提前向甲方提供下列单据（b、c、d）后30日内，无任何异议情况下由甲方向乙方支付合同货款总价的60%；整个项目验收合格且正常运行12个月后无质量问题，甲方向乙方支付本项目合同总价的10%。</w:t>
      </w:r>
      <w:r/>
    </w:p>
    <w:p>
      <w:pPr>
        <w:numPr>
          <w:ilvl w:val="0"/>
          <w:numId w:val="1"/>
        </w:num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乙方在申请付款时向甲方提供以下凭据：</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a、经甲乙双方、监理公司共同签章的《初步验收报告》；</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b、符合甲方财务要求开具的合法正规的增值税普通发票；</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c</w:t>
      </w:r>
      <w:r>
        <w:rPr>
          <w:rFonts w:hint="eastAsia" w:ascii="宋体" w:hAnsi="宋体" w:eastAsia="宋体" w:cs="宋体"/>
          <w:color w:val="auto"/>
          <w:szCs w:val="21"/>
          <w:highlight w:val="none"/>
          <w:lang w:val="en-US" w:eastAsia="zh-CN"/>
        </w:rPr>
        <w:t xml:space="preserve">、经甲乙双方、监理公司及招标代理机构共同签章的《项目验收报告》；</w:t>
      </w:r>
      <w:r/>
    </w:p>
    <w:p>
      <w:pPr>
        <w:ind w:firstLine="48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d</w:t>
      </w:r>
      <w:r>
        <w:rPr>
          <w:rFonts w:hint="eastAsia" w:ascii="宋体" w:hAnsi="宋体" w:eastAsia="宋体" w:cs="宋体"/>
          <w:color w:val="auto"/>
          <w:szCs w:val="21"/>
          <w:highlight w:val="none"/>
          <w:lang w:val="en-US" w:eastAsia="zh-CN"/>
        </w:rPr>
        <w:t xml:space="preserve">、其他(若有)。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3、付款方式：银行汇票或转</w:t>
      </w:r>
      <w:r>
        <w:rPr>
          <w:rFonts w:hint="eastAsia" w:ascii="宋体" w:hAnsi="宋体" w:eastAsia="宋体" w:cs="宋体"/>
          <w:color w:val="auto"/>
          <w:sz w:val="24"/>
          <w:szCs w:val="24"/>
          <w:highlight w:val="none"/>
          <w:lang w:val="en-US" w:eastAsia="zh-CN" w:bidi="ar-SA"/>
        </w:rPr>
        <w:t xml:space="preserve">账</w:t>
      </w:r>
      <w:r>
        <w:rPr>
          <w:rFonts w:hint="eastAsia" w:ascii="宋体" w:hAnsi="宋体" w:eastAsia="宋体" w:cs="宋体"/>
          <w:color w:val="auto"/>
          <w:sz w:val="24"/>
          <w:szCs w:val="24"/>
          <w:highlight w:val="none"/>
          <w:lang w:val="zh-CN" w:eastAsia="zh-CN" w:bidi="ar-SA"/>
        </w:rPr>
        <w:t xml:space="preserve">支票。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三、质量与验收：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1、乙方应按照招投标文件的相关要求招投标文件提供合格产品；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2、产品质量出现问题或使用过程中出现故障等，乙方负责及时包修、包退、包换或全新替代设备、确保甲方正常运营，费用均由乙方承担；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3、产品的验收包括：数量、外观、质量、性能、质保单、品牌标志、包装和乙方承诺的其它指标；验收后使用阶段，甲方仍有权按本合同（一）合同一般条款</w:t>
      </w:r>
      <w:r>
        <w:rPr>
          <w:rFonts w:hint="eastAsia" w:ascii="宋体" w:hAnsi="宋体" w:eastAsia="宋体" w:cs="宋体"/>
          <w:color w:val="auto"/>
          <w:sz w:val="24"/>
          <w:szCs w:val="24"/>
          <w:highlight w:val="none"/>
          <w:lang w:eastAsia="zh-CN" w:bidi="ar-SA"/>
        </w:rPr>
        <w:t xml:space="preserve">中</w:t>
      </w:r>
      <w:r>
        <w:rPr>
          <w:rFonts w:hint="eastAsia" w:ascii="宋体" w:hAnsi="宋体" w:eastAsia="宋体" w:cs="宋体"/>
          <w:color w:val="auto"/>
          <w:sz w:val="24"/>
          <w:szCs w:val="24"/>
          <w:highlight w:val="none"/>
          <w:lang w:val="zh-CN" w:eastAsia="zh-CN" w:bidi="ar-SA"/>
        </w:rPr>
        <w:t xml:space="preserve">第二条及第四条等约定主张各项权利。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4、验收标准：根据招投标文件要求及有关规定并按国家最新行业标准确保甲方验收通过；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bidi="ar-SA"/>
        </w:rPr>
        <w:t xml:space="preserve">5、乙方交付及验收前均应先用书面等方式通告甲方。</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四、售后服务</w:t>
      </w:r>
      <w:r>
        <w:rPr>
          <w:rFonts w:hint="eastAsia" w:ascii="宋体" w:hAnsi="宋体" w:eastAsia="宋体" w:cs="宋体"/>
          <w:color w:val="auto"/>
          <w:sz w:val="24"/>
          <w:szCs w:val="24"/>
          <w:highlight w:val="none"/>
          <w:lang w:val="zh-CN" w:eastAsia="zh-CN" w:bidi="ar-SA"/>
        </w:rPr>
        <w:t xml:space="preserve">（乙方承诺严格按招投标文件等“售后服务要求”提供全部服务；售后服务费用已包括在总费用内，甲方无须另行支付其他任何费用）</w:t>
      </w:r>
      <w:r>
        <w:rPr>
          <w:rFonts w:hint="eastAsia" w:ascii="宋体" w:hAnsi="宋体" w:eastAsia="宋体" w:cs="宋体"/>
          <w:b/>
          <w:bCs/>
          <w:color w:val="auto"/>
          <w:sz w:val="24"/>
          <w:szCs w:val="24"/>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1、质保期：乙方承诺提供硬件5年质保及技术支持服务</w:t>
      </w:r>
      <w:r>
        <w:rPr>
          <w:rFonts w:hint="eastAsia" w:ascii="宋体" w:hAnsi="宋体" w:eastAsia="宋体" w:cs="宋体"/>
          <w:color w:val="auto"/>
          <w:sz w:val="24"/>
          <w:szCs w:val="24"/>
          <w:highlight w:val="none"/>
          <w:lang w:val="zh-CN" w:eastAsia="zh-CN" w:bidi="ar-SA"/>
        </w:rPr>
        <w:t xml:space="preserve">（质保期自甲方验收合格日起计算；合同期间若发生退回、维修或设备替换等情形，质保期自发生之日起，至标的物恢复正常使用之日止，停止计算。）在免费维护期内，乙方应成立专门的技术支持和售后服务小组，提供完善周到的本地化服务，提供7*24小时免费维修服务热线，设备一旦发生故障，报修后30分钟响应，48小时内到达现场，72小时内</w:t>
      </w:r>
      <w:r>
        <w:rPr>
          <w:rFonts w:hint="eastAsia" w:ascii="宋体" w:hAnsi="宋体" w:eastAsia="宋体" w:cs="宋体"/>
          <w:color w:val="auto"/>
          <w:sz w:val="24"/>
          <w:szCs w:val="24"/>
          <w:highlight w:val="none"/>
          <w:lang w:val="zh-CN" w:eastAsia="zh-CN" w:bidi="ar-SA"/>
        </w:rPr>
        <w:t xml:space="preserve">排除故障，72小时内无法排除故障的，须允诺提供备用设备，具体赔偿条件：72小时内设备未能修复、不能正常运行时，每超过1天免费质保期延长1周。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2、提供专业的技术培训（操作、维修），保证甲方操作人员正常使用设备的各项功能。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3、在质保期内，乙方承诺无偿并迅速更换由于元器件缺陷及工艺等问题而发生故障的产品，并对因维修、保养，更换零部件等所发生的一切费用，均由乙方承担。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4、如有其他项目需乙方配合完成，乙方须无条件派相关工程师现场配合，直至该项目完成，对此甲方无须承担任何费用。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6、质保期后维保价格不超过合同总价的5%；免费质保期后，甲方可以在任意年度或时间段购买、投保，没有连续续签的要求，乙方对此予以认可及接受、并承担设备更新迭代的相关费用。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7、乙方应提供软件版本免费升级服务（在不涉及硬件情况下）。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乙方不得以“密码”制约用户。如用户工作和维修需要，应无条件免费开放密码。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乙方产品对甲方以后设备、系统永久无偿开放。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如发生乙方怠于提供上述义务而导致甲方损失等,甲方有权要求乙方予以赔偿。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ascii="宋体" w:hAnsi="宋体" w:eastAsia="宋体" w:cs="宋体"/>
          <w:color w:val="auto"/>
          <w:sz w:val="24"/>
          <w:szCs w:val="24"/>
          <w:highlight w:val="none"/>
          <w:lang w:eastAsia="zh-CN" w:bidi="ar-SA"/>
        </w:rPr>
        <w:t xml:space="preserve">中</w:t>
      </w:r>
      <w:r>
        <w:rPr>
          <w:rFonts w:hint="eastAsia" w:ascii="宋体" w:hAnsi="宋体" w:eastAsia="宋体" w:cs="宋体"/>
          <w:color w:val="auto"/>
          <w:sz w:val="24"/>
          <w:szCs w:val="24"/>
          <w:highlight w:val="none"/>
          <w:lang w:val="zh-CN" w:eastAsia="zh-CN" w:bidi="ar-SA"/>
        </w:rPr>
        <w:t xml:space="preserve">第六条的约定主张全部违约责任。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bidi="ar-SA"/>
        </w:rPr>
        <w:t xml:space="preserve">8、甲方如有其他项目需乙方配合完成，乙方须无条件免费派相关工程师现场配合，直至该项目完成。</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五、交货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1、交货要求：在合同签订生效后</w:t>
      </w:r>
      <w:r>
        <w:rPr>
          <w:rFonts w:hint="default"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0日内送货并安装调试完成。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2、交货地点：甲方指定地点。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3、乙方须在交货时向甲方出具满足质保期要求的质保证明文件，否则甲方有权终止合同并由乙方承担因此带来的一切损失。</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六、违约责任：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违约责任按合同一般条款第六条执</w:t>
      </w:r>
      <w:r>
        <w:rPr>
          <w:rFonts w:hint="eastAsia" w:ascii="宋体" w:hAnsi="宋体" w:eastAsia="宋体" w:cs="宋体"/>
          <w:color w:val="auto"/>
          <w:sz w:val="24"/>
          <w:szCs w:val="24"/>
          <w:highlight w:val="none"/>
          <w:lang w:val="zh-CN" w:eastAsia="zh-CN" w:bidi="ar-SA"/>
        </w:rPr>
        <w:t xml:space="preserve">行。</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eastAsia="zh-CN" w:bidi="ar-SA"/>
        </w:rPr>
        <w:t xml:space="preserve">七、争议解决办法：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若因本合同或与本合同有关的一切事项发生争议，首先由双方友好协商解决。如协商不成的，任何一方均可向甲方所在地的人民法院起诉。</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eastAsia="zh-CN" w:bidi="ar-SA"/>
        </w:rPr>
        <w:t xml:space="preserve">八</w:t>
      </w:r>
      <w:r>
        <w:rPr>
          <w:rFonts w:hint="eastAsia" w:ascii="宋体" w:hAnsi="宋体" w:eastAsia="宋体" w:cs="宋体"/>
          <w:b/>
          <w:bCs/>
          <w:color w:val="auto"/>
          <w:sz w:val="24"/>
          <w:szCs w:val="24"/>
          <w:highlight w:val="none"/>
          <w:lang w:val="zh-CN" w:eastAsia="zh-CN" w:bidi="ar-SA"/>
        </w:rPr>
        <w:t xml:space="preserve">、合同生效及其它：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eastAsia="zh-CN" w:bidi="ar-SA"/>
        </w:rPr>
        <w:t xml:space="preserve">本合同经双方法定(授权)代表人签字(或盖章)并盖单位公章(合同章)后生效。</w:t>
      </w:r>
      <w:r>
        <w:rPr>
          <w:rFonts w:hint="eastAsia" w:ascii="宋体" w:hAnsi="宋体" w:eastAsia="宋体" w:cs="宋体"/>
          <w:color w:val="auto"/>
          <w:sz w:val="24"/>
          <w:szCs w:val="24"/>
          <w:highlight w:val="none"/>
          <w:lang w:val="zh-CN" w:eastAsia="zh-CN" w:bidi="ar-SA"/>
        </w:rPr>
        <w:t xml:space="preserve">本合同一式五份，甲方三份，乙方一份，</w:t>
      </w:r>
      <w:r>
        <w:rPr>
          <w:rFonts w:hint="eastAsia" w:ascii="宋体" w:hAnsi="宋体" w:eastAsia="宋体" w:cs="宋体"/>
          <w:color w:val="auto"/>
          <w:sz w:val="24"/>
          <w:szCs w:val="24"/>
          <w:highlight w:val="none"/>
          <w:lang w:val="zh-CN" w:eastAsia="zh-CN" w:bidi="ar-SA"/>
        </w:rPr>
        <w:t xml:space="preserve">招标代理机构</w:t>
      </w:r>
      <w:r>
        <w:rPr>
          <w:rFonts w:hint="eastAsia" w:ascii="宋体" w:hAnsi="宋体" w:eastAsia="宋体" w:cs="宋体"/>
          <w:color w:val="auto"/>
          <w:sz w:val="24"/>
          <w:szCs w:val="24"/>
          <w:highlight w:val="none"/>
          <w:lang w:val="zh-CN" w:eastAsia="zh-CN" w:bidi="ar-SA"/>
        </w:rPr>
        <w:t xml:space="preserve">一份。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2、本合同在执行过程中出现的未尽事宜，双方在不违背本合同和招标文件的原则下协商解决，协商一致后另行订立书面补充协议，作为本合同的附件，与本合同具有同等效力。</w:t>
      </w:r>
      <w:r/>
    </w:p>
    <w:p>
      <w:pPr>
        <w:ind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【以下无正文】</w:t>
      </w:r>
      <w:r/>
    </w:p>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br w:type="page" w:clear="all"/>
      </w:r>
      <w:r>
        <w:rPr>
          <w:rFonts w:hint="eastAsia" w:ascii="宋体" w:hAnsi="宋体" w:eastAsia="宋体" w:cs="宋体"/>
          <w:color w:val="auto"/>
          <w:sz w:val="24"/>
          <w:szCs w:val="24"/>
          <w:highlight w:val="none"/>
          <w:lang w:bidi="en-US"/>
        </w:rPr>
        <w:t xml:space="preserve">【合同签署页】</w:t>
      </w:r>
      <w:r/>
    </w:p>
    <w:tbl>
      <w:tblPr>
        <w:tblStyle w:val="1016"/>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423"/>
        <w:gridCol w:w="2015"/>
        <w:gridCol w:w="1533"/>
        <w:gridCol w:w="236"/>
        <w:gridCol w:w="1526"/>
        <w:gridCol w:w="2983"/>
      </w:tblGrid>
      <w:tr>
        <w:trPr>
          <w:trHeight w:val="523" w:hRule="exact"/>
        </w:trPr>
        <w:tc>
          <w:tcPr>
            <w:gridSpan w:val="3"/>
            <w:tcW w:w="4971"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trHeight w:val="523"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548"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26" w:type="dxa"/>
            <w:vAlign w:val="center"/>
            <w:vMerge w:val="restart"/>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left="0"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1102"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548"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26" w:type="dxa"/>
            <w:vAlign w:val="center"/>
            <w:vMerge w:val="restart"/>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left="0"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9"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法人代表</w:t>
            </w:r>
            <w:r>
              <w:rPr>
                <w:rFonts w:hint="eastAsia" w:ascii="宋体" w:hAnsi="宋体" w:eastAsia="宋体" w:cs="宋体"/>
                <w:color w:val="auto"/>
                <w:sz w:val="24"/>
                <w:szCs w:val="24"/>
                <w:highlight w:val="none"/>
                <w:lang w:eastAsia="zh-CN"/>
              </w:rPr>
              <w:t xml:space="preserve">（签章）</w:t>
            </w:r>
            <w:r/>
          </w:p>
        </w:tc>
        <w:tc>
          <w:tcPr>
            <w:gridSpan w:val="2"/>
            <w:tcW w:w="3548" w:type="dxa"/>
            <w:vAlign w:val="center"/>
            <w:textDirection w:val="lrTb"/>
            <w:noWrap w:val="false"/>
          </w:tcPr>
          <w:p>
            <w:pPr>
              <w:ind w:firstLine="480"/>
              <w:jc w:val="cente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center"/>
            <w:vMerge w:val="restart"/>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rPr>
                <w:rFonts w:hint="eastAsia" w:ascii="宋体" w:hAnsi="宋体" w:eastAsia="宋体" w:cs="宋体"/>
                <w:color w:val="auto"/>
                <w:sz w:val="24"/>
                <w:szCs w:val="24"/>
                <w:highlight w:val="none"/>
                <w:lang w:eastAsia="zh-CN"/>
              </w:rPr>
              <w:t xml:space="preserve">（签章）</w:t>
            </w:r>
            <w:r/>
          </w:p>
        </w:tc>
        <w:tc>
          <w:tcPr>
            <w:tcW w:w="2983" w:type="dxa"/>
            <w:vAlign w:val="center"/>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13" w:hRule="exact"/>
        </w:trPr>
        <w:tc>
          <w:tcPr>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548"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center"/>
            <w:vMerge w:val="restart"/>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10"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548"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center"/>
            <w:vMerge w:val="restart"/>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left="0"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32"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账号</w:t>
            </w:r>
            <w:r>
              <w:rPr>
                <w:rFonts w:hint="eastAsia" w:ascii="宋体" w:hAnsi="宋体" w:eastAsia="宋体" w:cs="宋体"/>
                <w:color w:val="auto"/>
                <w:sz w:val="24"/>
                <w:szCs w:val="24"/>
                <w:highlight w:val="none"/>
                <w:lang w:eastAsia="zh-CN"/>
              </w:rPr>
              <w:t xml:space="preserve">：</w:t>
            </w:r>
            <w:r/>
          </w:p>
        </w:tc>
        <w:tc>
          <w:tcPr>
            <w:gridSpan w:val="2"/>
            <w:tcW w:w="3548"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center"/>
            <w:vMerge w:val="restart"/>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账号</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left="0"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92"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2015"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26"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83"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285" w:hRule="exact"/>
        </w:trPr>
        <w:tc>
          <w:tcPr>
            <w:tcW w:w="142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2015"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26"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83"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8" w:hRule="exact"/>
        </w:trPr>
        <w:tc>
          <w:tcPr>
            <w:tcBorders>
              <w:bottom w:val="none" w:color="000000" w:sz="4" w:space="0"/>
            </w:tcBorders>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2015"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33"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26"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83"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8" w:hRule="exact"/>
        </w:trPr>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784" w:type="dxa"/>
            <w:vAlign w:val="center"/>
            <w:textDirection w:val="lrTb"/>
            <w:noWrap w:val="false"/>
          </w:tcPr>
          <w:p>
            <w:pPr>
              <w:ind w:firstLine="480"/>
              <w:keepLines w:val="0"/>
              <w:keepNext w:val="0"/>
              <w:pageBreakBefore w:val="0"/>
              <w:spacing w:before="120" w:line="360" w:lineRule="auto"/>
              <w:widowControl w:val="off"/>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keepLines w:val="0"/>
              <w:keepNext w:val="0"/>
              <w:pageBreakBefore w:val="0"/>
              <w:spacing w:before="1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pStyle w:val="10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附件一：保密协议</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附件二：标的物详细参数</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附件三：项目服务人员名单</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29"/>
        <w:ind w:left="0" w:firstLine="0"/>
        <w:jc w:val="left"/>
        <w:rPr>
          <w:rFonts w:ascii="Times New Roman" w:hAnsi="Times New Roman" w:eastAsia="Times New Roman" w:cs="Times New Roman"/>
          <w:color w:val="auto"/>
          <w:sz w:val="24"/>
          <w:szCs w:val="24"/>
          <w:highlight w:val="none"/>
          <w:lang w:eastAsia="en-US" w:bidi="en-US"/>
        </w:rPr>
      </w:pPr>
      <w:r>
        <w:rPr>
          <w:rFonts w:hint="eastAsia" w:ascii="Times New Roman" w:hAnsi="Times New Roman" w:eastAsia="宋体" w:cs="Times New Roman"/>
          <w:color w:val="auto"/>
          <w:spacing w:val="0"/>
          <w:sz w:val="24"/>
          <w:szCs w:val="24"/>
          <w:highlight w:val="none"/>
          <w:lang w:val="en-US" w:eastAsia="zh-CN" w:bidi="en-US"/>
        </w:rPr>
        <w:t xml:space="preserve">附件一：</w:t>
      </w:r>
      <w:r/>
    </w:p>
    <w:p>
      <w:pPr>
        <w:jc w:val="center"/>
        <w:widowControl/>
        <w:rPr>
          <w:rFonts w:ascii="宋体" w:hAnsi="宋体" w:eastAsia="宋体" w:cs="宋体"/>
          <w:b/>
          <w:bCs/>
          <w:color w:val="auto"/>
          <w:sz w:val="28"/>
          <w:szCs w:val="28"/>
          <w:highlight w:val="none"/>
          <w:lang w:bidi="en-US"/>
        </w:rPr>
      </w:pPr>
      <w:r>
        <w:rPr>
          <w:rFonts w:hint="eastAsia" w:ascii="宋体" w:hAnsi="宋体" w:eastAsia="宋体" w:cs="宋体"/>
          <w:b/>
          <w:bCs/>
          <w:color w:val="auto"/>
          <w:sz w:val="28"/>
          <w:szCs w:val="28"/>
          <w:highlight w:val="none"/>
        </w:rPr>
        <w:t xml:space="preserve">保密协议</w:t>
      </w:r>
      <w:r/>
    </w:p>
    <w:p>
      <w:pPr>
        <w:ind w:firstLine="480"/>
        <w:jc w:val="left"/>
        <w:spacing w:line="360" w:lineRule="auto"/>
        <w:widowControl/>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甲方（披露方）：苏州大学附属第一医院</w:t>
      </w:r>
      <w:r/>
    </w:p>
    <w:p>
      <w:pPr>
        <w:ind w:firstLine="480"/>
        <w:jc w:val="left"/>
        <w:spacing w:line="360" w:lineRule="auto"/>
        <w:widowControl/>
        <w:rPr>
          <w:rFonts w:hint="default" w:ascii="宋体" w:hAnsi="宋体" w:eastAsia="宋体" w:cs="宋体"/>
          <w:color w:val="auto"/>
          <w:sz w:val="24"/>
          <w:szCs w:val="24"/>
          <w:highlight w:val="none"/>
          <w:u w:val="single"/>
          <w:lang w:val="en-US" w:eastAsia="zh-CN" w:bidi="en-US"/>
        </w:rPr>
      </w:pPr>
      <w:r>
        <w:rPr>
          <w:rFonts w:hint="eastAsia" w:ascii="宋体" w:hAnsi="宋体" w:eastAsia="宋体" w:cs="宋体"/>
          <w:color w:val="auto"/>
          <w:sz w:val="24"/>
          <w:szCs w:val="24"/>
          <w:highlight w:val="none"/>
          <w:u w:val="single"/>
        </w:rPr>
        <w:t xml:space="preserve">乙方（接收方）：</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为加强甲方信息技术资料和数据的保密管理，双方根据国家有关法律法规，本着平等、自愿、协商一致、诚实信用的原则，就乙方为甲方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项目/系统（下称项目）等工作中的保密事宜达成如下协议：</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一、保密信息</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（一）在项目中所涉及的项目设计、图片、开发工具、流程图、工程设计图、计算机程序、数据、专利技术、招标文件等内容。</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（二）甲方在合同项目实施中为乙方及乙方工作人员提供必要的数据、程序、用户名、口令和资料等；</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（三）甲方应用软件在方案调研、开发阶段中涉及的业务及技术文档，包括税收政策、方案设计细节、程序文件、数据结构，以及相关业务系统的硬软件、文档、测试和测试产生的数据等；</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（四）甲方的运营以及患者信息；</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（五）其他甲方合理认为，并告知乙方属于保密的内容。</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w:t>
      </w:r>
      <w:r>
        <w:rPr>
          <w:rFonts w:hint="eastAsia" w:ascii="宋体" w:hAnsi="宋体" w:eastAsia="宋体" w:cs="宋体"/>
          <w:color w:val="auto"/>
          <w:sz w:val="24"/>
          <w:szCs w:val="24"/>
          <w:highlight w:val="none"/>
        </w:rPr>
        <w:t xml:space="preserve">的；就甲方未标明或未告知乙方为“保密”的信息或是乙方无法确定是否为“保密”的甲方信息，乙方需先向甲方确认后方可披露。</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二、保密范围</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（一）甲方已有的技术秘密以及上述第一条项下的保密信息；</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（二）乙方持有的科研成果和技术秘密，经双方协商，乙方同意被甲方使用的。</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三、保密条款</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（一）乙方应严格保守甲方的有关保密信息，不得以其他任何手段谋取私利，损害甲方的利益。</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（二）未经甲方书面许可，乙方不得以任何名义向有关单位或个人泄露甲方保密信息。</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（三）未经甲方书面许可，甲方的技术资料、技术成果乙方无权利用在其他项目上。</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（四）未经甲方书面许可，乙方不得对有关保密信息进行修改、补充、复制。</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（五）未经甲方书面许可，不得将保密信息以任何方式（如E-mail或微信等电子方式）携带出甲方场所。</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四．保密信息的所有权</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以上所提及的保密信息均为甲方所有。</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五．保密期限</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（一）本协议的保密期限为永久；</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（二）在本协议失效后，如果本协议中包括的某些保密信息并未失去保密性的，本协议仍对这些未失去保密性的信息发生效力，约束双方的行为。</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六、关系限制</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本协议不作为双方建立任何合作关系或其他业务关系的依据。</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七、违约责任</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八、争议解决</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因本合同产生的任何争议，应由双方友好协商解决。协商不成的，任何一方均可以向甲方所在地人民法院起诉。</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九、其他事项</w:t>
      </w:r>
      <w:r/>
    </w:p>
    <w:p>
      <w:pPr>
        <w:ind w:firstLine="480"/>
        <w:jc w:val="left"/>
        <w:spacing w:line="360" w:lineRule="auto"/>
        <w:widowControl w:val="off"/>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en-US"/>
        </w:rPr>
        <w:t xml:space="preserve">（一）本协议</w:t>
      </w:r>
      <w:r>
        <w:rPr>
          <w:rFonts w:hint="eastAsia" w:ascii="宋体" w:hAnsi="宋体" w:eastAsia="宋体" w:cs="宋体"/>
          <w:color w:val="auto"/>
          <w:sz w:val="24"/>
          <w:szCs w:val="24"/>
          <w:highlight w:val="none"/>
          <w:lang w:val="zh-CN"/>
        </w:rPr>
        <w:t xml:space="preserve">一式</w:t>
      </w:r>
      <w:r>
        <w:rPr>
          <w:rFonts w:hint="eastAsia" w:ascii="宋体" w:hAnsi="宋体" w:eastAsia="宋体" w:cs="宋体"/>
          <w:color w:val="auto"/>
          <w:sz w:val="24"/>
          <w:szCs w:val="24"/>
          <w:highlight w:val="none"/>
          <w:u w:val="single"/>
          <w:lang w:val="zh-CN"/>
        </w:rPr>
        <w:t xml:space="preserve">伍</w:t>
      </w:r>
      <w:r>
        <w:rPr>
          <w:rFonts w:hint="eastAsia" w:ascii="宋体" w:hAnsi="宋体" w:eastAsia="宋体" w:cs="宋体"/>
          <w:color w:val="auto"/>
          <w:sz w:val="24"/>
          <w:szCs w:val="24"/>
          <w:highlight w:val="none"/>
          <w:lang w:val="zh-CN"/>
        </w:rPr>
        <w:t xml:space="preserve">份，甲方</w:t>
      </w:r>
      <w:r>
        <w:rPr>
          <w:rFonts w:hint="eastAsia" w:ascii="宋体" w:hAnsi="宋体" w:eastAsia="宋体" w:cs="宋体"/>
          <w:color w:val="auto"/>
          <w:sz w:val="24"/>
          <w:szCs w:val="24"/>
          <w:highlight w:val="none"/>
          <w:u w:val="single"/>
          <w:lang w:val="zh-CN"/>
        </w:rPr>
        <w:t xml:space="preserve">叁</w:t>
      </w:r>
      <w:r>
        <w:rPr>
          <w:rFonts w:hint="eastAsia" w:ascii="宋体" w:hAnsi="宋体" w:eastAsia="宋体" w:cs="宋体"/>
          <w:color w:val="auto"/>
          <w:sz w:val="24"/>
          <w:szCs w:val="24"/>
          <w:highlight w:val="none"/>
          <w:lang w:val="zh-CN"/>
        </w:rPr>
        <w:t xml:space="preserve">份，乙方</w:t>
      </w:r>
      <w:r>
        <w:rPr>
          <w:rFonts w:hint="eastAsia" w:ascii="宋体" w:hAnsi="宋体" w:eastAsia="宋体" w:cs="宋体"/>
          <w:color w:val="auto"/>
          <w:sz w:val="24"/>
          <w:szCs w:val="24"/>
          <w:highlight w:val="none"/>
          <w:u w:val="single"/>
          <w:lang w:val="zh-CN"/>
        </w:rPr>
        <w:t xml:space="preserve">壹</w:t>
      </w:r>
      <w:r>
        <w:rPr>
          <w:rFonts w:hint="eastAsia" w:ascii="宋体" w:hAnsi="宋体" w:eastAsia="宋体" w:cs="宋体"/>
          <w:color w:val="auto"/>
          <w:sz w:val="24"/>
          <w:szCs w:val="24"/>
          <w:highlight w:val="none"/>
          <w:lang w:val="zh-CN"/>
        </w:rPr>
        <w:t xml:space="preserve">份，招标代理机构</w:t>
      </w:r>
      <w:r>
        <w:rPr>
          <w:rFonts w:hint="eastAsia" w:ascii="宋体" w:hAnsi="宋体" w:eastAsia="宋体" w:cs="宋体"/>
          <w:color w:val="auto"/>
          <w:sz w:val="24"/>
          <w:szCs w:val="24"/>
          <w:highlight w:val="none"/>
          <w:u w:val="single"/>
          <w:lang w:val="zh-CN"/>
        </w:rPr>
        <w:t xml:space="preserve">壹</w:t>
      </w:r>
      <w:r>
        <w:rPr>
          <w:rFonts w:hint="eastAsia" w:ascii="宋体" w:hAnsi="宋体" w:eastAsia="宋体" w:cs="宋体"/>
          <w:color w:val="auto"/>
          <w:sz w:val="24"/>
          <w:szCs w:val="24"/>
          <w:highlight w:val="none"/>
          <w:lang w:val="zh-CN"/>
        </w:rPr>
        <w:t xml:space="preserve">份</w:t>
      </w:r>
      <w:r>
        <w:rPr>
          <w:rFonts w:hint="eastAsia" w:ascii="宋体" w:hAnsi="宋体" w:eastAsia="宋体" w:cs="宋体"/>
          <w:color w:val="auto"/>
          <w:sz w:val="24"/>
          <w:szCs w:val="24"/>
          <w:highlight w:val="none"/>
          <w:lang w:bidi="en-US"/>
        </w:rPr>
        <w:t xml:space="preserve">，各</w:t>
      </w:r>
      <w:r>
        <w:rPr>
          <w:rFonts w:hint="eastAsia" w:ascii="宋体" w:hAnsi="宋体" w:eastAsia="宋体" w:cs="宋体"/>
          <w:color w:val="auto"/>
          <w:sz w:val="24"/>
          <w:szCs w:val="24"/>
          <w:highlight w:val="none"/>
        </w:rPr>
        <w:t xml:space="preserve">份协议具有同等法律效力。</w:t>
      </w:r>
      <w:r/>
    </w:p>
    <w:p>
      <w:pPr>
        <w:ind w:firstLine="480"/>
        <w:jc w:val="left"/>
        <w:spacing w:line="360" w:lineRule="auto"/>
        <w:widowControl/>
        <w:rPr>
          <w:rFonts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rPr>
        <w:t xml:space="preserve">（二）本协议未尽事宜，由甲乙双方协商解决。</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（三）本协议自甲、乙双方盖章之日起生效。</w:t>
      </w:r>
      <w:r/>
    </w:p>
    <w:p>
      <w:pPr>
        <w:ind w:firstLine="482"/>
        <w:jc w:val="center"/>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【以下无正文】</w:t>
      </w:r>
      <w:r/>
    </w:p>
    <w:p>
      <w:pPr>
        <w:ind w:firstLine="482"/>
        <w:jc w:val="center"/>
        <w:spacing w:line="360" w:lineRule="auto"/>
        <w:widowControl/>
        <w:rPr>
          <w:rFonts w:ascii="宋体" w:hAnsi="宋体" w:eastAsia="宋体" w:cs="Times New Roman"/>
          <w:b/>
          <w:bCs/>
          <w:color w:val="auto"/>
          <w:sz w:val="24"/>
          <w:szCs w:val="24"/>
          <w:highlight w:val="none"/>
          <w:lang w:bidi="en-US"/>
        </w:rPr>
      </w:pPr>
      <w:r>
        <w:rPr>
          <w:rFonts w:hint="eastAsia" w:ascii="宋体" w:hAnsi="宋体" w:eastAsia="宋体" w:cs="Times New Roman"/>
          <w:b/>
          <w:bCs/>
          <w:color w:val="auto"/>
          <w:sz w:val="24"/>
          <w:szCs w:val="24"/>
          <w:highlight w:val="none"/>
        </w:rPr>
        <w:t xml:space="preserve">【协议签署页】</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widowControl/>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苏州大学附属第一医院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widowControl/>
        <w:rPr>
          <w:rFonts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ind w:firstLine="480"/>
        <w:jc w:val="center"/>
        <w:spacing w:line="360" w:lineRule="auto"/>
        <w:rPr>
          <w:rFonts w:asciiTheme="minorEastAsia" w:hAnsiTheme="minorEastAsia" w:eastAsiaTheme="minorEastAsia" w:cstheme="minorEastAsia"/>
          <w:color w:val="auto"/>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28" w:name="_Toc13329"/>
      <w:r/>
      <w:bookmarkStart w:id="29" w:name="_Toc24617"/>
      <w:r/>
      <w:bookmarkStart w:id="30" w:name="_Toc21166"/>
      <w:r>
        <w:rPr>
          <w:rStyle w:val="1040"/>
          <w:rFonts w:hint="eastAsia" w:asciiTheme="minorEastAsia" w:hAnsiTheme="minorEastAsia" w:eastAsiaTheme="minorEastAsia" w:cstheme="minorEastAsia"/>
          <w:color w:val="auto"/>
          <w:sz w:val="44"/>
          <w:szCs w:val="44"/>
          <w:highlight w:val="none"/>
        </w:rPr>
        <w:t xml:space="preserve">第六章 评标办法及标准</w:t>
      </w:r>
      <w:bookmarkEnd w:id="26"/>
      <w:r/>
      <w:bookmarkEnd w:id="27"/>
      <w:r/>
      <w:bookmarkEnd w:id="28"/>
      <w:r/>
      <w:bookmarkEnd w:id="29"/>
      <w:r/>
      <w:bookmarkEnd w:id="30"/>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4、如出现评标总得分最高的投标人有两个或两个以上的，以投标报价较低者优先作为中标候选人，如果投标报价也相同的，则由</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宋体" w:hAnsi="宋体" w:eastAsia="宋体" w:cs="宋体"/>
          <w:color w:val="auto"/>
          <w:sz w:val="24"/>
          <w:szCs w:val="24"/>
          <w:highlight w:val="none"/>
        </w:rPr>
        <w:t xml:space="preserve">组织以抽签方式确定中标候选人。</w:t>
      </w:r>
      <w:r/>
    </w:p>
    <w:p>
      <w:pPr>
        <w:pStyle w:val="1039"/>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b w:val="0"/>
          <w:bCs w:val="0"/>
          <w:color w:val="auto"/>
          <w:sz w:val="24"/>
          <w:szCs w:val="24"/>
          <w:highlight w:val="none"/>
        </w:rPr>
        <w:t xml:space="preserve">采购人授权评标委员会直接确定</w:t>
      </w:r>
      <w:r>
        <w:rPr>
          <w:rFonts w:hint="eastAsia" w:asciiTheme="minorEastAsia" w:hAnsiTheme="minorEastAsia" w:eastAsiaTheme="minorEastAsia" w:cstheme="minorEastAsia"/>
          <w:b w:val="0"/>
          <w:bCs w:val="0"/>
          <w:color w:val="auto"/>
          <w:sz w:val="24"/>
          <w:szCs w:val="24"/>
          <w:highlight w:val="none"/>
          <w:lang w:eastAsia="zh-CN"/>
        </w:rPr>
        <w:t xml:space="preserve">中标人。</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二、</w:t>
      </w:r>
      <w:r>
        <w:rPr>
          <w:rFonts w:hint="eastAsia" w:ascii="宋体" w:hAnsi="宋体" w:cs="宋体"/>
          <w:color w:val="auto"/>
          <w:szCs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w:t>
      </w:r>
      <w:r>
        <w:rPr>
          <w:rFonts w:hint="eastAsia" w:ascii="宋体" w:hAnsi="宋体" w:eastAsia="宋体" w:cs="宋体"/>
          <w:color w:val="auto"/>
          <w:szCs w:val="24"/>
          <w:highlight w:val="none"/>
        </w:rPr>
        <w:t xml:space="preserve">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80"/>
        <w:spacing w:line="360" w:lineRule="auto"/>
        <w:rPr>
          <w:rFonts w:ascii="宋体" w:hAnsi="宋体" w:cs="宋体"/>
          <w:color w:val="auto"/>
          <w:szCs w:val="24"/>
          <w:highlight w:val="none"/>
        </w:rPr>
      </w:pPr>
      <w:r>
        <w:rPr>
          <w:rFonts w:hint="eastAsia" w:ascii="宋体" w:hAnsi="宋体" w:eastAsia="宋体" w:cs="宋体"/>
          <w:color w:val="auto"/>
          <w:szCs w:val="24"/>
          <w:highlight w:val="none"/>
        </w:rPr>
        <w:t xml:space="preserve">投标文件中小微企业提供《中小企业声明函》；监狱企业提供由省级以上监狱管理局、戒毒管理局（含新疆生产建设兵团）出具的属于监狱企业的证明文件；残疾人福利性</w:t>
      </w:r>
      <w:r>
        <w:rPr>
          <w:rFonts w:hint="eastAsia" w:ascii="宋体" w:hAnsi="宋体" w:cs="宋体"/>
          <w:color w:val="auto"/>
          <w:szCs w:val="24"/>
          <w:highlight w:val="none"/>
        </w:rPr>
        <w:t xml:space="preserve">单位提供《残疾人福利性单位声明函》。</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注：</w:t>
      </w:r>
      <w:r/>
    </w:p>
    <w:p>
      <w:p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②若供应商提供的“中小企业声明函”或认定证明为虚假声明则视同提供虚假材料，按“政府采购法”相关规定处理并报请政府监管部门给予行政处罚。</w:t>
      </w:r>
      <w:r/>
    </w:p>
    <w:p>
      <w:pPr>
        <w:pStyle w:val="1039"/>
        <w:ind w:firstLine="48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bCs/>
          <w:color w:val="auto"/>
          <w:szCs w:val="24"/>
          <w:highlight w:val="none"/>
        </w:rPr>
        <w:t xml:space="preserve">（一）价格（30分）</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第二步：价格分采用低价优先法计算，即满足招标文件要求且投标价格最低的投标报价为评标基准价，其价格分为满分30分。其他投标人的价格分统一按照下列公式计算：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投标报价得分＝（评标基准价/投标报价）×30％×100（小数点后保留两位）。</w:t>
      </w:r>
      <w:r/>
    </w:p>
    <w:p>
      <w:pPr>
        <w:pStyle w:val="1031"/>
        <w:numPr>
          <w:ilvl w:val="0"/>
          <w:numId w:val="0"/>
        </w:num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en-US" w:bidi="en-US"/>
        </w:rPr>
        <w:t xml:space="preserve">（二）</w:t>
      </w:r>
      <w:r>
        <w:rPr>
          <w:rFonts w:hint="eastAsia" w:ascii="宋体" w:hAnsi="宋体" w:eastAsia="宋体" w:cs="宋体"/>
          <w:b/>
          <w:bCs/>
          <w:color w:val="auto"/>
          <w:sz w:val="24"/>
          <w:szCs w:val="24"/>
          <w:highlight w:val="none"/>
          <w:lang w:val="en-US" w:eastAsia="zh-CN" w:bidi="en-US"/>
        </w:rPr>
        <w:t xml:space="preserve">技术参数响应(16分</w:t>
      </w:r>
      <w:r>
        <w:rPr>
          <w:rFonts w:hint="eastAsia" w:ascii="宋体" w:hAnsi="宋体" w:eastAsia="宋体" w:cs="宋体"/>
          <w:b/>
          <w:bCs/>
          <w:color w:val="auto"/>
          <w:sz w:val="24"/>
          <w:szCs w:val="24"/>
          <w:highlight w:val="none"/>
          <w:lang w:val="en-US" w:eastAsia="zh-CN" w:bidi="ar"/>
        </w:rPr>
        <w:t xml:space="preserve">)</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投标产品功能设计完全响应或高于</w:t>
      </w:r>
      <w:r>
        <w:rPr>
          <w:rFonts w:hint="eastAsia" w:hAnsi="宋体" w:eastAsia="宋体" w:cs="宋体"/>
          <w:color w:val="auto"/>
          <w:sz w:val="24"/>
          <w:highlight w:val="none"/>
          <w:lang w:val="en-US" w:eastAsia="zh-CN"/>
        </w:rPr>
        <w:t xml:space="preserve">采购清单</w:t>
      </w:r>
      <w:r>
        <w:rPr>
          <w:rFonts w:hint="eastAsia" w:ascii="宋体" w:hAnsi="宋体" w:eastAsia="宋体" w:cs="宋体"/>
          <w:color w:val="auto"/>
          <w:sz w:val="24"/>
          <w:highlight w:val="none"/>
          <w:lang w:eastAsia="zh-CN"/>
        </w:rPr>
        <w:t xml:space="preserve">中所有技术参数要求</w:t>
      </w:r>
      <w:r>
        <w:rPr>
          <w:rFonts w:hint="eastAsia" w:hAnsi="宋体" w:eastAsia="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lang w:eastAsia="zh-CN"/>
        </w:rPr>
        <w:t xml:space="preserve">分；</w:t>
      </w:r>
      <w:r>
        <w:rPr>
          <w:rFonts w:hint="eastAsia" w:hAnsi="宋体" w:eastAsia="宋体" w:cs="宋体"/>
          <w:color w:val="auto"/>
          <w:sz w:val="24"/>
          <w:highlight w:val="none"/>
          <w:lang w:val="en-US" w:eastAsia="zh-CN"/>
        </w:rPr>
        <w:t xml:space="preserve">采购清单</w:t>
      </w:r>
      <w:r>
        <w:rPr>
          <w:rFonts w:hint="eastAsia" w:ascii="宋体" w:hAnsi="宋体" w:eastAsia="宋体" w:cs="宋体"/>
          <w:color w:val="auto"/>
          <w:sz w:val="24"/>
          <w:highlight w:val="none"/>
          <w:lang w:eastAsia="zh-CN"/>
        </w:rPr>
        <w:t xml:space="preserve">中标有“▲”的指标每偏离（负偏离）1条扣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未标有“▲”的指标每偏离（负偏离）1条扣</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分，扣完为止。</w:t>
      </w:r>
      <w:r>
        <w:rPr>
          <w:rFonts w:hint="eastAsia" w:hAnsi="宋体" w:eastAsia="宋体" w:cs="宋体"/>
          <w:color w:val="auto"/>
          <w:sz w:val="24"/>
          <w:highlight w:val="none"/>
          <w:lang w:val="en-US" w:eastAsia="zh-CN"/>
        </w:rPr>
        <w:t xml:space="preserve">（核心产品不允许偏离，否则视为无效标）</w:t>
      </w:r>
      <w:r/>
    </w:p>
    <w:p>
      <w:pPr>
        <w:pStyle w:val="1042"/>
        <w:ind w:firstLine="482"/>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方案比较（</w:t>
      </w:r>
      <w:r>
        <w:rPr>
          <w:rFonts w:hint="eastAsia" w:hAnsi="宋体" w:eastAsia="宋体" w:cs="宋体"/>
          <w:b/>
          <w:bCs/>
          <w:color w:val="auto"/>
          <w:sz w:val="24"/>
          <w:highlight w:val="none"/>
          <w:lang w:val="en-US" w:eastAsia="zh-CN"/>
        </w:rPr>
        <w:t xml:space="preserve">24</w:t>
      </w:r>
      <w:r>
        <w:rPr>
          <w:rFonts w:hint="eastAsia" w:ascii="宋体" w:hAnsi="宋体" w:eastAsia="宋体" w:cs="宋体"/>
          <w:b/>
          <w:bCs/>
          <w:color w:val="auto"/>
          <w:sz w:val="24"/>
          <w:highlight w:val="none"/>
          <w:lang w:val="en-US" w:eastAsia="zh-CN"/>
        </w:rPr>
        <w:t xml:space="preserve">分）</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1、提出针对本项目的供货组织方案及产品培训方案。方案整体考虑周全，计划详细合理得</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分；方案整体考虑比较全面，计划比较合理得</w:t>
      </w: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分；方案整体考虑基本全面，计划一般得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分；不提供不得分。</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提出针对本项目的效果图和深化设计。方案整体考虑周全，计划详细合理得</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分；方案整体考虑比较全面，计划比较合理得</w:t>
      </w: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分；方案整体考虑基本全面，计划一般得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分；不提供不得分。</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3、提出针对本项目实施提供的配套设施和服务。方案整体考虑周全，计划详细合理得</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分；方案整体考虑比较全面，计划比较合理得</w:t>
      </w: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分；方案整体考虑基本全面，计划一般得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分；不提供不得分。</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4、提出针对本项目的售后服务方案。方案整体考虑周全，计划详细合理得</w:t>
      </w:r>
      <w:r>
        <w:rPr>
          <w:rFonts w:hint="eastAsia"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分；方案整体考虑比较全面，计划比较合理得</w:t>
      </w:r>
      <w:r>
        <w:rPr>
          <w:rFonts w:hint="eastAsia"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分；方案整体考虑基本全面，计划一般得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分；不提供不得分。</w:t>
      </w:r>
      <w:r/>
    </w:p>
    <w:p>
      <w:pPr>
        <w:pStyle w:val="1031"/>
        <w:numPr>
          <w:ilvl w:val="0"/>
          <w:numId w:val="0"/>
        </w:num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en-US"/>
        </w:rPr>
        <w:suppressLineNumbers w:val="0"/>
      </w:pPr>
      <w:r>
        <w:rPr>
          <w:rFonts w:hint="eastAsia" w:ascii="宋体" w:hAnsi="宋体" w:eastAsia="宋体" w:cs="宋体"/>
          <w:b/>
          <w:bCs/>
          <w:color w:val="auto"/>
          <w:sz w:val="24"/>
          <w:szCs w:val="24"/>
          <w:highlight w:val="none"/>
          <w:lang w:val="en-US" w:eastAsia="en-US" w:bidi="en-US"/>
        </w:rPr>
        <w:t xml:space="preserve">（</w:t>
      </w:r>
      <w:r>
        <w:rPr>
          <w:rFonts w:hint="eastAsia" w:ascii="宋体" w:hAnsi="宋体" w:eastAsia="宋体" w:cs="宋体"/>
          <w:b/>
          <w:bCs/>
          <w:color w:val="auto"/>
          <w:sz w:val="24"/>
          <w:szCs w:val="24"/>
          <w:highlight w:val="none"/>
          <w:lang w:val="en-US" w:eastAsia="zh-CN" w:bidi="en-US"/>
        </w:rPr>
        <w:t xml:space="preserve">四</w:t>
      </w:r>
      <w:r>
        <w:rPr>
          <w:rFonts w:hint="eastAsia" w:ascii="宋体" w:hAnsi="宋体" w:eastAsia="宋体" w:cs="宋体"/>
          <w:b/>
          <w:bCs/>
          <w:color w:val="auto"/>
          <w:sz w:val="24"/>
          <w:szCs w:val="24"/>
          <w:highlight w:val="none"/>
          <w:lang w:val="en-US" w:eastAsia="en-US" w:bidi="en-US"/>
        </w:rPr>
        <w:t xml:space="preserve">）</w:t>
      </w:r>
      <w:r>
        <w:rPr>
          <w:rFonts w:hint="eastAsia" w:ascii="宋体" w:hAnsi="宋体" w:eastAsia="宋体" w:cs="宋体"/>
          <w:b/>
          <w:bCs/>
          <w:color w:val="auto"/>
          <w:sz w:val="24"/>
          <w:szCs w:val="24"/>
          <w:highlight w:val="none"/>
          <w:lang w:val="en-US" w:eastAsia="zh-CN" w:bidi="en-US"/>
        </w:rPr>
        <w:t xml:space="preserve">投标人综合实力（</w:t>
      </w:r>
      <w:r>
        <w:rPr>
          <w:rFonts w:hint="eastAsia" w:ascii="宋体" w:hAnsi="宋体" w:cs="宋体"/>
          <w:b/>
          <w:bCs/>
          <w:color w:val="auto"/>
          <w:sz w:val="24"/>
          <w:szCs w:val="24"/>
          <w:highlight w:val="none"/>
          <w:lang w:val="en-US" w:eastAsia="zh-CN" w:bidi="en-US"/>
        </w:rPr>
        <w:t xml:space="preserve">30</w:t>
      </w:r>
      <w:r>
        <w:rPr>
          <w:rFonts w:hint="eastAsia" w:ascii="宋体" w:hAnsi="宋体" w:eastAsia="宋体" w:cs="宋体"/>
          <w:b/>
          <w:bCs/>
          <w:color w:val="auto"/>
          <w:sz w:val="24"/>
          <w:szCs w:val="24"/>
          <w:highlight w:val="none"/>
          <w:lang w:val="en-US" w:eastAsia="zh-CN" w:bidi="en-US"/>
        </w:rPr>
        <w:t xml:space="preserve">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具有有效期内的质量管理体系认证证书、环境管理体系认证证书、职业健康安全管理体系认证</w:t>
      </w:r>
      <w:r>
        <w:rPr>
          <w:rFonts w:hint="eastAsia" w:ascii="宋体" w:hAnsi="宋体" w:eastAsia="宋体" w:cs="宋体"/>
          <w:b w:val="0"/>
          <w:bCs w:val="0"/>
          <w:color w:val="auto"/>
          <w:sz w:val="24"/>
          <w:szCs w:val="24"/>
          <w:highlight w:val="none"/>
          <w:lang w:val="en-US" w:eastAsia="zh-CN"/>
        </w:rPr>
        <w:t xml:space="preserve">证书</w:t>
      </w:r>
      <w:r>
        <w:rPr>
          <w:rFonts w:hint="eastAsia" w:ascii="宋体" w:hAnsi="宋体" w:eastAsia="宋体" w:cs="宋体"/>
          <w:b w:val="0"/>
          <w:bCs w:val="0"/>
          <w:color w:val="auto"/>
          <w:sz w:val="24"/>
          <w:szCs w:val="24"/>
          <w:highlight w:val="none"/>
        </w:rPr>
        <w:t xml:space="preserve">的</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每提供一份得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分，本项最高</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w:t>
      </w:r>
      <w:r/>
    </w:p>
    <w:p>
      <w:pPr>
        <w:pStyle w:val="1042"/>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u w:val="single"/>
        </w:rPr>
        <w:t xml:space="preserve">注：提供</w:t>
      </w:r>
      <w:r>
        <w:rPr>
          <w:rFonts w:hint="eastAsia" w:ascii="宋体" w:hAnsi="宋体" w:eastAsia="宋体" w:cs="宋体"/>
          <w:b w:val="0"/>
          <w:bCs w:val="0"/>
          <w:color w:val="auto"/>
          <w:sz w:val="24"/>
          <w:szCs w:val="24"/>
          <w:highlight w:val="none"/>
          <w:u w:val="single"/>
          <w:lang w:val="en-US" w:eastAsia="zh-CN"/>
        </w:rPr>
        <w:t xml:space="preserve">在有效期内的</w:t>
      </w:r>
      <w:r>
        <w:rPr>
          <w:rFonts w:hint="eastAsia" w:ascii="宋体" w:hAnsi="宋体" w:eastAsia="宋体" w:cs="宋体"/>
          <w:b w:val="0"/>
          <w:bCs w:val="0"/>
          <w:color w:val="auto"/>
          <w:sz w:val="24"/>
          <w:szCs w:val="24"/>
          <w:highlight w:val="none"/>
          <w:u w:val="single"/>
        </w:rPr>
        <w:t xml:space="preserve">认证证书扫描件，并提供中国国家认证认可监督管理委员会（CNCA）网站查询情况截图，扫描件加盖公章。</w:t>
      </w:r>
      <w:r/>
    </w:p>
    <w:p>
      <w:pPr>
        <w:pStyle w:val="1031"/>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en-US"/>
        </w:rPr>
        <w:suppressLineNumbers w:val="0"/>
      </w:pPr>
      <w:r>
        <w:rPr>
          <w:rFonts w:hint="eastAsia" w:ascii="宋体" w:hAnsi="宋体" w:cs="宋体"/>
          <w:b w:val="0"/>
          <w:bCs w:val="0"/>
          <w:color w:val="auto"/>
          <w:sz w:val="24"/>
          <w:szCs w:val="24"/>
          <w:highlight w:val="none"/>
          <w:lang w:val="en-US" w:eastAsia="zh-CN" w:bidi="en-US"/>
        </w:rPr>
        <w:t xml:space="preserve">2</w:t>
      </w:r>
      <w:r>
        <w:rPr>
          <w:rFonts w:hint="eastAsia" w:ascii="宋体" w:hAnsi="宋体" w:eastAsia="宋体" w:cs="宋体"/>
          <w:b w:val="0"/>
          <w:bCs w:val="0"/>
          <w:color w:val="auto"/>
          <w:sz w:val="24"/>
          <w:szCs w:val="24"/>
          <w:highlight w:val="none"/>
          <w:lang w:val="en-US" w:eastAsia="zh-CN" w:bidi="en-US"/>
        </w:rPr>
        <w:t xml:space="preserve">、方案演示</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15</w:t>
      </w:r>
      <w:r>
        <w:rPr>
          <w:rFonts w:hint="eastAsia" w:ascii="宋体" w:hAnsi="宋体" w:eastAsia="宋体" w:cs="宋体"/>
          <w:b w:val="0"/>
          <w:bCs w:val="0"/>
          <w:color w:val="auto"/>
          <w:sz w:val="24"/>
          <w:highlight w:val="none"/>
          <w:lang w:val="en-US" w:eastAsia="zh-CN"/>
        </w:rPr>
        <w:t xml:space="preserve">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（1）晨会管理系统功能演示</w:t>
      </w:r>
      <w:r>
        <w:rPr>
          <w:rFonts w:hint="eastAsia" w:hAnsi="宋体" w:eastAsia="宋体" w:cs="宋体"/>
          <w:color w:val="auto"/>
          <w:sz w:val="24"/>
          <w:highlight w:val="none"/>
          <w:lang w:val="en-US" w:eastAsia="zh-CN"/>
        </w:rPr>
        <w:t xml:space="preserve">：演示效果符合项目需求</w:t>
      </w:r>
      <w:r>
        <w:rPr>
          <w:rFonts w:hint="eastAsia" w:ascii="宋体" w:hAnsi="宋体" w:eastAsia="宋体" w:cs="宋体"/>
          <w:color w:val="auto"/>
          <w:sz w:val="24"/>
          <w:highlight w:val="none"/>
          <w:lang w:val="en-US" w:eastAsia="zh-CN"/>
        </w:rPr>
        <w:t xml:space="preserve">的得3分，</w:t>
      </w:r>
      <w:r>
        <w:rPr>
          <w:rFonts w:hint="eastAsia" w:hAnsi="宋体" w:eastAsia="宋体" w:cs="宋体"/>
          <w:color w:val="auto"/>
          <w:sz w:val="24"/>
          <w:highlight w:val="none"/>
          <w:lang w:val="en-US" w:eastAsia="zh-CN"/>
        </w:rPr>
        <w:t xml:space="preserve">演示效果较为符合项目需求</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；演示效果一般</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未提供</w:t>
      </w:r>
      <w:r>
        <w:rPr>
          <w:rFonts w:hint="eastAsia"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lang w:val="en-US" w:eastAsia="zh-CN"/>
        </w:rPr>
        <w:t xml:space="preserve">；</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（2）带传输功能的诊断工位图像传输演示</w:t>
      </w:r>
      <w:r>
        <w:rPr>
          <w:rFonts w:hint="eastAsia" w:hAnsi="宋体" w:eastAsia="宋体" w:cs="宋体"/>
          <w:color w:val="auto"/>
          <w:sz w:val="24"/>
          <w:highlight w:val="none"/>
          <w:lang w:val="en-US" w:eastAsia="zh-CN"/>
        </w:rPr>
        <w:t xml:space="preserve">：演示效果符合项目需求</w:t>
      </w:r>
      <w:r>
        <w:rPr>
          <w:rFonts w:hint="eastAsia" w:ascii="宋体" w:hAnsi="宋体" w:eastAsia="宋体" w:cs="宋体"/>
          <w:color w:val="auto"/>
          <w:sz w:val="24"/>
          <w:highlight w:val="none"/>
          <w:lang w:val="en-US" w:eastAsia="zh-CN"/>
        </w:rPr>
        <w:t xml:space="preserve">的得3分，</w:t>
      </w:r>
      <w:r>
        <w:rPr>
          <w:rFonts w:hint="eastAsia" w:hAnsi="宋体" w:eastAsia="宋体" w:cs="宋体"/>
          <w:color w:val="auto"/>
          <w:sz w:val="24"/>
          <w:highlight w:val="none"/>
          <w:lang w:val="en-US" w:eastAsia="zh-CN"/>
        </w:rPr>
        <w:t xml:space="preserve">演示效果较为符合项目需求</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；演示效果一般</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未提供</w:t>
      </w:r>
      <w:r>
        <w:rPr>
          <w:rFonts w:hint="eastAsia"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lang w:val="en-US" w:eastAsia="zh-CN"/>
        </w:rPr>
        <w:t xml:space="preserve">；</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（3）教学系统功能演示</w:t>
      </w:r>
      <w:r>
        <w:rPr>
          <w:rFonts w:hint="eastAsia" w:hAnsi="宋体" w:eastAsia="宋体" w:cs="宋体"/>
          <w:color w:val="auto"/>
          <w:sz w:val="24"/>
          <w:highlight w:val="none"/>
          <w:lang w:val="en-US" w:eastAsia="zh-CN"/>
        </w:rPr>
        <w:t xml:space="preserve">：演示效果符合项目需求</w:t>
      </w:r>
      <w:r>
        <w:rPr>
          <w:rFonts w:hint="eastAsia" w:ascii="宋体" w:hAnsi="宋体" w:eastAsia="宋体" w:cs="宋体"/>
          <w:color w:val="auto"/>
          <w:sz w:val="24"/>
          <w:highlight w:val="none"/>
          <w:lang w:val="en-US" w:eastAsia="zh-CN"/>
        </w:rPr>
        <w:t xml:space="preserve">的得3分，</w:t>
      </w:r>
      <w:r>
        <w:rPr>
          <w:rFonts w:hint="eastAsia" w:hAnsi="宋体" w:eastAsia="宋体" w:cs="宋体"/>
          <w:color w:val="auto"/>
          <w:sz w:val="24"/>
          <w:highlight w:val="none"/>
          <w:lang w:val="en-US" w:eastAsia="zh-CN"/>
        </w:rPr>
        <w:t xml:space="preserve">演示效果较为符合项目需求</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；演示效果一般</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未提供</w:t>
      </w:r>
      <w:r>
        <w:rPr>
          <w:rFonts w:hint="eastAsia"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lang w:val="en-US" w:eastAsia="zh-CN"/>
        </w:rPr>
        <w:t xml:space="preserve">；</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（4）医学影像协同系统功能演示</w:t>
      </w:r>
      <w:r>
        <w:rPr>
          <w:rFonts w:hint="eastAsia" w:hAnsi="宋体" w:eastAsia="宋体" w:cs="宋体"/>
          <w:color w:val="auto"/>
          <w:sz w:val="24"/>
          <w:highlight w:val="none"/>
          <w:lang w:val="en-US" w:eastAsia="zh-CN"/>
        </w:rPr>
        <w:t xml:space="preserve">：演示效果符合项目需求</w:t>
      </w:r>
      <w:r>
        <w:rPr>
          <w:rFonts w:hint="eastAsia" w:ascii="宋体" w:hAnsi="宋体" w:eastAsia="宋体" w:cs="宋体"/>
          <w:color w:val="auto"/>
          <w:sz w:val="24"/>
          <w:highlight w:val="none"/>
          <w:lang w:val="en-US" w:eastAsia="zh-CN"/>
        </w:rPr>
        <w:t xml:space="preserve">的得3分，</w:t>
      </w:r>
      <w:r>
        <w:rPr>
          <w:rFonts w:hint="eastAsia" w:hAnsi="宋体" w:eastAsia="宋体" w:cs="宋体"/>
          <w:color w:val="auto"/>
          <w:sz w:val="24"/>
          <w:highlight w:val="none"/>
          <w:lang w:val="en-US" w:eastAsia="zh-CN"/>
        </w:rPr>
        <w:t xml:space="preserve">演示效果较为符合项目需求</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；演示效果一般</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未提供</w:t>
      </w:r>
      <w:r>
        <w:rPr>
          <w:rFonts w:hint="eastAsia"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lang w:val="en-US" w:eastAsia="zh-CN"/>
        </w:rPr>
        <w:t xml:space="preserve">；</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（5）质控系统功能演示</w:t>
      </w:r>
      <w:r>
        <w:rPr>
          <w:rFonts w:hint="eastAsia" w:hAnsi="宋体" w:eastAsia="宋体" w:cs="宋体"/>
          <w:color w:val="auto"/>
          <w:sz w:val="24"/>
          <w:highlight w:val="none"/>
          <w:lang w:val="en-US" w:eastAsia="zh-CN"/>
        </w:rPr>
        <w:t xml:space="preserve">：演示效果符合项目需求</w:t>
      </w:r>
      <w:r>
        <w:rPr>
          <w:rFonts w:hint="eastAsia" w:ascii="宋体" w:hAnsi="宋体" w:eastAsia="宋体" w:cs="宋体"/>
          <w:color w:val="auto"/>
          <w:sz w:val="24"/>
          <w:highlight w:val="none"/>
          <w:lang w:val="en-US" w:eastAsia="zh-CN"/>
        </w:rPr>
        <w:t xml:space="preserve">的得3分，</w:t>
      </w:r>
      <w:r>
        <w:rPr>
          <w:rFonts w:hint="eastAsia" w:hAnsi="宋体" w:eastAsia="宋体" w:cs="宋体"/>
          <w:color w:val="auto"/>
          <w:sz w:val="24"/>
          <w:highlight w:val="none"/>
          <w:lang w:val="en-US" w:eastAsia="zh-CN"/>
        </w:rPr>
        <w:t xml:space="preserve">演示效果较为符合项目需求</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；演示效果一般</w:t>
      </w:r>
      <w:r>
        <w:rPr>
          <w:rFonts w:hint="eastAsia" w:ascii="宋体" w:hAnsi="宋体" w:eastAsia="宋体" w:cs="宋体"/>
          <w:color w:val="auto"/>
          <w:sz w:val="24"/>
          <w:highlight w:val="none"/>
          <w:lang w:val="en-US" w:eastAsia="zh-CN"/>
        </w:rPr>
        <w:t xml:space="preserve">的得</w:t>
      </w:r>
      <w:r>
        <w:rPr>
          <w:rFonts w:hint="eastAsia"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未提供</w:t>
      </w:r>
      <w:r>
        <w:rPr>
          <w:rFonts w:hint="eastAsia" w:hAnsi="宋体" w:eastAsia="宋体" w:cs="宋体"/>
          <w:color w:val="auto"/>
          <w:sz w:val="24"/>
          <w:highlight w:val="none"/>
          <w:lang w:val="en-US" w:eastAsia="zh-CN"/>
        </w:rPr>
        <w:t xml:space="preserve">不得分</w:t>
      </w:r>
      <w:r>
        <w:rPr>
          <w:rFonts w:hint="eastAsia" w:ascii="宋体" w:hAnsi="宋体" w:eastAsia="宋体" w:cs="宋体"/>
          <w:color w:val="auto"/>
          <w:sz w:val="24"/>
          <w:highlight w:val="none"/>
          <w:lang w:val="en-US" w:eastAsia="zh-CN"/>
        </w:rPr>
        <w:t xml:space="preserve">；</w:t>
      </w:r>
      <w:r/>
    </w:p>
    <w:p>
      <w:pPr>
        <w:pStyle w:val="1031"/>
        <w:numPr>
          <w:ilvl w:val="0"/>
          <w:numId w:val="0"/>
        </w:numPr>
        <w:ind w:left="0" w:right="0" w:firstLine="480"/>
        <w:jc w:val="left"/>
        <w:keepLines w:val="0"/>
        <w:keepNext w:val="0"/>
        <w:pageBreakBefore w:val="0"/>
        <w:spacing w:before="0" w:beforeAutospacing="0" w:after="0" w:afterAutospacing="0" w:line="360" w:lineRule="auto"/>
        <w:widowControl w:val="off"/>
        <w:rPr>
          <w:rFonts w:hint="default" w:ascii="宋体" w:hAnsi="宋体" w:cs="宋体"/>
          <w:b w:val="0"/>
          <w:bCs w:val="0"/>
          <w:color w:val="auto"/>
          <w:sz w:val="24"/>
          <w:szCs w:val="24"/>
          <w:highlight w:val="none"/>
          <w:lang w:val="en-US" w:eastAsia="zh-CN" w:bidi="en-US"/>
        </w:rPr>
        <w:suppressLineNumbers w:val="0"/>
      </w:pPr>
      <w:r>
        <w:rPr>
          <w:rFonts w:hint="eastAsia" w:ascii="宋体" w:hAnsi="宋体" w:cs="宋体"/>
          <w:b w:val="0"/>
          <w:bCs w:val="0"/>
          <w:color w:val="auto"/>
          <w:sz w:val="24"/>
          <w:szCs w:val="24"/>
          <w:highlight w:val="none"/>
          <w:u w:val="single"/>
          <w:lang w:val="en-US" w:eastAsia="zh-CN" w:bidi="en-US"/>
        </w:rPr>
        <w:t xml:space="preserve">注：投标人需将演示视频存入U盘内和投标文件一起递交，不提供不得分。</w:t>
      </w:r>
      <w:r/>
    </w:p>
    <w:p>
      <w:pPr>
        <w:pStyle w:val="1031"/>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en-US"/>
        </w:rPr>
        <w:suppressLineNumbers w:val="0"/>
      </w:pPr>
      <w:r>
        <w:rPr>
          <w:rFonts w:hint="eastAsia" w:ascii="宋体" w:hAnsi="宋体" w:cs="宋体"/>
          <w:b w:val="0"/>
          <w:bCs w:val="0"/>
          <w:color w:val="auto"/>
          <w:sz w:val="24"/>
          <w:szCs w:val="24"/>
          <w:highlight w:val="none"/>
          <w:lang w:val="en-US" w:eastAsia="zh-CN" w:bidi="en-US"/>
        </w:rPr>
        <w:t xml:space="preserve">3</w:t>
      </w:r>
      <w:r>
        <w:rPr>
          <w:rFonts w:hint="eastAsia" w:ascii="宋体" w:hAnsi="宋体" w:eastAsia="宋体" w:cs="宋体"/>
          <w:b w:val="0"/>
          <w:bCs w:val="0"/>
          <w:color w:val="auto"/>
          <w:sz w:val="24"/>
          <w:szCs w:val="24"/>
          <w:highlight w:val="none"/>
          <w:lang w:val="en-US" w:eastAsia="zh-CN" w:bidi="en-US"/>
        </w:rPr>
        <w:t xml:space="preserve">、人员配置比较</w:t>
      </w:r>
      <w:r>
        <w:rPr>
          <w:rFonts w:hint="eastAsia" w:ascii="宋体" w:hAnsi="宋体" w:eastAsia="宋体" w:cs="宋体"/>
          <w:b w:val="0"/>
          <w:bCs w:val="0"/>
          <w:color w:val="auto"/>
          <w:sz w:val="24"/>
          <w:highlight w:val="none"/>
          <w:lang w:val="en-US" w:eastAsia="zh-CN"/>
        </w:rPr>
        <w:t xml:space="preserve">（4分）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投标人针对本项目配备专业的项目团队，并提供项目团队成员名单和简历。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1</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项目负责人具备信息类高级项目管理证书，得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2</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服务团队中具备至少2名项目管理人员，并提供PMP证书，得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3</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提供软件实施人员不低于中级的网络工程师证书以及系统集成项目管理工程师证书。得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w:t>
      </w:r>
      <w:r/>
    </w:p>
    <w:p>
      <w:pPr>
        <w:pStyle w:val="1031"/>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val="en-US" w:eastAsia="zh-CN"/>
        </w:rPr>
        <w:t xml:space="preserve">注：须提供人员的最近一期社保缴纳记录加盖公章及证书复印件加盖公章。</w:t>
      </w:r>
      <w:r/>
    </w:p>
    <w:p>
      <w:pPr>
        <w:pStyle w:val="1031"/>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en-US"/>
        </w:rPr>
        <w:suppressLineNumbers w:val="0"/>
      </w:pPr>
      <w:r>
        <w:rPr>
          <w:rFonts w:hint="eastAsia" w:ascii="宋体" w:hAnsi="宋体" w:cs="宋体"/>
          <w:b w:val="0"/>
          <w:bCs w:val="0"/>
          <w:color w:val="auto"/>
          <w:sz w:val="24"/>
          <w:szCs w:val="24"/>
          <w:highlight w:val="none"/>
          <w:lang w:val="en-US" w:eastAsia="zh-CN" w:bidi="en-US"/>
        </w:rPr>
        <w:t xml:space="preserve">4</w:t>
      </w:r>
      <w:r>
        <w:rPr>
          <w:rFonts w:hint="eastAsia" w:ascii="宋体" w:hAnsi="宋体" w:eastAsia="宋体" w:cs="宋体"/>
          <w:b w:val="0"/>
          <w:bCs w:val="0"/>
          <w:color w:val="auto"/>
          <w:sz w:val="24"/>
          <w:szCs w:val="24"/>
          <w:highlight w:val="none"/>
          <w:lang w:val="en-US" w:eastAsia="zh-CN" w:bidi="en-US"/>
        </w:rPr>
        <w:t xml:space="preserve">、技术能力（5分）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1</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制造商获得技术中心认定≥4种，得5分；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2</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制造商获得技术中心认定3种，得4分；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3</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制造商获得技术中心认定2种，得3分；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4</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制造商获得技术中心认定1种，得1分；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5</w:t>
      </w:r>
      <w:r>
        <w:rPr>
          <w:rFonts w:hint="eastAsia"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制造商未获得技术中心认定，得0分。</w:t>
      </w:r>
      <w:r/>
    </w:p>
    <w:p>
      <w:pPr>
        <w:pStyle w:val="1042"/>
        <w:ind w:firstLine="72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注：制造商拥有较强的科研能力，获得省级工程中心认定，省级工程技术研究中心认定，省级企业技术中心的认定，省级工业设计中心认定。提供技术中心认定证书或者官方发布的通知。</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自2021年1月1日（以合同签署日期为准）以来独立</w:t>
      </w:r>
      <w:r>
        <w:rPr>
          <w:rFonts w:hint="eastAsia" w:ascii="宋体" w:hAnsi="宋体" w:eastAsia="宋体" w:cs="宋体"/>
          <w:b w:val="0"/>
          <w:bCs w:val="0"/>
          <w:color w:val="auto"/>
          <w:sz w:val="24"/>
          <w:szCs w:val="24"/>
          <w:highlight w:val="none"/>
          <w:lang w:val="en-US" w:eastAsia="zh-CN"/>
        </w:rPr>
        <w:t xml:space="preserve">承接</w:t>
      </w:r>
      <w:r>
        <w:rPr>
          <w:rFonts w:hint="eastAsia" w:ascii="宋体" w:hAnsi="宋体" w:eastAsia="宋体" w:cs="宋体"/>
          <w:b w:val="0"/>
          <w:bCs w:val="0"/>
          <w:color w:val="auto"/>
          <w:sz w:val="24"/>
          <w:szCs w:val="24"/>
          <w:highlight w:val="none"/>
        </w:rPr>
        <w:t xml:space="preserve">类似项目业绩</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，每提供1个得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pStyle w:val="102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u w:val="single"/>
        </w:rPr>
        <w:t xml:space="preserve">注：</w:t>
      </w:r>
      <w:r>
        <w:rPr>
          <w:rFonts w:hint="eastAsia" w:ascii="宋体" w:hAnsi="宋体" w:eastAsia="宋体" w:cs="宋体"/>
          <w:b w:val="0"/>
          <w:bCs w:val="0"/>
          <w:color w:val="auto"/>
          <w:sz w:val="24"/>
          <w:szCs w:val="24"/>
          <w:highlight w:val="none"/>
          <w:u w:val="single"/>
          <w:lang w:val="en-US" w:eastAsia="zh-CN"/>
        </w:rPr>
        <w:t xml:space="preserve">投标</w:t>
      </w:r>
      <w:r>
        <w:rPr>
          <w:rFonts w:hint="eastAsia" w:ascii="宋体" w:hAnsi="宋体" w:eastAsia="宋体" w:cs="宋体"/>
          <w:b w:val="0"/>
          <w:bCs w:val="0"/>
          <w:color w:val="auto"/>
          <w:sz w:val="24"/>
          <w:szCs w:val="24"/>
          <w:highlight w:val="none"/>
          <w:u w:val="single"/>
        </w:rPr>
        <w:t xml:space="preserve">文件中需提供业绩相关合同扫描件（包括合同首页、标的内容所在页、签字盖章页），未按要求提供的本项不得分</w:t>
      </w:r>
      <w:r>
        <w:rPr>
          <w:rFonts w:hint="eastAsia" w:ascii="宋体" w:hAnsi="宋体" w:eastAsia="宋体" w:cs="宋体"/>
          <w:b w:val="0"/>
          <w:bCs w:val="0"/>
          <w:color w:val="auto"/>
          <w:sz w:val="24"/>
          <w:szCs w:val="24"/>
          <w:highlight w:val="none"/>
          <w:u w:val="single"/>
          <w:lang w:eastAsia="zh-CN"/>
        </w:rPr>
        <w:t xml:space="preserve">。</w:t>
      </w:r>
      <w:r/>
    </w:p>
    <w:p>
      <w:pPr>
        <w:pStyle w:val="1038"/>
        <w:rPr>
          <w:rFonts w:hint="eastAsia"/>
          <w:color w:val="auto"/>
          <w:highlight w:val="none"/>
        </w:rPr>
      </w:pPr>
      <w:r>
        <w:rPr>
          <w:rFonts w:hint="eastAsia"/>
          <w:color w:val="auto"/>
          <w:highlight w:val="none"/>
        </w:rPr>
      </w:r>
      <w:r/>
    </w:p>
    <w:p>
      <w:pPr>
        <w:ind w:firstLine="480"/>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4"/>
      <w:footerReference w:type="first" r:id="rId15"/>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rFonts w:hint="eastAsia" w:eastAsia="宋体"/>
        <w:sz w:val="21"/>
        <w:szCs w:val="21"/>
        <w:lang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JSZC-320000-JZCZ-G2024-0039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JSZC-320000-JZCZ-G2024-0039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15"/>
    <w:link w:val="1012"/>
    <w:uiPriority w:val="9"/>
    <w:rPr>
      <w:rFonts w:ascii="Arial" w:hAnsi="Arial" w:eastAsia="Arial" w:cs="Arial"/>
      <w:sz w:val="40"/>
      <w:szCs w:val="40"/>
    </w:rPr>
  </w:style>
  <w:style w:type="character" w:styleId="845">
    <w:name w:val="Heading 2 Char"/>
    <w:basedOn w:val="1015"/>
    <w:link w:val="1013"/>
    <w:uiPriority w:val="9"/>
    <w:rPr>
      <w:rFonts w:ascii="Arial" w:hAnsi="Arial" w:eastAsia="Arial" w:cs="Arial"/>
      <w:sz w:val="34"/>
    </w:rPr>
  </w:style>
  <w:style w:type="paragraph" w:styleId="846">
    <w:name w:val="Heading 3"/>
    <w:basedOn w:val="1011"/>
    <w:next w:val="1011"/>
    <w:link w:val="847"/>
    <w:uiPriority w:val="9"/>
    <w:unhideWhenUsed/>
    <w:qFormat/>
    <w:pPr>
      <w:keepLines/>
      <w:keepNext/>
      <w:spacing w:before="320" w:after="200"/>
      <w:outlineLvl w:val="2"/>
    </w:pPr>
    <w:rPr>
      <w:rFonts w:ascii="Arial" w:hAnsi="Arial" w:eastAsia="Arial" w:cs="Arial"/>
      <w:sz w:val="30"/>
      <w:szCs w:val="30"/>
    </w:rPr>
  </w:style>
  <w:style w:type="character" w:styleId="847">
    <w:name w:val="Heading 3 Char"/>
    <w:basedOn w:val="1015"/>
    <w:link w:val="846"/>
    <w:uiPriority w:val="9"/>
    <w:rPr>
      <w:rFonts w:ascii="Arial" w:hAnsi="Arial" w:eastAsia="Arial" w:cs="Arial"/>
      <w:sz w:val="30"/>
      <w:szCs w:val="30"/>
    </w:rPr>
  </w:style>
  <w:style w:type="character" w:styleId="848">
    <w:name w:val="Heading 4 Char"/>
    <w:basedOn w:val="1015"/>
    <w:link w:val="1014"/>
    <w:uiPriority w:val="9"/>
    <w:rPr>
      <w:rFonts w:ascii="Arial" w:hAnsi="Arial" w:eastAsia="Arial" w:cs="Arial"/>
      <w:b/>
      <w:bCs/>
      <w:sz w:val="26"/>
      <w:szCs w:val="26"/>
    </w:rPr>
  </w:style>
  <w:style w:type="paragraph" w:styleId="849">
    <w:name w:val="Heading 5"/>
    <w:basedOn w:val="1011"/>
    <w:next w:val="1011"/>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5"/>
    <w:link w:val="849"/>
    <w:uiPriority w:val="9"/>
    <w:rPr>
      <w:rFonts w:ascii="Arial" w:hAnsi="Arial" w:eastAsia="Arial" w:cs="Arial"/>
      <w:b/>
      <w:bCs/>
      <w:sz w:val="24"/>
      <w:szCs w:val="24"/>
    </w:rPr>
  </w:style>
  <w:style w:type="paragraph" w:styleId="851">
    <w:name w:val="Heading 6"/>
    <w:basedOn w:val="1011"/>
    <w:next w:val="1011"/>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5"/>
    <w:link w:val="851"/>
    <w:uiPriority w:val="9"/>
    <w:rPr>
      <w:rFonts w:ascii="Arial" w:hAnsi="Arial" w:eastAsia="Arial" w:cs="Arial"/>
      <w:b/>
      <w:bCs/>
      <w:sz w:val="22"/>
      <w:szCs w:val="22"/>
    </w:rPr>
  </w:style>
  <w:style w:type="paragraph" w:styleId="853">
    <w:name w:val="Heading 7"/>
    <w:basedOn w:val="1011"/>
    <w:next w:val="1011"/>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5"/>
    <w:link w:val="853"/>
    <w:uiPriority w:val="9"/>
    <w:rPr>
      <w:rFonts w:ascii="Arial" w:hAnsi="Arial" w:eastAsia="Arial" w:cs="Arial"/>
      <w:b/>
      <w:bCs/>
      <w:i/>
      <w:iCs/>
      <w:sz w:val="22"/>
      <w:szCs w:val="22"/>
    </w:rPr>
  </w:style>
  <w:style w:type="paragraph" w:styleId="855">
    <w:name w:val="Heading 8"/>
    <w:basedOn w:val="1011"/>
    <w:next w:val="1011"/>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5"/>
    <w:link w:val="855"/>
    <w:uiPriority w:val="9"/>
    <w:rPr>
      <w:rFonts w:ascii="Arial" w:hAnsi="Arial" w:eastAsia="Arial" w:cs="Arial"/>
      <w:i/>
      <w:iCs/>
      <w:sz w:val="22"/>
      <w:szCs w:val="22"/>
    </w:rPr>
  </w:style>
  <w:style w:type="paragraph" w:styleId="857">
    <w:name w:val="Heading 9"/>
    <w:basedOn w:val="1011"/>
    <w:next w:val="1011"/>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5"/>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character" w:styleId="860">
    <w:name w:val="Title Char"/>
    <w:basedOn w:val="1015"/>
    <w:link w:val="1032"/>
    <w:uiPriority w:val="10"/>
    <w:rPr>
      <w:sz w:val="48"/>
      <w:szCs w:val="48"/>
    </w:rPr>
  </w:style>
  <w:style w:type="character" w:styleId="861">
    <w:name w:val="Subtitle Char"/>
    <w:basedOn w:val="1015"/>
    <w:link w:val="1029"/>
    <w:uiPriority w:val="11"/>
    <w:rPr>
      <w:sz w:val="24"/>
      <w:szCs w:val="24"/>
    </w:rPr>
  </w:style>
  <w:style w:type="paragraph" w:styleId="862">
    <w:name w:val="Quote"/>
    <w:basedOn w:val="1011"/>
    <w:next w:val="1011"/>
    <w:link w:val="863"/>
    <w:uiPriority w:val="29"/>
    <w:qFormat/>
    <w:pPr>
      <w:ind w:left="720" w:right="720"/>
    </w:pPr>
    <w:rPr>
      <w:i/>
    </w:rPr>
  </w:style>
  <w:style w:type="character" w:styleId="863">
    <w:name w:val="Quote Char"/>
    <w:link w:val="862"/>
    <w:uiPriority w:val="29"/>
    <w:rPr>
      <w:i/>
    </w:rPr>
  </w:style>
  <w:style w:type="paragraph" w:styleId="864">
    <w:name w:val="Intense Quote"/>
    <w:basedOn w:val="1011"/>
    <w:next w:val="1011"/>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15"/>
    <w:link w:val="1027"/>
    <w:uiPriority w:val="99"/>
  </w:style>
  <w:style w:type="character" w:styleId="867">
    <w:name w:val="Footer Char"/>
    <w:basedOn w:val="1015"/>
    <w:link w:val="1025"/>
    <w:uiPriority w:val="99"/>
  </w:style>
  <w:style w:type="paragraph" w:styleId="868">
    <w:name w:val="Caption"/>
    <w:basedOn w:val="1011"/>
    <w:next w:val="1011"/>
    <w:uiPriority w:val="35"/>
    <w:semiHidden/>
    <w:unhideWhenUsed/>
    <w:qFormat/>
    <w:pPr>
      <w:spacing w:line="276" w:lineRule="auto"/>
    </w:pPr>
    <w:rPr>
      <w:b/>
      <w:bCs/>
      <w:color w:val="4f81bd" w:themeColor="accent1"/>
      <w:sz w:val="18"/>
      <w:szCs w:val="18"/>
    </w:rPr>
  </w:style>
  <w:style w:type="character" w:styleId="869">
    <w:name w:val="Caption Char"/>
    <w:basedOn w:val="868"/>
    <w:link w:val="1025"/>
    <w:uiPriority w:val="99"/>
  </w:style>
  <w:style w:type="table" w:styleId="870">
    <w:name w:val="Table Grid Light"/>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6">
    <w:name w:val="Grid Table 5 Dark - Accent 2"/>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7">
    <w:name w:val="Grid Table 5 Dark - Accent 3"/>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8">
    <w:name w:val="Grid Table 5 Dark- Accent 4"/>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9">
    <w:name w:val="Grid Table 5 Dark - Accent 5"/>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0">
    <w:name w:val="Grid Table 5 Dark - Accent 6"/>
    <w:basedOn w:val="10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1">
    <w:name w:val="Grid Table 6 Colorful"/>
    <w:basedOn w:val="10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3 - Accent 2"/>
    <w:basedOn w:val="10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2">
    <w:name w:val="List Table 3 - Accent 3"/>
    <w:basedOn w:val="10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3">
    <w:name w:val="List Table 3 - Accent 4"/>
    <w:basedOn w:val="10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4">
    <w:name w:val="List Table 3 - Accent 5"/>
    <w:basedOn w:val="10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5">
    <w:name w:val="List Table 3 - Accent 6"/>
    <w:basedOn w:val="10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6">
    <w:name w:val="List Table 4"/>
    <w:basedOn w:val="10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8">
    <w:name w:val="List Table 4 - Accent 2"/>
    <w:basedOn w:val="10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9">
    <w:name w:val="List Table 4 - Accent 3"/>
    <w:basedOn w:val="10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0">
    <w:name w:val="List Table 4 - Accent 4"/>
    <w:basedOn w:val="10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1">
    <w:name w:val="List Table 4 - Accent 5"/>
    <w:basedOn w:val="10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2">
    <w:name w:val="List Table 4 - Accent 6"/>
    <w:basedOn w:val="10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3">
    <w:name w:val="List Table 5 Dark"/>
    <w:basedOn w:val="10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2">
    <w:name w:val="List Table 6 Colorful - Accent 2"/>
    <w:basedOn w:val="10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3">
    <w:name w:val="List Table 6 Colorful - Accent 3"/>
    <w:basedOn w:val="10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4">
    <w:name w:val="List Table 6 Colorful - Accent 4"/>
    <w:basedOn w:val="10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5">
    <w:name w:val="List Table 6 Colorful - Accent 5"/>
    <w:basedOn w:val="10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6">
    <w:name w:val="List Table 6 Colorful - Accent 6"/>
    <w:basedOn w:val="10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7">
    <w:name w:val="List Table 7 Colorful"/>
    <w:basedOn w:val="10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9">
    <w:name w:val="List Table 7 Colorful - Accent 2"/>
    <w:basedOn w:val="10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0">
    <w:name w:val="List Table 7 Colorful - Accent 3"/>
    <w:basedOn w:val="10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1">
    <w:name w:val="List Table 7 Colorful - Accent 4"/>
    <w:basedOn w:val="10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2">
    <w:name w:val="List Table 7 Colorful - Accent 5"/>
    <w:basedOn w:val="10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3">
    <w:name w:val="List Table 7 Colorful - Accent 6"/>
    <w:basedOn w:val="10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4">
    <w:name w:val="Lined - Accent"/>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Lined - Accent 2"/>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Lined - Accent 3"/>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Lined - Accent 4"/>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Lined - Accent 5"/>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Lined - Accent 6"/>
    <w:basedOn w:val="10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amp; Lined - Accent"/>
    <w:basedOn w:val="10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3">
    <w:name w:val="Bordered &amp; Lined - Accent 2"/>
    <w:basedOn w:val="10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4">
    <w:name w:val="Bordered &amp; Lined - Accent 3"/>
    <w:basedOn w:val="10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5">
    <w:name w:val="Bordered &amp; Lined - Accent 4"/>
    <w:basedOn w:val="10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6">
    <w:name w:val="Bordered &amp; Lined - Accent 5"/>
    <w:basedOn w:val="10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7">
    <w:name w:val="Bordered &amp; Lined - Accent 6"/>
    <w:basedOn w:val="10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8">
    <w:name w:val="Bordered"/>
    <w:basedOn w:val="10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5">
    <w:name w:val="footnote text"/>
    <w:basedOn w:val="1011"/>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basedOn w:val="1015"/>
    <w:uiPriority w:val="99"/>
    <w:unhideWhenUsed/>
    <w:rPr>
      <w:vertAlign w:val="superscript"/>
    </w:rPr>
  </w:style>
  <w:style w:type="paragraph" w:styleId="998">
    <w:name w:val="endnote text"/>
    <w:basedOn w:val="1011"/>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basedOn w:val="1015"/>
    <w:uiPriority w:val="99"/>
    <w:semiHidden/>
    <w:unhideWhenUsed/>
    <w:rPr>
      <w:vertAlign w:val="superscript"/>
    </w:r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7"/>
    <w:uiPriority w:val="0"/>
    <w:qFormat/>
    <w:pPr>
      <w:jc w:val="both"/>
      <w:widowControl w:val="off"/>
    </w:pPr>
    <w:rPr>
      <w:rFonts w:ascii="Times New Roman" w:hAnsi="Times New Roman" w:eastAsia="宋体" w:cs="Times New Roman"/>
      <w:sz w:val="24"/>
      <w:lang w:val="en-US" w:eastAsia="zh-CN" w:bidi="ar-SA"/>
    </w:rPr>
  </w:style>
  <w:style w:type="paragraph" w:styleId="1012">
    <w:name w:val="Heading 1"/>
    <w:basedOn w:val="1011"/>
    <w:next w:val="1011"/>
    <w:link w:val="1044"/>
    <w:uiPriority w:val="0"/>
    <w:qFormat/>
    <w:pPr>
      <w:keepLines/>
      <w:keepNext/>
      <w:spacing w:before="340" w:after="330" w:line="578" w:lineRule="auto"/>
      <w:outlineLvl w:val="0"/>
    </w:pPr>
    <w:rPr>
      <w:rFonts w:eastAsia="楷体_GB2312"/>
      <w:b/>
      <w:sz w:val="44"/>
    </w:rPr>
  </w:style>
  <w:style w:type="paragraph" w:styleId="1013">
    <w:name w:val="Heading 2"/>
    <w:basedOn w:val="1011"/>
    <w:next w:val="1011"/>
    <w:link w:val="1040"/>
    <w:uiPriority w:val="0"/>
    <w:qFormat/>
    <w:pPr>
      <w:keepLines/>
      <w:keepNext/>
      <w:spacing w:before="260" w:after="260" w:line="416" w:lineRule="auto"/>
      <w:outlineLvl w:val="1"/>
    </w:pPr>
    <w:rPr>
      <w:rFonts w:ascii="Cambria" w:hAnsi="Cambria"/>
      <w:b/>
      <w:bCs/>
      <w:sz w:val="32"/>
      <w:szCs w:val="32"/>
    </w:rPr>
  </w:style>
  <w:style w:type="paragraph" w:styleId="1014">
    <w:name w:val="Heading 4"/>
    <w:basedOn w:val="1011"/>
    <w:next w:val="1011"/>
    <w:uiPriority w:val="0"/>
    <w:unhideWhenUsed/>
    <w:qFormat/>
    <w:pPr>
      <w:keepLines/>
      <w:keepNext/>
      <w:spacing w:before="280" w:after="290" w:line="376" w:lineRule="auto"/>
      <w:outlineLvl w:val="3"/>
    </w:pPr>
    <w:rPr>
      <w:rFonts w:ascii="Cambria" w:hAnsi="Cambria"/>
      <w:b/>
      <w:bCs/>
      <w:sz w:val="28"/>
      <w:szCs w:val="28"/>
    </w:rPr>
  </w:style>
  <w:style w:type="character" w:styleId="1015" w:default="1">
    <w:name w:val="Default Paragraph Font"/>
    <w:uiPriority w:val="1"/>
    <w:semiHidden/>
    <w:unhideWhenUsed/>
    <w:qFormat/>
  </w:style>
  <w:style w:type="table" w:styleId="1016" w:default="1">
    <w:name w:val="Normal Table"/>
    <w:uiPriority w:val="99"/>
    <w:semiHidden/>
    <w:unhideWhenUsed/>
    <w:qFormat/>
    <w:tblPr>
      <w:tblCellMar>
        <w:left w:w="108" w:type="dxa"/>
        <w:top w:w="0" w:type="dxa"/>
        <w:right w:w="108" w:type="dxa"/>
        <w:bottom w:w="0" w:type="dxa"/>
      </w:tblCellMar>
    </w:tblPr>
  </w:style>
  <w:style w:type="paragraph" w:styleId="1017">
    <w:name w:val="Body Text First Indent 2"/>
    <w:basedOn w:val="1018"/>
    <w:uiPriority w:val="0"/>
    <w:qFormat/>
    <w:pPr>
      <w:ind w:left="420" w:firstLine="420"/>
      <w:spacing w:after="120"/>
    </w:pPr>
    <w:rPr>
      <w:rFonts w:ascii="Times New Roman"/>
      <w:sz w:val="21"/>
      <w:szCs w:val="24"/>
    </w:rPr>
  </w:style>
  <w:style w:type="paragraph" w:styleId="1018">
    <w:name w:val="Body Text Indent"/>
    <w:basedOn w:val="1011"/>
    <w:uiPriority w:val="0"/>
    <w:unhideWhenUsed/>
    <w:qFormat/>
    <w:pPr>
      <w:ind w:firstLine="570"/>
    </w:pPr>
    <w:rPr>
      <w:rFonts w:ascii="宋体"/>
      <w:sz w:val="28"/>
    </w:rPr>
  </w:style>
  <w:style w:type="paragraph" w:styleId="1019">
    <w:name w:val="Normal Indent"/>
    <w:basedOn w:val="1011"/>
    <w:next w:val="1011"/>
    <w:uiPriority w:val="0"/>
    <w:unhideWhenUsed/>
    <w:qFormat/>
    <w:pPr>
      <w:ind w:firstLine="420"/>
      <w:jc w:val="left"/>
    </w:pPr>
  </w:style>
  <w:style w:type="paragraph" w:styleId="1020">
    <w:name w:val="annotation text"/>
    <w:basedOn w:val="1011"/>
    <w:uiPriority w:val="0"/>
    <w:qFormat/>
    <w:pPr>
      <w:jc w:val="left"/>
    </w:pPr>
  </w:style>
  <w:style w:type="paragraph" w:styleId="1021">
    <w:name w:val="Body Text"/>
    <w:basedOn w:val="1011"/>
    <w:next w:val="1019"/>
    <w:uiPriority w:val="0"/>
    <w:qFormat/>
    <w:pPr>
      <w:jc w:val="center"/>
    </w:pPr>
    <w:rPr>
      <w:rFonts w:ascii="方正大黑简体" w:eastAsia="方正大黑简体"/>
      <w:position w:val="6"/>
      <w:sz w:val="30"/>
    </w:rPr>
  </w:style>
  <w:style w:type="paragraph" w:styleId="1022">
    <w:name w:val="Block Text"/>
    <w:basedOn w:val="1011"/>
    <w:uiPriority w:val="99"/>
    <w:semiHidden/>
    <w:unhideWhenUsed/>
    <w:qFormat/>
    <w:pPr>
      <w:ind w:left="1440" w:right="1440"/>
      <w:spacing w:after="120"/>
    </w:pPr>
  </w:style>
  <w:style w:type="paragraph" w:styleId="1023">
    <w:name w:val="Plain Text"/>
    <w:basedOn w:val="1011"/>
    <w:uiPriority w:val="0"/>
    <w:unhideWhenUsed/>
    <w:qFormat/>
    <w:rPr>
      <w:rFonts w:ascii="宋体" w:hAnsi="Courier New"/>
    </w:rPr>
  </w:style>
  <w:style w:type="paragraph" w:styleId="1024">
    <w:name w:val="Balloon Text"/>
    <w:basedOn w:val="1011"/>
    <w:uiPriority w:val="0"/>
    <w:qFormat/>
    <w:rPr>
      <w:sz w:val="18"/>
      <w:szCs w:val="18"/>
    </w:rPr>
  </w:style>
  <w:style w:type="paragraph" w:styleId="1025">
    <w:name w:val="Footer"/>
    <w:basedOn w:val="1011"/>
    <w:uiPriority w:val="99"/>
    <w:unhideWhenUsed/>
    <w:qFormat/>
    <w:pPr>
      <w:jc w:val="left"/>
      <w:tabs>
        <w:tab w:val="center" w:pos="4153" w:leader="none"/>
        <w:tab w:val="right" w:pos="8306" w:leader="none"/>
      </w:tabs>
    </w:pPr>
    <w:rPr>
      <w:sz w:val="18"/>
    </w:rPr>
  </w:style>
  <w:style w:type="paragraph" w:styleId="1026">
    <w:name w:val="envelope return"/>
    <w:basedOn w:val="1011"/>
    <w:uiPriority w:val="99"/>
    <w:unhideWhenUsed/>
    <w:qFormat/>
    <w:rPr>
      <w:rFonts w:ascii="Arial" w:hAnsi="Arial"/>
    </w:rPr>
  </w:style>
  <w:style w:type="paragraph" w:styleId="1027">
    <w:name w:val="Header"/>
    <w:basedOn w:val="1011"/>
    <w:uiPriority w:val="99"/>
    <w:unhideWhenUsed/>
    <w:qFormat/>
    <w:pPr>
      <w:jc w:val="center"/>
      <w:tabs>
        <w:tab w:val="center" w:pos="4153" w:leader="none"/>
        <w:tab w:val="right" w:pos="8306" w:leader="none"/>
      </w:tabs>
      <w:pBdr>
        <w:bottom w:val="single" w:color="auto" w:sz="6" w:space="1"/>
      </w:pBdr>
    </w:pPr>
    <w:rPr>
      <w:sz w:val="18"/>
    </w:rPr>
  </w:style>
  <w:style w:type="paragraph" w:styleId="1028">
    <w:name w:val="toc 1"/>
    <w:basedOn w:val="1011"/>
    <w:next w:val="1011"/>
    <w:uiPriority w:val="39"/>
    <w:unhideWhenUsed/>
    <w:qFormat/>
    <w:pPr>
      <w:jc w:val="left"/>
    </w:pPr>
  </w:style>
  <w:style w:type="paragraph" w:styleId="1029">
    <w:name w:val="Subtitle"/>
    <w:basedOn w:val="1011"/>
    <w:next w:val="1011"/>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30">
    <w:name w:val="Body Text Indent 3"/>
    <w:basedOn w:val="1011"/>
    <w:uiPriority w:val="0"/>
    <w:qFormat/>
    <w:pPr>
      <w:ind w:firstLine="564"/>
      <w:spacing w:line="360" w:lineRule="auto"/>
    </w:pPr>
    <w:rPr>
      <w:rFonts w:ascii="宋体"/>
      <w:sz w:val="18"/>
    </w:rPr>
  </w:style>
  <w:style w:type="paragraph" w:styleId="1031">
    <w:name w:val="Normal (Web)"/>
    <w:basedOn w:val="1011"/>
    <w:uiPriority w:val="0"/>
    <w:qFormat/>
  </w:style>
  <w:style w:type="paragraph" w:styleId="1032">
    <w:name w:val="Title"/>
    <w:basedOn w:val="1011"/>
    <w:next w:val="1011"/>
    <w:uiPriority w:val="0"/>
    <w:qFormat/>
    <w:pPr>
      <w:jc w:val="center"/>
      <w:spacing w:before="240" w:after="60"/>
      <w:outlineLvl w:val="0"/>
    </w:pPr>
    <w:rPr>
      <w:rFonts w:ascii="Cambria" w:hAnsi="Cambria"/>
      <w:b/>
      <w:bCs/>
      <w:sz w:val="32"/>
      <w:szCs w:val="32"/>
    </w:rPr>
  </w:style>
  <w:style w:type="paragraph" w:styleId="1033">
    <w:name w:val="Body Text First Indent"/>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table" w:styleId="1034">
    <w:name w:val="Table Grid"/>
    <w:basedOn w:val="1016"/>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FollowedHyperlink"/>
    <w:basedOn w:val="1015"/>
    <w:uiPriority w:val="0"/>
    <w:qFormat/>
    <w:rPr>
      <w:color w:val="333333"/>
      <w:u w:val="none"/>
    </w:rPr>
  </w:style>
  <w:style w:type="character" w:styleId="1036">
    <w:name w:val="Hyperlink"/>
    <w:basedOn w:val="1015"/>
    <w:uiPriority w:val="0"/>
    <w:qFormat/>
    <w:rPr>
      <w:color w:val="333333"/>
      <w:u w:val="none"/>
    </w:rPr>
  </w:style>
  <w:style w:type="character" w:styleId="1037">
    <w:name w:val="annotation reference"/>
    <w:basedOn w:val="1015"/>
    <w:uiPriority w:val="0"/>
    <w:qFormat/>
    <w:rPr>
      <w:sz w:val="21"/>
      <w:szCs w:val="21"/>
    </w:rPr>
  </w:style>
  <w:style w:type="paragraph" w:styleId="1038" w:customStyle="1">
    <w:name w:val="段"/>
    <w:next w:val="1011"/>
    <w:uiPriority w:val="0"/>
    <w:qFormat/>
    <w:pPr>
      <w:ind w:firstLine="200"/>
      <w:jc w:val="both"/>
    </w:pPr>
    <w:rPr>
      <w:rFonts w:ascii="宋体" w:hAnsi="Times New Roman" w:eastAsia="宋体" w:cs="Times New Roman"/>
      <w:sz w:val="21"/>
      <w:lang w:val="en-US" w:eastAsia="zh-CN" w:bidi="ar-SA"/>
    </w:rPr>
  </w:style>
  <w:style w:type="paragraph" w:styleId="1039" w:customStyle="1">
    <w:name w:val="首行缩进"/>
    <w:basedOn w:val="1011"/>
    <w:uiPriority w:val="0"/>
    <w:qFormat/>
    <w:pPr>
      <w:ind w:firstLine="480"/>
    </w:pPr>
    <w:rPr>
      <w:sz w:val="21"/>
      <w:lang w:val="zh-CN"/>
    </w:rPr>
  </w:style>
  <w:style w:type="character" w:styleId="1040" w:customStyle="1">
    <w:name w:val="标题 2 字符"/>
    <w:basedOn w:val="1015"/>
    <w:link w:val="1013"/>
    <w:uiPriority w:val="0"/>
    <w:qFormat/>
    <w:rPr>
      <w:rFonts w:ascii="Cambria" w:hAnsi="Cambria" w:eastAsia="宋体" w:cs="Times New Roman"/>
      <w:b/>
      <w:bCs/>
      <w:sz w:val="32"/>
      <w:szCs w:val="32"/>
    </w:rPr>
  </w:style>
  <w:style w:type="paragraph" w:styleId="1041" w:customStyle="1">
    <w:name w:val="_Style 30"/>
    <w:basedOn w:val="1011"/>
    <w:next w:val="1023"/>
    <w:uiPriority w:val="0"/>
    <w:qFormat/>
    <w:rPr>
      <w:rFonts w:ascii="宋体" w:hAnsi="Courier New"/>
      <w:sz w:val="21"/>
    </w:rPr>
  </w:style>
  <w:style w:type="paragraph" w:styleId="1042" w:customStyle="1">
    <w:name w:val="纯文本1"/>
    <w:basedOn w:val="1011"/>
    <w:uiPriority w:val="0"/>
    <w:qFormat/>
    <w:rPr>
      <w:rFonts w:ascii="宋体" w:hAnsi="Courier New" w:eastAsia="楷体_GB2312"/>
      <w:sz w:val="26"/>
    </w:rPr>
  </w:style>
  <w:style w:type="paragraph" w:styleId="1043" w:customStyle="1">
    <w:name w:val="纯文本6"/>
    <w:basedOn w:val="1011"/>
    <w:uiPriority w:val="0"/>
    <w:qFormat/>
    <w:rPr>
      <w:rFonts w:ascii="宋体" w:hAnsi="Courier New"/>
    </w:rPr>
  </w:style>
  <w:style w:type="character" w:styleId="1044" w:customStyle="1">
    <w:name w:val="标题 1 字符"/>
    <w:link w:val="1012"/>
    <w:uiPriority w:val="0"/>
    <w:qFormat/>
    <w:rPr>
      <w:rFonts w:eastAsia="楷体_GB2312"/>
      <w:b/>
      <w:sz w:val="44"/>
    </w:rPr>
  </w:style>
  <w:style w:type="character" w:styleId="1045" w:customStyle="1">
    <w:name w:val="NormalCharacter"/>
    <w:uiPriority w:val="0"/>
    <w:semiHidden/>
    <w:qFormat/>
  </w:style>
  <w:style w:type="paragraph" w:styleId="1046" w:customStyle="1">
    <w:name w:val="Plain Text"/>
    <w:basedOn w:val="1011"/>
    <w:uiPriority w:val="0"/>
    <w:qFormat/>
    <w:pPr>
      <w:jc w:val="both"/>
      <w:widowControl w:val="off"/>
    </w:pPr>
    <w:rPr>
      <w:rFonts w:ascii="宋体" w:hAnsi="Courier New" w:eastAsia="楷体_GB2312"/>
      <w:sz w:val="26"/>
      <w:szCs w:val="20"/>
    </w:rPr>
  </w:style>
  <w:style w:type="paragraph" w:styleId="1047" w:customStyle="1">
    <w:name w:val="Andy_正文"/>
    <w:basedOn w:val="1011"/>
    <w:uiPriority w:val="0"/>
    <w:qFormat/>
    <w:pPr>
      <w:ind w:firstLine="480"/>
      <w:jc w:val="both"/>
      <w:spacing w:line="360" w:lineRule="auto"/>
      <w:widowControl w:val="off"/>
    </w:pPr>
    <w:rPr>
      <w:rFonts w:ascii="Calibri" w:hAnsi="Calibri"/>
    </w:rPr>
  </w:style>
  <w:style w:type="paragraph" w:styleId="1048" w:customStyle="1">
    <w:name w:val="纯文本2"/>
    <w:basedOn w:val="1011"/>
    <w:uiPriority w:val="0"/>
    <w:qFormat/>
    <w:rPr>
      <w:rFonts w:ascii="宋体" w:hAnsi="Courier New"/>
    </w:rPr>
  </w:style>
  <w:style w:type="character" w:styleId="1049" w:customStyle="1">
    <w:name w:val="font111"/>
    <w:basedOn w:val="1015"/>
    <w:uiPriority w:val="0"/>
    <w:qFormat/>
    <w:rPr>
      <w:rFonts w:hint="default" w:ascii="Times New Roman" w:hAnsi="Times New Roman" w:cs="Times New Roman"/>
      <w:b/>
      <w:bCs/>
      <w:color w:val="000000"/>
      <w:sz w:val="16"/>
      <w:szCs w:val="16"/>
      <w:u w:val="none"/>
    </w:rPr>
  </w:style>
  <w:style w:type="character" w:styleId="1050" w:customStyle="1">
    <w:name w:val="font122"/>
    <w:basedOn w:val="1015"/>
    <w:uiPriority w:val="0"/>
    <w:qFormat/>
    <w:rPr>
      <w:rFonts w:hint="eastAsia" w:ascii="宋体" w:hAnsi="宋体" w:eastAsia="宋体" w:cs="宋体"/>
      <w:b/>
      <w:bCs/>
      <w:color w:val="000000"/>
      <w:sz w:val="16"/>
      <w:szCs w:val="16"/>
      <w:u w:val="none"/>
    </w:rPr>
  </w:style>
  <w:style w:type="character" w:styleId="1051" w:customStyle="1">
    <w:name w:val="font91"/>
    <w:basedOn w:val="1015"/>
    <w:uiPriority w:val="0"/>
    <w:qFormat/>
    <w:rPr>
      <w:rFonts w:hint="eastAsia" w:ascii="宋体" w:hAnsi="宋体" w:eastAsia="宋体" w:cs="宋体"/>
      <w:color w:val="000000"/>
      <w:sz w:val="16"/>
      <w:szCs w:val="16"/>
      <w:u w:val="none"/>
    </w:rPr>
  </w:style>
  <w:style w:type="character" w:styleId="1052" w:customStyle="1">
    <w:name w:val="font131"/>
    <w:basedOn w:val="1015"/>
    <w:uiPriority w:val="0"/>
    <w:qFormat/>
    <w:rPr>
      <w:rFonts w:hint="eastAsia" w:ascii="宋体" w:hAnsi="宋体" w:eastAsia="宋体" w:cs="宋体"/>
      <w:color w:val="000000"/>
      <w:sz w:val="16"/>
      <w:szCs w:val="16"/>
      <w:u w:val="none"/>
    </w:rPr>
  </w:style>
  <w:style w:type="character" w:styleId="1053" w:customStyle="1">
    <w:name w:val="font141"/>
    <w:basedOn w:val="1015"/>
    <w:uiPriority w:val="0"/>
    <w:qFormat/>
    <w:rPr>
      <w:rFonts w:hint="eastAsia" w:ascii="宋体" w:hAnsi="宋体" w:eastAsia="宋体" w:cs="宋体"/>
      <w:color w:val="333300"/>
      <w:sz w:val="16"/>
      <w:szCs w:val="16"/>
      <w:u w:val="none"/>
    </w:rPr>
  </w:style>
  <w:style w:type="character" w:styleId="1054" w:customStyle="1">
    <w:name w:val="active"/>
    <w:basedOn w:val="1015"/>
    <w:uiPriority w:val="0"/>
    <w:qFormat/>
    <w:rPr>
      <w:color w:val="ffffff"/>
      <w:shd w:val="clear" w:color="auto" w:fill="0f5bb9"/>
    </w:rPr>
  </w:style>
  <w:style w:type="character" w:styleId="1055" w:customStyle="1">
    <w:name w:val="font21"/>
    <w:basedOn w:val="1015"/>
    <w:uiPriority w:val="0"/>
    <w:qFormat/>
    <w:rPr>
      <w:rFonts w:hint="eastAsia" w:ascii="宋体" w:hAnsi="宋体" w:eastAsia="宋体" w:cs="宋体"/>
      <w:color w:val="000000"/>
      <w:sz w:val="24"/>
      <w:szCs w:val="24"/>
      <w:u w:val="none"/>
    </w:rPr>
  </w:style>
  <w:style w:type="character" w:styleId="1056" w:customStyle="1">
    <w:name w:val="font31"/>
    <w:basedOn w:val="1015"/>
    <w:uiPriority w:val="0"/>
    <w:qFormat/>
    <w:rPr>
      <w:rFonts w:hint="eastAsia" w:ascii="宋体" w:hAnsi="宋体" w:eastAsia="宋体" w:cs="宋体"/>
      <w:color w:val="000000"/>
      <w:sz w:val="21"/>
      <w:szCs w:val="21"/>
      <w:u w:val="none"/>
    </w:rPr>
  </w:style>
  <w:style w:type="character" w:styleId="1057" w:customStyle="1">
    <w:name w:val="font41"/>
    <w:basedOn w:val="1015"/>
    <w:uiPriority w:val="0"/>
    <w:qFormat/>
    <w:rPr>
      <w:rFonts w:hint="eastAsia" w:ascii="宋体" w:hAnsi="宋体" w:eastAsia="宋体" w:cs="宋体"/>
      <w:color w:val="000000"/>
      <w:sz w:val="21"/>
      <w:szCs w:val="21"/>
      <w:u w:val="none"/>
    </w:rPr>
  </w:style>
  <w:style w:type="character" w:styleId="1058" w:customStyle="1">
    <w:name w:val="17"/>
    <w:basedOn w:val="1015"/>
    <w:uiPriority w:val="0"/>
    <w:qFormat/>
    <w:rPr>
      <w:rFonts w:hint="default" w:ascii="Times New Roman" w:hAnsi="Times New Roman" w:cs="Times New Roman"/>
      <w:b/>
      <w:bCs/>
      <w:color w:val="000000"/>
      <w:sz w:val="22"/>
      <w:szCs w:val="22"/>
    </w:rPr>
  </w:style>
  <w:style w:type="character" w:styleId="1059" w:customStyle="1">
    <w:name w:val="15"/>
    <w:basedOn w:val="1015"/>
    <w:uiPriority w:val="0"/>
    <w:qFormat/>
    <w:rPr>
      <w:rFonts w:hint="eastAsia" w:ascii="宋体" w:hAnsi="宋体" w:eastAsia="宋体" w:cs="宋体"/>
      <w:b/>
      <w:bCs/>
      <w:color w:val="000000"/>
      <w:sz w:val="22"/>
      <w:szCs w:val="22"/>
    </w:rPr>
  </w:style>
  <w:style w:type="character" w:styleId="1060" w:customStyle="1">
    <w:name w:val="16"/>
    <w:basedOn w:val="1015"/>
    <w:uiPriority w:val="0"/>
    <w:qFormat/>
    <w:rPr>
      <w:rFonts w:hint="eastAsia" w:ascii="宋体" w:hAnsi="宋体" w:eastAsia="宋体" w:cs="宋体"/>
      <w:color w:val="333300"/>
      <w:sz w:val="20"/>
      <w:szCs w:val="20"/>
    </w:rPr>
  </w:style>
  <w:style w:type="character" w:styleId="1061" w:customStyle="1">
    <w:name w:val="18"/>
    <w:basedOn w:val="1015"/>
    <w:uiPriority w:val="0"/>
    <w:qFormat/>
    <w:rPr>
      <w:rFonts w:hint="default" w:ascii="Times New Roman" w:hAnsi="Times New Roman" w:cs="Times New Roman"/>
      <w:b/>
      <w:bCs/>
      <w:color w:val="000000"/>
      <w:sz w:val="20"/>
      <w:szCs w:val="20"/>
    </w:rPr>
  </w:style>
  <w:style w:type="character" w:styleId="1062" w:customStyle="1">
    <w:name w:val="19"/>
    <w:basedOn w:val="1015"/>
    <w:uiPriority w:val="0"/>
    <w:qFormat/>
    <w:rPr>
      <w:rFonts w:hint="eastAsia" w:ascii="宋体" w:hAnsi="宋体" w:eastAsia="宋体" w:cs="宋体"/>
      <w:b/>
      <w:bCs/>
      <w:color w:val="000000"/>
      <w:sz w:val="20"/>
      <w:szCs w:val="20"/>
    </w:rPr>
  </w:style>
  <w:style w:type="character" w:styleId="1063" w:customStyle="1">
    <w:name w:val="font151"/>
    <w:basedOn w:val="1015"/>
    <w:uiPriority w:val="0"/>
    <w:qFormat/>
    <w:rPr>
      <w:rFonts w:hint="default" w:ascii="Times New Roman" w:hAnsi="Times New Roman" w:cs="Times New Roman"/>
      <w:b/>
      <w:bCs/>
      <w:color w:val="000000"/>
      <w:sz w:val="22"/>
      <w:szCs w:val="22"/>
      <w:u w:val="none"/>
    </w:rPr>
  </w:style>
  <w:style w:type="character" w:styleId="1064" w:customStyle="1">
    <w:name w:val="font161"/>
    <w:basedOn w:val="1015"/>
    <w:uiPriority w:val="0"/>
    <w:qFormat/>
    <w:rPr>
      <w:rFonts w:hint="eastAsia" w:ascii="宋体" w:hAnsi="宋体" w:eastAsia="宋体" w:cs="宋体"/>
      <w:b/>
      <w:bCs/>
      <w:color w:val="000000"/>
      <w:sz w:val="22"/>
      <w:szCs w:val="22"/>
      <w:u w:val="none"/>
    </w:rPr>
  </w:style>
  <w:style w:type="character" w:styleId="1065" w:customStyle="1">
    <w:name w:val="font171"/>
    <w:basedOn w:val="1015"/>
    <w:uiPriority w:val="0"/>
    <w:qFormat/>
    <w:rPr>
      <w:rFonts w:hint="eastAsia" w:ascii="宋体" w:hAnsi="宋体" w:eastAsia="宋体" w:cs="宋体"/>
      <w:color w:val="333300"/>
      <w:sz w:val="20"/>
      <w:szCs w:val="20"/>
      <w:u w:val="none"/>
    </w:rPr>
  </w:style>
  <w:style w:type="character" w:styleId="1066" w:customStyle="1">
    <w:name w:val="font181"/>
    <w:basedOn w:val="1015"/>
    <w:uiPriority w:val="0"/>
    <w:qFormat/>
    <w:rPr>
      <w:rFonts w:hint="default" w:ascii="Times New Roman" w:hAnsi="Times New Roman" w:cs="Times New Roman"/>
      <w:b/>
      <w:bCs/>
      <w:color w:val="000000"/>
      <w:sz w:val="20"/>
      <w:szCs w:val="20"/>
      <w:u w:val="none"/>
    </w:rPr>
  </w:style>
  <w:style w:type="character" w:styleId="1067" w:customStyle="1">
    <w:name w:val="font191"/>
    <w:basedOn w:val="1015"/>
    <w:uiPriority w:val="0"/>
    <w:qFormat/>
    <w:rPr>
      <w:rFonts w:hint="eastAsia" w:ascii="宋体" w:hAnsi="宋体" w:eastAsia="宋体" w:cs="宋体"/>
      <w:b/>
      <w:bCs/>
      <w:color w:val="000000"/>
      <w:sz w:val="20"/>
      <w:szCs w:val="20"/>
      <w:u w:val="none"/>
    </w:rPr>
  </w:style>
  <w:style w:type="character" w:styleId="1068" w:customStyle="1">
    <w:name w:val="font11"/>
    <w:basedOn w:val="1015"/>
    <w:uiPriority w:val="0"/>
    <w:qFormat/>
    <w:rPr>
      <w:rFonts w:hint="eastAsia" w:ascii="宋体" w:hAnsi="宋体" w:eastAsia="宋体" w:cs="宋体"/>
      <w:color w:val="000000"/>
      <w:sz w:val="24"/>
      <w:szCs w:val="24"/>
      <w:u w:val="none"/>
    </w:rPr>
  </w:style>
  <w:style w:type="paragraph" w:styleId="1069" w:customStyle="1">
    <w:name w:val="正文1"/>
    <w:next w:val="1011"/>
    <w:uiPriority w:val="0"/>
    <w:qFormat/>
    <w:pPr>
      <w:jc w:val="both"/>
      <w:widowControl w:val="off"/>
    </w:pPr>
    <w:rPr>
      <w:rFonts w:ascii="Times New Roman" w:hAnsi="Times New Roman" w:eastAsia="仿宋_GB2312" w:cs="Times New Roman"/>
      <w:sz w:val="24"/>
      <w:lang w:val="en-US" w:eastAsia="zh-CN" w:bidi="ar-SA"/>
    </w:rPr>
  </w:style>
  <w:style w:type="paragraph" w:styleId="1070" w:customStyle="1">
    <w:name w:val="纯文本4"/>
    <w:basedOn w:val="1011"/>
    <w:uiPriority w:val="0"/>
    <w:qFormat/>
    <w:rPr>
      <w:rFonts w:ascii="宋体" w:hAnsi="Courier New" w:eastAsia="楷体_GB2312"/>
      <w:sz w:val="26"/>
    </w:rPr>
  </w:style>
  <w:style w:type="paragraph" w:styleId="1071">
    <w:name w:val="List Paragraph"/>
    <w:basedOn w:val="1011"/>
    <w:uiPriority w:val="34"/>
    <w:qFormat/>
    <w:pPr>
      <w:contextualSpacing/>
      <w:ind w:left="720"/>
    </w:p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权威</cp:lastModifiedBy>
  <cp:revision>6</cp:revision>
  <dcterms:created xsi:type="dcterms:W3CDTF">2022-10-17T05:30:00Z</dcterms:created>
  <dcterms:modified xsi:type="dcterms:W3CDTF">2024-07-30T01:04:41Z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93058E01E9934C39BACF3038F0E82E8C_13</vt:lpwstr>
  </property>
</Properties>
</file>