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bookmarkStart w:id="0" w:name="OLE_LINK1"/>
      <w:r>
        <w:rPr>
          <w:rFonts w:ascii="Times New Roman" w:hAnsi="Times New Roman" w:eastAsia="方正小标宋简体" w:cs="Times New Roman"/>
          <w:bCs/>
          <w:kern w:val="44"/>
          <w:sz w:val="44"/>
          <w:szCs w:val="44"/>
        </w:rPr>
        <w:t>采办计划公告</w:t>
      </w:r>
    </w:p>
    <w:bookmarkEnd w:id="0"/>
    <w:p>
      <w:pPr>
        <w:tabs>
          <w:tab w:val="left" w:pos="993"/>
          <w:tab w:val="left" w:pos="1134"/>
          <w:tab w:val="left" w:pos="1418"/>
        </w:tabs>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采办包名称：</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海油发展-化工品类部-天津院2026-2029年度鸟巢催化剂定制产品采购专有协议</w:t>
      </w:r>
      <w:r>
        <w:rPr>
          <w:rFonts w:ascii="Times New Roman" w:hAnsi="Times New Roman" w:eastAsia="仿宋_GB2312" w:cs="Times New Roman"/>
          <w:sz w:val="32"/>
          <w:szCs w:val="32"/>
        </w:rPr>
        <w:t>采办计划公</w:t>
      </w:r>
      <w:r>
        <w:rPr>
          <w:rFonts w:hint="eastAsia" w:ascii="Times New Roman" w:hAnsi="Times New Roman" w:eastAsia="仿宋_GB2312" w:cs="Times New Roman"/>
          <w:sz w:val="32"/>
          <w:szCs w:val="32"/>
        </w:rPr>
        <w:t>告</w:t>
      </w:r>
      <w:r>
        <w:rPr>
          <w:rFonts w:ascii="Times New Roman" w:hAnsi="Times New Roman" w:eastAsia="仿宋_GB2312" w:cs="Times New Roman"/>
          <w:sz w:val="32"/>
          <w:szCs w:val="32"/>
        </w:rPr>
        <w:t>如下：</w:t>
      </w:r>
    </w:p>
    <w:tbl>
      <w:tblPr>
        <w:tblStyle w:val="19"/>
        <w:tblW w:w="9716"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3076"/>
        <w:gridCol w:w="1610"/>
        <w:gridCol w:w="1911"/>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685" w:type="dxa"/>
            <w:vAlign w:val="center"/>
          </w:tcPr>
          <w:p>
            <w:pPr>
              <w:adjustRightInd w:val="0"/>
              <w:snapToGrid w:val="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序号</w:t>
            </w:r>
          </w:p>
        </w:tc>
        <w:tc>
          <w:tcPr>
            <w:tcW w:w="3076" w:type="dxa"/>
            <w:vAlign w:val="center"/>
          </w:tcPr>
          <w:p>
            <w:pPr>
              <w:adjustRightInd w:val="0"/>
              <w:snapToGrid w:val="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采办包</w:t>
            </w:r>
          </w:p>
          <w:p>
            <w:pPr>
              <w:adjustRightInd w:val="0"/>
              <w:snapToGrid w:val="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名称</w:t>
            </w:r>
          </w:p>
        </w:tc>
        <w:tc>
          <w:tcPr>
            <w:tcW w:w="1610" w:type="dxa"/>
            <w:vAlign w:val="center"/>
          </w:tcPr>
          <w:p>
            <w:pPr>
              <w:adjustRightInd w:val="0"/>
              <w:snapToGrid w:val="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采购范围与主要技术指标</w:t>
            </w:r>
          </w:p>
        </w:tc>
        <w:tc>
          <w:tcPr>
            <w:tcW w:w="1911" w:type="dxa"/>
            <w:vAlign w:val="center"/>
          </w:tcPr>
          <w:p>
            <w:pPr>
              <w:adjustRightInd w:val="0"/>
              <w:snapToGrid w:val="0"/>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预计发标时间</w:t>
            </w:r>
          </w:p>
        </w:tc>
        <w:tc>
          <w:tcPr>
            <w:tcW w:w="2434" w:type="dxa"/>
            <w:vAlign w:val="center"/>
          </w:tcPr>
          <w:p>
            <w:pPr>
              <w:adjustRightInd w:val="0"/>
              <w:snapToGrid w:val="0"/>
              <w:jc w:val="center"/>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lang w:eastAsia="zh-CN"/>
              </w:rPr>
              <w:t>乙方</w:t>
            </w:r>
            <w:r>
              <w:rPr>
                <w:rFonts w:ascii="Times New Roman" w:hAnsi="Times New Roman" w:eastAsia="仿宋" w:cs="Times New Roman"/>
                <w:kern w:val="0"/>
                <w:sz w:val="28"/>
                <w:szCs w:val="28"/>
              </w:rPr>
              <w:t>资质基本要求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85" w:type="dxa"/>
            <w:vAlign w:val="center"/>
          </w:tcPr>
          <w:p>
            <w:pPr>
              <w:adjustRightInd w:val="0"/>
              <w:snapToGrid w:val="0"/>
              <w:ind w:firstLine="280" w:firstLineChars="1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w:t>
            </w:r>
          </w:p>
        </w:tc>
        <w:tc>
          <w:tcPr>
            <w:tcW w:w="3076" w:type="dxa"/>
            <w:vAlign w:val="center"/>
          </w:tcPr>
          <w:p>
            <w:pPr>
              <w:adjustRightInd w:val="0"/>
              <w:snapToGrid w:val="0"/>
              <w:jc w:val="center"/>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天津院2026-2029年度鸟巢催化剂定制产品采购专有协议</w:t>
            </w:r>
          </w:p>
        </w:tc>
        <w:tc>
          <w:tcPr>
            <w:tcW w:w="1610" w:type="dxa"/>
            <w:vAlign w:val="center"/>
          </w:tcPr>
          <w:p>
            <w:pPr>
              <w:adjustRightInd w:val="0"/>
              <w:snapToGrid w:val="0"/>
              <w:jc w:val="center"/>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见附件1</w:t>
            </w:r>
          </w:p>
        </w:tc>
        <w:tc>
          <w:tcPr>
            <w:tcW w:w="1911" w:type="dxa"/>
            <w:vAlign w:val="center"/>
          </w:tcPr>
          <w:p>
            <w:pPr>
              <w:adjustRightInd w:val="0"/>
              <w:snapToGrid w:val="0"/>
              <w:jc w:val="center"/>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202</w:t>
            </w:r>
            <w:r>
              <w:rPr>
                <w:rFonts w:hint="eastAsia" w:ascii="Times New Roman" w:hAnsi="Times New Roman" w:eastAsia="仿宋" w:cs="Times New Roman"/>
                <w:kern w:val="0"/>
                <w:sz w:val="28"/>
                <w:szCs w:val="28"/>
                <w:lang w:val="en-US" w:eastAsia="zh-CN"/>
              </w:rPr>
              <w:t>6</w:t>
            </w:r>
            <w:r>
              <w:rPr>
                <w:rFonts w:hint="eastAsia" w:ascii="Times New Roman" w:hAnsi="Times New Roman" w:eastAsia="仿宋" w:cs="Times New Roman"/>
                <w:kern w:val="0"/>
                <w:sz w:val="28"/>
                <w:szCs w:val="28"/>
              </w:rPr>
              <w:t>年</w:t>
            </w:r>
            <w:r>
              <w:rPr>
                <w:rFonts w:hint="eastAsia" w:ascii="Times New Roman" w:hAnsi="Times New Roman" w:eastAsia="仿宋" w:cs="Times New Roman"/>
                <w:kern w:val="0"/>
                <w:sz w:val="28"/>
                <w:szCs w:val="28"/>
                <w:lang w:val="en-US" w:eastAsia="zh-CN"/>
              </w:rPr>
              <w:t>06</w:t>
            </w:r>
            <w:r>
              <w:rPr>
                <w:rFonts w:hint="eastAsia" w:ascii="Times New Roman" w:hAnsi="Times New Roman" w:eastAsia="仿宋" w:cs="Times New Roman"/>
                <w:kern w:val="0"/>
                <w:sz w:val="28"/>
                <w:szCs w:val="28"/>
              </w:rPr>
              <w:t>月</w:t>
            </w:r>
          </w:p>
        </w:tc>
        <w:tc>
          <w:tcPr>
            <w:tcW w:w="2434" w:type="dxa"/>
            <w:vAlign w:val="center"/>
          </w:tcPr>
          <w:p>
            <w:pPr>
              <w:adjustRightInd w:val="0"/>
              <w:snapToGrid w:val="0"/>
              <w:jc w:val="center"/>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见附件2</w:t>
            </w: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本次公告有效期是（</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日）至（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04</w:t>
      </w:r>
      <w:r>
        <w:rPr>
          <w:rFonts w:ascii="Times New Roman" w:hAnsi="Times New Roman" w:eastAsia="仿宋_GB2312" w:cs="Times New Roman"/>
          <w:sz w:val="32"/>
          <w:szCs w:val="32"/>
        </w:rPr>
        <w:t>日）止。在此期间，有意参与</w:t>
      </w:r>
      <w:r>
        <w:rPr>
          <w:rFonts w:hint="eastAsia" w:ascii="Times New Roman" w:hAnsi="Times New Roman" w:eastAsia="仿宋_GB2312" w:cs="Times New Roman"/>
          <w:sz w:val="32"/>
          <w:szCs w:val="32"/>
        </w:rPr>
        <w:t>该</w:t>
      </w:r>
      <w:r>
        <w:rPr>
          <w:rFonts w:ascii="Times New Roman" w:hAnsi="Times New Roman" w:eastAsia="仿宋_GB2312" w:cs="Times New Roman"/>
          <w:sz w:val="32"/>
          <w:szCs w:val="32"/>
        </w:rPr>
        <w:t>采办包的系统用户可在集团公司采办系统中提交反馈材料。</w:t>
      </w:r>
    </w:p>
    <w:p>
      <w:pPr>
        <w:tabs>
          <w:tab w:val="left" w:pos="993"/>
          <w:tab w:val="left" w:pos="1134"/>
          <w:tab w:val="left" w:pos="1418"/>
        </w:tabs>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请感兴趣的</w:t>
      </w:r>
      <w:r>
        <w:rPr>
          <w:rFonts w:hint="eastAsia" w:ascii="Times New Roman" w:hAnsi="Times New Roman" w:eastAsia="仿宋_GB2312" w:cs="Times New Roman"/>
          <w:sz w:val="32"/>
          <w:szCs w:val="32"/>
          <w:lang w:eastAsia="zh-CN"/>
        </w:rPr>
        <w:t>乙方</w:t>
      </w:r>
      <w:r>
        <w:rPr>
          <w:rFonts w:hint="eastAsia" w:ascii="Times New Roman" w:hAnsi="Times New Roman" w:eastAsia="仿宋_GB2312" w:cs="Times New Roman"/>
          <w:sz w:val="32"/>
          <w:szCs w:val="32"/>
        </w:rPr>
        <w:t>于202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06</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04</w:t>
      </w:r>
      <w:r>
        <w:rPr>
          <w:rFonts w:hint="eastAsia" w:ascii="Times New Roman" w:hAnsi="Times New Roman" w:eastAsia="仿宋_GB2312" w:cs="Times New Roman"/>
          <w:sz w:val="32"/>
          <w:szCs w:val="32"/>
        </w:rPr>
        <w:t>日17:00前，与我方联系人接洽。</w:t>
      </w:r>
    </w:p>
    <w:p>
      <w:pPr>
        <w:tabs>
          <w:tab w:val="left" w:pos="993"/>
          <w:tab w:val="left" w:pos="1134"/>
          <w:tab w:val="left" w:pos="1418"/>
        </w:tabs>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联系人：闫震          电话：022-25802203  </w:t>
      </w:r>
    </w:p>
    <w:p>
      <w:pPr>
        <w:tabs>
          <w:tab w:val="left" w:pos="993"/>
          <w:tab w:val="left" w:pos="1134"/>
          <w:tab w:val="left" w:pos="1418"/>
        </w:tabs>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邮箱：yanzhen@cnooc.com.cn</w:t>
      </w:r>
    </w:p>
    <w:p>
      <w:pPr>
        <w:tabs>
          <w:tab w:val="left" w:pos="993"/>
          <w:tab w:val="left" w:pos="1134"/>
          <w:tab w:val="left" w:pos="1418"/>
        </w:tabs>
        <w:spacing w:line="600" w:lineRule="exact"/>
        <w:rPr>
          <w:rFonts w:ascii="Times New Roman" w:hAnsi="Times New Roman" w:eastAsia="仿宋" w:cs="Times New Roman"/>
          <w:sz w:val="28"/>
          <w:szCs w:val="28"/>
        </w:rPr>
      </w:pPr>
      <w:r>
        <w:rPr>
          <w:rFonts w:hint="eastAsia" w:ascii="Times New Roman" w:hAnsi="Times New Roman" w:eastAsia="仿宋_GB2312" w:cs="Times New Roman"/>
          <w:sz w:val="32"/>
          <w:szCs w:val="32"/>
        </w:rPr>
        <w:t xml:space="preserve">如对上述公开内容真实、有效性存疑，请拨打社会监督电话：022-25802262，其他事项不受理。    </w:t>
      </w:r>
    </w:p>
    <w:p>
      <w:pPr>
        <w:tabs>
          <w:tab w:val="left" w:pos="993"/>
          <w:tab w:val="left" w:pos="1134"/>
          <w:tab w:val="left" w:pos="1418"/>
        </w:tabs>
        <w:spacing w:line="600" w:lineRule="exact"/>
        <w:ind w:right="320" w:firstLine="960" w:firstLineChars="3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中海油能源发展股份有限公司采办共享中心</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 xml:space="preserve">日  </w:t>
      </w:r>
    </w:p>
    <w:p>
      <w:pPr>
        <w:rPr>
          <w:rFonts w:hint="eastAsia"/>
        </w:rPr>
      </w:pPr>
      <w:r>
        <w:br w:type="page"/>
      </w:r>
    </w:p>
    <w:p>
      <w:pPr>
        <w:tabs>
          <w:tab w:val="left" w:pos="993"/>
          <w:tab w:val="left" w:pos="1134"/>
          <w:tab w:val="left" w:pos="1418"/>
        </w:tabs>
        <w:spacing w:line="560" w:lineRule="exact"/>
        <w:outlineLvl w:val="0"/>
        <w:rPr>
          <w:rFonts w:hint="eastAsia" w:ascii="仿宋" w:hAnsi="仿宋" w:eastAsia="仿宋" w:cs="仿宋"/>
          <w:b w:val="0"/>
          <w:bCs w:val="0"/>
          <w:sz w:val="24"/>
          <w:lang w:val="en-US" w:eastAsia="zh-CN"/>
        </w:rPr>
      </w:pPr>
      <w:r>
        <w:rPr>
          <w:rFonts w:hint="eastAsia" w:ascii="Times New Roman" w:hAnsi="Times New Roman" w:eastAsia="仿宋_GB2312" w:cs="Times New Roman"/>
          <w:sz w:val="32"/>
          <w:szCs w:val="32"/>
        </w:rPr>
        <w:t>附件1采购范围与主要技术指标</w:t>
      </w:r>
      <w:bookmarkStart w:id="1" w:name="_Toc13249325"/>
      <w:bookmarkStart w:id="2" w:name="_Toc13248928"/>
    </w:p>
    <w:bookmarkEnd w:id="1"/>
    <w:bookmarkEnd w:id="2"/>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ascii="微软雅黑" w:hAnsi="微软雅黑" w:eastAsia="微软雅黑"/>
          <w:sz w:val="10"/>
          <w:szCs w:val="10"/>
          <w:highlight w:val="none"/>
          <w:lang w:eastAsia="zh-CN"/>
        </w:rPr>
      </w:pPr>
      <w:bookmarkStart w:id="3" w:name="_Toc13248927"/>
      <w:bookmarkStart w:id="4" w:name="_Toc13249324"/>
      <w:r>
        <w:rPr>
          <w:highlight w:val="none"/>
        </w:rPr>
        <w:t>一、项目概况要求</w:t>
      </w:r>
      <w:bookmarkEnd w:id="3"/>
      <w:bookmarkEnd w:id="4"/>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ascii="Times New Roman" w:hAnsi="Times New Roman" w:eastAsia="微软雅黑"/>
          <w:bCs/>
          <w:color w:val="000000" w:themeColor="text1"/>
          <w:highlight w:val="none"/>
          <w:lang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天津院因集团公司项目的生产经营需求，急需采购鸟巢催化剂定制产品加工服务，拟签订三年年度协议</w:t>
      </w:r>
      <w:r>
        <w:rPr>
          <w:rFonts w:ascii="Times New Roman" w:hAnsi="Times New Roman" w:eastAsia="微软雅黑"/>
          <w:bCs/>
          <w:color w:val="000000" w:themeColor="text1"/>
          <w:highlight w:val="none"/>
          <w:lang w:eastAsia="zh-CN"/>
          <w14:textFill>
            <w14:solidFill>
              <w14:schemeClr w14:val="tx1"/>
            </w14:solidFill>
          </w14:textFill>
        </w:rPr>
        <w:t>。</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本项目完全引用《</w:t>
      </w:r>
      <w:r>
        <w:rPr>
          <w:rFonts w:hint="default" w:ascii="Times New Roman" w:hAnsi="Times New Roman" w:eastAsia="微软雅黑"/>
          <w:bCs/>
          <w:color w:val="000000" w:themeColor="text1"/>
          <w:highlight w:val="none"/>
          <w:lang w:val="en-US" w:eastAsia="zh-CN"/>
          <w14:textFill>
            <w14:solidFill>
              <w14:schemeClr w14:val="tx1"/>
            </w14:solidFill>
          </w14:textFill>
        </w:rPr>
        <w:fldChar w:fldCharType="begin"/>
      </w:r>
      <w:r>
        <w:rPr>
          <w:rFonts w:hint="default" w:ascii="Times New Roman" w:hAnsi="Times New Roman" w:eastAsia="微软雅黑"/>
          <w:bCs/>
          <w:color w:val="000000" w:themeColor="text1"/>
          <w:highlight w:val="none"/>
          <w:lang w:val="en-US" w:eastAsia="zh-CN"/>
          <w14:textFill>
            <w14:solidFill>
              <w14:schemeClr w14:val="tx1"/>
            </w14:solidFill>
          </w14:textFill>
        </w:rPr>
        <w:instrText xml:space="preserve"> HYPERLINK "https://std.samr.gov.cn/hb/search/stdHBDetailed?id=8B1827F1728FBB19E05397BE0A0AB44A" \t "https://std.samr.gov.cn/search/_blank" </w:instrText>
      </w:r>
      <w:r>
        <w:rPr>
          <w:rFonts w:hint="default" w:ascii="Times New Roman" w:hAnsi="Times New Roman" w:eastAsia="微软雅黑"/>
          <w:bCs/>
          <w:color w:val="000000" w:themeColor="text1"/>
          <w:highlight w:val="none"/>
          <w:lang w:val="en-US" w:eastAsia="zh-CN"/>
          <w14:textFill>
            <w14:solidFill>
              <w14:schemeClr w14:val="tx1"/>
            </w14:solidFill>
          </w14:textFill>
        </w:rPr>
        <w:fldChar w:fldCharType="separate"/>
      </w:r>
      <w:r>
        <w:rPr>
          <w:rFonts w:hint="default" w:ascii="Times New Roman" w:hAnsi="Times New Roman" w:eastAsia="微软雅黑"/>
          <w:bCs/>
          <w:color w:val="000000" w:themeColor="text1"/>
          <w:highlight w:val="none"/>
          <w:lang w:val="en-US" w:eastAsia="zh-CN"/>
          <w14:textFill>
            <w14:solidFill>
              <w14:schemeClr w14:val="tx1"/>
            </w14:solidFill>
          </w14:textFill>
        </w:rPr>
        <w:t>HG/T 3443-2014</w:t>
      </w:r>
      <w:r>
        <w:rPr>
          <w:rFonts w:hint="eastAsia" w:ascii="Times New Roman" w:hAnsi="Times New Roman" w:eastAsia="微软雅黑"/>
          <w:bCs/>
          <w:color w:val="000000" w:themeColor="text1"/>
          <w:highlight w:val="none"/>
          <w:lang w:val="en-US" w:eastAsia="zh-CN"/>
          <w14:textFill>
            <w14:solidFill>
              <w14:schemeClr w14:val="tx1"/>
            </w14:solidFill>
          </w14:textFill>
        </w:rPr>
        <w:t xml:space="preserve"> </w:t>
      </w:r>
      <w:r>
        <w:rPr>
          <w:rFonts w:hint="default" w:ascii="Times New Roman" w:hAnsi="Times New Roman" w:eastAsia="微软雅黑"/>
          <w:bCs/>
          <w:color w:val="000000" w:themeColor="text1"/>
          <w:highlight w:val="none"/>
          <w:lang w:val="en-US" w:eastAsia="zh-CN"/>
          <w14:textFill>
            <w14:solidFill>
              <w14:schemeClr w14:val="tx1"/>
            </w14:solidFill>
          </w14:textFill>
        </w:rPr>
        <w:t>化学试剂 三水合硝酸铜（硝酸铜）</w:t>
      </w:r>
      <w:r>
        <w:rPr>
          <w:rFonts w:hint="default" w:ascii="Times New Roman" w:hAnsi="Times New Roman" w:eastAsia="微软雅黑"/>
          <w:bCs/>
          <w:color w:val="000000" w:themeColor="text1"/>
          <w:highlight w:val="none"/>
          <w:lang w:val="en-US" w:eastAsia="zh-CN"/>
          <w14:textFill>
            <w14:solidFill>
              <w14:schemeClr w14:val="tx1"/>
            </w14:solidFill>
          </w14:textFill>
        </w:rPr>
        <w:fldChar w:fldCharType="end"/>
      </w:r>
      <w:r>
        <w:rPr>
          <w:rFonts w:hint="eastAsia" w:ascii="Times New Roman" w:hAnsi="Times New Roman" w:eastAsia="微软雅黑"/>
          <w:bCs/>
          <w:color w:val="000000" w:themeColor="text1"/>
          <w:highlight w:val="none"/>
          <w:lang w:val="en-US" w:eastAsia="zh-CN"/>
          <w14:textFill>
            <w14:solidFill>
              <w14:schemeClr w14:val="tx1"/>
            </w14:solidFill>
          </w14:textFill>
        </w:rPr>
        <w:t>》、《</w:t>
      </w:r>
      <w:r>
        <w:rPr>
          <w:rFonts w:hint="eastAsia" w:ascii="Times New Roman" w:hAnsi="Times New Roman" w:eastAsia="微软雅黑"/>
          <w:bCs/>
          <w:color w:val="000000" w:themeColor="text1"/>
          <w:highlight w:val="none"/>
          <w:lang w:val="en-US" w:eastAsia="zh-CN"/>
          <w14:textFill>
            <w14:solidFill>
              <w14:schemeClr w14:val="tx1"/>
            </w14:solidFill>
          </w14:textFill>
        </w:rPr>
        <w:fldChar w:fldCharType="begin"/>
      </w:r>
      <w:r>
        <w:rPr>
          <w:rFonts w:hint="eastAsia" w:ascii="Times New Roman" w:hAnsi="Times New Roman" w:eastAsia="微软雅黑"/>
          <w:bCs/>
          <w:color w:val="000000" w:themeColor="text1"/>
          <w:highlight w:val="none"/>
          <w:lang w:val="en-US" w:eastAsia="zh-CN"/>
          <w14:textFill>
            <w14:solidFill>
              <w14:schemeClr w14:val="tx1"/>
            </w14:solidFill>
          </w14:textFill>
        </w:rPr>
        <w:instrText xml:space="preserve"> HYPERLINK "https://std.samr.gov.cn/gb/search/gbDetailed?id=027A6096AFC3643EE06397BE0A0A0867" \t "https://std.samr.gov.cn/search/_blank" </w:instrText>
      </w:r>
      <w:r>
        <w:rPr>
          <w:rFonts w:hint="eastAsia" w:ascii="Times New Roman" w:hAnsi="Times New Roman" w:eastAsia="微软雅黑"/>
          <w:bCs/>
          <w:color w:val="000000" w:themeColor="text1"/>
          <w:highlight w:val="none"/>
          <w:lang w:val="en-US" w:eastAsia="zh-CN"/>
          <w14:textFill>
            <w14:solidFill>
              <w14:schemeClr w14:val="tx1"/>
            </w14:solidFill>
          </w14:textFill>
        </w:rPr>
        <w:fldChar w:fldCharType="separate"/>
      </w:r>
      <w:r>
        <w:rPr>
          <w:rFonts w:hint="default" w:ascii="Times New Roman" w:hAnsi="Times New Roman" w:eastAsia="微软雅黑"/>
          <w:bCs/>
          <w:color w:val="000000" w:themeColor="text1"/>
          <w:highlight w:val="none"/>
          <w:lang w:val="en-US" w:eastAsia="zh-CN"/>
          <w14:textFill>
            <w14:solidFill>
              <w14:schemeClr w14:val="tx1"/>
            </w14:solidFill>
          </w14:textFill>
        </w:rPr>
        <w:t>GB/T 667-2023</w:t>
      </w:r>
      <w:r>
        <w:rPr>
          <w:rFonts w:hint="eastAsia" w:ascii="Times New Roman" w:hAnsi="Times New Roman" w:eastAsia="微软雅黑"/>
          <w:bCs/>
          <w:color w:val="000000" w:themeColor="text1"/>
          <w:highlight w:val="none"/>
          <w:lang w:val="en-US" w:eastAsia="zh-CN"/>
          <w14:textFill>
            <w14:solidFill>
              <w14:schemeClr w14:val="tx1"/>
            </w14:solidFill>
          </w14:textFill>
        </w:rPr>
        <w:t xml:space="preserve"> </w:t>
      </w:r>
      <w:r>
        <w:rPr>
          <w:rFonts w:hint="default" w:ascii="Times New Roman" w:hAnsi="Times New Roman" w:eastAsia="微软雅黑"/>
          <w:bCs/>
          <w:color w:val="000000" w:themeColor="text1"/>
          <w:highlight w:val="none"/>
          <w:lang w:val="en-US" w:eastAsia="zh-CN"/>
          <w14:textFill>
            <w14:solidFill>
              <w14:schemeClr w14:val="tx1"/>
            </w14:solidFill>
          </w14:textFill>
        </w:rPr>
        <w:t>化学试剂 六水合硝酸锌（硝酸锌）</w:t>
      </w:r>
      <w:r>
        <w:rPr>
          <w:rFonts w:hint="default" w:ascii="Times New Roman" w:hAnsi="Times New Roman" w:eastAsia="微软雅黑"/>
          <w:bCs/>
          <w:color w:val="000000" w:themeColor="text1"/>
          <w:highlight w:val="none"/>
          <w:lang w:val="en-US" w:eastAsia="zh-CN"/>
          <w14:textFill>
            <w14:solidFill>
              <w14:schemeClr w14:val="tx1"/>
            </w14:solidFill>
          </w14:textFill>
        </w:rPr>
        <w:fldChar w:fldCharType="end"/>
      </w:r>
      <w:r>
        <w:rPr>
          <w:rFonts w:hint="eastAsia" w:ascii="Times New Roman" w:hAnsi="Times New Roman" w:eastAsia="微软雅黑"/>
          <w:bCs/>
          <w:color w:val="000000" w:themeColor="text1"/>
          <w:highlight w:val="none"/>
          <w:lang w:val="en-US" w:eastAsia="zh-CN"/>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highlight w:val="none"/>
        </w:rPr>
      </w:pPr>
      <w:r>
        <w:rPr>
          <w:highlight w:val="none"/>
        </w:rPr>
        <w:t>二、</w:t>
      </w:r>
      <w:r>
        <w:rPr>
          <w:rFonts w:hint="eastAsia"/>
          <w:highlight w:val="none"/>
        </w:rPr>
        <w:t>服务</w:t>
      </w:r>
      <w:r>
        <w:rPr>
          <w:highlight w:val="none"/>
        </w:rPr>
        <w:t>内容和范围</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1、服务内容</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鸟巢催化剂定制产品的载体和成品加工。</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生产鸟巢催化剂主要工序包括混料、捏合、成型、浸渍、养生、干燥、焙烧、以及产品包装。</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包装要求：有内衬塑料袋的200L铁皮桶或50L纸板桶，每桶下置一个托盘并缠膜。</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2、工作量清单★</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（1）工作量清单：鸟巢催化剂，加工量100000kg。</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322"/>
        <w:gridCol w:w="1312"/>
        <w:gridCol w:w="1402"/>
        <w:gridCol w:w="1402"/>
        <w:gridCol w:w="1245"/>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4"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序号</w:t>
            </w:r>
          </w:p>
        </w:tc>
        <w:tc>
          <w:tcPr>
            <w:tcW w:w="776"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物资名称</w:t>
            </w:r>
          </w:p>
        </w:tc>
        <w:tc>
          <w:tcPr>
            <w:tcW w:w="770"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预估数量</w:t>
            </w:r>
          </w:p>
        </w:tc>
        <w:tc>
          <w:tcPr>
            <w:tcW w:w="823"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物料编码</w:t>
            </w:r>
          </w:p>
        </w:tc>
        <w:tc>
          <w:tcPr>
            <w:tcW w:w="823"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交货期</w:t>
            </w:r>
          </w:p>
        </w:tc>
        <w:tc>
          <w:tcPr>
            <w:tcW w:w="731"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交货地点</w:t>
            </w:r>
          </w:p>
        </w:tc>
        <w:tc>
          <w:tcPr>
            <w:tcW w:w="611"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64"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1</w:t>
            </w:r>
          </w:p>
        </w:tc>
        <w:tc>
          <w:tcPr>
            <w:tcW w:w="776"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鸟巢催化剂定制产品</w:t>
            </w:r>
          </w:p>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THNH-1</w:t>
            </w:r>
          </w:p>
        </w:tc>
        <w:tc>
          <w:tcPr>
            <w:tcW w:w="770"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100000kg</w:t>
            </w:r>
          </w:p>
        </w:tc>
        <w:tc>
          <w:tcPr>
            <w:tcW w:w="823"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85412232</w:t>
            </w:r>
          </w:p>
        </w:tc>
        <w:tc>
          <w:tcPr>
            <w:tcW w:w="823"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服务委托签订后30日内，具体以服务委托为准</w:t>
            </w:r>
          </w:p>
        </w:tc>
        <w:tc>
          <w:tcPr>
            <w:tcW w:w="731"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加工方工厂，产品甲方自提</w:t>
            </w:r>
          </w:p>
        </w:tc>
        <w:tc>
          <w:tcPr>
            <w:tcW w:w="611"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单次最小加工量2000kg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4"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备注</w:t>
            </w:r>
          </w:p>
        </w:tc>
        <w:tc>
          <w:tcPr>
            <w:tcW w:w="4535" w:type="pct"/>
            <w:gridSpan w:val="6"/>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协议有效期3年，签订模式1+1+1；按照合格催化剂成品数量结算。</w:t>
            </w:r>
          </w:p>
        </w:tc>
      </w:tr>
    </w:tbl>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（2）技术要求1：</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4"/>
        <w:gridCol w:w="2711"/>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u w:val="double"/>
                <w:lang w:val="en-US" w:eastAsia="zh-CN"/>
                <w14:textFill>
                  <w14:solidFill>
                    <w14:schemeClr w14:val="tx1"/>
                  </w14:solidFill>
                </w14:textFill>
              </w:rPr>
              <w:t>鸟巢催化剂定制产品载体</w:t>
            </w:r>
          </w:p>
        </w:tc>
        <w:tc>
          <w:tcPr>
            <w:tcW w:w="1591"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技术指标</w:t>
            </w:r>
          </w:p>
        </w:tc>
        <w:tc>
          <w:tcPr>
            <w:tcW w:w="1804"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形状</w:t>
            </w:r>
          </w:p>
        </w:tc>
        <w:tc>
          <w:tcPr>
            <w:tcW w:w="1591"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圆柱形鸟巢</w:t>
            </w:r>
          </w:p>
        </w:tc>
        <w:tc>
          <w:tcPr>
            <w:tcW w:w="18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颜色</w:t>
            </w:r>
          </w:p>
        </w:tc>
        <w:tc>
          <w:tcPr>
            <w:tcW w:w="1591"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白色</w:t>
            </w:r>
          </w:p>
        </w:tc>
        <w:tc>
          <w:tcPr>
            <w:tcW w:w="18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直径/mm</w:t>
            </w:r>
          </w:p>
        </w:tc>
        <w:tc>
          <w:tcPr>
            <w:tcW w:w="1591"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9.0~13.0</w:t>
            </w:r>
          </w:p>
        </w:tc>
        <w:tc>
          <w:tcPr>
            <w:tcW w:w="18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高度/mm</w:t>
            </w:r>
          </w:p>
        </w:tc>
        <w:tc>
          <w:tcPr>
            <w:tcW w:w="1591"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6.0~9.0</w:t>
            </w:r>
          </w:p>
        </w:tc>
        <w:tc>
          <w:tcPr>
            <w:tcW w:w="18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主要组分</w:t>
            </w:r>
          </w:p>
        </w:tc>
        <w:tc>
          <w:tcPr>
            <w:tcW w:w="1591"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氧化铝</w:t>
            </w:r>
          </w:p>
        </w:tc>
        <w:tc>
          <w:tcPr>
            <w:tcW w:w="18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X射线荧光光谱法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主要组分含量/wt%</w:t>
            </w:r>
          </w:p>
        </w:tc>
        <w:tc>
          <w:tcPr>
            <w:tcW w:w="1591"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≥99.0</w:t>
            </w:r>
          </w:p>
        </w:tc>
        <w:tc>
          <w:tcPr>
            <w:tcW w:w="18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X射线荧光光谱法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吸水率/ml∙g</w:t>
            </w:r>
            <w:r>
              <w:rPr>
                <w:rFonts w:hint="eastAsia" w:ascii="Times New Roman" w:hAnsi="Times New Roman" w:eastAsia="微软雅黑"/>
                <w:bCs/>
                <w:color w:val="000000" w:themeColor="text1"/>
                <w:highlight w:val="none"/>
                <w:vertAlign w:val="superscript"/>
                <w:lang w:val="en-US" w:eastAsia="zh-CN"/>
                <w14:textFill>
                  <w14:solidFill>
                    <w14:schemeClr w14:val="tx1"/>
                  </w14:solidFill>
                </w14:textFill>
              </w:rPr>
              <w:t>-1</w:t>
            </w:r>
          </w:p>
        </w:tc>
        <w:tc>
          <w:tcPr>
            <w:tcW w:w="1591"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≥65</w:t>
            </w:r>
          </w:p>
        </w:tc>
        <w:tc>
          <w:tcPr>
            <w:tcW w:w="18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浸渍称重法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堆积密度/g∙cm</w:t>
            </w:r>
            <w:r>
              <w:rPr>
                <w:rFonts w:hint="eastAsia" w:ascii="Times New Roman" w:hAnsi="Times New Roman" w:eastAsia="微软雅黑"/>
                <w:bCs/>
                <w:color w:val="000000" w:themeColor="text1"/>
                <w:highlight w:val="none"/>
                <w:vertAlign w:val="superscript"/>
                <w:lang w:val="en-US" w:eastAsia="zh-CN"/>
                <w14:textFill>
                  <w14:solidFill>
                    <w14:schemeClr w14:val="tx1"/>
                  </w14:solidFill>
                </w14:textFill>
              </w:rPr>
              <w:t>-3</w:t>
            </w:r>
          </w:p>
        </w:tc>
        <w:tc>
          <w:tcPr>
            <w:tcW w:w="1591"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0.35~0.55</w:t>
            </w:r>
          </w:p>
        </w:tc>
        <w:tc>
          <w:tcPr>
            <w:tcW w:w="18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量筒法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磨耗率/wt%</w:t>
            </w:r>
          </w:p>
        </w:tc>
        <w:tc>
          <w:tcPr>
            <w:tcW w:w="1591"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≤1.0</w:t>
            </w:r>
          </w:p>
        </w:tc>
        <w:tc>
          <w:tcPr>
            <w:tcW w:w="18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磨耗仪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轴向机械强度/N∙颗</w:t>
            </w:r>
            <w:r>
              <w:rPr>
                <w:rFonts w:hint="eastAsia" w:ascii="Times New Roman" w:hAnsi="Times New Roman" w:eastAsia="微软雅黑"/>
                <w:bCs/>
                <w:color w:val="000000" w:themeColor="text1"/>
                <w:highlight w:val="none"/>
                <w:vertAlign w:val="superscript"/>
                <w:lang w:val="en-US" w:eastAsia="zh-CN"/>
                <w14:textFill>
                  <w14:solidFill>
                    <w14:schemeClr w14:val="tx1"/>
                  </w14:solidFill>
                </w14:textFill>
              </w:rPr>
              <w:t>-1</w:t>
            </w:r>
          </w:p>
        </w:tc>
        <w:tc>
          <w:tcPr>
            <w:tcW w:w="1591"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≥300</w:t>
            </w:r>
          </w:p>
        </w:tc>
        <w:tc>
          <w:tcPr>
            <w:tcW w:w="18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渐进式强度仪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vertAlign w:val="baseline"/>
                <w:lang w:val="en-US" w:eastAsia="zh-CN"/>
                <w14:textFill>
                  <w14:solidFill>
                    <w14:schemeClr w14:val="tx1"/>
                  </w14:solidFill>
                </w14:textFill>
              </w:rPr>
              <w:t>径向机械强度/N∙</w:t>
            </w:r>
            <w:r>
              <w:rPr>
                <w:rFonts w:hint="eastAsia" w:ascii="Times New Roman" w:hAnsi="Times New Roman" w:eastAsia="微软雅黑"/>
                <w:bCs/>
                <w:color w:val="000000" w:themeColor="text1"/>
                <w:highlight w:val="none"/>
                <w:lang w:val="en-US" w:eastAsia="zh-CN"/>
                <w14:textFill>
                  <w14:solidFill>
                    <w14:schemeClr w14:val="tx1"/>
                  </w14:solidFill>
                </w14:textFill>
              </w:rPr>
              <w:t>颗</w:t>
            </w:r>
            <w:r>
              <w:rPr>
                <w:rFonts w:hint="eastAsia" w:ascii="Times New Roman" w:hAnsi="Times New Roman" w:eastAsia="微软雅黑"/>
                <w:bCs/>
                <w:color w:val="000000" w:themeColor="text1"/>
                <w:highlight w:val="none"/>
                <w:vertAlign w:val="superscript"/>
                <w:lang w:val="en-US" w:eastAsia="zh-CN"/>
                <w14:textFill>
                  <w14:solidFill>
                    <w14:schemeClr w14:val="tx1"/>
                  </w14:solidFill>
                </w14:textFill>
              </w:rPr>
              <w:t>-1</w:t>
            </w:r>
          </w:p>
        </w:tc>
        <w:tc>
          <w:tcPr>
            <w:tcW w:w="1591"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≥60</w:t>
            </w:r>
          </w:p>
        </w:tc>
        <w:tc>
          <w:tcPr>
            <w:tcW w:w="180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渐进式强度仪</w:t>
            </w:r>
          </w:p>
        </w:tc>
      </w:tr>
    </w:tbl>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（3）技术要求2</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7"/>
        <w:gridCol w:w="3005"/>
        <w:gridCol w:w="2724"/>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5"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u w:val="double"/>
                <w:lang w:val="en-US" w:eastAsia="zh-CN"/>
                <w14:textFill>
                  <w14:solidFill>
                    <w14:schemeClr w14:val="tx1"/>
                  </w14:solidFill>
                </w14:textFill>
              </w:rPr>
              <w:t>鸟巢催化剂定制产品</w:t>
            </w:r>
          </w:p>
        </w:tc>
        <w:tc>
          <w:tcPr>
            <w:tcW w:w="1763"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技术指标</w:t>
            </w:r>
          </w:p>
        </w:tc>
        <w:tc>
          <w:tcPr>
            <w:tcW w:w="1600" w:type="pct"/>
            <w:gridSpan w:val="2"/>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5"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形状</w:t>
            </w:r>
          </w:p>
        </w:tc>
        <w:tc>
          <w:tcPr>
            <w:tcW w:w="1763"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圆柱形鸟巢</w:t>
            </w:r>
          </w:p>
        </w:tc>
        <w:tc>
          <w:tcPr>
            <w:tcW w:w="1600" w:type="pct"/>
            <w:gridSpan w:val="2"/>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5"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颜色</w:t>
            </w:r>
          </w:p>
        </w:tc>
        <w:tc>
          <w:tcPr>
            <w:tcW w:w="1763"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棕褐色</w:t>
            </w:r>
          </w:p>
        </w:tc>
        <w:tc>
          <w:tcPr>
            <w:tcW w:w="1600" w:type="pct"/>
            <w:gridSpan w:val="2"/>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5"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直径/mm</w:t>
            </w:r>
          </w:p>
        </w:tc>
        <w:tc>
          <w:tcPr>
            <w:tcW w:w="1763"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8.0~12.0</w:t>
            </w:r>
          </w:p>
        </w:tc>
        <w:tc>
          <w:tcPr>
            <w:tcW w:w="1600" w:type="pct"/>
            <w:gridSpan w:val="2"/>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54" w:hRule="atLeast"/>
          <w:jc w:val="center"/>
        </w:trPr>
        <w:tc>
          <w:tcPr>
            <w:tcW w:w="1635"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长度/mm</w:t>
            </w:r>
          </w:p>
        </w:tc>
        <w:tc>
          <w:tcPr>
            <w:tcW w:w="1763"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5.0~8.0</w:t>
            </w:r>
          </w:p>
        </w:tc>
        <w:tc>
          <w:tcPr>
            <w:tcW w:w="1598"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5"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活性组分含量/wt%</w:t>
            </w:r>
          </w:p>
        </w:tc>
        <w:tc>
          <w:tcPr>
            <w:tcW w:w="1763"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ZnO≮20.0，CuO≮15.0</w:t>
            </w:r>
          </w:p>
        </w:tc>
        <w:tc>
          <w:tcPr>
            <w:tcW w:w="1600" w:type="pct"/>
            <w:gridSpan w:val="2"/>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X射线荧光光谱法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5"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堆积密度/g∙cm</w:t>
            </w:r>
            <w:r>
              <w:rPr>
                <w:rFonts w:hint="eastAsia" w:ascii="Times New Roman" w:hAnsi="Times New Roman" w:eastAsia="微软雅黑"/>
                <w:bCs/>
                <w:color w:val="000000" w:themeColor="text1"/>
                <w:highlight w:val="none"/>
                <w:vertAlign w:val="superscript"/>
                <w:lang w:val="en-US" w:eastAsia="zh-CN"/>
                <w14:textFill>
                  <w14:solidFill>
                    <w14:schemeClr w14:val="tx1"/>
                  </w14:solidFill>
                </w14:textFill>
              </w:rPr>
              <w:t>-3</w:t>
            </w:r>
          </w:p>
        </w:tc>
        <w:tc>
          <w:tcPr>
            <w:tcW w:w="1763"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0.70~0.90</w:t>
            </w:r>
          </w:p>
        </w:tc>
        <w:tc>
          <w:tcPr>
            <w:tcW w:w="1600" w:type="pct"/>
            <w:gridSpan w:val="2"/>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量筒法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5"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磨耗率/wt%</w:t>
            </w:r>
          </w:p>
        </w:tc>
        <w:tc>
          <w:tcPr>
            <w:tcW w:w="1763"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≤1.0</w:t>
            </w:r>
          </w:p>
        </w:tc>
        <w:tc>
          <w:tcPr>
            <w:tcW w:w="1600" w:type="pct"/>
            <w:gridSpan w:val="2"/>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磨耗仪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5"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轴向机械强度/N∙颗</w:t>
            </w:r>
            <w:r>
              <w:rPr>
                <w:rFonts w:hint="eastAsia" w:ascii="Times New Roman" w:hAnsi="Times New Roman" w:eastAsia="微软雅黑"/>
                <w:bCs/>
                <w:color w:val="000000" w:themeColor="text1"/>
                <w:highlight w:val="none"/>
                <w:vertAlign w:val="superscript"/>
                <w:lang w:val="en-US" w:eastAsia="zh-CN"/>
                <w14:textFill>
                  <w14:solidFill>
                    <w14:schemeClr w14:val="tx1"/>
                  </w14:solidFill>
                </w14:textFill>
              </w:rPr>
              <w:t>-1</w:t>
            </w:r>
          </w:p>
        </w:tc>
        <w:tc>
          <w:tcPr>
            <w:tcW w:w="1763"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≥500</w:t>
            </w:r>
          </w:p>
        </w:tc>
        <w:tc>
          <w:tcPr>
            <w:tcW w:w="1600" w:type="pct"/>
            <w:gridSpan w:val="2"/>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渐进式强度仪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5"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vertAlign w:val="baseline"/>
                <w:lang w:val="en-US" w:eastAsia="zh-CN"/>
                <w14:textFill>
                  <w14:solidFill>
                    <w14:schemeClr w14:val="tx1"/>
                  </w14:solidFill>
                </w14:textFill>
              </w:rPr>
              <w:t>径向机械强度/N∙</w:t>
            </w:r>
            <w:r>
              <w:rPr>
                <w:rFonts w:hint="eastAsia" w:ascii="Times New Roman" w:hAnsi="Times New Roman" w:eastAsia="微软雅黑"/>
                <w:bCs/>
                <w:color w:val="000000" w:themeColor="text1"/>
                <w:highlight w:val="none"/>
                <w:lang w:val="en-US" w:eastAsia="zh-CN"/>
                <w14:textFill>
                  <w14:solidFill>
                    <w14:schemeClr w14:val="tx1"/>
                  </w14:solidFill>
                </w14:textFill>
              </w:rPr>
              <w:t>颗</w:t>
            </w:r>
            <w:r>
              <w:rPr>
                <w:rFonts w:hint="eastAsia" w:ascii="Times New Roman" w:hAnsi="Times New Roman" w:eastAsia="微软雅黑"/>
                <w:bCs/>
                <w:color w:val="000000" w:themeColor="text1"/>
                <w:highlight w:val="none"/>
                <w:vertAlign w:val="superscript"/>
                <w:lang w:val="en-US" w:eastAsia="zh-CN"/>
                <w14:textFill>
                  <w14:solidFill>
                    <w14:schemeClr w14:val="tx1"/>
                  </w14:solidFill>
                </w14:textFill>
              </w:rPr>
              <w:t>-1</w:t>
            </w:r>
          </w:p>
        </w:tc>
        <w:tc>
          <w:tcPr>
            <w:tcW w:w="1763"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≥80</w:t>
            </w:r>
          </w:p>
        </w:tc>
        <w:tc>
          <w:tcPr>
            <w:tcW w:w="1600" w:type="pct"/>
            <w:gridSpan w:val="2"/>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en-US"/>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渐进式强度仪</w:t>
            </w:r>
          </w:p>
        </w:tc>
      </w:tr>
    </w:tbl>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3、服务地点：乙方加工厂。</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4、服务期限：服务期限为3年。</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highlight w:val="none"/>
        </w:rPr>
      </w:pPr>
      <w:bookmarkStart w:id="5" w:name="_Toc13249326"/>
      <w:bookmarkStart w:id="6" w:name="_Toc13248929"/>
      <w:r>
        <w:rPr>
          <w:highlight w:val="none"/>
        </w:rPr>
        <w:t>三、执行标准</w:t>
      </w:r>
      <w:r>
        <w:rPr>
          <w:rFonts w:hint="eastAsia"/>
          <w:highlight w:val="none"/>
        </w:rPr>
        <w:t>/规范</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根据合同约定的生产工艺流程及所需提供的原材料进行生产，产品验收需满足产品物性指标的要求。</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w:t>
      </w:r>
      <w:r>
        <w:rPr>
          <w:rFonts w:hint="default" w:ascii="Times New Roman" w:hAnsi="Times New Roman" w:eastAsia="微软雅黑"/>
          <w:bCs/>
          <w:color w:val="000000" w:themeColor="text1"/>
          <w:highlight w:val="none"/>
          <w:lang w:val="en-US" w:eastAsia="zh-CN"/>
          <w14:textFill>
            <w14:solidFill>
              <w14:schemeClr w14:val="tx1"/>
            </w14:solidFill>
          </w14:textFill>
        </w:rPr>
        <w:fldChar w:fldCharType="begin"/>
      </w:r>
      <w:r>
        <w:rPr>
          <w:rFonts w:hint="default" w:ascii="Times New Roman" w:hAnsi="Times New Roman" w:eastAsia="微软雅黑"/>
          <w:bCs/>
          <w:color w:val="000000" w:themeColor="text1"/>
          <w:highlight w:val="none"/>
          <w:lang w:val="en-US" w:eastAsia="zh-CN"/>
          <w14:textFill>
            <w14:solidFill>
              <w14:schemeClr w14:val="tx1"/>
            </w14:solidFill>
          </w14:textFill>
        </w:rPr>
        <w:instrText xml:space="preserve"> HYPERLINK "https://std.samr.gov.cn/hb/search/stdHBDetailed?id=8B1827F1728FBB19E05397BE0A0AB44A" \t "https://std.samr.gov.cn/search/_blank" </w:instrText>
      </w:r>
      <w:r>
        <w:rPr>
          <w:rFonts w:hint="default" w:ascii="Times New Roman" w:hAnsi="Times New Roman" w:eastAsia="微软雅黑"/>
          <w:bCs/>
          <w:color w:val="000000" w:themeColor="text1"/>
          <w:highlight w:val="none"/>
          <w:lang w:val="en-US" w:eastAsia="zh-CN"/>
          <w14:textFill>
            <w14:solidFill>
              <w14:schemeClr w14:val="tx1"/>
            </w14:solidFill>
          </w14:textFill>
        </w:rPr>
        <w:fldChar w:fldCharType="separate"/>
      </w:r>
      <w:r>
        <w:rPr>
          <w:rFonts w:hint="default" w:ascii="Times New Roman" w:hAnsi="Times New Roman" w:eastAsia="微软雅黑"/>
          <w:bCs/>
          <w:color w:val="000000" w:themeColor="text1"/>
          <w:highlight w:val="none"/>
          <w:lang w:val="en-US" w:eastAsia="zh-CN"/>
          <w14:textFill>
            <w14:solidFill>
              <w14:schemeClr w14:val="tx1"/>
            </w14:solidFill>
          </w14:textFill>
        </w:rPr>
        <w:t>HG/T 3443-2014</w:t>
      </w:r>
      <w:r>
        <w:rPr>
          <w:rFonts w:hint="eastAsia" w:ascii="Times New Roman" w:hAnsi="Times New Roman" w:eastAsia="微软雅黑"/>
          <w:bCs/>
          <w:color w:val="000000" w:themeColor="text1"/>
          <w:highlight w:val="none"/>
          <w:lang w:val="en-US" w:eastAsia="zh-CN"/>
          <w14:textFill>
            <w14:solidFill>
              <w14:schemeClr w14:val="tx1"/>
            </w14:solidFill>
          </w14:textFill>
        </w:rPr>
        <w:t xml:space="preserve"> </w:t>
      </w:r>
      <w:r>
        <w:rPr>
          <w:rFonts w:hint="default" w:ascii="Times New Roman" w:hAnsi="Times New Roman" w:eastAsia="微软雅黑"/>
          <w:bCs/>
          <w:color w:val="000000" w:themeColor="text1"/>
          <w:highlight w:val="none"/>
          <w:lang w:val="en-US" w:eastAsia="zh-CN"/>
          <w14:textFill>
            <w14:solidFill>
              <w14:schemeClr w14:val="tx1"/>
            </w14:solidFill>
          </w14:textFill>
        </w:rPr>
        <w:t>化学试剂 三水合硝酸铜（硝酸铜）</w:t>
      </w:r>
      <w:r>
        <w:rPr>
          <w:rFonts w:hint="default" w:ascii="Times New Roman" w:hAnsi="Times New Roman" w:eastAsia="微软雅黑"/>
          <w:bCs/>
          <w:color w:val="000000" w:themeColor="text1"/>
          <w:highlight w:val="none"/>
          <w:lang w:val="en-US" w:eastAsia="zh-CN"/>
          <w14:textFill>
            <w14:solidFill>
              <w14:schemeClr w14:val="tx1"/>
            </w14:solidFill>
          </w14:textFill>
        </w:rPr>
        <w:fldChar w:fldCharType="end"/>
      </w:r>
      <w:r>
        <w:rPr>
          <w:rFonts w:hint="eastAsia" w:ascii="Times New Roman" w:hAnsi="Times New Roman" w:eastAsia="微软雅黑"/>
          <w:bCs/>
          <w:color w:val="000000" w:themeColor="text1"/>
          <w:highlight w:val="none"/>
          <w:lang w:val="en-US" w:eastAsia="zh-CN"/>
          <w14:textFill>
            <w14:solidFill>
              <w14:schemeClr w14:val="tx1"/>
            </w14:solidFill>
          </w14:textFill>
        </w:rPr>
        <w:t>》</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w:t>
      </w:r>
      <w:r>
        <w:rPr>
          <w:rFonts w:hint="eastAsia" w:ascii="Times New Roman" w:hAnsi="Times New Roman" w:eastAsia="微软雅黑"/>
          <w:bCs/>
          <w:color w:val="000000" w:themeColor="text1"/>
          <w:highlight w:val="none"/>
          <w:lang w:val="en-US" w:eastAsia="zh-CN"/>
          <w14:textFill>
            <w14:solidFill>
              <w14:schemeClr w14:val="tx1"/>
            </w14:solidFill>
          </w14:textFill>
        </w:rPr>
        <w:fldChar w:fldCharType="begin"/>
      </w:r>
      <w:r>
        <w:rPr>
          <w:rFonts w:hint="eastAsia" w:ascii="Times New Roman" w:hAnsi="Times New Roman" w:eastAsia="微软雅黑"/>
          <w:bCs/>
          <w:color w:val="000000" w:themeColor="text1"/>
          <w:highlight w:val="none"/>
          <w:lang w:val="en-US" w:eastAsia="zh-CN"/>
          <w14:textFill>
            <w14:solidFill>
              <w14:schemeClr w14:val="tx1"/>
            </w14:solidFill>
          </w14:textFill>
        </w:rPr>
        <w:instrText xml:space="preserve"> HYPERLINK "https://std.samr.gov.cn/gb/search/gbDetailed?id=027A6096AFC3643EE06397BE0A0A0867" \t "https://std.samr.gov.cn/search/_blank" </w:instrText>
      </w:r>
      <w:r>
        <w:rPr>
          <w:rFonts w:hint="eastAsia" w:ascii="Times New Roman" w:hAnsi="Times New Roman" w:eastAsia="微软雅黑"/>
          <w:bCs/>
          <w:color w:val="000000" w:themeColor="text1"/>
          <w:highlight w:val="none"/>
          <w:lang w:val="en-US" w:eastAsia="zh-CN"/>
          <w14:textFill>
            <w14:solidFill>
              <w14:schemeClr w14:val="tx1"/>
            </w14:solidFill>
          </w14:textFill>
        </w:rPr>
        <w:fldChar w:fldCharType="separate"/>
      </w:r>
      <w:r>
        <w:rPr>
          <w:rFonts w:hint="default" w:ascii="Times New Roman" w:hAnsi="Times New Roman" w:eastAsia="微软雅黑"/>
          <w:bCs/>
          <w:color w:val="000000" w:themeColor="text1"/>
          <w:highlight w:val="none"/>
          <w:lang w:val="en-US" w:eastAsia="zh-CN"/>
          <w14:textFill>
            <w14:solidFill>
              <w14:schemeClr w14:val="tx1"/>
            </w14:solidFill>
          </w14:textFill>
        </w:rPr>
        <w:t>GB/T 667-2023</w:t>
      </w:r>
      <w:r>
        <w:rPr>
          <w:rFonts w:hint="eastAsia" w:ascii="Times New Roman" w:hAnsi="Times New Roman" w:eastAsia="微软雅黑"/>
          <w:bCs/>
          <w:color w:val="000000" w:themeColor="text1"/>
          <w:highlight w:val="none"/>
          <w:lang w:val="en-US" w:eastAsia="zh-CN"/>
          <w14:textFill>
            <w14:solidFill>
              <w14:schemeClr w14:val="tx1"/>
            </w14:solidFill>
          </w14:textFill>
        </w:rPr>
        <w:t xml:space="preserve"> </w:t>
      </w:r>
      <w:r>
        <w:rPr>
          <w:rFonts w:hint="default" w:ascii="Times New Roman" w:hAnsi="Times New Roman" w:eastAsia="微软雅黑"/>
          <w:bCs/>
          <w:color w:val="000000" w:themeColor="text1"/>
          <w:highlight w:val="none"/>
          <w:lang w:val="en-US" w:eastAsia="zh-CN"/>
          <w14:textFill>
            <w14:solidFill>
              <w14:schemeClr w14:val="tx1"/>
            </w14:solidFill>
          </w14:textFill>
        </w:rPr>
        <w:t>化学试剂 六水合硝酸锌（硝酸锌）</w:t>
      </w:r>
      <w:r>
        <w:rPr>
          <w:rFonts w:hint="default" w:ascii="Times New Roman" w:hAnsi="Times New Roman" w:eastAsia="微软雅黑"/>
          <w:bCs/>
          <w:color w:val="000000" w:themeColor="text1"/>
          <w:highlight w:val="none"/>
          <w:lang w:val="en-US" w:eastAsia="zh-CN"/>
          <w14:textFill>
            <w14:solidFill>
              <w14:schemeClr w14:val="tx1"/>
            </w14:solidFill>
          </w14:textFill>
        </w:rPr>
        <w:fldChar w:fldCharType="end"/>
      </w:r>
      <w:r>
        <w:rPr>
          <w:rFonts w:hint="eastAsia" w:ascii="Times New Roman" w:hAnsi="Times New Roman" w:eastAsia="微软雅黑"/>
          <w:bCs/>
          <w:color w:val="000000" w:themeColor="text1"/>
          <w:highlight w:val="none"/>
          <w:lang w:val="en-US" w:eastAsia="zh-CN"/>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highlight w:val="none"/>
        </w:rPr>
      </w:pPr>
      <w:r>
        <w:rPr>
          <w:rFonts w:hint="eastAsia"/>
          <w:highlight w:val="none"/>
        </w:rPr>
        <w:t>四、服务要求</w:t>
      </w:r>
    </w:p>
    <w:bookmarkEnd w:id="5"/>
    <w:bookmarkEnd w:id="6"/>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1、设计/施工方案要求：</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甲方负责提供生产指导、现场监督，乙方根据甲方的技术指导生产符合甲方技术要求的鸟巢催化剂载体及成品。</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2、服务具体要求：</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default" w:ascii="Times New Roman" w:hAnsi="Times New Roman" w:eastAsia="微软雅黑"/>
          <w:bCs/>
          <w:color w:val="000000" w:themeColor="text1"/>
          <w:highlight w:val="none"/>
          <w:u w:val="double"/>
          <w:lang w:val="en-US" w:eastAsia="zh-CN"/>
          <w14:textFill>
            <w14:solidFill>
              <w14:schemeClr w14:val="tx1"/>
            </w14:solidFill>
          </w14:textFill>
        </w:rPr>
      </w:pPr>
      <w:r>
        <w:rPr>
          <w:rFonts w:hint="eastAsia" w:ascii="Times New Roman" w:hAnsi="Times New Roman" w:eastAsia="微软雅黑"/>
          <w:bCs/>
          <w:color w:val="000000" w:themeColor="text1"/>
          <w:highlight w:val="none"/>
          <w:u w:val="double"/>
          <w:lang w:val="en-US" w:eastAsia="zh-CN"/>
          <w14:textFill>
            <w14:solidFill>
              <w14:schemeClr w14:val="tx1"/>
            </w14:solidFill>
          </w14:textFill>
        </w:rPr>
        <w:t>鸟巢催化剂载体制备：</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u w:val="none"/>
          <w:lang w:val="en-US" w:eastAsia="zh-CN"/>
          <w14:textFill>
            <w14:solidFill>
              <w14:schemeClr w14:val="tx1"/>
            </w14:solidFill>
          </w14:textFill>
        </w:rPr>
      </w:pPr>
      <w:r>
        <w:rPr>
          <w:rFonts w:hint="eastAsia" w:ascii="Times New Roman" w:hAnsi="Times New Roman" w:eastAsia="微软雅黑"/>
          <w:bCs/>
          <w:color w:val="000000" w:themeColor="text1"/>
          <w:highlight w:val="none"/>
          <w:u w:val="none"/>
          <w:lang w:val="en-US" w:eastAsia="zh-CN"/>
          <w14:textFill>
            <w14:solidFill>
              <w14:schemeClr w14:val="tx1"/>
            </w14:solidFill>
          </w14:textFill>
        </w:rPr>
        <w:t>（1）混料：按比例将多种载体原料混合，时间不少于20分钟，确保混合均匀。</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u w:val="none"/>
          <w:lang w:val="en-US" w:eastAsia="zh-CN"/>
          <w14:textFill>
            <w14:solidFill>
              <w14:schemeClr w14:val="tx1"/>
            </w14:solidFill>
          </w14:textFill>
        </w:rPr>
      </w:pPr>
      <w:r>
        <w:rPr>
          <w:rFonts w:hint="eastAsia" w:ascii="Times New Roman" w:hAnsi="Times New Roman" w:eastAsia="微软雅黑"/>
          <w:bCs/>
          <w:color w:val="000000" w:themeColor="text1"/>
          <w:highlight w:val="none"/>
          <w:u w:val="none"/>
          <w:lang w:val="en-US" w:eastAsia="zh-CN"/>
          <w14:textFill>
            <w14:solidFill>
              <w14:schemeClr w14:val="tx1"/>
            </w14:solidFill>
          </w14:textFill>
        </w:rPr>
        <w:t>（2）捏合成型：向混料中加入胶溶剂和助挤剂等辅料，捏合时间不少于30分钟，然后挤压成圆柱形鸟巢，并切成规定尺寸。</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u w:val="none"/>
          <w:lang w:val="en-US" w:eastAsia="zh-CN"/>
          <w14:textFill>
            <w14:solidFill>
              <w14:schemeClr w14:val="tx1"/>
            </w14:solidFill>
          </w14:textFill>
        </w:rPr>
      </w:pPr>
      <w:r>
        <w:rPr>
          <w:rFonts w:hint="eastAsia" w:ascii="Times New Roman" w:hAnsi="Times New Roman" w:eastAsia="微软雅黑"/>
          <w:bCs/>
          <w:color w:val="000000" w:themeColor="text1"/>
          <w:highlight w:val="none"/>
          <w:u w:val="none"/>
          <w:lang w:val="en-US" w:eastAsia="zh-CN"/>
          <w14:textFill>
            <w14:solidFill>
              <w14:schemeClr w14:val="tx1"/>
            </w14:solidFill>
          </w14:textFill>
        </w:rPr>
        <w:t>（3）养生：成型后产品放在铁盘中或平整的地面上铺平，料厚≤5cm，常温静置</w:t>
      </w:r>
      <w:r>
        <w:rPr>
          <w:rFonts w:hint="eastAsia" w:ascii="Times New Roman" w:hAnsi="Times New Roman" w:eastAsia="微软雅黑"/>
          <w:bCs/>
          <w:color w:val="000000" w:themeColor="text1"/>
          <w:highlight w:val="none"/>
          <w:lang w:val="en-US" w:eastAsia="zh-CN"/>
          <w14:textFill>
            <w14:solidFill>
              <w14:schemeClr w14:val="tx1"/>
            </w14:solidFill>
          </w14:textFill>
        </w:rPr>
        <w:t>12小时</w:t>
      </w:r>
      <w:r>
        <w:rPr>
          <w:rFonts w:hint="eastAsia" w:ascii="Times New Roman" w:hAnsi="Times New Roman" w:eastAsia="微软雅黑"/>
          <w:bCs/>
          <w:color w:val="000000" w:themeColor="text1"/>
          <w:highlight w:val="none"/>
          <w:u w:val="none"/>
          <w:lang w:val="en-US" w:eastAsia="zh-CN"/>
          <w14:textFill>
            <w14:solidFill>
              <w14:schemeClr w14:val="tx1"/>
            </w14:solidFill>
          </w14:textFill>
        </w:rPr>
        <w:t>。</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u w:val="none"/>
          <w:lang w:val="en-US" w:eastAsia="zh-CN"/>
          <w14:textFill>
            <w14:solidFill>
              <w14:schemeClr w14:val="tx1"/>
            </w14:solidFill>
          </w14:textFill>
        </w:rPr>
      </w:pPr>
      <w:r>
        <w:rPr>
          <w:rFonts w:hint="eastAsia" w:ascii="Times New Roman" w:hAnsi="Times New Roman" w:eastAsia="微软雅黑"/>
          <w:bCs/>
          <w:color w:val="000000" w:themeColor="text1"/>
          <w:highlight w:val="none"/>
          <w:u w:val="none"/>
          <w:lang w:val="en-US" w:eastAsia="zh-CN"/>
          <w14:textFill>
            <w14:solidFill>
              <w14:schemeClr w14:val="tx1"/>
            </w14:solidFill>
          </w14:textFill>
        </w:rPr>
        <w:t>（4）干燥：120℃干燥至含水量＜5%。</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u w:val="none"/>
          <w:lang w:val="en-US" w:eastAsia="zh-CN"/>
          <w14:textFill>
            <w14:solidFill>
              <w14:schemeClr w14:val="tx1"/>
            </w14:solidFill>
          </w14:textFill>
        </w:rPr>
      </w:pPr>
      <w:r>
        <w:rPr>
          <w:rFonts w:hint="eastAsia" w:ascii="Times New Roman" w:hAnsi="Times New Roman" w:eastAsia="微软雅黑"/>
          <w:bCs/>
          <w:color w:val="000000" w:themeColor="text1"/>
          <w:highlight w:val="none"/>
          <w:u w:val="none"/>
          <w:lang w:val="en-US" w:eastAsia="zh-CN"/>
          <w14:textFill>
            <w14:solidFill>
              <w14:schemeClr w14:val="tx1"/>
            </w14:solidFill>
          </w14:textFill>
        </w:rPr>
        <w:t>（5）载体焙烧：用焙烧设备进行焙烧，3-4小时升温至600±10℃，恒温不少于3小时，料厚≤5cm，确保烧透。</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u w:val="none"/>
          <w:lang w:val="en-US" w:eastAsia="zh-CN"/>
          <w14:textFill>
            <w14:solidFill>
              <w14:schemeClr w14:val="tx1"/>
            </w14:solidFill>
          </w14:textFill>
        </w:rPr>
      </w:pPr>
      <w:r>
        <w:rPr>
          <w:rFonts w:hint="eastAsia" w:ascii="Times New Roman" w:hAnsi="Times New Roman" w:eastAsia="微软雅黑"/>
          <w:bCs/>
          <w:color w:val="000000" w:themeColor="text1"/>
          <w:highlight w:val="none"/>
          <w:u w:val="none"/>
          <w:lang w:val="en-US" w:eastAsia="zh-CN"/>
          <w14:textFill>
            <w14:solidFill>
              <w14:schemeClr w14:val="tx1"/>
            </w14:solidFill>
          </w14:textFill>
        </w:rPr>
        <w:t>（6）降温后筛除碎料和粉体（</w:t>
      </w:r>
      <w:r>
        <w:rPr>
          <w:rFonts w:hint="eastAsia" w:ascii="Times New Roman" w:hAnsi="Times New Roman" w:eastAsia="微软雅黑"/>
          <w:bCs/>
          <w:color w:val="000000" w:themeColor="text1"/>
          <w:highlight w:val="none"/>
          <w:lang w:val="en-US" w:eastAsia="zh-CN"/>
          <w14:textFill>
            <w14:solidFill>
              <w14:schemeClr w14:val="tx1"/>
            </w14:solidFill>
          </w14:textFill>
        </w:rPr>
        <w:t>粉化、破碎、过筛等损失＜2%</w:t>
      </w:r>
      <w:r>
        <w:rPr>
          <w:rFonts w:hint="eastAsia" w:ascii="Times New Roman" w:hAnsi="Times New Roman" w:eastAsia="微软雅黑"/>
          <w:bCs/>
          <w:color w:val="000000" w:themeColor="text1"/>
          <w:highlight w:val="none"/>
          <w:u w:val="none"/>
          <w:lang w:val="en-US" w:eastAsia="zh-CN"/>
          <w14:textFill>
            <w14:solidFill>
              <w14:schemeClr w14:val="tx1"/>
            </w14:solidFill>
          </w14:textFill>
        </w:rPr>
        <w:t>），载体称重、测吸水，准备浸渍。</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default" w:ascii="Times New Roman" w:hAnsi="Times New Roman" w:eastAsia="微软雅黑"/>
          <w:bCs/>
          <w:color w:val="000000" w:themeColor="text1"/>
          <w:highlight w:val="none"/>
          <w:u w:val="double"/>
          <w:lang w:val="en-US" w:eastAsia="zh-CN"/>
          <w14:textFill>
            <w14:solidFill>
              <w14:schemeClr w14:val="tx1"/>
            </w14:solidFill>
          </w14:textFill>
        </w:rPr>
      </w:pPr>
      <w:r>
        <w:rPr>
          <w:rFonts w:hint="eastAsia" w:ascii="Times New Roman" w:hAnsi="Times New Roman" w:eastAsia="微软雅黑"/>
          <w:bCs/>
          <w:color w:val="000000" w:themeColor="text1"/>
          <w:highlight w:val="none"/>
          <w:u w:val="double"/>
          <w:lang w:val="en-US" w:eastAsia="zh-CN"/>
          <w14:textFill>
            <w14:solidFill>
              <w14:schemeClr w14:val="tx1"/>
            </w14:solidFill>
          </w14:textFill>
        </w:rPr>
        <w:t>鸟巢催化剂成品制备：</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10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（1）一次浸渍液配制：将一定量的硝酸铜和硝酸锌溶于35±5℃纯水中（水量根据载体的吸水率核算），搅拌至固体完全溶解并恒温4小时。</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10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（2）一次浸渍：在喷淋浸渍设备中进行等体积喷淋浸渍，要求载体均匀吸附。</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10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（3）养生：将一次浸渍后的产品</w:t>
      </w:r>
      <w:r>
        <w:rPr>
          <w:rFonts w:hint="eastAsia" w:ascii="Times New Roman" w:hAnsi="Times New Roman" w:eastAsia="微软雅黑"/>
          <w:bCs/>
          <w:color w:val="000000" w:themeColor="text1"/>
          <w:highlight w:val="none"/>
          <w:u w:val="none"/>
          <w:lang w:val="en-US" w:eastAsia="zh-CN"/>
          <w14:textFill>
            <w14:solidFill>
              <w14:schemeClr w14:val="tx1"/>
            </w14:solidFill>
          </w14:textFill>
        </w:rPr>
        <w:t>放在铁盘中或平整的地面上铺平</w:t>
      </w:r>
      <w:r>
        <w:rPr>
          <w:rFonts w:hint="eastAsia" w:ascii="Times New Roman" w:hAnsi="Times New Roman" w:eastAsia="微软雅黑"/>
          <w:bCs/>
          <w:color w:val="000000" w:themeColor="text1"/>
          <w:highlight w:val="none"/>
          <w:lang w:val="en-US" w:eastAsia="zh-CN"/>
          <w14:textFill>
            <w14:solidFill>
              <w14:schemeClr w14:val="tx1"/>
            </w14:solidFill>
          </w14:textFill>
        </w:rPr>
        <w:t>，料厚≤5cm，常温静置12小时。</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u w:val="none"/>
          <w:lang w:val="en-US" w:eastAsia="zh-CN"/>
          <w14:textFill>
            <w14:solidFill>
              <w14:schemeClr w14:val="tx1"/>
            </w14:solidFill>
          </w14:textFill>
        </w:rPr>
      </w:pPr>
      <w:r>
        <w:rPr>
          <w:rFonts w:hint="eastAsia" w:ascii="Times New Roman" w:hAnsi="Times New Roman" w:eastAsia="微软雅黑"/>
          <w:bCs/>
          <w:color w:val="000000" w:themeColor="text1"/>
          <w:highlight w:val="none"/>
          <w:u w:val="none"/>
          <w:lang w:val="en-US" w:eastAsia="zh-CN"/>
          <w14:textFill>
            <w14:solidFill>
              <w14:schemeClr w14:val="tx1"/>
            </w14:solidFill>
          </w14:textFill>
        </w:rPr>
        <w:t>（4）干燥：120℃干燥至含水量＜5%。</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（5）一次焙烧：</w:t>
      </w:r>
      <w:r>
        <w:rPr>
          <w:rFonts w:hint="eastAsia" w:ascii="Times New Roman" w:hAnsi="Times New Roman" w:eastAsia="微软雅黑"/>
          <w:bCs/>
          <w:color w:val="000000" w:themeColor="text1"/>
          <w:highlight w:val="none"/>
          <w:u w:val="none"/>
          <w:lang w:val="en-US" w:eastAsia="zh-CN"/>
          <w14:textFill>
            <w14:solidFill>
              <w14:schemeClr w14:val="tx1"/>
            </w14:solidFill>
          </w14:textFill>
        </w:rPr>
        <w:t>用焙烧设备进行焙烧，3-4小时升温至450±10℃，并恒温不少于3小时，料厚≤5cm，确保烧透。</w:t>
      </w:r>
      <w:r>
        <w:rPr>
          <w:rFonts w:hint="eastAsia" w:ascii="Times New Roman" w:hAnsi="Times New Roman" w:eastAsia="微软雅黑"/>
          <w:bCs/>
          <w:color w:val="000000" w:themeColor="text1"/>
          <w:highlight w:val="none"/>
          <w:lang w:val="en-US" w:eastAsia="zh-CN"/>
          <w14:textFill>
            <w14:solidFill>
              <w14:schemeClr w14:val="tx1"/>
            </w14:solidFill>
          </w14:textFill>
        </w:rPr>
        <w:t>产品降温后</w:t>
      </w:r>
      <w:r>
        <w:rPr>
          <w:rFonts w:hint="eastAsia" w:ascii="Times New Roman" w:hAnsi="Times New Roman" w:eastAsia="微软雅黑"/>
          <w:bCs/>
          <w:color w:val="000000" w:themeColor="text1"/>
          <w:highlight w:val="none"/>
          <w:u w:val="none"/>
          <w:lang w:val="en-US" w:eastAsia="zh-CN"/>
          <w14:textFill>
            <w14:solidFill>
              <w14:schemeClr w14:val="tx1"/>
            </w14:solidFill>
          </w14:textFill>
        </w:rPr>
        <w:t>筛除碎料和粉体，</w:t>
      </w:r>
      <w:r>
        <w:rPr>
          <w:rFonts w:hint="eastAsia" w:ascii="Times New Roman" w:hAnsi="Times New Roman" w:eastAsia="微软雅黑"/>
          <w:bCs/>
          <w:color w:val="000000" w:themeColor="text1"/>
          <w:highlight w:val="none"/>
          <w:lang w:val="en-US" w:eastAsia="zh-CN"/>
          <w14:textFill>
            <w14:solidFill>
              <w14:schemeClr w14:val="tx1"/>
            </w14:solidFill>
          </w14:textFill>
        </w:rPr>
        <w:t>称重、包装、测吸水，准备二次浸渍。</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（6）二次浸渍液配制：将一定量的硝酸铜和硝酸锌溶于35±5℃纯水中（水量根据一次焙烧产品的吸水率核算），搅拌至固体完全溶解并恒温4小时。</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（7）二次浸渍：在喷淋浸渍设备中进行等体积喷淋浸渍，要求载体均匀吸附。</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（8）养生：将二次浸渍后的产品</w:t>
      </w:r>
      <w:r>
        <w:rPr>
          <w:rFonts w:hint="eastAsia" w:ascii="Times New Roman" w:hAnsi="Times New Roman" w:eastAsia="微软雅黑"/>
          <w:bCs/>
          <w:color w:val="000000" w:themeColor="text1"/>
          <w:highlight w:val="none"/>
          <w:u w:val="none"/>
          <w:lang w:val="en-US" w:eastAsia="zh-CN"/>
          <w14:textFill>
            <w14:solidFill>
              <w14:schemeClr w14:val="tx1"/>
            </w14:solidFill>
          </w14:textFill>
        </w:rPr>
        <w:t>放在铁盘中或平整的地面上铺平</w:t>
      </w:r>
      <w:r>
        <w:rPr>
          <w:rFonts w:hint="eastAsia" w:ascii="Times New Roman" w:hAnsi="Times New Roman" w:eastAsia="微软雅黑"/>
          <w:bCs/>
          <w:color w:val="000000" w:themeColor="text1"/>
          <w:highlight w:val="none"/>
          <w:lang w:val="en-US" w:eastAsia="zh-CN"/>
          <w14:textFill>
            <w14:solidFill>
              <w14:schemeClr w14:val="tx1"/>
            </w14:solidFill>
          </w14:textFill>
        </w:rPr>
        <w:t>，料厚≤5cm，常温静置12小时。</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（9）干燥：120℃干燥至含水量＜5%。</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（10）二次焙烧：</w:t>
      </w:r>
      <w:r>
        <w:rPr>
          <w:rFonts w:hint="eastAsia" w:ascii="Times New Roman" w:hAnsi="Times New Roman" w:eastAsia="微软雅黑"/>
          <w:bCs/>
          <w:color w:val="000000" w:themeColor="text1"/>
          <w:highlight w:val="none"/>
          <w:u w:val="none"/>
          <w:lang w:val="en-US" w:eastAsia="zh-CN"/>
          <w14:textFill>
            <w14:solidFill>
              <w14:schemeClr w14:val="tx1"/>
            </w14:solidFill>
          </w14:textFill>
        </w:rPr>
        <w:t>用高温煅烧设备进行焙烧，采用阶段式升温。</w:t>
      </w:r>
      <w:r>
        <w:rPr>
          <w:rFonts w:hint="eastAsia" w:ascii="Times New Roman" w:hAnsi="Times New Roman" w:eastAsia="微软雅黑"/>
          <w:bCs/>
          <w:color w:val="000000" w:themeColor="text1"/>
          <w:highlight w:val="none"/>
          <w:lang w:val="en-US" w:eastAsia="zh-CN"/>
          <w14:textFill>
            <w14:solidFill>
              <w14:schemeClr w14:val="tx1"/>
            </w14:solidFill>
          </w14:textFill>
        </w:rPr>
        <w:t>室温2小时升至350℃；3小时升至450℃，恒温2 h；1小时升至550℃，恒温2小时；3小时升至1000-1100℃，恒温3小时；</w:t>
      </w:r>
      <w:r>
        <w:rPr>
          <w:rFonts w:hint="eastAsia" w:ascii="Times New Roman" w:hAnsi="Times New Roman" w:eastAsia="微软雅黑"/>
          <w:bCs/>
          <w:color w:val="000000" w:themeColor="text1"/>
          <w:highlight w:val="none"/>
          <w:u w:val="none"/>
          <w:lang w:val="en-US" w:eastAsia="zh-CN"/>
          <w14:textFill>
            <w14:solidFill>
              <w14:schemeClr w14:val="tx1"/>
            </w14:solidFill>
          </w14:textFill>
        </w:rPr>
        <w:t>料厚≤5cm，确保烧透</w:t>
      </w:r>
      <w:r>
        <w:rPr>
          <w:rFonts w:hint="eastAsia" w:ascii="Times New Roman" w:hAnsi="Times New Roman" w:eastAsia="微软雅黑"/>
          <w:bCs/>
          <w:color w:val="000000" w:themeColor="text1"/>
          <w:highlight w:val="none"/>
          <w:lang w:val="en-US" w:eastAsia="zh-CN"/>
          <w14:textFill>
            <w14:solidFill>
              <w14:schemeClr w14:val="tx1"/>
            </w14:solidFill>
          </w14:textFill>
        </w:rPr>
        <w:t>。</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（11）产品降温后</w:t>
      </w:r>
      <w:r>
        <w:rPr>
          <w:rFonts w:hint="eastAsia" w:ascii="Times New Roman" w:hAnsi="Times New Roman" w:eastAsia="微软雅黑"/>
          <w:bCs/>
          <w:color w:val="000000" w:themeColor="text1"/>
          <w:highlight w:val="none"/>
          <w:u w:val="none"/>
          <w:lang w:val="en-US" w:eastAsia="zh-CN"/>
          <w14:textFill>
            <w14:solidFill>
              <w14:schemeClr w14:val="tx1"/>
            </w14:solidFill>
          </w14:textFill>
        </w:rPr>
        <w:t>筛除碎料和粉体（</w:t>
      </w:r>
      <w:r>
        <w:rPr>
          <w:rFonts w:hint="eastAsia" w:ascii="Times New Roman" w:hAnsi="Times New Roman" w:eastAsia="微软雅黑"/>
          <w:bCs/>
          <w:color w:val="000000" w:themeColor="text1"/>
          <w:highlight w:val="none"/>
          <w:lang w:val="en-US" w:eastAsia="zh-CN"/>
          <w14:textFill>
            <w14:solidFill>
              <w14:schemeClr w14:val="tx1"/>
            </w14:solidFill>
          </w14:textFill>
        </w:rPr>
        <w:t>粉化、破碎、过筛等损失＜2%</w:t>
      </w:r>
      <w:r>
        <w:rPr>
          <w:rFonts w:hint="eastAsia" w:ascii="Times New Roman" w:hAnsi="Times New Roman" w:eastAsia="微软雅黑"/>
          <w:bCs/>
          <w:color w:val="000000" w:themeColor="text1"/>
          <w:highlight w:val="none"/>
          <w:u w:val="none"/>
          <w:lang w:val="en-US" w:eastAsia="zh-CN"/>
          <w14:textFill>
            <w14:solidFill>
              <w14:schemeClr w14:val="tx1"/>
            </w14:solidFill>
          </w14:textFill>
        </w:rPr>
        <w:t>），称重，准备包装。</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（12）包装要求：有内衬塑料袋的200L铁皮桶或50L纸板桶，每桶下置一个托盘并缠膜。</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（13）理论上，载体及催化剂制备过程中的粉化、破碎、过筛等</w:t>
      </w:r>
      <w:r>
        <w:rPr>
          <w:rFonts w:hint="default" w:ascii="Times New Roman" w:hAnsi="Times New Roman" w:eastAsia="微软雅黑"/>
          <w:bCs/>
          <w:color w:val="000000" w:themeColor="text1"/>
          <w:highlight w:val="none"/>
          <w:lang w:val="en-US" w:eastAsia="zh-CN"/>
          <w14:textFill>
            <w14:solidFill>
              <w14:schemeClr w14:val="tx1"/>
            </w14:solidFill>
          </w14:textFill>
        </w:rPr>
        <w:t>预估</w:t>
      </w:r>
      <w:r>
        <w:rPr>
          <w:rFonts w:hint="eastAsia" w:ascii="Times New Roman" w:hAnsi="Times New Roman" w:eastAsia="微软雅黑"/>
          <w:bCs/>
          <w:color w:val="000000" w:themeColor="text1"/>
          <w:highlight w:val="none"/>
          <w:lang w:val="en-US" w:eastAsia="zh-CN"/>
          <w14:textFill>
            <w14:solidFill>
              <w14:schemeClr w14:val="tx1"/>
            </w14:solidFill>
          </w14:textFill>
        </w:rPr>
        <w:t>损失应＜5%，合同以最终成品量结算。</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4、工作界面要求：</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由乙方提供的内容：加工设备，硝酸铜、硝酸锌等原料，载体成型所需胶溶剂、助挤剂等辅料，操作人员，公用工程配套，现场管理等。</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由甲方提供的内容：制定技术方案，现场指导，提供其他原料并送货至乙方加工地点，甲方所提供的原料不含危化品。</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5、保密要求：</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遵守合同保密要求，不得向第三方透露鸟巢催化剂相关参数及重要信息。</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6、培训要求：</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由甲方技术人员进行现场监督指导。</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highlight w:val="none"/>
        </w:rPr>
      </w:pPr>
      <w:r>
        <w:rPr>
          <w:rFonts w:hint="eastAsia"/>
          <w:highlight w:val="none"/>
        </w:rPr>
        <w:t>五、配备资源要求</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1、机具要求：</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投标乙方投标时按照如下要求提供材料：</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（1）★星号项设备</w:t>
      </w:r>
    </w:p>
    <w:p>
      <w:pPr>
        <w:adjustRightInd w:val="0"/>
        <w:snapToGrid w:val="0"/>
        <w:spacing w:line="336" w:lineRule="auto"/>
        <w:ind w:firstLine="420" w:firstLineChars="200"/>
        <w:jc w:val="both"/>
        <w:rPr>
          <w:rFonts w:hint="default" w:ascii="微软雅黑" w:hAnsi="微软雅黑" w:eastAsia="微软雅黑" w:cs="Times New Roman"/>
          <w:b/>
          <w:bCs/>
          <w:color w:val="auto"/>
          <w:sz w:val="21"/>
          <w:szCs w:val="21"/>
          <w:highlight w:val="none"/>
          <w:lang w:val="en-US" w:eastAsia="zh-CN"/>
        </w:rPr>
      </w:pPr>
      <w:r>
        <w:rPr>
          <w:rFonts w:hint="eastAsia" w:ascii="微软雅黑" w:hAnsi="微软雅黑" w:eastAsia="微软雅黑" w:cs="Times New Roman"/>
          <w:b/>
          <w:bCs/>
          <w:color w:val="auto"/>
          <w:sz w:val="21"/>
          <w:szCs w:val="21"/>
          <w:highlight w:val="none"/>
          <w:lang w:eastAsia="zh-CN"/>
        </w:rPr>
        <w:t>以下设备为★项</w:t>
      </w:r>
      <w:r>
        <w:rPr>
          <w:rFonts w:hint="eastAsia" w:ascii="微软雅黑" w:hAnsi="微软雅黑" w:eastAsia="微软雅黑" w:cs="Times New Roman"/>
          <w:b/>
          <w:bCs/>
          <w:color w:val="auto"/>
          <w:sz w:val="21"/>
          <w:szCs w:val="21"/>
          <w:highlight w:val="none"/>
          <w:lang w:val="en-US" w:eastAsia="zh-CN"/>
        </w:rPr>
        <w:t>关键</w:t>
      </w:r>
      <w:r>
        <w:rPr>
          <w:rFonts w:hint="eastAsia" w:ascii="微软雅黑" w:hAnsi="微软雅黑" w:eastAsia="微软雅黑" w:cs="Times New Roman"/>
          <w:b/>
          <w:bCs/>
          <w:color w:val="auto"/>
          <w:sz w:val="21"/>
          <w:szCs w:val="21"/>
          <w:highlight w:val="none"/>
          <w:lang w:eastAsia="zh-CN"/>
        </w:rPr>
        <w:t>设备，</w:t>
      </w:r>
      <w:r>
        <w:rPr>
          <w:rFonts w:hint="eastAsia" w:ascii="微软雅黑" w:hAnsi="微软雅黑" w:eastAsia="微软雅黑" w:cs="Times New Roman"/>
          <w:b/>
          <w:bCs/>
          <w:color w:val="auto"/>
          <w:sz w:val="21"/>
          <w:szCs w:val="21"/>
          <w:highlight w:val="none"/>
          <w:lang w:val="en-US" w:eastAsia="zh-CN"/>
        </w:rPr>
        <w:t>按照如下要求提供材料：</w:t>
      </w:r>
    </w:p>
    <w:p>
      <w:pPr>
        <w:adjustRightInd w:val="0"/>
        <w:snapToGrid w:val="0"/>
        <w:spacing w:line="336" w:lineRule="auto"/>
        <w:ind w:firstLine="420" w:firstLineChars="200"/>
        <w:jc w:val="both"/>
        <w:rPr>
          <w:rFonts w:hint="eastAsia" w:ascii="微软雅黑" w:hAnsi="微软雅黑" w:eastAsia="微软雅黑" w:cs="Times New Roman"/>
          <w:b/>
          <w:bCs/>
          <w:color w:val="auto"/>
          <w:kern w:val="0"/>
          <w:sz w:val="21"/>
          <w:szCs w:val="21"/>
          <w:highlight w:val="none"/>
          <w:lang w:val="en-US" w:eastAsia="zh-CN"/>
        </w:rPr>
      </w:pPr>
      <w:r>
        <w:rPr>
          <w:rFonts w:hint="eastAsia" w:ascii="微软雅黑" w:hAnsi="微软雅黑" w:eastAsia="微软雅黑" w:cs="Times New Roman"/>
          <w:b/>
          <w:bCs/>
          <w:color w:val="auto"/>
          <w:sz w:val="21"/>
          <w:szCs w:val="21"/>
          <w:highlight w:val="none"/>
          <w:lang w:eastAsia="zh-CN"/>
        </w:rPr>
        <w:t>须提供满足</w:t>
      </w:r>
      <w:r>
        <w:rPr>
          <w:rFonts w:hint="eastAsia" w:ascii="微软雅黑" w:hAnsi="微软雅黑" w:eastAsia="微软雅黑" w:cs="Times New Roman"/>
          <w:b/>
          <w:bCs/>
          <w:color w:val="auto"/>
          <w:sz w:val="21"/>
          <w:szCs w:val="21"/>
          <w:highlight w:val="none"/>
          <w:lang w:val="en-US" w:eastAsia="zh-CN"/>
        </w:rPr>
        <w:t>对应</w:t>
      </w:r>
      <w:r>
        <w:rPr>
          <w:rFonts w:hint="eastAsia" w:ascii="微软雅黑" w:hAnsi="微软雅黑" w:eastAsia="微软雅黑" w:cs="Times New Roman"/>
          <w:b/>
          <w:bCs/>
          <w:color w:val="auto"/>
          <w:sz w:val="21"/>
          <w:szCs w:val="21"/>
          <w:highlight w:val="none"/>
          <w:lang w:eastAsia="zh-CN"/>
        </w:rPr>
        <w:t>数量要求的设备实物照片，同时提供对应数量的设备采购合同或发票；如设备照片或</w:t>
      </w:r>
      <w:r>
        <w:rPr>
          <w:rFonts w:hint="eastAsia" w:ascii="微软雅黑" w:hAnsi="微软雅黑" w:eastAsia="微软雅黑" w:cs="Times New Roman"/>
          <w:b/>
          <w:bCs/>
          <w:color w:val="auto"/>
          <w:sz w:val="21"/>
          <w:szCs w:val="21"/>
          <w:highlight w:val="none"/>
          <w:lang w:val="en-US" w:eastAsia="zh-CN"/>
        </w:rPr>
        <w:t>合同或发票</w:t>
      </w:r>
      <w:r>
        <w:rPr>
          <w:rFonts w:hint="eastAsia" w:ascii="微软雅黑" w:hAnsi="微软雅黑" w:eastAsia="微软雅黑" w:cs="Times New Roman"/>
          <w:b/>
          <w:bCs/>
          <w:color w:val="auto"/>
          <w:sz w:val="21"/>
          <w:szCs w:val="21"/>
          <w:highlight w:val="none"/>
          <w:lang w:eastAsia="zh-CN"/>
        </w:rPr>
        <w:t>中无法体现</w:t>
      </w:r>
      <w:r>
        <w:rPr>
          <w:rFonts w:hint="eastAsia" w:ascii="微软雅黑" w:hAnsi="微软雅黑" w:eastAsia="微软雅黑" w:cs="Times New Roman"/>
          <w:b/>
          <w:bCs/>
          <w:color w:val="auto"/>
          <w:sz w:val="21"/>
          <w:szCs w:val="21"/>
          <w:highlight w:val="none"/>
          <w:lang w:val="en-US" w:eastAsia="zh-CN"/>
        </w:rPr>
        <w:t>设备规格</w:t>
      </w:r>
      <w:r>
        <w:rPr>
          <w:rFonts w:hint="eastAsia" w:ascii="微软雅黑" w:hAnsi="微软雅黑" w:eastAsia="微软雅黑" w:cs="Times New Roman"/>
          <w:b/>
          <w:bCs/>
          <w:color w:val="auto"/>
          <w:sz w:val="21"/>
          <w:szCs w:val="21"/>
          <w:highlight w:val="none"/>
          <w:lang w:eastAsia="zh-CN"/>
        </w:rPr>
        <w:t>参数，则</w:t>
      </w:r>
      <w:r>
        <w:rPr>
          <w:rFonts w:hint="eastAsia" w:ascii="微软雅黑" w:hAnsi="微软雅黑" w:eastAsia="微软雅黑" w:cs="Times New Roman"/>
          <w:b/>
          <w:bCs/>
          <w:color w:val="auto"/>
          <w:sz w:val="21"/>
          <w:szCs w:val="21"/>
          <w:highlight w:val="none"/>
          <w:lang w:val="en-US" w:eastAsia="zh-CN"/>
        </w:rPr>
        <w:t>另外补充设备规格</w:t>
      </w:r>
      <w:r>
        <w:rPr>
          <w:rFonts w:hint="eastAsia" w:ascii="微软雅黑" w:hAnsi="微软雅黑" w:eastAsia="微软雅黑" w:cs="Times New Roman"/>
          <w:b/>
          <w:bCs/>
          <w:color w:val="auto"/>
          <w:sz w:val="21"/>
          <w:szCs w:val="21"/>
          <w:highlight w:val="none"/>
          <w:lang w:eastAsia="zh-CN"/>
        </w:rPr>
        <w:t>参数说明</w:t>
      </w:r>
      <w:r>
        <w:rPr>
          <w:rFonts w:hint="eastAsia" w:ascii="微软雅黑" w:hAnsi="微软雅黑" w:eastAsia="微软雅黑" w:cs="Times New Roman"/>
          <w:b/>
          <w:bCs/>
          <w:color w:val="auto"/>
          <w:sz w:val="21"/>
          <w:szCs w:val="21"/>
          <w:highlight w:val="none"/>
          <w:lang w:val="en-US" w:eastAsia="zh-CN"/>
        </w:rPr>
        <w:t>或承诺满足规格参数要求</w:t>
      </w:r>
      <w:r>
        <w:rPr>
          <w:rFonts w:hint="eastAsia"/>
          <w:lang w:eastAsia="zh-CN"/>
        </w:rPr>
        <w:t>。</w:t>
      </w:r>
    </w:p>
    <w:tbl>
      <w:tblPr>
        <w:tblStyle w:val="19"/>
        <w:tblW w:w="53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806"/>
        <w:gridCol w:w="1757"/>
        <w:gridCol w:w="1722"/>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83"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星号项</w:t>
            </w:r>
          </w:p>
        </w:tc>
        <w:tc>
          <w:tcPr>
            <w:tcW w:w="984"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名称</w:t>
            </w:r>
          </w:p>
        </w:tc>
        <w:tc>
          <w:tcPr>
            <w:tcW w:w="957"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规格</w:t>
            </w:r>
          </w:p>
        </w:tc>
        <w:tc>
          <w:tcPr>
            <w:tcW w:w="938"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预估数量</w:t>
            </w:r>
          </w:p>
        </w:tc>
        <w:tc>
          <w:tcPr>
            <w:tcW w:w="1637"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83"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w:t>
            </w:r>
          </w:p>
        </w:tc>
        <w:tc>
          <w:tcPr>
            <w:tcW w:w="98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捏合设备</w:t>
            </w:r>
          </w:p>
        </w:tc>
        <w:tc>
          <w:tcPr>
            <w:tcW w:w="957"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耐酸材质</w:t>
            </w:r>
          </w:p>
        </w:tc>
        <w:tc>
          <w:tcPr>
            <w:tcW w:w="938"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不低于1台</w:t>
            </w:r>
          </w:p>
        </w:tc>
        <w:tc>
          <w:tcPr>
            <w:tcW w:w="1637"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用于载体原料的混料和捏合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83"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w:t>
            </w:r>
          </w:p>
        </w:tc>
        <w:tc>
          <w:tcPr>
            <w:tcW w:w="98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挤压成型设备</w:t>
            </w:r>
          </w:p>
        </w:tc>
        <w:tc>
          <w:tcPr>
            <w:tcW w:w="957"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耐酸材质</w:t>
            </w:r>
          </w:p>
        </w:tc>
        <w:tc>
          <w:tcPr>
            <w:tcW w:w="938"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不低于1台</w:t>
            </w:r>
          </w:p>
        </w:tc>
        <w:tc>
          <w:tcPr>
            <w:tcW w:w="1637"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用于载体成型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83"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w:t>
            </w:r>
          </w:p>
        </w:tc>
        <w:tc>
          <w:tcPr>
            <w:tcW w:w="98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cs="Times New Roman"/>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喷淋浸渍设备</w:t>
            </w:r>
          </w:p>
        </w:tc>
        <w:tc>
          <w:tcPr>
            <w:tcW w:w="957"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cs="Times New Roman"/>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耐酸材质</w:t>
            </w:r>
          </w:p>
        </w:tc>
        <w:tc>
          <w:tcPr>
            <w:tcW w:w="938"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cs="Times New Roman"/>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不低于2台</w:t>
            </w:r>
          </w:p>
        </w:tc>
        <w:tc>
          <w:tcPr>
            <w:tcW w:w="1637"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cs="Times New Roman"/>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用于一次和二次喷淋浸渍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83"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w:t>
            </w:r>
          </w:p>
        </w:tc>
        <w:tc>
          <w:tcPr>
            <w:tcW w:w="98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焙烧设备</w:t>
            </w:r>
          </w:p>
        </w:tc>
        <w:tc>
          <w:tcPr>
            <w:tcW w:w="957"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温度≥600℃</w:t>
            </w:r>
          </w:p>
        </w:tc>
        <w:tc>
          <w:tcPr>
            <w:tcW w:w="938"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不低于1台</w:t>
            </w:r>
          </w:p>
        </w:tc>
        <w:tc>
          <w:tcPr>
            <w:tcW w:w="1637"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用于一次焙烧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83"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w:t>
            </w:r>
          </w:p>
        </w:tc>
        <w:tc>
          <w:tcPr>
            <w:tcW w:w="984"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干燥设备</w:t>
            </w:r>
          </w:p>
        </w:tc>
        <w:tc>
          <w:tcPr>
            <w:tcW w:w="957"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温度≥120℃</w:t>
            </w:r>
          </w:p>
        </w:tc>
        <w:tc>
          <w:tcPr>
            <w:tcW w:w="938"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不低于1台</w:t>
            </w:r>
          </w:p>
        </w:tc>
        <w:tc>
          <w:tcPr>
            <w:tcW w:w="1637" w:type="pct"/>
            <w:shd w:val="clear" w:color="auto" w:fill="auto"/>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用于干燥</w:t>
            </w:r>
          </w:p>
        </w:tc>
      </w:tr>
    </w:tbl>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（2）非星号项设备</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非星号项设备：承诺设备满足规格及数量要求。</w:t>
      </w:r>
    </w:p>
    <w:tbl>
      <w:tblPr>
        <w:tblStyle w:val="19"/>
        <w:tblW w:w="4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2534"/>
        <w:gridCol w:w="1756"/>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6"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名称</w:t>
            </w:r>
          </w:p>
        </w:tc>
        <w:tc>
          <w:tcPr>
            <w:tcW w:w="1553"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规格</w:t>
            </w:r>
          </w:p>
        </w:tc>
        <w:tc>
          <w:tcPr>
            <w:tcW w:w="1076"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预估数量</w:t>
            </w:r>
          </w:p>
        </w:tc>
        <w:tc>
          <w:tcPr>
            <w:tcW w:w="1293"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6"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筛分设备</w:t>
            </w:r>
          </w:p>
        </w:tc>
        <w:tc>
          <w:tcPr>
            <w:tcW w:w="1553"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p>
        </w:tc>
        <w:tc>
          <w:tcPr>
            <w:tcW w:w="1076"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不低于1台</w:t>
            </w:r>
          </w:p>
        </w:tc>
        <w:tc>
          <w:tcPr>
            <w:tcW w:w="1293"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用于筛除产品的</w:t>
            </w:r>
            <w:r>
              <w:rPr>
                <w:rFonts w:hint="eastAsia" w:ascii="Times New Roman" w:hAnsi="Times New Roman" w:eastAsia="微软雅黑"/>
                <w:bCs/>
                <w:color w:val="000000" w:themeColor="text1"/>
                <w:highlight w:val="none"/>
                <w:u w:val="none"/>
                <w:lang w:val="en-US" w:eastAsia="zh-CN"/>
                <w14:textFill>
                  <w14:solidFill>
                    <w14:schemeClr w14:val="tx1"/>
                  </w14:solidFill>
                </w14:textFill>
              </w:rPr>
              <w:t>碎料和粉体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6"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搅拌釜</w:t>
            </w:r>
          </w:p>
        </w:tc>
        <w:tc>
          <w:tcPr>
            <w:tcW w:w="1553"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耐酸材质，单台体积≥1m</w:t>
            </w:r>
            <w:r>
              <w:rPr>
                <w:rFonts w:hint="eastAsia" w:ascii="Times New Roman" w:hAnsi="Times New Roman" w:eastAsia="微软雅黑"/>
                <w:bCs/>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微软雅黑"/>
                <w:bCs/>
                <w:color w:val="000000" w:themeColor="text1"/>
                <w:highlight w:val="none"/>
                <w:lang w:val="en-US" w:eastAsia="zh-CN"/>
                <w14:textFill>
                  <w14:solidFill>
                    <w14:schemeClr w14:val="tx1"/>
                  </w14:solidFill>
                </w14:textFill>
              </w:rPr>
              <w:t>，有加热</w:t>
            </w:r>
          </w:p>
        </w:tc>
        <w:tc>
          <w:tcPr>
            <w:tcW w:w="1076"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不低于1台</w:t>
            </w:r>
          </w:p>
        </w:tc>
        <w:tc>
          <w:tcPr>
            <w:tcW w:w="1293"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用于一次和二次浸渍液配制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76"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cs="Times New Roman"/>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高温煅烧设备</w:t>
            </w:r>
          </w:p>
        </w:tc>
        <w:tc>
          <w:tcPr>
            <w:tcW w:w="1553"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cs="Times New Roman"/>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温度＞1100℃</w:t>
            </w:r>
          </w:p>
        </w:tc>
        <w:tc>
          <w:tcPr>
            <w:tcW w:w="1076"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cs="Times New Roman"/>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不低于1台</w:t>
            </w:r>
          </w:p>
        </w:tc>
        <w:tc>
          <w:tcPr>
            <w:tcW w:w="1293" w:type="pct"/>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cs="Times New Roman"/>
                <w:bCs/>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用于二次焙烧</w:t>
            </w:r>
          </w:p>
        </w:tc>
      </w:tr>
    </w:tbl>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2、★材料要求：乙方提供原料如下。</w:t>
      </w:r>
    </w:p>
    <w:tbl>
      <w:tblPr>
        <w:tblStyle w:val="18"/>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052"/>
        <w:gridCol w:w="2776"/>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452"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原料名称</w:t>
            </w:r>
          </w:p>
        </w:tc>
        <w:tc>
          <w:tcPr>
            <w:tcW w:w="2052"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用量（吨/吨成品）</w:t>
            </w:r>
          </w:p>
        </w:tc>
        <w:tc>
          <w:tcPr>
            <w:tcW w:w="2776"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规格要求</w:t>
            </w:r>
          </w:p>
        </w:tc>
        <w:tc>
          <w:tcPr>
            <w:tcW w:w="2496"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
                <w:bCs w:val="0"/>
                <w:color w:val="000000" w:themeColor="text1"/>
                <w:highlight w:val="none"/>
                <w:lang w:val="en-US" w:eastAsia="zh-CN"/>
                <w14:textFill>
                  <w14:solidFill>
                    <w14:schemeClr w14:val="tx1"/>
                  </w14:solidFill>
                </w14:textFill>
              </w:rPr>
            </w:pPr>
            <w:r>
              <w:rPr>
                <w:rFonts w:hint="eastAsia" w:ascii="Times New Roman" w:hAnsi="Times New Roman" w:eastAsia="微软雅黑"/>
                <w:b/>
                <w:bCs w:val="0"/>
                <w:color w:val="000000" w:themeColor="text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2"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纯水</w:t>
            </w:r>
          </w:p>
        </w:tc>
        <w:tc>
          <w:tcPr>
            <w:tcW w:w="2052"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0.9</w:t>
            </w:r>
          </w:p>
        </w:tc>
        <w:tc>
          <w:tcPr>
            <w:tcW w:w="2776"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电导率≤20μS/cm</w:t>
            </w:r>
            <w:r>
              <w:rPr>
                <w:rFonts w:hint="default" w:ascii="Times New Roman" w:hAnsi="Times New Roman" w:eastAsia="微软雅黑"/>
                <w:bCs/>
                <w:color w:val="000000" w:themeColor="text1"/>
                <w:highlight w:val="none"/>
                <w:lang w:val="en-US" w:eastAsia="zh-CN"/>
                <w14:textFill>
                  <w14:solidFill>
                    <w14:schemeClr w14:val="tx1"/>
                  </w14:solidFill>
                </w14:textFill>
              </w:rPr>
              <w:t>‌</w:t>
            </w:r>
          </w:p>
        </w:tc>
        <w:tc>
          <w:tcPr>
            <w:tcW w:w="2496"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2"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Microsoft YaHei UI"/>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胶溶剂</w:t>
            </w:r>
          </w:p>
        </w:tc>
        <w:tc>
          <w:tcPr>
            <w:tcW w:w="2052"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0.05</w:t>
            </w:r>
          </w:p>
        </w:tc>
        <w:tc>
          <w:tcPr>
            <w:tcW w:w="2776"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工业级</w:t>
            </w:r>
          </w:p>
        </w:tc>
        <w:tc>
          <w:tcPr>
            <w:tcW w:w="2496"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Microsoft YaHei UI"/>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用于载体成型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2"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助挤剂</w:t>
            </w:r>
          </w:p>
        </w:tc>
        <w:tc>
          <w:tcPr>
            <w:tcW w:w="2052"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0.03</w:t>
            </w:r>
          </w:p>
        </w:tc>
        <w:tc>
          <w:tcPr>
            <w:tcW w:w="2776"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工业级</w:t>
            </w:r>
          </w:p>
        </w:tc>
        <w:tc>
          <w:tcPr>
            <w:tcW w:w="2496"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用于载体成型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452"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三水硝酸铜</w:t>
            </w:r>
          </w:p>
        </w:tc>
        <w:tc>
          <w:tcPr>
            <w:tcW w:w="2052"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0.47</w:t>
            </w:r>
          </w:p>
        </w:tc>
        <w:tc>
          <w:tcPr>
            <w:tcW w:w="2776"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both"/>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执行行业标准《</w:t>
            </w:r>
            <w:r>
              <w:rPr>
                <w:rFonts w:hint="default" w:ascii="Times New Roman" w:hAnsi="Times New Roman" w:eastAsia="微软雅黑"/>
                <w:bCs/>
                <w:color w:val="000000" w:themeColor="text1"/>
                <w:highlight w:val="none"/>
                <w:lang w:val="en-US" w:eastAsia="zh-CN"/>
                <w14:textFill>
                  <w14:solidFill>
                    <w14:schemeClr w14:val="tx1"/>
                  </w14:solidFill>
                </w14:textFill>
              </w:rPr>
              <w:fldChar w:fldCharType="begin"/>
            </w:r>
            <w:r>
              <w:rPr>
                <w:rFonts w:hint="default" w:ascii="Times New Roman" w:hAnsi="Times New Roman" w:eastAsia="微软雅黑"/>
                <w:bCs/>
                <w:color w:val="000000" w:themeColor="text1"/>
                <w:highlight w:val="none"/>
                <w:lang w:val="en-US" w:eastAsia="zh-CN"/>
                <w14:textFill>
                  <w14:solidFill>
                    <w14:schemeClr w14:val="tx1"/>
                  </w14:solidFill>
                </w14:textFill>
              </w:rPr>
              <w:instrText xml:space="preserve"> HYPERLINK "https://std.samr.gov.cn/hb/search/stdHBDetailed?id=8B1827F1728FBB19E05397BE0A0AB44A" \t "https://std.samr.gov.cn/search/_blank" </w:instrText>
            </w:r>
            <w:r>
              <w:rPr>
                <w:rFonts w:hint="default" w:ascii="Times New Roman" w:hAnsi="Times New Roman" w:eastAsia="微软雅黑"/>
                <w:bCs/>
                <w:color w:val="000000" w:themeColor="text1"/>
                <w:highlight w:val="none"/>
                <w:lang w:val="en-US" w:eastAsia="zh-CN"/>
                <w14:textFill>
                  <w14:solidFill>
                    <w14:schemeClr w14:val="tx1"/>
                  </w14:solidFill>
                </w14:textFill>
              </w:rPr>
              <w:fldChar w:fldCharType="separate"/>
            </w:r>
            <w:r>
              <w:rPr>
                <w:rFonts w:hint="default" w:ascii="Times New Roman" w:hAnsi="Times New Roman" w:eastAsia="微软雅黑"/>
                <w:bCs/>
                <w:color w:val="000000" w:themeColor="text1"/>
                <w:highlight w:val="none"/>
                <w:lang w:val="en-US" w:eastAsia="zh-CN"/>
                <w14:textFill>
                  <w14:solidFill>
                    <w14:schemeClr w14:val="tx1"/>
                  </w14:solidFill>
                </w14:textFill>
              </w:rPr>
              <w:t>HG/T 3443-2014</w:t>
            </w:r>
            <w:r>
              <w:rPr>
                <w:rFonts w:hint="eastAsia" w:ascii="Times New Roman" w:hAnsi="Times New Roman" w:eastAsia="微软雅黑"/>
                <w:bCs/>
                <w:color w:val="000000" w:themeColor="text1"/>
                <w:highlight w:val="none"/>
                <w:lang w:val="en-US" w:eastAsia="zh-CN"/>
                <w14:textFill>
                  <w14:solidFill>
                    <w14:schemeClr w14:val="tx1"/>
                  </w14:solidFill>
                </w14:textFill>
              </w:rPr>
              <w:t xml:space="preserve"> </w:t>
            </w:r>
            <w:r>
              <w:rPr>
                <w:rFonts w:hint="default" w:ascii="Times New Roman" w:hAnsi="Times New Roman" w:eastAsia="微软雅黑"/>
                <w:bCs/>
                <w:color w:val="000000" w:themeColor="text1"/>
                <w:highlight w:val="none"/>
                <w:lang w:val="en-US" w:eastAsia="zh-CN"/>
                <w14:textFill>
                  <w14:solidFill>
                    <w14:schemeClr w14:val="tx1"/>
                  </w14:solidFill>
                </w14:textFill>
              </w:rPr>
              <w:t>化学试剂 三水合硝酸铜（硝酸铜）</w:t>
            </w:r>
            <w:r>
              <w:rPr>
                <w:rFonts w:hint="default" w:ascii="Times New Roman" w:hAnsi="Times New Roman" w:eastAsia="微软雅黑"/>
                <w:bCs/>
                <w:color w:val="000000" w:themeColor="text1"/>
                <w:highlight w:val="none"/>
                <w:lang w:val="en-US" w:eastAsia="zh-CN"/>
                <w14:textFill>
                  <w14:solidFill>
                    <w14:schemeClr w14:val="tx1"/>
                  </w14:solidFill>
                </w14:textFill>
              </w:rPr>
              <w:fldChar w:fldCharType="end"/>
            </w:r>
            <w:r>
              <w:rPr>
                <w:rFonts w:hint="eastAsia" w:ascii="Times New Roman" w:hAnsi="Times New Roman" w:eastAsia="微软雅黑"/>
                <w:bCs/>
                <w:color w:val="000000" w:themeColor="text1"/>
                <w:highlight w:val="none"/>
                <w:lang w:val="en-US" w:eastAsia="zh-CN"/>
                <w14:textFill>
                  <w14:solidFill>
                    <w14:schemeClr w14:val="tx1"/>
                  </w14:solidFill>
                </w14:textFill>
              </w:rPr>
              <w:t>》</w:t>
            </w:r>
          </w:p>
        </w:tc>
        <w:tc>
          <w:tcPr>
            <w:tcW w:w="2496"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both"/>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452"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六水硝酸锌</w:t>
            </w:r>
          </w:p>
        </w:tc>
        <w:tc>
          <w:tcPr>
            <w:tcW w:w="2052"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0.74</w:t>
            </w:r>
          </w:p>
        </w:tc>
        <w:tc>
          <w:tcPr>
            <w:tcW w:w="2776"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both"/>
              <w:textAlignment w:val="auto"/>
              <w:rPr>
                <w:rFonts w:hint="default"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执行国家标准《</w:t>
            </w:r>
            <w:r>
              <w:rPr>
                <w:rFonts w:hint="eastAsia" w:ascii="Times New Roman" w:hAnsi="Times New Roman" w:eastAsia="微软雅黑"/>
                <w:bCs/>
                <w:color w:val="000000" w:themeColor="text1"/>
                <w:highlight w:val="none"/>
                <w:lang w:val="en-US" w:eastAsia="zh-CN"/>
                <w14:textFill>
                  <w14:solidFill>
                    <w14:schemeClr w14:val="tx1"/>
                  </w14:solidFill>
                </w14:textFill>
              </w:rPr>
              <w:fldChar w:fldCharType="begin"/>
            </w:r>
            <w:r>
              <w:rPr>
                <w:rFonts w:hint="eastAsia" w:ascii="Times New Roman" w:hAnsi="Times New Roman" w:eastAsia="微软雅黑"/>
                <w:bCs/>
                <w:color w:val="000000" w:themeColor="text1"/>
                <w:highlight w:val="none"/>
                <w:lang w:val="en-US" w:eastAsia="zh-CN"/>
                <w14:textFill>
                  <w14:solidFill>
                    <w14:schemeClr w14:val="tx1"/>
                  </w14:solidFill>
                </w14:textFill>
              </w:rPr>
              <w:instrText xml:space="preserve"> HYPERLINK "https://std.samr.gov.cn/gb/search/gbDetailed?id=027A6096AFC3643EE06397BE0A0A0867" \t "https://std.samr.gov.cn/search/_blank" </w:instrText>
            </w:r>
            <w:r>
              <w:rPr>
                <w:rFonts w:hint="eastAsia" w:ascii="Times New Roman" w:hAnsi="Times New Roman" w:eastAsia="微软雅黑"/>
                <w:bCs/>
                <w:color w:val="000000" w:themeColor="text1"/>
                <w:highlight w:val="none"/>
                <w:lang w:val="en-US" w:eastAsia="zh-CN"/>
                <w14:textFill>
                  <w14:solidFill>
                    <w14:schemeClr w14:val="tx1"/>
                  </w14:solidFill>
                </w14:textFill>
              </w:rPr>
              <w:fldChar w:fldCharType="separate"/>
            </w:r>
            <w:r>
              <w:rPr>
                <w:rFonts w:hint="default" w:ascii="Times New Roman" w:hAnsi="Times New Roman" w:eastAsia="微软雅黑"/>
                <w:bCs/>
                <w:color w:val="000000" w:themeColor="text1"/>
                <w:highlight w:val="none"/>
                <w:lang w:val="en-US" w:eastAsia="zh-CN"/>
                <w14:textFill>
                  <w14:solidFill>
                    <w14:schemeClr w14:val="tx1"/>
                  </w14:solidFill>
                </w14:textFill>
              </w:rPr>
              <w:t>GB/T 667-2023</w:t>
            </w:r>
            <w:r>
              <w:rPr>
                <w:rFonts w:hint="eastAsia" w:ascii="Times New Roman" w:hAnsi="Times New Roman" w:eastAsia="微软雅黑"/>
                <w:bCs/>
                <w:color w:val="000000" w:themeColor="text1"/>
                <w:highlight w:val="none"/>
                <w:lang w:val="en-US" w:eastAsia="zh-CN"/>
                <w14:textFill>
                  <w14:solidFill>
                    <w14:schemeClr w14:val="tx1"/>
                  </w14:solidFill>
                </w14:textFill>
              </w:rPr>
              <w:t xml:space="preserve"> </w:t>
            </w:r>
            <w:r>
              <w:rPr>
                <w:rFonts w:hint="default" w:ascii="Times New Roman" w:hAnsi="Times New Roman" w:eastAsia="微软雅黑"/>
                <w:bCs/>
                <w:color w:val="000000" w:themeColor="text1"/>
                <w:highlight w:val="none"/>
                <w:lang w:val="en-US" w:eastAsia="zh-CN"/>
                <w14:textFill>
                  <w14:solidFill>
                    <w14:schemeClr w14:val="tx1"/>
                  </w14:solidFill>
                </w14:textFill>
              </w:rPr>
              <w:t>化学试剂 六水合硝酸锌（硝酸锌）</w:t>
            </w:r>
            <w:r>
              <w:rPr>
                <w:rFonts w:hint="default" w:ascii="Times New Roman" w:hAnsi="Times New Roman" w:eastAsia="微软雅黑"/>
                <w:bCs/>
                <w:color w:val="000000" w:themeColor="text1"/>
                <w:highlight w:val="none"/>
                <w:lang w:val="en-US" w:eastAsia="zh-CN"/>
                <w14:textFill>
                  <w14:solidFill>
                    <w14:schemeClr w14:val="tx1"/>
                  </w14:solidFill>
                </w14:textFill>
              </w:rPr>
              <w:fldChar w:fldCharType="end"/>
            </w:r>
            <w:r>
              <w:rPr>
                <w:rFonts w:hint="eastAsia" w:ascii="Times New Roman" w:hAnsi="Times New Roman" w:eastAsia="微软雅黑"/>
                <w:bCs/>
                <w:color w:val="000000" w:themeColor="text1"/>
                <w:highlight w:val="none"/>
                <w:lang w:val="en-US" w:eastAsia="zh-CN"/>
                <w14:textFill>
                  <w14:solidFill>
                    <w14:schemeClr w14:val="tx1"/>
                  </w14:solidFill>
                </w14:textFill>
              </w:rPr>
              <w:t>》</w:t>
            </w:r>
          </w:p>
        </w:tc>
        <w:tc>
          <w:tcPr>
            <w:tcW w:w="2496"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both"/>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p>
        </w:tc>
      </w:tr>
    </w:tbl>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highlight w:val="none"/>
        </w:rPr>
      </w:pPr>
      <w:r>
        <w:rPr>
          <w:rFonts w:hint="eastAsia"/>
          <w:highlight w:val="none"/>
        </w:rPr>
        <w:t>六、服务进度跟踪</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1、根据服务委托书中的生产任务书要求执行，乙方加工完成取样寄送甲方进行检测，检测合格后方可进行出厂。</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highlight w:val="none"/>
        </w:rPr>
      </w:pPr>
      <w:r>
        <w:rPr>
          <w:rFonts w:hint="eastAsia"/>
          <w:highlight w:val="none"/>
        </w:rPr>
        <w:t>七、服务及验收标准</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1、验收形式：</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对于加工完成的催化剂将通过一次性验收，需通过物性指标的验收为准，催化剂生产完成进行抽样取样，检测结果需通过天津院或第三方检测机构或者加工商的检测验收。</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2、服务标准：按照生产任务书要求执行。</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验收标准：按照“二、服务内容和范围”中的技术要求执行验收。</w:t>
      </w:r>
    </w:p>
    <w:p>
      <w:pPr>
        <w:pStyle w:val="8"/>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完工资料：按照生产任务书要求提供每批次产品分析检测报告。</w:t>
      </w:r>
    </w:p>
    <w:p>
      <w:pPr>
        <w:pStyle w:val="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highlight w:val="none"/>
        </w:rPr>
      </w:pPr>
      <w:bookmarkStart w:id="7" w:name="_Toc13248931"/>
      <w:bookmarkStart w:id="8" w:name="_Toc13249328"/>
      <w:r>
        <w:rPr>
          <w:rFonts w:hint="eastAsia"/>
          <w:highlight w:val="none"/>
        </w:rPr>
        <w:t>八、其他</w:t>
      </w:r>
      <w:bookmarkEnd w:id="7"/>
      <w:bookmarkEnd w:id="8"/>
      <w:r>
        <w:rPr>
          <w:rFonts w:hint="eastAsia"/>
          <w:highlight w:val="none"/>
        </w:rPr>
        <w:t>资料</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bookmarkStart w:id="9" w:name="_Hlk105949021"/>
      <w:r>
        <w:rPr>
          <w:rFonts w:hint="eastAsia" w:ascii="Times New Roman" w:hAnsi="Times New Roman" w:eastAsia="微软雅黑"/>
          <w:bCs/>
          <w:color w:val="000000" w:themeColor="text1"/>
          <w:highlight w:val="none"/>
          <w:lang w:val="en-US" w:eastAsia="zh-CN"/>
          <w14:textFill>
            <w14:solidFill>
              <w14:schemeClr w14:val="tx1"/>
            </w14:solidFill>
          </w14:textFill>
        </w:rPr>
        <w:t>1、付款方式：电汇、银行承兑或两种方式的组合。加工完成甲方验收合格后通知卖方开具发票，甲方接收发票后45日付款。</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2、发票的开具及寄送：卖方应以“中海油天津化工研究设计院有限公司”为抬头开具税率为13%的增值税专用发票，并寄送至甲方经办人。</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3、结算方式：按照合格催化剂成品数量结算，按照服务委托分批结算。</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4、送货地址：天津院货物自提，运费由甲方负责，乙方协助完成原料卸车、存放及成品装车。</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textAlignment w:val="auto"/>
        <w:rPr>
          <w:rFonts w:hint="eastAsia" w:ascii="Times New Roman" w:hAnsi="Times New Roman" w:eastAsia="微软雅黑"/>
          <w:bCs/>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5、技术联系人：朱金剑，电话：022-2668</w:t>
      </w:r>
      <w:bookmarkEnd w:id="9"/>
      <w:r>
        <w:rPr>
          <w:rFonts w:hint="eastAsia" w:ascii="Times New Roman" w:hAnsi="Times New Roman" w:eastAsia="微软雅黑"/>
          <w:bCs/>
          <w:color w:val="000000" w:themeColor="text1"/>
          <w:highlight w:val="none"/>
          <w:lang w:val="en-US" w:eastAsia="zh-CN"/>
          <w14:textFill>
            <w14:solidFill>
              <w14:schemeClr w14:val="tx1"/>
            </w14:solidFill>
          </w14:textFill>
        </w:rPr>
        <w:t>9162/18722012602。</w:t>
      </w:r>
    </w:p>
    <w:p>
      <w:pPr>
        <w:pStyle w:val="8"/>
        <w:keepLines w:val="0"/>
        <w:pageBreakBefore w:val="0"/>
        <w:numPr>
          <w:ilvl w:val="-1"/>
          <w:numId w:val="0"/>
        </w:numPr>
        <w:kinsoku/>
        <w:wordWrap/>
        <w:overflowPunct/>
        <w:topLinePunct w:val="0"/>
        <w:bidi w:val="0"/>
        <w:adjustRightInd/>
        <w:snapToGrid/>
        <w:spacing w:line="240" w:lineRule="auto"/>
        <w:ind w:right="0" w:rightChars="0" w:firstLine="210" w:firstLineChars="100"/>
        <w:textAlignment w:val="auto"/>
        <w:rPr>
          <w:rFonts w:hint="eastAsia" w:ascii="Times New Roman" w:hAnsi="Times New Roman" w:eastAsia="微软雅黑" w:cs="Times New Roman"/>
          <w:bCs/>
          <w:i w:val="0"/>
          <w:iCs w:val="0"/>
          <w:color w:val="000000" w:themeColor="text1"/>
          <w:highlight w:val="none"/>
          <w:lang w:val="en-US" w:eastAsia="zh-CN"/>
          <w14:textFill>
            <w14:solidFill>
              <w14:schemeClr w14:val="tx1"/>
            </w14:solidFill>
          </w14:textFill>
        </w:rPr>
      </w:pPr>
      <w:r>
        <w:rPr>
          <w:rFonts w:hint="eastAsia" w:ascii="Times New Roman" w:hAnsi="Times New Roman" w:eastAsia="微软雅黑"/>
          <w:bCs/>
          <w:color w:val="000000" w:themeColor="text1"/>
          <w:highlight w:val="none"/>
          <w:lang w:val="en-US" w:eastAsia="zh-CN"/>
          <w14:textFill>
            <w14:solidFill>
              <w14:schemeClr w14:val="tx1"/>
            </w14:solidFill>
          </w14:textFill>
        </w:rPr>
        <w:t>6、鸟巢</w:t>
      </w:r>
      <w:r>
        <w:rPr>
          <w:rFonts w:hint="eastAsia" w:ascii="Times New Roman" w:hAnsi="Times New Roman" w:eastAsia="微软雅黑" w:cs="Times New Roman"/>
          <w:bCs/>
          <w:i w:val="0"/>
          <w:iCs w:val="0"/>
          <w:color w:val="000000" w:themeColor="text1"/>
          <w:highlight w:val="none"/>
          <w:lang w:val="en-US" w:eastAsia="zh-CN"/>
          <w14:textFill>
            <w14:solidFill>
              <w14:schemeClr w14:val="tx1"/>
            </w14:solidFill>
          </w14:textFill>
        </w:rPr>
        <w:t>催化剂定制产品价格公式如下：</w:t>
      </w:r>
    </w:p>
    <w:p>
      <w:pPr>
        <w:pStyle w:val="8"/>
        <w:spacing w:line="257" w:lineRule="auto"/>
        <w:ind w:right="115" w:rightChars="55" w:firstLine="409" w:firstLineChars="195"/>
        <w:jc w:val="center"/>
        <w:rPr>
          <w:rFonts w:hint="eastAsia" w:ascii="Times New Roman" w:hAnsi="Times New Roman" w:eastAsia="微软雅黑" w:cs="Times New Roman"/>
          <w:i w:val="0"/>
          <w:iCs w:val="0"/>
          <w:sz w:val="21"/>
          <w:szCs w:val="21"/>
          <w:lang w:val="en-US" w:eastAsia="zh-CN"/>
        </w:rPr>
      </w:pPr>
      <w:r>
        <w:rPr>
          <w:rFonts w:hint="eastAsia" w:ascii="Times New Roman" w:hAnsi="Times New Roman" w:eastAsia="微软雅黑" w:cs="Times New Roman"/>
          <w:i w:val="0"/>
          <w:iCs w:val="0"/>
          <w:sz w:val="21"/>
          <w:szCs w:val="21"/>
          <w:lang w:val="en-US" w:eastAsia="zh-CN"/>
        </w:rPr>
        <w:t>P = P0 + P1×0.47 +</w:t>
      </w:r>
      <w:r>
        <w:rPr>
          <w:rFonts w:hint="eastAsia" w:ascii="Times New Roman" w:hAnsi="Times New Roman" w:eastAsia="微软雅黑" w:cs="Times New Roman"/>
          <w:i w:val="0"/>
          <w:iCs w:val="0"/>
          <w:sz w:val="21"/>
          <w:szCs w:val="21"/>
          <w:highlight w:val="none"/>
          <w:lang w:val="en-US" w:eastAsia="zh-CN"/>
        </w:rPr>
        <w:t xml:space="preserve"> P2×</w:t>
      </w:r>
      <w:r>
        <w:rPr>
          <w:rFonts w:hint="eastAsia" w:ascii="Times New Roman" w:hAnsi="Times New Roman" w:eastAsia="微软雅黑" w:cs="Times New Roman"/>
          <w:i w:val="0"/>
          <w:iCs w:val="0"/>
          <w:sz w:val="21"/>
          <w:szCs w:val="21"/>
          <w:lang w:val="en-US" w:eastAsia="zh-CN"/>
        </w:rPr>
        <w:t>0.74</w:t>
      </w:r>
    </w:p>
    <w:p>
      <w:pPr>
        <w:pStyle w:val="8"/>
        <w:spacing w:line="257" w:lineRule="auto"/>
        <w:ind w:right="115" w:rightChars="55" w:firstLine="409" w:firstLineChars="195"/>
        <w:rPr>
          <w:rFonts w:hint="eastAsia" w:ascii="Times New Roman" w:hAnsi="Times New Roman" w:eastAsia="微软雅黑" w:cs="Times New Roman"/>
          <w:i w:val="0"/>
          <w:iCs w:val="0"/>
          <w:sz w:val="21"/>
          <w:szCs w:val="21"/>
          <w:lang w:val="en-US" w:eastAsia="zh-CN"/>
        </w:rPr>
      </w:pPr>
      <w:r>
        <w:rPr>
          <w:rFonts w:hint="eastAsia" w:ascii="Times New Roman" w:hAnsi="Times New Roman" w:eastAsia="微软雅黑" w:cs="Times New Roman"/>
          <w:i w:val="0"/>
          <w:iCs w:val="0"/>
          <w:sz w:val="21"/>
          <w:szCs w:val="21"/>
          <w:lang w:val="en-US" w:eastAsia="zh-CN"/>
        </w:rPr>
        <w:t xml:space="preserve">式中： </w:t>
      </w:r>
    </w:p>
    <w:p>
      <w:pPr>
        <w:pStyle w:val="8"/>
        <w:numPr>
          <w:ilvl w:val="0"/>
          <w:numId w:val="0"/>
        </w:numPr>
        <w:spacing w:line="240" w:lineRule="auto"/>
        <w:ind w:right="0" w:rightChars="0" w:firstLine="420" w:firstLineChars="200"/>
        <w:rPr>
          <w:rFonts w:hint="eastAsia" w:ascii="Times New Roman" w:hAnsi="Times New Roman" w:eastAsia="微软雅黑" w:cs="Times New Roman"/>
          <w:bCs/>
          <w:i w:val="0"/>
          <w:i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微软雅黑" w:cs="Times New Roman"/>
          <w:bCs/>
          <w:i w:val="0"/>
          <w:iCs w:val="0"/>
          <w:color w:val="000000" w:themeColor="text1"/>
          <w:sz w:val="21"/>
          <w:szCs w:val="21"/>
          <w:highlight w:val="none"/>
          <w:lang w:val="en-US" w:eastAsia="zh-CN"/>
          <w14:textFill>
            <w14:solidFill>
              <w14:schemeClr w14:val="tx1"/>
            </w14:solidFill>
          </w14:textFill>
        </w:rPr>
        <w:t>P：鸟巢催化剂定制产品单价（单位：元/吨）。</w:t>
      </w:r>
    </w:p>
    <w:p>
      <w:pPr>
        <w:pStyle w:val="8"/>
        <w:spacing w:line="257" w:lineRule="auto"/>
        <w:ind w:right="115" w:rightChars="55" w:firstLine="409" w:firstLineChars="195"/>
        <w:rPr>
          <w:rFonts w:hint="eastAsia" w:ascii="Times New Roman" w:hAnsi="Times New Roman" w:eastAsia="微软雅黑" w:cs="Times New Roman"/>
          <w:i w:val="0"/>
          <w:iCs w:val="0"/>
          <w:sz w:val="21"/>
          <w:szCs w:val="21"/>
          <w:lang w:val="en-US" w:eastAsia="zh-CN"/>
        </w:rPr>
      </w:pPr>
      <w:r>
        <w:rPr>
          <w:rFonts w:hint="eastAsia" w:ascii="Times New Roman" w:hAnsi="Times New Roman" w:eastAsia="微软雅黑" w:cs="Times New Roman"/>
          <w:i w:val="0"/>
          <w:iCs w:val="0"/>
          <w:sz w:val="21"/>
          <w:szCs w:val="21"/>
          <w:lang w:val="en-US" w:eastAsia="zh-CN"/>
        </w:rPr>
        <w:t>P0：加工费单价（固定价格）——包含乙方需提供的</w:t>
      </w:r>
      <w:r>
        <w:rPr>
          <w:rFonts w:hint="eastAsia" w:ascii="Times New Roman" w:hAnsi="Times New Roman" w:eastAsia="微软雅黑"/>
          <w:bCs/>
          <w:color w:val="000000" w:themeColor="text1"/>
          <w:highlight w:val="none"/>
          <w:lang w:val="en-US" w:eastAsia="zh-CN"/>
          <w14:textFill>
            <w14:solidFill>
              <w14:schemeClr w14:val="tx1"/>
            </w14:solidFill>
          </w14:textFill>
        </w:rPr>
        <w:t>三水硝酸铜</w:t>
      </w:r>
      <w:r>
        <w:rPr>
          <w:rFonts w:hint="eastAsia" w:ascii="Times New Roman" w:hAnsi="Times New Roman" w:eastAsia="微软雅黑" w:cs="Times New Roman"/>
          <w:i w:val="0"/>
          <w:iCs w:val="0"/>
          <w:sz w:val="21"/>
          <w:szCs w:val="21"/>
          <w:lang w:val="en-US" w:eastAsia="zh-CN"/>
        </w:rPr>
        <w:t>与</w:t>
      </w:r>
      <w:r>
        <w:rPr>
          <w:rFonts w:hint="eastAsia" w:ascii="Times New Roman" w:hAnsi="Times New Roman" w:eastAsia="微软雅黑" w:cs="Times New Roman"/>
          <w:i w:val="0"/>
          <w:iCs w:val="0"/>
          <w:color w:val="auto"/>
          <w:highlight w:val="none"/>
          <w:lang w:val="en-US" w:eastAsia="zh-CN"/>
        </w:rPr>
        <w:t>六水硝酸锌</w:t>
      </w:r>
      <w:r>
        <w:rPr>
          <w:rFonts w:hint="eastAsia" w:ascii="Times New Roman" w:hAnsi="Times New Roman" w:eastAsia="微软雅黑" w:cs="Times New Roman"/>
          <w:i w:val="0"/>
          <w:iCs w:val="0"/>
          <w:sz w:val="21"/>
          <w:szCs w:val="21"/>
          <w:lang w:val="en-US" w:eastAsia="zh-CN"/>
        </w:rPr>
        <w:t>以外的其他原料费用、生产费用、管理费等（单位：元/吨）。</w:t>
      </w:r>
    </w:p>
    <w:p>
      <w:pPr>
        <w:pStyle w:val="8"/>
        <w:keepLines w:val="0"/>
        <w:pageBreakBefore w:val="0"/>
        <w:numPr>
          <w:ilvl w:val="0"/>
          <w:numId w:val="0"/>
        </w:numPr>
        <w:kinsoku/>
        <w:wordWrap/>
        <w:overflowPunct/>
        <w:topLinePunct w:val="0"/>
        <w:bidi w:val="0"/>
        <w:adjustRightInd w:val="0"/>
        <w:snapToGrid w:val="0"/>
        <w:spacing w:line="360" w:lineRule="auto"/>
        <w:ind w:right="122" w:rightChars="0" w:firstLine="420" w:firstLineChars="200"/>
        <w:textAlignment w:val="auto"/>
        <w:rPr>
          <w:rFonts w:hint="eastAsia" w:ascii="Times New Roman" w:hAnsi="Times New Roman" w:eastAsia="微软雅黑" w:cs="Times New Roman"/>
          <w:i w:val="0"/>
          <w:iCs w:val="0"/>
          <w:color w:val="auto"/>
          <w:highlight w:val="none"/>
          <w:lang w:val="en-US" w:eastAsia="zh-CN"/>
        </w:rPr>
      </w:pPr>
      <w:r>
        <w:rPr>
          <w:rFonts w:hint="eastAsia" w:ascii="Times New Roman" w:hAnsi="Times New Roman" w:eastAsia="微软雅黑" w:cs="Times New Roman"/>
          <w:i w:val="0"/>
          <w:iCs w:val="0"/>
          <w:sz w:val="21"/>
          <w:szCs w:val="21"/>
          <w:lang w:val="en-US" w:eastAsia="zh-CN"/>
        </w:rPr>
        <w:t>P1：</w:t>
      </w:r>
      <w:r>
        <w:rPr>
          <w:rFonts w:hint="eastAsia" w:ascii="Times New Roman" w:hAnsi="Times New Roman" w:eastAsia="微软雅黑" w:cs="Times New Roman"/>
          <w:i w:val="0"/>
          <w:iCs w:val="0"/>
          <w:color w:val="auto"/>
          <w:highlight w:val="none"/>
          <w:lang w:val="en-US" w:eastAsia="zh-CN"/>
        </w:rPr>
        <w:t>三水硝酸铜价格公式：</w:t>
      </w:r>
    </w:p>
    <w:p>
      <w:pPr>
        <w:pStyle w:val="8"/>
        <w:keepLines w:val="0"/>
        <w:pageBreakBefore w:val="0"/>
        <w:numPr>
          <w:ilvl w:val="0"/>
          <w:numId w:val="0"/>
        </w:numPr>
        <w:kinsoku/>
        <w:wordWrap/>
        <w:overflowPunct/>
        <w:topLinePunct w:val="0"/>
        <w:bidi w:val="0"/>
        <w:adjustRightInd w:val="0"/>
        <w:snapToGrid w:val="0"/>
        <w:spacing w:line="360" w:lineRule="auto"/>
        <w:ind w:right="122" w:rightChars="0" w:firstLine="420" w:firstLineChars="200"/>
        <w:textAlignment w:val="auto"/>
        <w:rPr>
          <w:rFonts w:hint="eastAsia" w:ascii="Times New Roman" w:hAnsi="Times New Roman" w:eastAsia="微软雅黑" w:cs="Times New Roman"/>
          <w:i w:val="0"/>
          <w:iCs w:val="0"/>
          <w:color w:val="auto"/>
          <w:highlight w:val="none"/>
          <w:lang w:val="en-US" w:eastAsia="zh-CN"/>
        </w:rPr>
      </w:pPr>
      <w:r>
        <w:rPr>
          <w:rFonts w:hint="eastAsia" w:ascii="Times New Roman" w:hAnsi="Times New Roman" w:eastAsia="微软雅黑" w:cs="Times New Roman"/>
          <w:i w:val="0"/>
          <w:iCs w:val="0"/>
          <w:color w:val="auto"/>
          <w:highlight w:val="none"/>
          <w:lang w:val="en-US" w:eastAsia="zh-CN"/>
        </w:rPr>
        <w:t>三水硝酸铜含税单价=订货市场价×0.26</w:t>
      </w:r>
    </w:p>
    <w:p>
      <w:pPr>
        <w:pStyle w:val="8"/>
        <w:keepLines w:val="0"/>
        <w:pageBreakBefore w:val="0"/>
        <w:numPr>
          <w:ilvl w:val="0"/>
          <w:numId w:val="0"/>
        </w:numPr>
        <w:kinsoku/>
        <w:wordWrap/>
        <w:overflowPunct/>
        <w:topLinePunct w:val="0"/>
        <w:bidi w:val="0"/>
        <w:adjustRightInd w:val="0"/>
        <w:snapToGrid w:val="0"/>
        <w:spacing w:line="360" w:lineRule="auto"/>
        <w:ind w:right="122" w:rightChars="0" w:firstLine="420" w:firstLineChars="200"/>
        <w:textAlignment w:val="auto"/>
        <w:rPr>
          <w:rFonts w:hint="eastAsia" w:ascii="Times New Roman" w:hAnsi="Times New Roman" w:eastAsia="微软雅黑" w:cs="Times New Roman"/>
          <w:i w:val="0"/>
          <w:iCs w:val="0"/>
          <w:color w:val="auto"/>
          <w:highlight w:val="none"/>
          <w:lang w:val="en-US" w:eastAsia="zh-CN"/>
        </w:rPr>
      </w:pPr>
      <w:r>
        <w:rPr>
          <w:rFonts w:hint="eastAsia" w:ascii="Times New Roman" w:hAnsi="Times New Roman" w:eastAsia="微软雅黑" w:cs="Times New Roman"/>
          <w:i w:val="0"/>
          <w:iCs w:val="0"/>
          <w:color w:val="auto"/>
          <w:highlight w:val="none"/>
          <w:lang w:val="en-US" w:eastAsia="zh-CN"/>
        </w:rPr>
        <w:t>订货市场价：合同签订后，需求单位下达订单之日起所在周的前一周卓创咨询网站公布的电解铜1#上期所期货收盘价主力的周平均价</w:t>
      </w:r>
    </w:p>
    <w:p>
      <w:pPr>
        <w:pStyle w:val="8"/>
        <w:keepLines w:val="0"/>
        <w:pageBreakBefore w:val="0"/>
        <w:numPr>
          <w:ilvl w:val="0"/>
          <w:numId w:val="0"/>
        </w:numPr>
        <w:kinsoku/>
        <w:wordWrap/>
        <w:overflowPunct/>
        <w:topLinePunct w:val="0"/>
        <w:bidi w:val="0"/>
        <w:adjustRightInd w:val="0"/>
        <w:snapToGrid w:val="0"/>
        <w:spacing w:line="360" w:lineRule="auto"/>
        <w:ind w:right="122" w:rightChars="0" w:firstLine="420" w:firstLineChars="200"/>
        <w:textAlignment w:val="auto"/>
        <w:rPr>
          <w:rFonts w:hint="eastAsia" w:ascii="Times New Roman" w:hAnsi="Times New Roman" w:eastAsia="微软雅黑" w:cs="Times New Roman"/>
          <w:i w:val="0"/>
          <w:iCs w:val="0"/>
          <w:color w:val="auto"/>
          <w:highlight w:val="none"/>
          <w:lang w:val="en-US" w:eastAsia="zh-CN"/>
        </w:rPr>
      </w:pPr>
      <w:r>
        <w:rPr>
          <w:rFonts w:hint="eastAsia" w:ascii="Times New Roman" w:hAnsi="Times New Roman" w:eastAsia="微软雅黑" w:cs="Times New Roman"/>
          <w:i w:val="0"/>
          <w:iCs w:val="0"/>
          <w:sz w:val="21"/>
          <w:szCs w:val="21"/>
          <w:lang w:val="en-US" w:eastAsia="zh-CN"/>
        </w:rPr>
        <w:t>P2：六水硝酸锌</w:t>
      </w:r>
      <w:r>
        <w:rPr>
          <w:rFonts w:hint="eastAsia" w:ascii="Times New Roman" w:hAnsi="Times New Roman" w:eastAsia="微软雅黑" w:cs="Times New Roman"/>
          <w:i w:val="0"/>
          <w:iCs w:val="0"/>
          <w:color w:val="auto"/>
          <w:highlight w:val="none"/>
          <w:lang w:val="en-US" w:eastAsia="zh-CN"/>
        </w:rPr>
        <w:t>价格公式：</w:t>
      </w:r>
    </w:p>
    <w:p>
      <w:pPr>
        <w:pStyle w:val="8"/>
        <w:keepLines w:val="0"/>
        <w:pageBreakBefore w:val="0"/>
        <w:numPr>
          <w:ilvl w:val="0"/>
          <w:numId w:val="0"/>
        </w:numPr>
        <w:kinsoku/>
        <w:wordWrap/>
        <w:overflowPunct/>
        <w:topLinePunct w:val="0"/>
        <w:bidi w:val="0"/>
        <w:adjustRightInd w:val="0"/>
        <w:snapToGrid w:val="0"/>
        <w:spacing w:line="360" w:lineRule="auto"/>
        <w:ind w:right="122" w:rightChars="0" w:firstLine="420" w:firstLineChars="200"/>
        <w:textAlignment w:val="auto"/>
        <w:rPr>
          <w:rFonts w:hint="eastAsia" w:ascii="Times New Roman" w:hAnsi="Times New Roman" w:eastAsia="微软雅黑" w:cs="Times New Roman"/>
          <w:i w:val="0"/>
          <w:iCs w:val="0"/>
          <w:color w:val="auto"/>
          <w:highlight w:val="none"/>
          <w:lang w:val="en-US" w:eastAsia="zh-CN"/>
        </w:rPr>
      </w:pPr>
      <w:r>
        <w:rPr>
          <w:rFonts w:hint="eastAsia" w:ascii="Times New Roman" w:hAnsi="Times New Roman" w:eastAsia="微软雅黑" w:cs="Times New Roman"/>
          <w:i w:val="0"/>
          <w:iCs w:val="0"/>
          <w:sz w:val="21"/>
          <w:szCs w:val="21"/>
          <w:lang w:val="en-US" w:eastAsia="zh-CN"/>
        </w:rPr>
        <w:t>六水硝酸锌</w:t>
      </w:r>
      <w:r>
        <w:rPr>
          <w:rFonts w:hint="eastAsia" w:ascii="Times New Roman" w:hAnsi="Times New Roman" w:eastAsia="微软雅黑" w:cs="Times New Roman"/>
          <w:i w:val="0"/>
          <w:iCs w:val="0"/>
          <w:color w:val="auto"/>
          <w:highlight w:val="none"/>
          <w:lang w:val="en-US" w:eastAsia="zh-CN"/>
        </w:rPr>
        <w:t>含税单价=订货市场价×0.22</w:t>
      </w:r>
    </w:p>
    <w:p>
      <w:pPr>
        <w:pStyle w:val="8"/>
        <w:keepLines w:val="0"/>
        <w:pageBreakBefore w:val="0"/>
        <w:numPr>
          <w:ilvl w:val="0"/>
          <w:numId w:val="0"/>
        </w:numPr>
        <w:kinsoku/>
        <w:wordWrap/>
        <w:overflowPunct/>
        <w:topLinePunct w:val="0"/>
        <w:bidi w:val="0"/>
        <w:adjustRightInd w:val="0"/>
        <w:snapToGrid w:val="0"/>
        <w:spacing w:line="360" w:lineRule="auto"/>
        <w:ind w:right="122" w:rightChars="0" w:firstLine="420" w:firstLineChars="200"/>
        <w:textAlignment w:val="auto"/>
        <w:rPr>
          <w:rFonts w:hint="eastAsia" w:ascii="Times New Roman" w:hAnsi="Times New Roman" w:eastAsia="仿宋_GB2312" w:cs="Times New Roman"/>
          <w:sz w:val="32"/>
          <w:szCs w:val="32"/>
        </w:rPr>
      </w:pPr>
      <w:r>
        <w:rPr>
          <w:rFonts w:hint="eastAsia" w:ascii="Times New Roman" w:hAnsi="Times New Roman" w:eastAsia="微软雅黑" w:cs="Times New Roman"/>
          <w:i w:val="0"/>
          <w:iCs w:val="0"/>
          <w:color w:val="auto"/>
          <w:highlight w:val="none"/>
          <w:lang w:val="en-US" w:eastAsia="zh-CN"/>
        </w:rPr>
        <w:t>订货市场价：合同签订后，需求单位下达订单之日起所在周的前一周卓创咨询网站公布的电解锌1#上期所收盘价的周平均价</w:t>
      </w:r>
    </w:p>
    <w:p>
      <w:pPr>
        <w:tabs>
          <w:tab w:val="left" w:pos="993"/>
          <w:tab w:val="left" w:pos="1134"/>
          <w:tab w:val="left" w:pos="1418"/>
        </w:tabs>
        <w:spacing w:line="560" w:lineRule="exac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附件2</w:t>
      </w:r>
      <w:r>
        <w:rPr>
          <w:rFonts w:hint="eastAsia" w:ascii="Times New Roman" w:hAnsi="Times New Roman" w:eastAsia="仿宋_GB2312" w:cs="Times New Roman"/>
          <w:sz w:val="32"/>
          <w:szCs w:val="32"/>
          <w:lang w:val="en-US" w:eastAsia="zh-CN"/>
        </w:rPr>
        <w:t>供应商</w:t>
      </w:r>
      <w:r>
        <w:rPr>
          <w:rFonts w:hint="eastAsia" w:ascii="Times New Roman" w:hAnsi="Times New Roman" w:eastAsia="仿宋_GB2312" w:cs="Times New Roman"/>
          <w:sz w:val="32"/>
          <w:szCs w:val="32"/>
        </w:rPr>
        <w:t xml:space="preserve">资质基本要求 </w:t>
      </w:r>
    </w:p>
    <w:tbl>
      <w:tblPr>
        <w:tblStyle w:val="18"/>
        <w:tblW w:w="5045" w:type="pct"/>
        <w:jc w:val="center"/>
        <w:tblLayout w:type="autofit"/>
        <w:tblCellMar>
          <w:top w:w="0" w:type="dxa"/>
          <w:left w:w="0" w:type="dxa"/>
          <w:bottom w:w="0" w:type="dxa"/>
          <w:right w:w="0" w:type="dxa"/>
        </w:tblCellMar>
      </w:tblPr>
      <w:tblGrid>
        <w:gridCol w:w="1318"/>
        <w:gridCol w:w="7076"/>
      </w:tblGrid>
      <w:tr>
        <w:tblPrEx>
          <w:tblCellMar>
            <w:top w:w="0" w:type="dxa"/>
            <w:left w:w="0" w:type="dxa"/>
            <w:bottom w:w="0" w:type="dxa"/>
            <w:right w:w="0" w:type="dxa"/>
          </w:tblCellMar>
        </w:tblPrEx>
        <w:trPr>
          <w:trHeight w:val="2895" w:hRule="atLeast"/>
          <w:jc w:val="center"/>
        </w:trPr>
        <w:tc>
          <w:tcPr>
            <w:tcW w:w="785" w:type="pct"/>
            <w:tcBorders>
              <w:top w:val="single" w:color="000000" w:sz="4" w:space="0"/>
              <w:left w:val="single" w:color="000000" w:sz="6" w:space="0"/>
              <w:bottom w:val="single" w:color="000000" w:sz="4" w:space="0"/>
              <w:right w:val="single" w:color="000000" w:sz="4" w:space="0"/>
            </w:tcBorders>
            <w:vAlign w:val="center"/>
          </w:tcPr>
          <w:p>
            <w:pPr>
              <w:pStyle w:val="49"/>
              <w:spacing w:line="300" w:lineRule="exact"/>
              <w:jc w:val="center"/>
              <w:rPr>
                <w:rFonts w:hint="eastAsia" w:ascii="仿宋" w:hAnsi="仿宋" w:eastAsia="仿宋" w:cs="Calibri"/>
                <w:b/>
                <w:bCs/>
                <w:color w:val="FF0000"/>
                <w:sz w:val="21"/>
                <w:szCs w:val="21"/>
                <w:highlight w:val="yellow"/>
                <w:lang w:eastAsia="zh-CN"/>
              </w:rPr>
            </w:pPr>
            <w:r>
              <w:rPr>
                <w:rFonts w:hint="eastAsia" w:ascii="仿宋" w:hAnsi="仿宋" w:eastAsia="仿宋" w:cs="Calibri"/>
                <w:b/>
                <w:bCs/>
                <w:sz w:val="28"/>
                <w:szCs w:val="28"/>
                <w:lang w:eastAsia="zh-CN"/>
              </w:rPr>
              <w:t>资质要求</w:t>
            </w:r>
          </w:p>
          <w:p>
            <w:pPr>
              <w:pStyle w:val="49"/>
              <w:spacing w:line="300" w:lineRule="exact"/>
              <w:jc w:val="center"/>
              <w:rPr>
                <w:rFonts w:hint="eastAsia" w:ascii="仿宋" w:hAnsi="仿宋" w:eastAsia="仿宋" w:cs="Calibri"/>
                <w:sz w:val="21"/>
                <w:szCs w:val="21"/>
                <w:lang w:eastAsia="zh-CN"/>
              </w:rPr>
            </w:pPr>
          </w:p>
        </w:tc>
        <w:tc>
          <w:tcPr>
            <w:tcW w:w="4214" w:type="pct"/>
            <w:tcBorders>
              <w:top w:val="single" w:color="000000" w:sz="4" w:space="0"/>
              <w:left w:val="nil"/>
              <w:bottom w:val="single" w:color="000000" w:sz="4" w:space="0"/>
              <w:right w:val="single" w:color="000000" w:sz="4" w:space="0"/>
            </w:tcBorders>
            <w:vAlign w:val="center"/>
          </w:tcPr>
          <w:p>
            <w:pPr>
              <w:pStyle w:val="49"/>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1.申请人须是中华人民共和国境内注册的独立法人单位，具有合法有效的企业法人营业执照、税务登记证及组织机构代码证或证照合一的营业执照；</w:t>
            </w:r>
          </w:p>
          <w:p>
            <w:pPr>
              <w:pStyle w:val="49"/>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2.申请人须是中华人民共和国境内具有独立承担民事责任能力的法人，或具备国家认可经营资格的其他组织。</w:t>
            </w:r>
          </w:p>
          <w:p>
            <w:pPr>
              <w:pStyle w:val="49"/>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3.生产商要求：本项目仅限生产商参与，申请人须具有有效的质量管理体系认证证书以及设备证明材料。</w:t>
            </w:r>
            <w:bookmarkStart w:id="10" w:name="_GoBack"/>
            <w:bookmarkEnd w:id="10"/>
          </w:p>
        </w:tc>
      </w:tr>
    </w:tbl>
    <w:p>
      <w:pPr>
        <w:pStyle w:val="16"/>
        <w:ind w:firstLine="640"/>
        <w:rPr>
          <w:rFonts w:ascii="Times New Roman" w:hAnsi="Times New Roman" w:eastAsia="仿宋_GB2312" w:cs="Times New Roman"/>
          <w:sz w:val="32"/>
          <w:szCs w:val="32"/>
        </w:rPr>
      </w:pPr>
    </w:p>
    <w:p>
      <w:pPr>
        <w:tabs>
          <w:tab w:val="left" w:pos="993"/>
          <w:tab w:val="left" w:pos="1134"/>
          <w:tab w:val="left" w:pos="1418"/>
        </w:tabs>
        <w:spacing w:line="600" w:lineRule="exact"/>
        <w:ind w:firstLine="640" w:firstLineChars="200"/>
        <w:outlineLvl w:val="0"/>
        <w:rPr>
          <w:rFonts w:ascii="Times New Roman" w:hAnsi="Times New Roman" w:eastAsia="仿宋" w:cs="Times New Roman"/>
          <w:kern w:val="0"/>
          <w:sz w:val="24"/>
          <w:szCs w:val="24"/>
        </w:rPr>
      </w:pPr>
      <w:r>
        <w:rPr>
          <w:rFonts w:hint="eastAsia" w:ascii="Times New Roman" w:hAnsi="Times New Roman" w:eastAsia="仿宋_GB2312" w:cs="Times New Roman"/>
          <w:sz w:val="32"/>
          <w:szCs w:val="32"/>
        </w:rPr>
        <w:t xml:space="preserve">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CIDFont+F4">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MWM2NDRmNDE0OWFjOGY5MmVkZjRlNjA0NjMzMjcifQ=="/>
  </w:docVars>
  <w:rsids>
    <w:rsidRoot w:val="00AE20AB"/>
    <w:rsid w:val="00002844"/>
    <w:rsid w:val="0003340F"/>
    <w:rsid w:val="000B4759"/>
    <w:rsid w:val="002E3C4A"/>
    <w:rsid w:val="00345737"/>
    <w:rsid w:val="004029A6"/>
    <w:rsid w:val="00403A61"/>
    <w:rsid w:val="004C6673"/>
    <w:rsid w:val="00735DDB"/>
    <w:rsid w:val="00783190"/>
    <w:rsid w:val="00A04B47"/>
    <w:rsid w:val="00AE20AB"/>
    <w:rsid w:val="00BC0DA1"/>
    <w:rsid w:val="00C40453"/>
    <w:rsid w:val="00C43A69"/>
    <w:rsid w:val="00C56F07"/>
    <w:rsid w:val="00E22F8A"/>
    <w:rsid w:val="00EA647B"/>
    <w:rsid w:val="00ED277A"/>
    <w:rsid w:val="00F1618E"/>
    <w:rsid w:val="01D065EF"/>
    <w:rsid w:val="065D5161"/>
    <w:rsid w:val="08A55367"/>
    <w:rsid w:val="0ACC6D0D"/>
    <w:rsid w:val="0B8F0D48"/>
    <w:rsid w:val="0C291ADC"/>
    <w:rsid w:val="0D4D5B78"/>
    <w:rsid w:val="0D714A1C"/>
    <w:rsid w:val="0D7B19C1"/>
    <w:rsid w:val="0FC270C4"/>
    <w:rsid w:val="10697A6E"/>
    <w:rsid w:val="10C2608D"/>
    <w:rsid w:val="11EF2364"/>
    <w:rsid w:val="12784FB1"/>
    <w:rsid w:val="137C5044"/>
    <w:rsid w:val="13862438"/>
    <w:rsid w:val="14455E90"/>
    <w:rsid w:val="145E0C1D"/>
    <w:rsid w:val="16352055"/>
    <w:rsid w:val="163753A6"/>
    <w:rsid w:val="172E5757"/>
    <w:rsid w:val="17756E0B"/>
    <w:rsid w:val="191B615D"/>
    <w:rsid w:val="1A7667DD"/>
    <w:rsid w:val="1AA81F13"/>
    <w:rsid w:val="1D9C1407"/>
    <w:rsid w:val="1DDE0AE1"/>
    <w:rsid w:val="1FA612BC"/>
    <w:rsid w:val="22693D06"/>
    <w:rsid w:val="23124F2D"/>
    <w:rsid w:val="23173B06"/>
    <w:rsid w:val="233C56B5"/>
    <w:rsid w:val="257C3CBC"/>
    <w:rsid w:val="2610638F"/>
    <w:rsid w:val="28E120D3"/>
    <w:rsid w:val="296069B8"/>
    <w:rsid w:val="2AC563B9"/>
    <w:rsid w:val="2C1A7A08"/>
    <w:rsid w:val="2D7422D9"/>
    <w:rsid w:val="2DCC6724"/>
    <w:rsid w:val="2DD75885"/>
    <w:rsid w:val="2ED92B7B"/>
    <w:rsid w:val="2EFF5A33"/>
    <w:rsid w:val="31666CCD"/>
    <w:rsid w:val="327B35FC"/>
    <w:rsid w:val="33987048"/>
    <w:rsid w:val="34301D95"/>
    <w:rsid w:val="34632613"/>
    <w:rsid w:val="34B1595D"/>
    <w:rsid w:val="35A51331"/>
    <w:rsid w:val="362F1587"/>
    <w:rsid w:val="37386FD5"/>
    <w:rsid w:val="373C4C31"/>
    <w:rsid w:val="37CF3414"/>
    <w:rsid w:val="380E4447"/>
    <w:rsid w:val="38BC05E1"/>
    <w:rsid w:val="39F56CA1"/>
    <w:rsid w:val="3A9505F0"/>
    <w:rsid w:val="3B2138D9"/>
    <w:rsid w:val="3EF77D63"/>
    <w:rsid w:val="3F4C7B09"/>
    <w:rsid w:val="3FC25F00"/>
    <w:rsid w:val="425F4078"/>
    <w:rsid w:val="43336C6F"/>
    <w:rsid w:val="46011837"/>
    <w:rsid w:val="46037C0A"/>
    <w:rsid w:val="462D2326"/>
    <w:rsid w:val="470C631D"/>
    <w:rsid w:val="47DC1672"/>
    <w:rsid w:val="481C418E"/>
    <w:rsid w:val="4834297E"/>
    <w:rsid w:val="49A92821"/>
    <w:rsid w:val="4AD242A4"/>
    <w:rsid w:val="4C58511E"/>
    <w:rsid w:val="4C987581"/>
    <w:rsid w:val="4D46031B"/>
    <w:rsid w:val="4E292F25"/>
    <w:rsid w:val="4E726A98"/>
    <w:rsid w:val="4F126DCE"/>
    <w:rsid w:val="50411939"/>
    <w:rsid w:val="50FC6088"/>
    <w:rsid w:val="51E93FF6"/>
    <w:rsid w:val="52346892"/>
    <w:rsid w:val="52B65486"/>
    <w:rsid w:val="52E812BE"/>
    <w:rsid w:val="531910E2"/>
    <w:rsid w:val="531C1EB4"/>
    <w:rsid w:val="532037F5"/>
    <w:rsid w:val="53706A9F"/>
    <w:rsid w:val="55502006"/>
    <w:rsid w:val="56331F41"/>
    <w:rsid w:val="566B1387"/>
    <w:rsid w:val="566C5220"/>
    <w:rsid w:val="58383E5F"/>
    <w:rsid w:val="58A87AB7"/>
    <w:rsid w:val="598D6098"/>
    <w:rsid w:val="5A9F5FAD"/>
    <w:rsid w:val="5BB362A0"/>
    <w:rsid w:val="5BE8125C"/>
    <w:rsid w:val="5CD575BA"/>
    <w:rsid w:val="5FA80857"/>
    <w:rsid w:val="61E563A7"/>
    <w:rsid w:val="626052F2"/>
    <w:rsid w:val="635837C1"/>
    <w:rsid w:val="637C74FA"/>
    <w:rsid w:val="64E23E83"/>
    <w:rsid w:val="65122045"/>
    <w:rsid w:val="67056631"/>
    <w:rsid w:val="69634D35"/>
    <w:rsid w:val="6B1177E4"/>
    <w:rsid w:val="6BE765E4"/>
    <w:rsid w:val="6BEF3A36"/>
    <w:rsid w:val="6C062C2F"/>
    <w:rsid w:val="6C241C95"/>
    <w:rsid w:val="6C707288"/>
    <w:rsid w:val="6CFB2FAD"/>
    <w:rsid w:val="70344EA3"/>
    <w:rsid w:val="71DD12CD"/>
    <w:rsid w:val="74386CEA"/>
    <w:rsid w:val="77F679AF"/>
    <w:rsid w:val="78BC0A04"/>
    <w:rsid w:val="79650947"/>
    <w:rsid w:val="7B4D258A"/>
    <w:rsid w:val="7EEC3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1"/>
    <w:pPr>
      <w:spacing w:line="479" w:lineRule="exact"/>
      <w:outlineLvl w:val="1"/>
    </w:pPr>
    <w:rPr>
      <w:rFonts w:ascii="Microsoft YaHei UI" w:hAnsi="Microsoft YaHei UI" w:eastAsia="Microsoft YaHei UI"/>
      <w:spacing w:val="2"/>
      <w:sz w:val="32"/>
      <w:szCs w:val="32"/>
    </w:rPr>
  </w:style>
  <w:style w:type="paragraph" w:styleId="5">
    <w:name w:val="heading 3"/>
    <w:next w:val="1"/>
    <w:unhideWhenUsed/>
    <w:qFormat/>
    <w:uiPriority w:val="9"/>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1260" w:leftChars="600"/>
      <w:jc w:val="left"/>
    </w:pPr>
  </w:style>
  <w:style w:type="paragraph" w:styleId="6">
    <w:name w:val="caption"/>
    <w:basedOn w:val="1"/>
    <w:next w:val="1"/>
    <w:qFormat/>
    <w:uiPriority w:val="0"/>
    <w:pPr>
      <w:widowControl/>
    </w:pPr>
    <w:rPr>
      <w:rFonts w:ascii="Calibri" w:hAnsi="Calibri" w:eastAsia="宋体" w:cs="Times New Roman"/>
      <w:b/>
      <w:bCs/>
      <w:color w:val="2DA2BF"/>
      <w:sz w:val="18"/>
      <w:szCs w:val="18"/>
    </w:rPr>
  </w:style>
  <w:style w:type="paragraph" w:styleId="7">
    <w:name w:val="annotation text"/>
    <w:basedOn w:val="1"/>
    <w:semiHidden/>
    <w:unhideWhenUsed/>
    <w:qFormat/>
    <w:uiPriority w:val="99"/>
  </w:style>
  <w:style w:type="paragraph" w:styleId="8">
    <w:name w:val="Body Text"/>
    <w:basedOn w:val="1"/>
    <w:next w:val="1"/>
    <w:qFormat/>
    <w:uiPriority w:val="1"/>
    <w:pPr>
      <w:ind w:firstLine="200" w:firstLineChars="200"/>
    </w:pPr>
    <w:rPr>
      <w:rFonts w:ascii="Microsoft YaHei UI" w:hAnsi="Microsoft YaHei UI" w:eastAsia="Microsoft YaHei UI"/>
      <w:szCs w:val="21"/>
    </w:rPr>
  </w:style>
  <w:style w:type="paragraph" w:styleId="9">
    <w:name w:val="Body Text Indent"/>
    <w:basedOn w:val="1"/>
    <w:semiHidden/>
    <w:unhideWhenUsed/>
    <w:qFormat/>
    <w:uiPriority w:val="99"/>
    <w:pPr>
      <w:spacing w:after="120"/>
      <w:ind w:left="420" w:leftChars="200"/>
    </w:pPr>
  </w:style>
  <w:style w:type="paragraph" w:styleId="10">
    <w:name w:val="toc 3"/>
    <w:basedOn w:val="1"/>
    <w:next w:val="1"/>
    <w:unhideWhenUsed/>
    <w:qFormat/>
    <w:uiPriority w:val="39"/>
    <w:pPr>
      <w:widowControl/>
      <w:spacing w:after="100" w:line="259" w:lineRule="auto"/>
      <w:ind w:left="440"/>
    </w:pPr>
    <w:rPr>
      <w:rFonts w:cs="Times New Roman"/>
    </w:rPr>
  </w:style>
  <w:style w:type="paragraph" w:styleId="11">
    <w:name w:val="Plain Text"/>
    <w:basedOn w:val="1"/>
    <w:qFormat/>
    <w:uiPriority w:val="99"/>
    <w:rPr>
      <w:rFonts w:ascii="Times New Roman" w:hAnsi="Times New Roman" w:eastAsia="楷体_GB2312" w:cs="Times New Roman"/>
      <w:color w:val="002060"/>
      <w:szCs w:val="21"/>
      <w:lang w:val="zh-CN"/>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spacing w:beforeAutospacing="1" w:afterAutospacing="1"/>
    </w:pPr>
    <w:rPr>
      <w:rFonts w:cs="Times New Roman"/>
      <w:sz w:val="24"/>
    </w:rPr>
  </w:style>
  <w:style w:type="paragraph" w:styleId="15">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6">
    <w:name w:val="Body Text First Indent"/>
    <w:basedOn w:val="8"/>
    <w:unhideWhenUsed/>
    <w:qFormat/>
    <w:uiPriority w:val="99"/>
    <w:pPr>
      <w:ind w:firstLine="567"/>
    </w:pPr>
  </w:style>
  <w:style w:type="paragraph" w:styleId="17">
    <w:name w:val="Body Text First Indent 2"/>
    <w:basedOn w:val="9"/>
    <w:semiHidden/>
    <w:unhideWhenUsed/>
    <w:qFormat/>
    <w:uiPriority w:val="99"/>
    <w:pPr>
      <w:ind w:firstLine="420" w:firstLineChars="200"/>
    </w:pPr>
  </w:style>
  <w:style w:type="table" w:styleId="19">
    <w:name w:val="Table Grid"/>
    <w:basedOn w:val="18"/>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Emphasis"/>
    <w:basedOn w:val="20"/>
    <w:qFormat/>
    <w:uiPriority w:val="20"/>
    <w:rPr>
      <w:i/>
    </w:rPr>
  </w:style>
  <w:style w:type="character" w:styleId="23">
    <w:name w:val="HTML Definition"/>
    <w:basedOn w:val="20"/>
    <w:semiHidden/>
    <w:unhideWhenUsed/>
    <w:qFormat/>
    <w:uiPriority w:val="99"/>
    <w:rPr>
      <w:i/>
    </w:rPr>
  </w:style>
  <w:style w:type="character" w:styleId="24">
    <w:name w:val="HTML Acronym"/>
    <w:basedOn w:val="20"/>
    <w:semiHidden/>
    <w:unhideWhenUsed/>
    <w:qFormat/>
    <w:uiPriority w:val="99"/>
  </w:style>
  <w:style w:type="character" w:styleId="25">
    <w:name w:val="HTML Variable"/>
    <w:basedOn w:val="20"/>
    <w:semiHidden/>
    <w:unhideWhenUsed/>
    <w:qFormat/>
    <w:uiPriority w:val="99"/>
    <w:rPr>
      <w:i/>
    </w:rPr>
  </w:style>
  <w:style w:type="character" w:styleId="26">
    <w:name w:val="Hyperlink"/>
    <w:basedOn w:val="20"/>
    <w:semiHidden/>
    <w:unhideWhenUsed/>
    <w:qFormat/>
    <w:uiPriority w:val="99"/>
    <w:rPr>
      <w:color w:val="005197"/>
      <w:u w:val="single"/>
    </w:rPr>
  </w:style>
  <w:style w:type="character" w:styleId="27">
    <w:name w:val="HTML Code"/>
    <w:basedOn w:val="20"/>
    <w:semiHidden/>
    <w:unhideWhenUsed/>
    <w:qFormat/>
    <w:uiPriority w:val="99"/>
    <w:rPr>
      <w:rFonts w:ascii="微软雅黑" w:hAnsi="微软雅黑" w:eastAsia="微软雅黑" w:cs="微软雅黑"/>
      <w:sz w:val="18"/>
      <w:szCs w:val="18"/>
    </w:rPr>
  </w:style>
  <w:style w:type="character" w:styleId="28">
    <w:name w:val="HTML Cite"/>
    <w:basedOn w:val="20"/>
    <w:semiHidden/>
    <w:unhideWhenUsed/>
    <w:qFormat/>
    <w:uiPriority w:val="99"/>
    <w:rPr>
      <w:i/>
    </w:rPr>
  </w:style>
  <w:style w:type="paragraph" w:customStyle="1" w:styleId="29">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30">
    <w:name w:val="页眉 字符"/>
    <w:basedOn w:val="20"/>
    <w:link w:val="13"/>
    <w:qFormat/>
    <w:uiPriority w:val="99"/>
    <w:rPr>
      <w:sz w:val="18"/>
      <w:szCs w:val="18"/>
    </w:rPr>
  </w:style>
  <w:style w:type="character" w:customStyle="1" w:styleId="31">
    <w:name w:val="页脚 字符"/>
    <w:basedOn w:val="20"/>
    <w:link w:val="12"/>
    <w:qFormat/>
    <w:uiPriority w:val="99"/>
    <w:rPr>
      <w:sz w:val="18"/>
      <w:szCs w:val="18"/>
    </w:rPr>
  </w:style>
  <w:style w:type="character" w:customStyle="1" w:styleId="32">
    <w:name w:val="fontstyle01"/>
    <w:basedOn w:val="20"/>
    <w:qFormat/>
    <w:uiPriority w:val="0"/>
    <w:rPr>
      <w:rFonts w:hint="default" w:ascii="CIDFont+F4" w:hAnsi="CIDFont+F4"/>
      <w:color w:val="000000"/>
      <w:sz w:val="24"/>
      <w:szCs w:val="24"/>
    </w:rPr>
  </w:style>
  <w:style w:type="paragraph" w:customStyle="1" w:styleId="33">
    <w:name w:val="Default"/>
    <w:qFormat/>
    <w:uiPriority w:val="0"/>
    <w:pPr>
      <w:widowControl w:val="0"/>
      <w:autoSpaceDE w:val="0"/>
      <w:autoSpaceDN w:val="0"/>
      <w:adjustRightInd w:val="0"/>
      <w:spacing w:before="120" w:after="120" w:line="360" w:lineRule="auto"/>
      <w:outlineLvl w:val="0"/>
    </w:pPr>
    <w:rPr>
      <w:rFonts w:ascii="黑体" w:hAnsi="黑体" w:eastAsia="黑体" w:cs="仿宋"/>
      <w:b/>
      <w:bCs/>
      <w:color w:val="000000"/>
      <w:sz w:val="28"/>
      <w:szCs w:val="28"/>
      <w:lang w:val="en-US" w:eastAsia="zh-CN" w:bidi="ar-SA"/>
    </w:rPr>
  </w:style>
  <w:style w:type="paragraph" w:styleId="34">
    <w:name w:val="List Paragraph"/>
    <w:basedOn w:val="1"/>
    <w:qFormat/>
    <w:uiPriority w:val="34"/>
    <w:pPr>
      <w:ind w:firstLine="420" w:firstLineChars="200"/>
    </w:pPr>
  </w:style>
  <w:style w:type="paragraph" w:customStyle="1" w:styleId="35">
    <w:name w:val="设计正文2"/>
    <w:basedOn w:val="1"/>
    <w:qFormat/>
    <w:uiPriority w:val="0"/>
    <w:pPr>
      <w:snapToGrid w:val="0"/>
      <w:spacing w:before="160" w:line="320" w:lineRule="atLeast"/>
    </w:pPr>
    <w:rPr>
      <w:rFonts w:ascii="Times New Roman" w:hAnsi="Times New Roman" w:eastAsia="宋体" w:cs="Times New Roman"/>
      <w:sz w:val="24"/>
      <w:szCs w:val="20"/>
    </w:rPr>
  </w:style>
  <w:style w:type="paragraph" w:customStyle="1" w:styleId="36">
    <w:name w:val="正文文本1"/>
    <w:basedOn w:val="37"/>
    <w:next w:val="39"/>
    <w:qFormat/>
    <w:uiPriority w:val="0"/>
    <w:pPr>
      <w:ind w:firstLine="200" w:firstLineChars="200"/>
      <w:jc w:val="both"/>
    </w:pPr>
    <w:rPr>
      <w:rFonts w:ascii="Microsoft YaHei UI" w:hAnsi="Microsoft YaHei UI" w:eastAsia="Microsoft YaHei UI"/>
      <w:sz w:val="21"/>
      <w:szCs w:val="21"/>
    </w:rPr>
  </w:style>
  <w:style w:type="paragraph" w:customStyle="1" w:styleId="37">
    <w:name w:val="Normal_1"/>
    <w:next w:val="38"/>
    <w:qFormat/>
    <w:uiPriority w:val="0"/>
    <w:rPr>
      <w:rFonts w:ascii="Arial" w:hAnsi="Arial" w:eastAsia="微软雅黑" w:cs="Times New Roman"/>
      <w:sz w:val="24"/>
      <w:szCs w:val="24"/>
      <w:lang w:val="en-US" w:eastAsia="zh-CN" w:bidi="ar-SA"/>
    </w:rPr>
  </w:style>
  <w:style w:type="paragraph" w:customStyle="1" w:styleId="38">
    <w:name w:val="页脚1"/>
    <w:basedOn w:val="37"/>
    <w:unhideWhenUsed/>
    <w:qFormat/>
    <w:uiPriority w:val="99"/>
    <w:pPr>
      <w:tabs>
        <w:tab w:val="center" w:pos="4153"/>
        <w:tab w:val="right" w:pos="8306"/>
      </w:tabs>
      <w:snapToGrid w:val="0"/>
    </w:pPr>
    <w:rPr>
      <w:sz w:val="18"/>
      <w:szCs w:val="18"/>
    </w:rPr>
  </w:style>
  <w:style w:type="paragraph" w:customStyle="1" w:styleId="39">
    <w:name w:val="目录 21"/>
    <w:basedOn w:val="37"/>
    <w:next w:val="37"/>
    <w:unhideWhenUsed/>
    <w:qFormat/>
    <w:uiPriority w:val="39"/>
    <w:pPr>
      <w:tabs>
        <w:tab w:val="left" w:pos="730"/>
        <w:tab w:val="right" w:leader="dot" w:pos="9355"/>
      </w:tabs>
      <w:ind w:left="284" w:leftChars="129" w:firstLine="154" w:firstLineChars="70"/>
    </w:pPr>
  </w:style>
  <w:style w:type="character" w:customStyle="1" w:styleId="40">
    <w:name w:val="l-btn-text"/>
    <w:basedOn w:val="20"/>
    <w:qFormat/>
    <w:uiPriority w:val="0"/>
  </w:style>
  <w:style w:type="character" w:customStyle="1" w:styleId="41">
    <w:name w:val="checkbox"/>
    <w:basedOn w:val="20"/>
    <w:qFormat/>
    <w:uiPriority w:val="0"/>
  </w:style>
  <w:style w:type="character" w:customStyle="1" w:styleId="42">
    <w:name w:val="l-btn-left"/>
    <w:basedOn w:val="20"/>
    <w:qFormat/>
    <w:uiPriority w:val="0"/>
  </w:style>
  <w:style w:type="character" w:customStyle="1" w:styleId="43">
    <w:name w:val="l-btn-left1"/>
    <w:basedOn w:val="20"/>
    <w:qFormat/>
    <w:uiPriority w:val="0"/>
  </w:style>
  <w:style w:type="character" w:customStyle="1" w:styleId="44">
    <w:name w:val="l-btn-left2"/>
    <w:basedOn w:val="20"/>
    <w:qFormat/>
    <w:uiPriority w:val="0"/>
  </w:style>
  <w:style w:type="character" w:customStyle="1" w:styleId="45">
    <w:name w:val="l-btn-left3"/>
    <w:basedOn w:val="20"/>
    <w:qFormat/>
    <w:uiPriority w:val="0"/>
  </w:style>
  <w:style w:type="character" w:customStyle="1" w:styleId="46">
    <w:name w:val="l-btn-empty"/>
    <w:basedOn w:val="20"/>
    <w:qFormat/>
    <w:uiPriority w:val="0"/>
  </w:style>
  <w:style w:type="paragraph" w:customStyle="1" w:styleId="47">
    <w:name w:val="表格"/>
    <w:basedOn w:val="15"/>
    <w:next w:val="1"/>
    <w:qFormat/>
    <w:uiPriority w:val="0"/>
    <w:pPr>
      <w:spacing w:before="0" w:after="0" w:line="360" w:lineRule="auto"/>
      <w:outlineLvl w:val="9"/>
    </w:pPr>
    <w:rPr>
      <w:rFonts w:ascii="Times New Roman" w:hAnsi="Times New Roman" w:cs="Times New Roman"/>
      <w:b w:val="0"/>
      <w:bCs w:val="0"/>
      <w:sz w:val="21"/>
    </w:rPr>
  </w:style>
  <w:style w:type="paragraph" w:customStyle="1" w:styleId="4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9">
    <w:name w:val="Table Paragraph"/>
    <w:basedOn w:val="1"/>
    <w:qFormat/>
    <w:uiPriority w:val="0"/>
    <w:pPr>
      <w:jc w:val="left"/>
    </w:pPr>
    <w:rPr>
      <w:kern w:val="0"/>
      <w:sz w:val="22"/>
      <w:lang w:eastAsia="en-US"/>
    </w:rPr>
  </w:style>
  <w:style w:type="table" w:customStyle="1" w:styleId="50">
    <w:name w:val="网格表 1 浅色1"/>
    <w:basedOn w:val="18"/>
    <w:qFormat/>
    <w:uiPriority w:val="46"/>
    <w:rPr>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1">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5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53">
    <w:name w:val="网格型3"/>
    <w:basedOn w:val="18"/>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1"/>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正文_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Default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9">
    <w:name w:val="网格型4"/>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5"/>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1">
    <w:name w:val="样式1"/>
    <w:basedOn w:val="1"/>
    <w:qFormat/>
    <w:uiPriority w:val="0"/>
    <w:pPr>
      <w:jc w:val="both"/>
    </w:pPr>
    <w:rPr>
      <w:rFonts w:hint="eastAsia" w:ascii="Microsoft YaHei UI" w:hAnsi="Microsoft YaHei UI" w:eastAsia="微软雅黑"/>
      <w:szCs w:val="21"/>
    </w:rPr>
  </w:style>
  <w:style w:type="paragraph" w:customStyle="1" w:styleId="62">
    <w:name w:val="第二"/>
    <w:basedOn w:val="1"/>
    <w:qFormat/>
    <w:uiPriority w:val="0"/>
    <w:pPr>
      <w:adjustRightInd w:val="0"/>
      <w:snapToGrid w:val="0"/>
    </w:pPr>
    <w:rPr>
      <w:rFonts w:hint="eastAsia" w:eastAsia="宋体" w:cs="Times New Roman"/>
      <w:b/>
      <w:color w:val="000000"/>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472</Words>
  <Characters>2692</Characters>
  <Lines>22</Lines>
  <Paragraphs>6</Paragraphs>
  <TotalTime>8</TotalTime>
  <ScaleCrop>false</ScaleCrop>
  <LinksUpToDate>false</LinksUpToDate>
  <CharactersWithSpaces>3158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2021-05-19T09:26:00Z</dcterms:created>
  <dc:creator>季云峰/采办项目组/集团公司机关</dc:creator>
  <cp:lastModifiedBy>yanzhen</cp:lastModifiedBy>
  <dcterms:modified xsi:type="dcterms:W3CDTF">2026-05-28T03:05:52Z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ECE656037CA6426BA50E95E35E37621F</vt:lpwstr>
  </property>
</Properties>
</file>