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05" w:type="dxa"/>
        <w:tblCellSpacing w:w="1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65"/>
      </w:tblGrid>
      <w:tr w14:paraId="527BF132">
        <w:tblPrEx>
          <w:shd w:val="clear" w:color="auto" w:fill="FFFFFF"/>
        </w:tblPrEx>
        <w:trPr>
          <w:tblCellSpacing w:w="15" w:type="dxa"/>
        </w:trPr>
        <w:tc>
          <w:tcPr>
            <w:tcW w:w="8445" w:type="dxa"/>
            <w:shd w:val="clear" w:color="auto" w:fill="FFFFFF"/>
            <w:noWrap w:val="0"/>
            <w:vAlign w:val="center"/>
          </w:tcPr>
          <w:tbl>
            <w:tblPr>
              <w:tblStyle w:val="3"/>
              <w:tblW w:w="8505" w:type="dxa"/>
              <w:tblCellSpacing w:w="15" w:type="dxa"/>
              <w:tblInd w:w="0" w:type="dxa"/>
              <w:shd w:val="clear" w:color="auto" w:fill="FFFFFF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775"/>
            </w:tblGrid>
            <w:tr w14:paraId="62066FBF">
              <w:tblPrEx>
                <w:shd w:val="clear" w:color="auto" w:fill="FFFFFF"/>
              </w:tblPrEx>
              <w:trPr>
                <w:tblCellSpacing w:w="15" w:type="dxa"/>
              </w:trPr>
              <w:tc>
                <w:tcPr>
                  <w:tcW w:w="8445" w:type="dxa"/>
                  <w:shd w:val="clear" w:color="auto" w:fill="FFFFFF"/>
                  <w:noWrap w:val="0"/>
                  <w:vAlign w:val="center"/>
                </w:tcPr>
                <w:tbl>
                  <w:tblPr>
                    <w:tblStyle w:val="3"/>
                    <w:tblW w:w="8505" w:type="dxa"/>
                    <w:tblCellSpacing w:w="15" w:type="dxa"/>
                    <w:tblInd w:w="0" w:type="dxa"/>
                    <w:shd w:val="clear" w:color="auto" w:fill="FFFFFF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8685"/>
                  </w:tblGrid>
                  <w:tr w14:paraId="53DB465A">
                    <w:tblPrEx>
                      <w:shd w:val="clear" w:color="auto" w:fill="FFFFFF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8445" w:type="dxa"/>
                        <w:shd w:val="clear" w:color="auto" w:fill="FFFFFF"/>
                        <w:noWrap w:val="0"/>
                        <w:vAlign w:val="center"/>
                      </w:tcPr>
                      <w:tbl>
                        <w:tblPr>
                          <w:tblStyle w:val="3"/>
                          <w:tblW w:w="8505" w:type="dxa"/>
                          <w:tblCellSpacing w:w="15" w:type="dxa"/>
                          <w:tblInd w:w="0" w:type="dxa"/>
                          <w:shd w:val="clear" w:color="auto" w:fill="FFFFFF"/>
                          <w:tblLayout w:type="autofi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8595"/>
                        </w:tblGrid>
                        <w:tr w14:paraId="32BC8636">
                          <w:tblPrEx>
                            <w:shd w:val="clear" w:color="auto" w:fill="FFFFFF"/>
                          </w:tblPrEx>
                          <w:trPr>
                            <w:tblCellSpacing w:w="15" w:type="dxa"/>
                          </w:trPr>
                          <w:tc>
                            <w:tcPr>
                              <w:tcW w:w="8445" w:type="dxa"/>
                              <w:shd w:val="clear" w:color="auto" w:fill="FFFFFF"/>
                              <w:noWrap w:val="0"/>
                              <w:vAlign w:val="center"/>
                            </w:tcPr>
                            <w:tbl>
                              <w:tblPr>
                                <w:tblStyle w:val="3"/>
                                <w:tblW w:w="8505" w:type="dxa"/>
                                <w:tblCellSpacing w:w="15" w:type="dxa"/>
                                <w:tblInd w:w="0" w:type="dxa"/>
                                <w:shd w:val="clear" w:color="auto" w:fill="FFFFFF"/>
                                <w:tblLayout w:type="autofit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>
                              <w:tblGrid>
                                <w:gridCol w:w="8505"/>
                              </w:tblGrid>
                              <w:tr w14:paraId="7DE8ECFB">
                                <w:tblPrEx>
                                  <w:shd w:val="clear" w:color="auto" w:fill="FFFFFF"/>
                                  <w:tblCell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blCellMar>
                                </w:tblPrEx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8445" w:type="dxa"/>
                                    <w:shd w:val="clear" w:color="auto" w:fill="FFFFFF"/>
                                    <w:noWrap w:val="0"/>
                                    <w:vAlign w:val="center"/>
                                  </w:tcPr>
                                  <w:p w14:paraId="6DEF00D9">
                                    <w:pPr>
                                      <w:widowControl/>
                                      <w:jc w:val="center"/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32"/>
                                        <w:szCs w:val="32"/>
                                      </w:rPr>
                                      <w:t>昝岗组团西南部小学项目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32"/>
                                        <w:szCs w:val="32"/>
                                        <w:lang w:val="en-US" w:eastAsia="zh-CN"/>
                                      </w:rPr>
                                      <w:t>安装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32"/>
                                        <w:szCs w:val="32"/>
                                      </w:rPr>
                                      <w:t>工程</w:t>
                                    </w:r>
                                  </w:p>
                                  <w:p w14:paraId="263E88E1">
                                    <w:pPr>
                                      <w:widowControl/>
                                      <w:jc w:val="center"/>
                                      <w:rPr>
                                        <w:rFonts w:ascii="宋体" w:hAnsi="宋体" w:cs="宋体"/>
                                        <w:b/>
                                        <w:bCs/>
                                        <w:color w:val="323232"/>
                                        <w:kern w:val="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32"/>
                                        <w:szCs w:val="32"/>
                                      </w:rPr>
                                      <w:t>劳务分包招标公告</w:t>
                                    </w:r>
                                  </w:p>
                                  <w:p w14:paraId="441E58EB">
                                    <w:pPr>
                                      <w:widowControl/>
                                      <w:jc w:val="center"/>
                                      <w:rPr>
                                        <w:rFonts w:ascii="宋体" w:hAnsi="宋体" w:cs="宋体"/>
                                        <w:color w:val="323232"/>
                                        <w:kern w:val="0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c>
                              </w:tr>
                              <w:tr w14:paraId="3498004E">
                                <w:tblPrEx>
                                  <w:shd w:val="clear" w:color="auto" w:fill="FFFFFF"/>
                                  <w:tblCell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blCellMar>
                                </w:tblPrEx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8445" w:type="dxa"/>
                                    <w:shd w:val="clear" w:color="auto" w:fill="auto"/>
                                    <w:noWrap w:val="0"/>
                                    <w:vAlign w:val="center"/>
                                  </w:tcPr>
                                  <w:p w14:paraId="7391DA2F">
                                    <w:pPr>
                                      <w:widowControl/>
                                      <w:spacing w:line="320" w:lineRule="atLeast"/>
                                      <w:jc w:val="center"/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招标编号：</w:t>
                                    </w:r>
                                    <w:bookmarkStart w:id="0" w:name="_Toc243475750"/>
                                    <w:bookmarkEnd w:id="0"/>
                                    <w:bookmarkStart w:id="1" w:name="_Toc313861715"/>
                                    <w:bookmarkEnd w:id="1"/>
                                    <w:bookmarkStart w:id="2" w:name="_Toc238552177"/>
                                    <w:bookmarkEnd w:id="2"/>
                                    <w:bookmarkStart w:id="3" w:name="_Toc152042288"/>
                                    <w:bookmarkEnd w:id="3"/>
                                    <w:bookmarkStart w:id="4" w:name="_Toc144974480"/>
                                    <w:bookmarkEnd w:id="4"/>
                                    <w:bookmarkStart w:id="5" w:name="_Toc238797532"/>
                                    <w:bookmarkEnd w:id="5"/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昝岗组团西南部小学项目-2025-B-LW-安装工程</w:t>
                                    </w:r>
                                  </w:p>
                                  <w:p w14:paraId="46352351">
                                    <w:pPr>
                                      <w:widowControl/>
                                      <w:spacing w:line="320" w:lineRule="atLeast"/>
                                      <w:ind w:firstLine="562" w:firstLineChars="200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b/>
                                        <w:bCs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1.项目概况与招标范围</w:t>
                                    </w:r>
                                  </w:p>
                                  <w:p w14:paraId="17349A69">
                                    <w:pPr>
                                      <w:widowControl/>
                                      <w:spacing w:line="320" w:lineRule="atLeast"/>
                                      <w:ind w:firstLine="360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1.1项目概况</w:t>
                                    </w:r>
                                  </w:p>
                                  <w:p w14:paraId="04202481">
                                    <w:pPr>
                                      <w:widowControl/>
                                      <w:spacing w:line="320" w:lineRule="atLeast"/>
                                      <w:ind w:firstLine="360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）主要工程内容：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安装工程</w:t>
                                    </w:r>
                                  </w:p>
                                  <w:p w14:paraId="0EBE10C1">
                                    <w:pPr>
                                      <w:widowControl/>
                                      <w:spacing w:line="320" w:lineRule="atLeast"/>
                                      <w:ind w:firstLine="360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）建设地点：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咎岗组团西南部小学项目位于昝岗组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团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ZGO3-02-08-03地块，四至范围：东至城市主干路N1，西至ZG03-02-08-02地块，南至城市支路E67，北至城市支路E66。</w:t>
                                    </w:r>
                                  </w:p>
                                  <w:p w14:paraId="3BFBE4A2">
                                    <w:pPr>
                                      <w:widowControl/>
                                      <w:spacing w:line="320" w:lineRule="atLeast"/>
                                      <w:ind w:firstLine="383" w:firstLineChars="137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）建设工期：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485天</w:t>
                                    </w:r>
                                  </w:p>
                                  <w:p w14:paraId="66D57E1D">
                                    <w:pPr>
                                      <w:widowControl/>
                                      <w:spacing w:line="320" w:lineRule="atLeast"/>
                                      <w:ind w:firstLine="360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1.2招标范围及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主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要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工程数量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：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  <w:p w14:paraId="1D2A3BEF">
                                    <w:pPr>
                                      <w:widowControl/>
                                      <w:spacing w:line="320" w:lineRule="atLeast"/>
                                      <w:ind w:firstLine="360"/>
                                      <w:jc w:val="left"/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安装工程</w:t>
                                    </w:r>
                                    <w:r>
                                      <w:rPr>
                                        <w:rFonts w:ascii="仿宋" w:hAnsi="仿宋" w:eastAsia="仿宋"/>
                                        <w:sz w:val="28"/>
                                        <w:szCs w:val="28"/>
                                      </w:rPr>
                                      <w:t>（详见第四部工程量清单）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</w:rPr>
                                      <w:t>。</w:t>
                                    </w:r>
                                  </w:p>
                                  <w:p w14:paraId="6E87956F">
                                    <w:pPr>
                                      <w:widowControl/>
                                      <w:spacing w:line="320" w:lineRule="atLeast"/>
                                      <w:ind w:firstLine="360"/>
                                      <w:jc w:val="left"/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1.3标段及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包件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划分情况：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  <w:p w14:paraId="373EEC9C">
                                    <w:pPr>
                                      <w:widowControl/>
                                      <w:spacing w:line="320" w:lineRule="atLeast"/>
                                      <w:ind w:firstLine="360"/>
                                      <w:jc w:val="left"/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无。</w:t>
                                    </w:r>
                                  </w:p>
                                  <w:p w14:paraId="71DD78F6">
                                    <w:pPr>
                                      <w:pStyle w:val="2"/>
                                      <w:shd w:val="clear" w:color="auto" w:fill="FFFFFF"/>
                                      <w:spacing w:before="0" w:beforeAutospacing="0" w:after="0" w:afterAutospacing="0" w:line="520" w:lineRule="exact"/>
                                      <w:ind w:firstLine="380" w:firstLineChars="136"/>
                                      <w:jc w:val="both"/>
                                      <w:rPr>
                                        <w:rFonts w:ascii="仿宋" w:hAnsi="仿宋" w:eastAsia="仿宋"/>
                                        <w:color w:val="333333"/>
                                        <w:spacing w:val="8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仿宋" w:hAnsi="仿宋" w:eastAsia="仿宋"/>
                                        <w:color w:val="323232"/>
                                        <w:sz w:val="28"/>
                                        <w:szCs w:val="28"/>
                                      </w:rPr>
                                      <w:t>1.4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color w:val="323232"/>
                                        <w:sz w:val="28"/>
                                        <w:szCs w:val="28"/>
                                      </w:rPr>
                                      <w:t>招标控制价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color w:val="333333"/>
                                        <w:spacing w:val="8"/>
                                        <w:sz w:val="28"/>
                                        <w:szCs w:val="28"/>
                                      </w:rPr>
                                      <w:t>：</w:t>
                                    </w:r>
                                    <w:r>
                                      <w:rPr>
                                        <w:rFonts w:ascii="仿宋" w:hAnsi="仿宋" w:eastAsia="仿宋"/>
                                        <w:color w:val="333333"/>
                                        <w:spacing w:val="8"/>
                                        <w:sz w:val="28"/>
                                        <w:szCs w:val="28"/>
                                      </w:rPr>
                                      <w:tab/>
                                    </w:r>
                                  </w:p>
                                  <w:p w14:paraId="55373C3C">
                                    <w:pPr>
                                      <w:widowControl/>
                                      <w:spacing w:line="320" w:lineRule="atLeast"/>
                                      <w:ind w:firstLine="354"/>
                                      <w:jc w:val="left"/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</w:rPr>
                                    </w:pPr>
                                    <w:bookmarkStart w:id="6" w:name="_Toc453372738"/>
                                    <w:bookmarkEnd w:id="6"/>
                                    <w:bookmarkStart w:id="7" w:name="_Toc434481108"/>
                                    <w:bookmarkEnd w:id="7"/>
                                    <w:bookmarkStart w:id="8" w:name="_Toc313861720"/>
                                    <w:bookmarkEnd w:id="8"/>
                                    <w:bookmarkStart w:id="9" w:name="_Toc452574257"/>
                                    <w:bookmarkEnd w:id="9"/>
                                    <w:bookmarkStart w:id="10" w:name="_Toc434451512"/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</w:rPr>
                                      <w:t>不含增值税价款合计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1404922.5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</w:rPr>
                                      <w:t>元（大写：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壹佰肆拾万零肆仟玖佰贰拾贰元伍角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</w:rPr>
                                      <w:t>）</w:t>
                                    </w:r>
                                  </w:p>
                                  <w:p w14:paraId="645EEB2C">
                                    <w:pPr>
                                      <w:widowControl/>
                                      <w:spacing w:line="320" w:lineRule="atLeast"/>
                                      <w:ind w:firstLine="354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b/>
                                        <w:bCs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2.</w:t>
                                    </w:r>
                                    <w:bookmarkEnd w:id="10"/>
                                    <w:r>
                                      <w:rPr>
                                        <w:rFonts w:hint="eastAsia" w:ascii="仿宋" w:hAnsi="仿宋" w:eastAsia="仿宋" w:cs="宋体"/>
                                        <w:b/>
                                        <w:bCs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投标人资格要求</w:t>
                                    </w:r>
                                  </w:p>
                                  <w:p w14:paraId="40463826">
                                    <w:pPr>
                                      <w:widowControl/>
                                      <w:spacing w:line="320" w:lineRule="atLeast"/>
                                      <w:ind w:firstLine="360"/>
                                      <w:jc w:val="left"/>
                                      <w:rPr>
                                        <w:rFonts w:ascii="仿宋" w:hAnsi="仿宋" w:eastAsia="仿宋" w:cs="宋体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bookmarkStart w:id="11" w:name="_Toc238797535"/>
                                    <w:bookmarkEnd w:id="11"/>
                                    <w:bookmarkStart w:id="12" w:name="_Toc238552180"/>
                                    <w:bookmarkEnd w:id="12"/>
                                    <w:bookmarkStart w:id="13" w:name="_Toc152042291"/>
                                    <w:bookmarkEnd w:id="13"/>
                                    <w:bookmarkStart w:id="14" w:name="_Toc313861721"/>
                                    <w:bookmarkEnd w:id="14"/>
                                    <w:bookmarkStart w:id="15" w:name="_Toc144974483"/>
                                    <w:bookmarkEnd w:id="15"/>
                                    <w:bookmarkStart w:id="16" w:name="_Toc152045515"/>
                                    <w:bookmarkEnd w:id="16"/>
                                    <w:bookmarkStart w:id="17" w:name="_Toc243475753"/>
                                    <w:r>
                                      <w:rPr>
                                        <w:rFonts w:hint="eastAsia" w:ascii="仿宋" w:hAnsi="仿宋" w:eastAsia="仿宋" w:cs="宋体"/>
                                        <w:kern w:val="0"/>
                                        <w:sz w:val="28"/>
                                        <w:szCs w:val="28"/>
                                      </w:rPr>
                                      <w:t>2.1</w:t>
                                    </w:r>
                                    <w:bookmarkEnd w:id="17"/>
                                    <w:r>
                                      <w:rPr>
                                        <w:rFonts w:hint="eastAsia" w:ascii="仿宋" w:hAnsi="仿宋" w:eastAsia="仿宋" w:cs="宋体"/>
                                        <w:kern w:val="0"/>
                                        <w:sz w:val="28"/>
                                        <w:szCs w:val="28"/>
                                      </w:rPr>
                                      <w:t>根据分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kern w:val="0"/>
                                        <w:sz w:val="28"/>
                                        <w:szCs w:val="28"/>
                                      </w:rPr>
                                      <w:t>包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kern w:val="0"/>
                                        <w:sz w:val="28"/>
                                        <w:szCs w:val="28"/>
                                      </w:rPr>
                                      <w:t>招标施工范围，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</w:rPr>
                                      <w:t>投标人应具备“建筑劳务不分等级”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kern w:val="0"/>
                                        <w:sz w:val="28"/>
                                        <w:szCs w:val="28"/>
                                      </w:rPr>
                                      <w:t>，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kern w:val="0"/>
                                        <w:sz w:val="28"/>
                                        <w:szCs w:val="28"/>
                                      </w:rPr>
                                      <w:t>且同时具备中铁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kern w:val="0"/>
                                        <w:sz w:val="28"/>
                                        <w:szCs w:val="28"/>
                                      </w:rPr>
                                      <w:t>三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kern w:val="0"/>
                                        <w:sz w:val="28"/>
                                        <w:szCs w:val="28"/>
                                      </w:rPr>
                                      <w:t>局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kern w:val="0"/>
                                        <w:sz w:val="28"/>
                                        <w:szCs w:val="28"/>
                                      </w:rPr>
                                      <w:t>分包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kern w:val="0"/>
                                        <w:sz w:val="28"/>
                                        <w:szCs w:val="28"/>
                                      </w:rPr>
                                      <w:t>准入资质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kern w:val="0"/>
                                        <w:sz w:val="28"/>
                                        <w:szCs w:val="28"/>
                                      </w:rPr>
                                      <w:t>；</w:t>
                                    </w:r>
                                  </w:p>
                                  <w:p w14:paraId="443DE3F3">
                                    <w:pPr>
                                      <w:widowControl/>
                                      <w:spacing w:line="320" w:lineRule="atLeast"/>
                                      <w:ind w:firstLine="360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2.2遵守国家法律、行政法规，具有良好的信誉、具有履行合同的能力和良好的履约记录；</w:t>
                                    </w:r>
                                  </w:p>
                                  <w:p w14:paraId="7E8358B2">
                                    <w:pPr>
                                      <w:widowControl/>
                                      <w:spacing w:line="320" w:lineRule="atLeast"/>
                                      <w:ind w:firstLine="360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2.3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投标人应具备有效的营业执照、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企业资质证书、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kern w:val="0"/>
                                        <w:sz w:val="28"/>
                                        <w:szCs w:val="28"/>
                                      </w:rPr>
                                      <w:t>一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kern w:val="0"/>
                                        <w:sz w:val="28"/>
                                        <w:szCs w:val="28"/>
                                      </w:rPr>
                                      <w:t>般纳税人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税务登记证、安全生产证等证明资料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；</w:t>
                                    </w:r>
                                  </w:p>
                                  <w:p w14:paraId="48523CDE">
                                    <w:pPr>
                                      <w:widowControl/>
                                      <w:spacing w:line="320" w:lineRule="atLeast"/>
                                      <w:ind w:firstLine="360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2.4具有良好的信誉、业绩，并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应出具近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三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年内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kern w:val="0"/>
                                        <w:sz w:val="28"/>
                                        <w:szCs w:val="28"/>
                                      </w:rPr>
                                      <w:t>类似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kern w:val="0"/>
                                        <w:sz w:val="28"/>
                                        <w:szCs w:val="28"/>
                                      </w:rPr>
                                      <w:t>工程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施工的业绩材料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；</w:t>
                                    </w:r>
                                  </w:p>
                                  <w:p w14:paraId="6274FCFA">
                                    <w:pPr>
                                      <w:widowControl/>
                                      <w:spacing w:line="320" w:lineRule="atLeast"/>
                                      <w:ind w:firstLine="360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2.5具有履行合同所必需的施工设备（机具）和专业技术能力（管理）人员、安全管理人员、特殊工种人员，并提供相应有效证书；</w:t>
                                    </w:r>
                                  </w:p>
                                  <w:p w14:paraId="073A1D40">
                                    <w:pPr>
                                      <w:widowControl/>
                                      <w:spacing w:line="320" w:lineRule="atLeast"/>
                                      <w:ind w:firstLine="360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2.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本次招标不接受联合体投标。</w:t>
                                    </w:r>
                                  </w:p>
                                  <w:p w14:paraId="42DC84DD">
                                    <w:pPr>
                                      <w:widowControl/>
                                      <w:spacing w:line="320" w:lineRule="atLeast"/>
                                      <w:ind w:firstLine="361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b/>
                                        <w:bCs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3.招标文件的获取</w:t>
                                    </w:r>
                                  </w:p>
                                  <w:p w14:paraId="30C9D6B3">
                                    <w:pPr>
                                      <w:widowControl/>
                                      <w:spacing w:line="320" w:lineRule="atLeast"/>
                                      <w:ind w:firstLine="360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bookmarkStart w:id="18" w:name="_Toc314250241"/>
                                    <w:bookmarkEnd w:id="18"/>
                                    <w:bookmarkStart w:id="19" w:name="_Toc238552181"/>
                                    <w:bookmarkEnd w:id="19"/>
                                    <w:bookmarkStart w:id="20" w:name="_Toc144974484"/>
                                    <w:bookmarkEnd w:id="20"/>
                                    <w:bookmarkStart w:id="21" w:name="_Toc152045517"/>
                                    <w:bookmarkEnd w:id="21"/>
                                    <w:bookmarkStart w:id="22" w:name="_Toc152042293"/>
                                    <w:bookmarkEnd w:id="22"/>
                                    <w:bookmarkStart w:id="23" w:name="_Toc238552183"/>
                                    <w:bookmarkEnd w:id="23"/>
                                    <w:bookmarkStart w:id="24" w:name="_Toc243475756"/>
                                    <w:bookmarkEnd w:id="24"/>
                                    <w:bookmarkStart w:id="25" w:name="_Toc313861724"/>
                                    <w:bookmarkEnd w:id="25"/>
                                    <w:bookmarkStart w:id="26" w:name="_Toc144974485"/>
                                    <w:bookmarkEnd w:id="26"/>
                                    <w:bookmarkStart w:id="27" w:name="_Toc238797538"/>
                                    <w:bookmarkEnd w:id="27"/>
                                    <w:bookmarkStart w:id="28" w:name="_Toc152045516"/>
                                    <w:bookmarkEnd w:id="28"/>
                                    <w:bookmarkStart w:id="29" w:name="_Toc243475754"/>
                                    <w:bookmarkEnd w:id="29"/>
                                    <w:bookmarkStart w:id="30" w:name="_Toc238797536"/>
                                    <w:bookmarkEnd w:id="30"/>
                                    <w:bookmarkStart w:id="31" w:name="_Toc152042292"/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3.1</w:t>
                                    </w:r>
                                    <w:bookmarkEnd w:id="31"/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凡有意参加投标者，请于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  <w:u w:val="single"/>
                                        <w:lang w:val="en-US" w:eastAsia="zh-CN"/>
                                      </w:rPr>
                                      <w:t>2025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  <w:u w:val="single"/>
                                        <w:lang w:val="en-US"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  <w:u w:val="single"/>
                                        <w:lang w:val="en-US" w:eastAsia="zh-CN"/>
                                      </w:rPr>
                                      <w:t>30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</w:rPr>
                                      <w:t>日至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  <w:u w:val="single"/>
                                        <w:lang w:val="en-US" w:eastAsia="zh-CN"/>
                                      </w:rPr>
                                      <w:t>2026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  <w:u w:val="single"/>
                                        <w:lang w:val="en-US" w:eastAsia="zh-CN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  <w:u w:val="single"/>
                                        <w:lang w:val="en-US" w:eastAsia="zh-CN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（法定公休日、法定节假日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000000"/>
                                        <w:kern w:val="0"/>
                                        <w:sz w:val="28"/>
                                        <w:szCs w:val="28"/>
                                      </w:rPr>
                                      <w:t>除外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），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u w:val="single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</w:rPr>
                                      <w:t>时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u w:val="single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</w:rPr>
                                      <w:t>分至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u w:val="single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</w:rPr>
                                      <w:t>时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u w:val="single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</w:rPr>
                                      <w:t>分，下午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u w:val="single"/>
                                      </w:rPr>
                                      <w:t>14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</w:rPr>
                                      <w:t>时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u w:val="single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</w:rPr>
                                      <w:t>分至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u w:val="single"/>
                                      </w:rPr>
                                      <w:t>18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</w:rPr>
                                      <w:t>时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u w:val="single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</w:rPr>
                                      <w:t>分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，在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  <w:u w:val="single"/>
                                      </w:rPr>
                                      <w:t>鲁班电子采购网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响应招标，并下载招标文件。</w:t>
                                    </w:r>
                                  </w:p>
                                  <w:p w14:paraId="5B13BE2A">
                                    <w:pPr>
                                      <w:widowControl/>
                                      <w:spacing w:line="320" w:lineRule="atLeast"/>
                                      <w:ind w:firstLine="364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3.2招标文件免费提供。</w:t>
                                    </w:r>
                                  </w:p>
                                  <w:p w14:paraId="41965443">
                                    <w:pPr>
                                      <w:widowControl/>
                                      <w:spacing w:line="320" w:lineRule="atLeast"/>
                                      <w:ind w:firstLine="365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b/>
                                        <w:bCs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4.投标文件的递交</w:t>
                                    </w:r>
                                  </w:p>
                                  <w:p w14:paraId="40EDDCCD">
                                    <w:pPr>
                                      <w:widowControl/>
                                      <w:spacing w:line="320" w:lineRule="atLeast"/>
                                      <w:ind w:firstLine="360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4.1投标文件请于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  <w:u w:val="single"/>
                                        <w:lang w:val="en-US" w:eastAsia="zh-CN"/>
                                      </w:rPr>
                                      <w:t>2026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  <w:u w:val="single"/>
                                        <w:lang w:val="en-US" w:eastAsia="zh-CN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  <w:u w:val="single"/>
                                        <w:lang w:val="en-US"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  <w:u w:val="single"/>
                                        <w:lang w:val="en-US" w:eastAsia="zh-CN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</w:rPr>
                                      <w:t>时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  <w:u w:val="single"/>
                                        <w:lang w:val="en-US" w:eastAsia="zh-CN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</w:rPr>
                                      <w:t>分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  <w:highlight w:val="none"/>
                                      </w:rPr>
                                      <w:t>前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，上传至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  <w:u w:val="single"/>
                                      </w:rPr>
                                      <w:t>鲁班电子采购网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。</w:t>
                                    </w:r>
                                  </w:p>
                                  <w:p w14:paraId="1B75C1CE">
                                    <w:pPr>
                                      <w:widowControl/>
                                      <w:spacing w:line="320" w:lineRule="atLeast"/>
                                      <w:ind w:firstLine="364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.2招标人如果决定推迟开标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时间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，将通知送达所有的潜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在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投标人。在此情况下，招标人和潜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在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投标人的权利和义务不因推迟开标时间而改变。</w:t>
                                    </w:r>
                                  </w:p>
                                  <w:p w14:paraId="25E9AA03">
                                    <w:pPr>
                                      <w:widowControl/>
                                      <w:spacing w:line="320" w:lineRule="atLeast"/>
                                      <w:ind w:firstLine="364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4.2已响应，但逾期未上传投标文件的单位，将自动视为放弃投标。</w:t>
                                    </w:r>
                                    <w:bookmarkStart w:id="32" w:name="_Toc238797537"/>
                                    <w:bookmarkEnd w:id="32"/>
                                    <w:bookmarkStart w:id="33" w:name="_Toc314250242"/>
                                    <w:bookmarkEnd w:id="33"/>
                                    <w:bookmarkStart w:id="34" w:name="_Toc238552182"/>
                                    <w:bookmarkEnd w:id="34"/>
                                    <w:bookmarkStart w:id="35" w:name="_Toc243475755"/>
                                    <w:bookmarkEnd w:id="35"/>
                                    <w:bookmarkStart w:id="36" w:name="_Toc157499355"/>
                                    <w:bookmarkEnd w:id="36"/>
                                  </w:p>
                                  <w:p w14:paraId="380D9BF9">
                                    <w:pPr>
                                      <w:widowControl/>
                                      <w:spacing w:line="320" w:lineRule="atLeast"/>
                                      <w:ind w:firstLine="361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b/>
                                        <w:bCs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5.发布公告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b/>
                                        <w:bCs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及招标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b/>
                                        <w:bCs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招标文件的媒介</w:t>
                                    </w:r>
                                  </w:p>
                                  <w:p w14:paraId="6BED28EA">
                                    <w:pPr>
                                      <w:widowControl/>
                                      <w:spacing w:line="320" w:lineRule="atLeast"/>
                                      <w:ind w:firstLine="364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000000"/>
                                        <w:kern w:val="0"/>
                                        <w:sz w:val="28"/>
                                        <w:szCs w:val="28"/>
                                      </w:rPr>
                                      <w:t>本次招标公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告及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招标文件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在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  <w:u w:val="single"/>
                                      </w:rPr>
                                      <w:t>鲁班电子采购网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上发布。</w:t>
                                    </w:r>
                                  </w:p>
                                  <w:p w14:paraId="5E80197F">
                                    <w:pPr>
                                      <w:widowControl/>
                                      <w:spacing w:line="320" w:lineRule="atLeast"/>
                                      <w:ind w:firstLine="365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b/>
                                        <w:bCs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6.联系方式</w:t>
                                    </w:r>
                                  </w:p>
                                  <w:p w14:paraId="13EE9864">
                                    <w:pPr>
                                      <w:widowControl/>
                                      <w:spacing w:line="320" w:lineRule="atLeast"/>
                                      <w:ind w:firstLine="360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招标人：中铁三局集团建筑安装工程有限公司</w:t>
                                    </w:r>
                                  </w:p>
                                  <w:p w14:paraId="4955D6BC">
                                    <w:pPr>
                                      <w:widowControl/>
                                      <w:spacing w:line="320" w:lineRule="atLeast"/>
                                      <w:ind w:firstLine="360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  <w:highlight w:val="yellow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地址：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  <w:lang w:val="en-US" w:eastAsia="zh-CN"/>
                                      </w:rPr>
                                      <w:t>河北省保定市雄安新区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</w:rPr>
                                      <w:t>中铁三局集团建筑安装工程有限公司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  <w:lang w:eastAsia="zh-CN"/>
                                      </w:rPr>
                                      <w:t>昝岗组团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  <w:lang w:val="en-US" w:eastAsia="zh-CN"/>
                                      </w:rPr>
                                      <w:t>西南部小学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  <w:lang w:eastAsia="zh-CN"/>
                                      </w:rPr>
                                      <w:t>项目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highlight w:val="none"/>
                                        <w:lang w:val="en-US" w:eastAsia="zh-CN"/>
                                      </w:rPr>
                                      <w:t>项目部</w:t>
                                    </w:r>
                                  </w:p>
                                  <w:p w14:paraId="09043F3F">
                                    <w:pPr>
                                      <w:widowControl/>
                                      <w:spacing w:line="320" w:lineRule="atLeast"/>
                                      <w:ind w:firstLine="360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  <w:highlight w:val="none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  <w:highlight w:val="none"/>
                                      </w:rPr>
                                      <w:t>联系人：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  <w:highlight w:val="none"/>
                                        <w:lang w:val="en-US" w:eastAsia="zh-CN"/>
                                      </w:rPr>
                                      <w:t>苏瑞</w:t>
                                    </w:r>
                                    <w:r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  <w:highlight w:val="none"/>
                                      </w:rPr>
                                      <w:t xml:space="preserve"> </w:t>
                                    </w:r>
                                  </w:p>
                                  <w:p w14:paraId="3A1F3670">
                                    <w:pPr>
                                      <w:widowControl/>
                                      <w:spacing w:line="320" w:lineRule="atLeast"/>
                                      <w:ind w:firstLine="360"/>
                                      <w:jc w:val="left"/>
                                      <w:rPr>
                                        <w:rFonts w:hint="default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  <w:highlight w:val="none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  <w:highlight w:val="none"/>
                                      </w:rPr>
                                      <w:t>电话：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  <w:highlight w:val="none"/>
                                        <w:lang w:val="en-US" w:eastAsia="zh-CN"/>
                                      </w:rPr>
                                      <w:t>18734138090</w:t>
                                    </w:r>
                                  </w:p>
                                  <w:p w14:paraId="061D8F66">
                                    <w:pPr>
                                      <w:widowControl/>
                                      <w:spacing w:line="320" w:lineRule="atLeast"/>
                                      <w:jc w:val="lef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仿宋" w:cs="Calibri"/>
                                        <w:b/>
                                        <w:bCs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 </w:t>
                                    </w:r>
                                  </w:p>
                                  <w:p w14:paraId="2401FAB8">
                                    <w:pPr>
                                      <w:widowControl/>
                                      <w:spacing w:line="320" w:lineRule="atLeast"/>
                                      <w:jc w:val="right"/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</w:rPr>
                                      <w:t>中铁三局集团建筑安装工程有限公司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昝岗组团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西南部小学</w:t>
                                    </w:r>
                                    <w:r>
                                      <w:rPr>
                                        <w:rFonts w:hint="eastAsia" w:ascii="仿宋" w:hAnsi="仿宋" w:eastAsia="仿宋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项目</w:t>
                                    </w:r>
                                  </w:p>
                                  <w:p w14:paraId="21DECC75">
                                    <w:pPr>
                                      <w:widowControl/>
                                      <w:spacing w:line="320" w:lineRule="atLeast"/>
                                      <w:ind w:firstLine="4320"/>
                                      <w:jc w:val="center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仿宋" w:cs="Calibri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  <w:t> </w:t>
                                    </w:r>
                                  </w:p>
                                  <w:p w14:paraId="2CCCEB17">
                                    <w:pPr>
                                      <w:widowControl/>
                                      <w:wordWrap w:val="0"/>
                                      <w:spacing w:line="320" w:lineRule="atLeast"/>
                                      <w:jc w:val="right"/>
                                      <w:rPr>
                                        <w:rFonts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  <w:highlight w:val="none"/>
                                      </w:rPr>
                                      <w:t xml:space="preserve">2025年 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  <w:highlight w:val="none"/>
                                        <w:lang w:val="en-US"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  <w:highlight w:val="none"/>
                                      </w:rPr>
                                      <w:t xml:space="preserve">月 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  <w:highlight w:val="none"/>
                                        <w:lang w:val="en-US" w:eastAsia="zh-CN"/>
                                      </w:rPr>
                                      <w:t>25</w:t>
                                    </w:r>
                                    <w:r>
                                      <w:rPr>
                                        <w:rFonts w:hint="eastAsia" w:ascii="仿宋" w:hAnsi="仿宋" w:eastAsia="仿宋" w:cs="宋体"/>
                                        <w:color w:val="323232"/>
                                        <w:kern w:val="0"/>
                                        <w:sz w:val="28"/>
                                        <w:szCs w:val="28"/>
                                        <w:highlight w:val="none"/>
                                      </w:rPr>
                                      <w:t>日</w:t>
                                    </w:r>
                                  </w:p>
                                </w:tc>
                              </w:tr>
                            </w:tbl>
                            <w:p w14:paraId="558525BA">
                              <w:pPr>
                                <w:widowControl/>
                                <w:jc w:val="center"/>
                                <w:rPr>
                                  <w:rFonts w:ascii="宋体" w:hAnsi="宋体" w:cs="宋体"/>
                                  <w:color w:val="323232"/>
                                  <w:kern w:val="0"/>
                                  <w:sz w:val="12"/>
                                  <w:szCs w:val="12"/>
                                </w:rPr>
                              </w:pPr>
                              <w:bookmarkStart w:id="37" w:name="_GoBack"/>
                              <w:bookmarkEnd w:id="37"/>
                            </w:p>
                          </w:tc>
                        </w:tr>
                        <w:tr w14:paraId="6207D42D">
                          <w:tblPrEx>
                            <w:shd w:val="clear" w:color="auto" w:fill="FFFFFF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blCellSpacing w:w="15" w:type="dxa"/>
                          </w:trPr>
                          <w:tc>
                            <w:tcPr>
                              <w:tcW w:w="8445" w:type="dxa"/>
                              <w:shd w:val="clear" w:color="auto" w:fill="auto"/>
                              <w:noWrap w:val="0"/>
                              <w:vAlign w:val="center"/>
                            </w:tcPr>
                            <w:p w14:paraId="53021B40">
                              <w:pPr>
                                <w:widowControl/>
                                <w:wordWrap w:val="0"/>
                                <w:spacing w:line="320" w:lineRule="atLeast"/>
                                <w:jc w:val="right"/>
                                <w:rPr>
                                  <w:rFonts w:ascii="仿宋" w:hAnsi="仿宋" w:eastAsia="仿宋" w:cs="宋体"/>
                                  <w:color w:val="323232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14:paraId="1DA330EE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23232"/>
                            <w:kern w:val="0"/>
                            <w:sz w:val="12"/>
                            <w:szCs w:val="12"/>
                          </w:rPr>
                        </w:pPr>
                      </w:p>
                    </w:tc>
                  </w:tr>
                  <w:tr w14:paraId="5904E4BB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8445" w:type="dxa"/>
                        <w:shd w:val="clear" w:color="auto" w:fill="auto"/>
                        <w:noWrap w:val="0"/>
                        <w:vAlign w:val="center"/>
                      </w:tcPr>
                      <w:p w14:paraId="7480B2D6">
                        <w:pPr>
                          <w:widowControl/>
                          <w:wordWrap w:val="0"/>
                          <w:spacing w:line="320" w:lineRule="atLeast"/>
                          <w:jc w:val="right"/>
                          <w:rPr>
                            <w:rFonts w:ascii="仿宋" w:hAnsi="仿宋" w:eastAsia="仿宋" w:cs="宋体"/>
                            <w:color w:val="323232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EDC97E1">
                  <w:pPr>
                    <w:widowControl/>
                    <w:jc w:val="center"/>
                    <w:rPr>
                      <w:rFonts w:ascii="宋体" w:hAnsi="宋体" w:cs="宋体"/>
                      <w:color w:val="323232"/>
                      <w:kern w:val="0"/>
                      <w:sz w:val="12"/>
                      <w:szCs w:val="12"/>
                    </w:rPr>
                  </w:pPr>
                </w:p>
              </w:tc>
            </w:tr>
            <w:tr w14:paraId="45426D76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8445" w:type="dxa"/>
                  <w:shd w:val="clear" w:color="auto" w:fill="auto"/>
                  <w:noWrap w:val="0"/>
                  <w:vAlign w:val="center"/>
                </w:tcPr>
                <w:p w14:paraId="1F6AEA7E">
                  <w:pPr>
                    <w:widowControl/>
                    <w:wordWrap w:val="0"/>
                    <w:spacing w:line="320" w:lineRule="atLeast"/>
                    <w:jc w:val="right"/>
                    <w:rPr>
                      <w:rFonts w:ascii="仿宋" w:hAnsi="仿宋" w:eastAsia="仿宋" w:cs="宋体"/>
                      <w:color w:val="323232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4323225E">
            <w:pPr>
              <w:widowControl/>
              <w:jc w:val="center"/>
              <w:rPr>
                <w:rFonts w:ascii="宋体" w:hAnsi="宋体" w:cs="宋体"/>
                <w:color w:val="323232"/>
                <w:kern w:val="0"/>
                <w:sz w:val="12"/>
                <w:szCs w:val="12"/>
              </w:rPr>
            </w:pPr>
          </w:p>
        </w:tc>
      </w:tr>
      <w:tr w14:paraId="68421A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445" w:type="dxa"/>
            <w:shd w:val="clear" w:color="auto" w:fill="auto"/>
            <w:noWrap w:val="0"/>
            <w:vAlign w:val="center"/>
          </w:tcPr>
          <w:p w14:paraId="7D4F1B6D">
            <w:pPr>
              <w:widowControl/>
              <w:wordWrap w:val="0"/>
              <w:spacing w:line="320" w:lineRule="atLeast"/>
              <w:jc w:val="right"/>
              <w:rPr>
                <w:rFonts w:ascii="仿宋" w:hAnsi="仿宋" w:eastAsia="仿宋" w:cs="宋体"/>
                <w:color w:val="323232"/>
                <w:kern w:val="0"/>
                <w:sz w:val="28"/>
                <w:szCs w:val="28"/>
              </w:rPr>
            </w:pPr>
          </w:p>
        </w:tc>
      </w:tr>
    </w:tbl>
    <w:p w14:paraId="5E8B77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26E4C"/>
    <w:rsid w:val="02177179"/>
    <w:rsid w:val="0A103712"/>
    <w:rsid w:val="586534F7"/>
    <w:rsid w:val="66A2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845</Words>
  <Characters>966</Characters>
  <Lines>0</Lines>
  <Paragraphs>0</Paragraphs>
  <TotalTime>0</TotalTime>
  <ScaleCrop>false</ScaleCrop>
  <LinksUpToDate>false</LinksUpToDate>
  <CharactersWithSpaces>975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2025-11-10T10:32:00Z</dcterms:created>
  <dc:creator>楚卿城</dc:creator>
  <cp:lastModifiedBy>活久见、</cp:lastModifiedBy>
  <dcterms:modified xsi:type="dcterms:W3CDTF">2025-12-25T13:06:54Z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43A4BBEDB46F45CA859470C5FF66E59E_11</vt:lpwstr>
  </property>
  <property fmtid="{D5CDD505-2E9C-101B-9397-08002B2CF9AE}" pid="4" name="KSOTemplateDocerSaveRecord">
    <vt:lpwstr>eyJoZGlkIjoiNWY4NjYwYTNjYTBiZGJjZTQ1MzMzYTEwMTA1NDY3NGEiLCJ1c2VySWQiOiIzMDIyMDQ1OTUifQ==</vt:lpwstr>
  </property>
</Properties>
</file>