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EA5C5">
      <w:pPr>
        <w:pStyle w:val="2"/>
        <w:spacing w:before="0" w:after="0" w:line="360" w:lineRule="auto"/>
        <w:jc w:val="center"/>
        <w:rPr>
          <w:rFonts w:hint="eastAsia" w:ascii="宋体" w:hAnsi="宋体" w:eastAsia="宋体" w:cs="宋体"/>
          <w:b/>
          <w:bCs/>
          <w:color w:val="auto"/>
          <w:sz w:val="36"/>
          <w:szCs w:val="30"/>
          <w:highlight w:val="none"/>
        </w:rPr>
      </w:pPr>
      <w:r>
        <w:rPr>
          <w:rFonts w:hint="eastAsia" w:ascii="宋体" w:hAnsi="宋体" w:eastAsia="宋体" w:cs="宋体"/>
          <w:b/>
          <w:bCs/>
          <w:color w:val="auto"/>
          <w:sz w:val="36"/>
          <w:highlight w:val="none"/>
          <w:lang w:eastAsia="zh-CN"/>
        </w:rPr>
        <w:t>采购</w:t>
      </w:r>
      <w:r>
        <w:rPr>
          <w:rFonts w:hint="eastAsia" w:ascii="宋体" w:hAnsi="宋体" w:eastAsia="宋体" w:cs="宋体"/>
          <w:b/>
          <w:bCs/>
          <w:color w:val="auto"/>
          <w:sz w:val="36"/>
          <w:highlight w:val="none"/>
        </w:rPr>
        <w:t>邀请书</w:t>
      </w:r>
    </w:p>
    <w:p w14:paraId="4F5B2C23">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重庆卓力工程咨询有限公司（以下简称：采购代理机构）接受</w:t>
      </w:r>
      <w:r>
        <w:rPr>
          <w:rFonts w:hint="eastAsia" w:ascii="宋体" w:hAnsi="宋体" w:eastAsia="宋体" w:cs="宋体"/>
          <w:color w:val="auto"/>
          <w:sz w:val="24"/>
          <w:szCs w:val="24"/>
          <w:highlight w:val="none"/>
          <w:lang w:val="en-US" w:eastAsia="zh-CN"/>
        </w:rPr>
        <w:t>重庆市万盛区利民水利电力有限责任公司</w:t>
      </w:r>
      <w:r>
        <w:rPr>
          <w:rFonts w:hint="eastAsia" w:ascii="宋体" w:hAnsi="宋体" w:eastAsia="宋体" w:cs="宋体"/>
          <w:color w:val="auto"/>
          <w:sz w:val="24"/>
          <w:szCs w:val="24"/>
          <w:highlight w:val="none"/>
        </w:rPr>
        <w:t>（以下简称：采购人）的委托，对</w:t>
      </w:r>
      <w:bookmarkStart w:id="80" w:name="_GoBack"/>
      <w:r>
        <w:rPr>
          <w:rFonts w:hint="eastAsia" w:ascii="宋体" w:hAnsi="宋体" w:eastAsia="宋体" w:cs="宋体"/>
          <w:color w:val="auto"/>
          <w:sz w:val="24"/>
          <w:szCs w:val="24"/>
          <w:highlight w:val="none"/>
          <w:lang w:val="en-US" w:eastAsia="zh-CN"/>
        </w:rPr>
        <w:t>关坝污水处理厂一体化污水处理应急设施</w:t>
      </w:r>
      <w:bookmarkEnd w:id="80"/>
      <w:r>
        <w:rPr>
          <w:rFonts w:hint="eastAsia" w:ascii="宋体" w:hAnsi="宋体" w:eastAsia="宋体" w:cs="宋体"/>
          <w:color w:val="auto"/>
          <w:sz w:val="24"/>
          <w:szCs w:val="24"/>
          <w:highlight w:val="none"/>
        </w:rPr>
        <w:t>进行</w:t>
      </w:r>
      <w:r>
        <w:rPr>
          <w:rFonts w:hint="eastAsia" w:ascii="宋体" w:hAnsi="宋体" w:eastAsia="宋体" w:cs="宋体"/>
          <w:color w:val="auto"/>
          <w:sz w:val="24"/>
          <w:szCs w:val="24"/>
          <w:highlight w:val="none"/>
          <w:lang w:eastAsia="zh-CN"/>
        </w:rPr>
        <w:t>比选</w:t>
      </w:r>
      <w:r>
        <w:rPr>
          <w:rFonts w:hint="eastAsia" w:ascii="宋体" w:hAnsi="宋体" w:eastAsia="宋体" w:cs="宋体"/>
          <w:color w:val="auto"/>
          <w:sz w:val="24"/>
          <w:szCs w:val="24"/>
          <w:highlight w:val="none"/>
        </w:rPr>
        <w:t>采购。欢迎有资格的供应商进行报价。</w:t>
      </w:r>
    </w:p>
    <w:p w14:paraId="62C2A858">
      <w:pPr>
        <w:pStyle w:val="2"/>
        <w:adjustRightInd w:val="0"/>
        <w:snapToGrid w:val="0"/>
        <w:spacing w:before="0" w:after="0" w:line="400" w:lineRule="exact"/>
        <w:ind w:firstLine="482" w:firstLineChars="200"/>
        <w:rPr>
          <w:rFonts w:hint="eastAsia" w:ascii="宋体" w:hAnsi="宋体" w:eastAsia="宋体" w:cs="宋体"/>
          <w:color w:val="auto"/>
          <w:sz w:val="24"/>
          <w:highlight w:val="none"/>
        </w:rPr>
      </w:pPr>
      <w:bookmarkStart w:id="0" w:name="_Toc18246"/>
      <w:bookmarkStart w:id="1" w:name="_Toc65660330"/>
      <w:bookmarkStart w:id="2" w:name="_Toc26091"/>
      <w:bookmarkStart w:id="3" w:name="_Toc7758"/>
      <w:bookmarkStart w:id="4" w:name="_Toc4489"/>
      <w:bookmarkStart w:id="5" w:name="_Toc317775175"/>
      <w:bookmarkStart w:id="6" w:name="_Toc313893526"/>
      <w:bookmarkStart w:id="7" w:name="_Toc23992"/>
      <w:bookmarkStart w:id="8" w:name="_Toc1513"/>
      <w:bookmarkStart w:id="9" w:name="_Toc19605"/>
      <w:r>
        <w:rPr>
          <w:rFonts w:hint="eastAsia" w:ascii="宋体" w:hAnsi="宋体" w:eastAsia="宋体" w:cs="宋体"/>
          <w:color w:val="auto"/>
          <w:sz w:val="24"/>
          <w:highlight w:val="none"/>
        </w:rPr>
        <w:t>一、</w:t>
      </w:r>
      <w:r>
        <w:rPr>
          <w:rFonts w:hint="eastAsia" w:ascii="宋体" w:hAnsi="宋体" w:eastAsia="宋体" w:cs="宋体"/>
          <w:color w:val="auto"/>
          <w:sz w:val="24"/>
          <w:highlight w:val="none"/>
          <w:lang w:eastAsia="zh-CN"/>
        </w:rPr>
        <w:t>采购</w:t>
      </w:r>
      <w:r>
        <w:rPr>
          <w:rFonts w:hint="eastAsia" w:ascii="宋体" w:hAnsi="宋体" w:eastAsia="宋体" w:cs="宋体"/>
          <w:color w:val="auto"/>
          <w:sz w:val="24"/>
          <w:highlight w:val="none"/>
        </w:rPr>
        <w:t>内容</w:t>
      </w:r>
      <w:bookmarkEnd w:id="0"/>
      <w:bookmarkEnd w:id="1"/>
      <w:bookmarkEnd w:id="2"/>
      <w:bookmarkEnd w:id="3"/>
      <w:bookmarkEnd w:id="4"/>
      <w:bookmarkEnd w:id="5"/>
      <w:bookmarkEnd w:id="6"/>
      <w:bookmarkEnd w:id="7"/>
      <w:bookmarkEnd w:id="8"/>
      <w:bookmarkEnd w:id="9"/>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2"/>
        <w:gridCol w:w="1513"/>
        <w:gridCol w:w="1806"/>
        <w:gridCol w:w="1300"/>
        <w:gridCol w:w="1513"/>
      </w:tblGrid>
      <w:tr w14:paraId="2FA6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612" w:type="dxa"/>
            <w:tcBorders>
              <w:top w:val="single" w:color="auto" w:sz="4" w:space="0"/>
              <w:left w:val="single" w:color="auto" w:sz="4" w:space="0"/>
              <w:right w:val="single" w:color="auto" w:sz="4" w:space="0"/>
            </w:tcBorders>
            <w:noWrap w:val="0"/>
            <w:vAlign w:val="center"/>
          </w:tcPr>
          <w:p w14:paraId="657609C2">
            <w:pPr>
              <w:widowControl/>
              <w:jc w:val="center"/>
              <w:rPr>
                <w:rFonts w:hint="eastAsia" w:ascii="宋体" w:hAnsi="宋体" w:eastAsia="宋体" w:cs="宋体"/>
                <w:b/>
                <w:bCs/>
                <w:color w:val="auto"/>
                <w:kern w:val="0"/>
                <w:sz w:val="21"/>
                <w:szCs w:val="24"/>
                <w:highlight w:val="none"/>
              </w:rPr>
            </w:pPr>
            <w:bookmarkStart w:id="10" w:name="_Toc27028"/>
            <w:bookmarkStart w:id="11" w:name="_Toc3256"/>
            <w:bookmarkStart w:id="12" w:name="_Toc4424"/>
            <w:bookmarkStart w:id="13" w:name="_Toc65660331"/>
            <w:bookmarkStart w:id="14" w:name="_Toc373860293"/>
            <w:bookmarkStart w:id="15" w:name="_Toc317775178"/>
            <w:r>
              <w:rPr>
                <w:rFonts w:hint="eastAsia" w:ascii="宋体" w:hAnsi="宋体" w:eastAsia="宋体" w:cs="宋体"/>
                <w:b/>
                <w:bCs/>
                <w:color w:val="auto"/>
                <w:kern w:val="0"/>
                <w:sz w:val="21"/>
                <w:szCs w:val="24"/>
                <w:highlight w:val="none"/>
              </w:rPr>
              <w:t>项目名称</w:t>
            </w:r>
          </w:p>
        </w:tc>
        <w:tc>
          <w:tcPr>
            <w:tcW w:w="1513" w:type="dxa"/>
            <w:tcBorders>
              <w:top w:val="single" w:color="auto" w:sz="4" w:space="0"/>
              <w:left w:val="single" w:color="auto" w:sz="4" w:space="0"/>
              <w:right w:val="single" w:color="auto" w:sz="4" w:space="0"/>
            </w:tcBorders>
            <w:noWrap w:val="0"/>
            <w:vAlign w:val="center"/>
          </w:tcPr>
          <w:p w14:paraId="0867B95B">
            <w:pPr>
              <w:widowControl/>
              <w:jc w:val="center"/>
              <w:rPr>
                <w:rFonts w:hint="eastAsia" w:ascii="宋体" w:hAnsi="宋体" w:eastAsia="宋体" w:cs="宋体"/>
                <w:b/>
                <w:bCs/>
                <w:color w:val="auto"/>
                <w:kern w:val="0"/>
                <w:sz w:val="21"/>
                <w:szCs w:val="24"/>
                <w:highlight w:val="none"/>
                <w:lang w:eastAsia="zh-CN"/>
              </w:rPr>
            </w:pPr>
            <w:r>
              <w:rPr>
                <w:rFonts w:hint="eastAsia" w:ascii="宋体" w:hAnsi="宋体" w:eastAsia="宋体" w:cs="宋体"/>
                <w:b/>
                <w:bCs/>
                <w:color w:val="auto"/>
                <w:kern w:val="0"/>
                <w:sz w:val="21"/>
                <w:szCs w:val="24"/>
                <w:highlight w:val="none"/>
                <w:lang w:eastAsia="zh-CN"/>
              </w:rPr>
              <w:t>服务期</w:t>
            </w:r>
          </w:p>
        </w:tc>
        <w:tc>
          <w:tcPr>
            <w:tcW w:w="1806" w:type="dxa"/>
            <w:tcBorders>
              <w:top w:val="single" w:color="auto" w:sz="4" w:space="0"/>
              <w:left w:val="single" w:color="auto" w:sz="4" w:space="0"/>
              <w:right w:val="single" w:color="auto" w:sz="4" w:space="0"/>
            </w:tcBorders>
            <w:noWrap w:val="0"/>
            <w:vAlign w:val="center"/>
          </w:tcPr>
          <w:p w14:paraId="738D7325">
            <w:pPr>
              <w:widowControl/>
              <w:jc w:val="center"/>
              <w:rPr>
                <w:rFonts w:hint="eastAsia" w:ascii="宋体" w:hAnsi="宋体" w:eastAsia="宋体" w:cs="宋体"/>
                <w:b/>
                <w:bCs/>
                <w:color w:val="auto"/>
                <w:kern w:val="0"/>
                <w:sz w:val="21"/>
                <w:szCs w:val="24"/>
                <w:highlight w:val="none"/>
              </w:rPr>
            </w:pPr>
            <w:r>
              <w:rPr>
                <w:rFonts w:hint="eastAsia" w:ascii="宋体" w:hAnsi="宋体" w:eastAsia="宋体" w:cs="宋体"/>
                <w:b/>
                <w:bCs/>
                <w:color w:val="auto"/>
                <w:kern w:val="0"/>
                <w:sz w:val="21"/>
                <w:szCs w:val="24"/>
                <w:highlight w:val="none"/>
              </w:rPr>
              <w:t>最高限价</w:t>
            </w:r>
            <w:r>
              <w:rPr>
                <w:rFonts w:hint="eastAsia" w:ascii="宋体" w:hAnsi="宋体" w:eastAsia="宋体" w:cs="宋体"/>
                <w:b/>
                <w:bCs/>
                <w:color w:val="auto"/>
                <w:kern w:val="0"/>
                <w:sz w:val="21"/>
                <w:szCs w:val="24"/>
                <w:highlight w:val="none"/>
                <w:lang w:eastAsia="zh-CN"/>
              </w:rPr>
              <w:t>（</w:t>
            </w:r>
            <w:r>
              <w:rPr>
                <w:rFonts w:hint="eastAsia" w:ascii="宋体" w:hAnsi="宋体" w:eastAsia="宋体" w:cs="宋体"/>
                <w:b/>
                <w:bCs/>
                <w:color w:val="auto"/>
                <w:kern w:val="0"/>
                <w:sz w:val="21"/>
                <w:szCs w:val="24"/>
                <w:highlight w:val="none"/>
                <w:lang w:val="en-US" w:eastAsia="zh-CN"/>
              </w:rPr>
              <w:t>元</w:t>
            </w:r>
            <w:r>
              <w:rPr>
                <w:rFonts w:hint="eastAsia" w:ascii="宋体" w:hAnsi="宋体" w:eastAsia="宋体" w:cs="宋体"/>
                <w:b/>
                <w:bCs/>
                <w:color w:val="auto"/>
                <w:kern w:val="0"/>
                <w:sz w:val="21"/>
                <w:szCs w:val="24"/>
                <w:highlight w:val="none"/>
                <w:lang w:eastAsia="zh-CN"/>
              </w:rPr>
              <w:t>）</w:t>
            </w:r>
          </w:p>
        </w:tc>
        <w:tc>
          <w:tcPr>
            <w:tcW w:w="1300" w:type="dxa"/>
            <w:tcBorders>
              <w:top w:val="single" w:color="auto" w:sz="4" w:space="0"/>
              <w:left w:val="single" w:color="auto" w:sz="4" w:space="0"/>
              <w:right w:val="single" w:color="auto" w:sz="4" w:space="0"/>
            </w:tcBorders>
            <w:noWrap w:val="0"/>
            <w:vAlign w:val="center"/>
          </w:tcPr>
          <w:p w14:paraId="47F69B50">
            <w:pPr>
              <w:jc w:val="center"/>
              <w:rPr>
                <w:rFonts w:hint="eastAsia" w:ascii="宋体" w:hAnsi="宋体" w:eastAsia="宋体" w:cs="宋体"/>
                <w:b/>
                <w:bCs/>
                <w:color w:val="auto"/>
                <w:kern w:val="0"/>
                <w:sz w:val="21"/>
                <w:szCs w:val="24"/>
                <w:highlight w:val="none"/>
              </w:rPr>
            </w:pPr>
            <w:r>
              <w:rPr>
                <w:rFonts w:hint="eastAsia" w:ascii="宋体" w:hAnsi="宋体" w:eastAsia="宋体" w:cs="宋体"/>
                <w:b/>
                <w:bCs/>
                <w:color w:val="auto"/>
                <w:kern w:val="0"/>
                <w:sz w:val="21"/>
                <w:szCs w:val="24"/>
                <w:highlight w:val="none"/>
              </w:rPr>
              <w:t>成交供应商数量（名）</w:t>
            </w:r>
          </w:p>
        </w:tc>
        <w:tc>
          <w:tcPr>
            <w:tcW w:w="1513" w:type="dxa"/>
            <w:tcBorders>
              <w:top w:val="single" w:color="auto" w:sz="4" w:space="0"/>
              <w:left w:val="single" w:color="auto" w:sz="4" w:space="0"/>
              <w:right w:val="single" w:color="auto" w:sz="4" w:space="0"/>
            </w:tcBorders>
            <w:noWrap w:val="0"/>
            <w:vAlign w:val="center"/>
          </w:tcPr>
          <w:p w14:paraId="0987799E">
            <w:pPr>
              <w:jc w:val="center"/>
              <w:rPr>
                <w:rFonts w:hint="eastAsia" w:ascii="宋体" w:hAnsi="宋体" w:eastAsia="宋体" w:cs="宋体"/>
                <w:b/>
                <w:bCs/>
                <w:color w:val="auto"/>
                <w:kern w:val="0"/>
                <w:sz w:val="21"/>
                <w:szCs w:val="24"/>
                <w:highlight w:val="none"/>
                <w:lang w:eastAsia="zh-CN"/>
              </w:rPr>
            </w:pPr>
            <w:r>
              <w:rPr>
                <w:rFonts w:hint="eastAsia" w:ascii="宋体" w:hAnsi="宋体" w:eastAsia="宋体" w:cs="宋体"/>
                <w:b/>
                <w:bCs/>
                <w:color w:val="auto"/>
                <w:kern w:val="0"/>
                <w:sz w:val="21"/>
                <w:szCs w:val="24"/>
                <w:highlight w:val="none"/>
                <w:lang w:eastAsia="zh-CN"/>
              </w:rPr>
              <w:t>备注</w:t>
            </w:r>
          </w:p>
        </w:tc>
      </w:tr>
      <w:tr w14:paraId="0F97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2612" w:type="dxa"/>
            <w:tcBorders>
              <w:top w:val="single" w:color="auto" w:sz="4" w:space="0"/>
              <w:left w:val="single" w:color="auto" w:sz="4" w:space="0"/>
              <w:right w:val="single" w:color="auto" w:sz="4" w:space="0"/>
            </w:tcBorders>
            <w:noWrap w:val="0"/>
            <w:vAlign w:val="center"/>
          </w:tcPr>
          <w:p w14:paraId="09C2A437">
            <w:pPr>
              <w:widowControl/>
              <w:jc w:val="center"/>
              <w:rPr>
                <w:rFonts w:hint="eastAsia" w:ascii="宋体" w:hAnsi="宋体" w:eastAsia="宋体" w:cs="宋体"/>
                <w:color w:val="auto"/>
                <w:kern w:val="0"/>
                <w:sz w:val="21"/>
                <w:szCs w:val="24"/>
                <w:highlight w:val="none"/>
                <w:lang w:eastAsia="zh-CN"/>
              </w:rPr>
            </w:pPr>
            <w:bookmarkStart w:id="16" w:name="_Hlk344477914"/>
            <w:r>
              <w:rPr>
                <w:rFonts w:hint="eastAsia" w:ascii="宋体" w:hAnsi="宋体" w:eastAsia="宋体" w:cs="宋体"/>
                <w:color w:val="auto"/>
                <w:kern w:val="0"/>
                <w:sz w:val="21"/>
                <w:szCs w:val="24"/>
                <w:highlight w:val="none"/>
                <w:lang w:val="en-US" w:eastAsia="zh-CN"/>
              </w:rPr>
              <w:t>关坝污水处理厂一体化污水处理应急设施采购</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3797F940">
            <w:pPr>
              <w:widowControl/>
              <w:jc w:val="center"/>
              <w:rPr>
                <w:rFonts w:hint="eastAsia" w:ascii="宋体" w:hAnsi="宋体" w:eastAsia="宋体" w:cs="宋体"/>
                <w:color w:val="auto"/>
                <w:kern w:val="0"/>
                <w:sz w:val="21"/>
                <w:szCs w:val="24"/>
                <w:highlight w:val="none"/>
              </w:rPr>
            </w:pPr>
            <w:r>
              <w:rPr>
                <w:rFonts w:hint="eastAsia" w:ascii="宋体" w:hAnsi="宋体" w:eastAsia="宋体" w:cs="宋体"/>
                <w:color w:val="auto"/>
                <w:kern w:val="0"/>
                <w:sz w:val="21"/>
                <w:szCs w:val="24"/>
                <w:highlight w:val="none"/>
                <w:lang w:val="en-US" w:eastAsia="zh-CN"/>
              </w:rPr>
              <w:t>30日历天</w:t>
            </w:r>
          </w:p>
        </w:tc>
        <w:tc>
          <w:tcPr>
            <w:tcW w:w="1806" w:type="dxa"/>
            <w:tcBorders>
              <w:top w:val="single" w:color="auto" w:sz="4" w:space="0"/>
              <w:left w:val="single" w:color="auto" w:sz="4" w:space="0"/>
              <w:bottom w:val="single" w:color="auto" w:sz="4" w:space="0"/>
              <w:right w:val="single" w:color="auto" w:sz="4" w:space="0"/>
            </w:tcBorders>
            <w:noWrap w:val="0"/>
            <w:vAlign w:val="center"/>
          </w:tcPr>
          <w:p w14:paraId="734F7C93">
            <w:pPr>
              <w:widowControl/>
              <w:jc w:val="center"/>
              <w:rPr>
                <w:rFonts w:hint="eastAsia" w:ascii="宋体" w:hAnsi="宋体" w:eastAsia="宋体" w:cs="宋体"/>
                <w:color w:val="auto"/>
                <w:kern w:val="0"/>
                <w:sz w:val="21"/>
                <w:szCs w:val="24"/>
                <w:highlight w:val="none"/>
                <w:lang w:val="en-US" w:eastAsia="zh-CN"/>
              </w:rPr>
            </w:pPr>
            <w:r>
              <w:rPr>
                <w:rFonts w:hint="eastAsia" w:ascii="宋体" w:hAnsi="宋体" w:eastAsia="宋体" w:cs="宋体"/>
                <w:color w:val="auto"/>
                <w:kern w:val="0"/>
                <w:sz w:val="21"/>
                <w:szCs w:val="24"/>
                <w:highlight w:val="none"/>
                <w:lang w:val="en-US" w:eastAsia="zh-CN"/>
              </w:rPr>
              <w:t>1375500</w:t>
            </w:r>
          </w:p>
        </w:tc>
        <w:tc>
          <w:tcPr>
            <w:tcW w:w="1300" w:type="dxa"/>
            <w:tcBorders>
              <w:top w:val="single" w:color="auto" w:sz="4" w:space="0"/>
              <w:left w:val="single" w:color="auto" w:sz="4" w:space="0"/>
              <w:right w:val="single" w:color="auto" w:sz="4" w:space="0"/>
            </w:tcBorders>
            <w:noWrap w:val="0"/>
            <w:vAlign w:val="center"/>
          </w:tcPr>
          <w:p w14:paraId="7701C4D4">
            <w:pPr>
              <w:widowControl/>
              <w:jc w:val="center"/>
              <w:rPr>
                <w:rFonts w:hint="eastAsia" w:ascii="宋体" w:hAnsi="宋体" w:eastAsia="宋体" w:cs="宋体"/>
                <w:color w:val="auto"/>
                <w:kern w:val="0"/>
                <w:sz w:val="21"/>
                <w:szCs w:val="24"/>
                <w:highlight w:val="none"/>
              </w:rPr>
            </w:pPr>
            <w:r>
              <w:rPr>
                <w:rFonts w:hint="eastAsia" w:ascii="宋体" w:hAnsi="宋体" w:eastAsia="宋体" w:cs="宋体"/>
                <w:color w:val="auto"/>
                <w:kern w:val="0"/>
                <w:sz w:val="21"/>
                <w:szCs w:val="24"/>
                <w:highlight w:val="none"/>
              </w:rPr>
              <w:t>1</w:t>
            </w:r>
          </w:p>
        </w:tc>
        <w:tc>
          <w:tcPr>
            <w:tcW w:w="1513" w:type="dxa"/>
            <w:tcBorders>
              <w:top w:val="single" w:color="auto" w:sz="4" w:space="0"/>
              <w:left w:val="single" w:color="auto" w:sz="4" w:space="0"/>
              <w:right w:val="single" w:color="auto" w:sz="4" w:space="0"/>
            </w:tcBorders>
            <w:noWrap w:val="0"/>
            <w:vAlign w:val="center"/>
          </w:tcPr>
          <w:p w14:paraId="223A32DE">
            <w:pPr>
              <w:widowControl/>
              <w:jc w:val="center"/>
              <w:rPr>
                <w:rFonts w:hint="eastAsia" w:ascii="宋体" w:hAnsi="宋体" w:eastAsia="宋体" w:cs="宋体"/>
                <w:color w:val="auto"/>
                <w:kern w:val="0"/>
                <w:sz w:val="21"/>
                <w:szCs w:val="24"/>
                <w:highlight w:val="none"/>
                <w:lang w:val="en-US" w:eastAsia="zh-CN"/>
              </w:rPr>
            </w:pPr>
            <w:r>
              <w:rPr>
                <w:rFonts w:hint="eastAsia" w:ascii="宋体" w:hAnsi="宋体" w:eastAsia="宋体" w:cs="宋体"/>
                <w:color w:val="auto"/>
                <w:kern w:val="0"/>
                <w:sz w:val="21"/>
                <w:szCs w:val="24"/>
                <w:highlight w:val="none"/>
                <w:lang w:val="en-US" w:eastAsia="zh-CN"/>
              </w:rPr>
              <w:t>/</w:t>
            </w:r>
          </w:p>
        </w:tc>
      </w:tr>
      <w:bookmarkEnd w:id="16"/>
    </w:tbl>
    <w:p w14:paraId="502E1EF2">
      <w:pPr>
        <w:pStyle w:val="2"/>
        <w:adjustRightInd w:val="0"/>
        <w:snapToGrid w:val="0"/>
        <w:spacing w:before="0" w:after="0" w:line="400" w:lineRule="exact"/>
        <w:ind w:firstLine="482" w:firstLineChars="200"/>
        <w:rPr>
          <w:rFonts w:hint="eastAsia" w:ascii="宋体" w:hAnsi="宋体" w:eastAsia="宋体" w:cs="宋体"/>
          <w:color w:val="auto"/>
          <w:sz w:val="24"/>
          <w:highlight w:val="none"/>
        </w:rPr>
      </w:pPr>
      <w:bookmarkStart w:id="17" w:name="_Toc22764"/>
      <w:bookmarkStart w:id="18" w:name="_Toc31183"/>
      <w:bookmarkStart w:id="19" w:name="_Toc25836"/>
      <w:bookmarkStart w:id="20" w:name="_Toc25950"/>
      <w:r>
        <w:rPr>
          <w:rFonts w:hint="eastAsia" w:ascii="宋体" w:hAnsi="宋体" w:eastAsia="宋体" w:cs="宋体"/>
          <w:color w:val="auto"/>
          <w:sz w:val="24"/>
          <w:highlight w:val="none"/>
        </w:rPr>
        <w:t>二、资金来源</w:t>
      </w:r>
      <w:bookmarkEnd w:id="10"/>
      <w:bookmarkEnd w:id="11"/>
      <w:bookmarkEnd w:id="12"/>
      <w:bookmarkEnd w:id="13"/>
      <w:bookmarkEnd w:id="17"/>
      <w:bookmarkEnd w:id="18"/>
      <w:bookmarkEnd w:id="19"/>
      <w:bookmarkEnd w:id="20"/>
    </w:p>
    <w:p w14:paraId="6B8AA3C0">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自筹</w:t>
      </w:r>
      <w:r>
        <w:rPr>
          <w:rFonts w:hint="eastAsia" w:ascii="宋体" w:hAnsi="宋体" w:eastAsia="宋体" w:cs="宋体"/>
          <w:color w:val="auto"/>
          <w:sz w:val="24"/>
          <w:szCs w:val="24"/>
          <w:highlight w:val="none"/>
        </w:rPr>
        <w:t>资金，最高限价</w:t>
      </w:r>
      <w:r>
        <w:rPr>
          <w:rFonts w:hint="eastAsia" w:ascii="宋体" w:hAnsi="宋体" w:eastAsia="宋体" w:cs="宋体"/>
          <w:color w:val="auto"/>
          <w:sz w:val="24"/>
          <w:szCs w:val="24"/>
          <w:highlight w:val="none"/>
          <w:lang w:val="en-US" w:eastAsia="zh-CN"/>
        </w:rPr>
        <w:t>1375500</w:t>
      </w:r>
      <w:r>
        <w:rPr>
          <w:rFonts w:hint="eastAsia" w:ascii="宋体" w:hAnsi="宋体" w:eastAsia="宋体" w:cs="宋体"/>
          <w:color w:val="auto"/>
          <w:sz w:val="24"/>
          <w:szCs w:val="24"/>
          <w:highlight w:val="none"/>
        </w:rPr>
        <w:t>元。</w:t>
      </w:r>
    </w:p>
    <w:p w14:paraId="62D97229">
      <w:pPr>
        <w:pStyle w:val="2"/>
        <w:adjustRightInd w:val="0"/>
        <w:snapToGrid w:val="0"/>
        <w:spacing w:before="0" w:after="0" w:line="400" w:lineRule="exact"/>
        <w:ind w:firstLine="482" w:firstLineChars="200"/>
        <w:rPr>
          <w:rFonts w:hint="eastAsia" w:ascii="宋体" w:hAnsi="宋体" w:eastAsia="宋体" w:cs="宋体"/>
          <w:color w:val="auto"/>
          <w:sz w:val="24"/>
          <w:highlight w:val="none"/>
        </w:rPr>
      </w:pPr>
      <w:bookmarkStart w:id="21" w:name="_Toc20867"/>
      <w:bookmarkStart w:id="22" w:name="_Toc17074"/>
      <w:bookmarkStart w:id="23" w:name="_Toc24330"/>
      <w:bookmarkStart w:id="24" w:name="_Toc25848"/>
      <w:bookmarkStart w:id="25" w:name="_Toc13541"/>
      <w:bookmarkStart w:id="26" w:name="_Toc18548"/>
      <w:bookmarkStart w:id="27" w:name="_Toc65660332"/>
      <w:bookmarkStart w:id="28" w:name="_Toc18254"/>
      <w:bookmarkStart w:id="29" w:name="_Toc64731996"/>
      <w:r>
        <w:rPr>
          <w:rFonts w:hint="eastAsia" w:ascii="宋体" w:hAnsi="宋体" w:eastAsia="宋体" w:cs="宋体"/>
          <w:color w:val="auto"/>
          <w:sz w:val="24"/>
          <w:highlight w:val="none"/>
        </w:rPr>
        <w:t>三、供应商资格条件</w:t>
      </w:r>
      <w:bookmarkEnd w:id="21"/>
      <w:bookmarkEnd w:id="22"/>
      <w:bookmarkEnd w:id="23"/>
      <w:bookmarkEnd w:id="24"/>
      <w:bookmarkEnd w:id="25"/>
      <w:bookmarkEnd w:id="26"/>
      <w:bookmarkEnd w:id="27"/>
      <w:bookmarkEnd w:id="28"/>
      <w:bookmarkEnd w:id="29"/>
    </w:p>
    <w:p w14:paraId="627F1213">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（一）满足《中华人民共和国政府采购法》第二十二条规定；</w:t>
      </w:r>
    </w:p>
    <w:p w14:paraId="73CAFF57">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（二）落实政府采购政策需满足的资格要求：无</w:t>
      </w:r>
    </w:p>
    <w:p w14:paraId="62359885">
      <w:pPr>
        <w:spacing w:line="4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（三）本项目的特定资格要求：</w:t>
      </w:r>
      <w:r>
        <w:rPr>
          <w:rFonts w:hint="eastAsia" w:ascii="宋体" w:hAnsi="宋体" w:eastAsia="宋体" w:cs="宋体"/>
          <w:color w:val="auto"/>
          <w:sz w:val="24"/>
          <w:szCs w:val="24"/>
          <w:highlight w:val="none"/>
          <w:lang w:eastAsia="zh-CN"/>
        </w:rPr>
        <w:t>环保工程专业承包贰级。</w:t>
      </w:r>
    </w:p>
    <w:p w14:paraId="35482259">
      <w:pPr>
        <w:pStyle w:val="2"/>
        <w:adjustRightInd w:val="0"/>
        <w:snapToGrid w:val="0"/>
        <w:spacing w:before="0" w:after="0" w:line="400" w:lineRule="exact"/>
        <w:ind w:firstLine="482" w:firstLineChars="200"/>
        <w:rPr>
          <w:rFonts w:hint="eastAsia" w:ascii="宋体" w:hAnsi="宋体" w:eastAsia="宋体" w:cs="宋体"/>
          <w:color w:val="auto"/>
          <w:sz w:val="24"/>
          <w:highlight w:val="none"/>
        </w:rPr>
      </w:pPr>
      <w:bookmarkStart w:id="30" w:name="_Toc6688"/>
      <w:bookmarkStart w:id="31" w:name="_Toc8581"/>
      <w:bookmarkStart w:id="32" w:name="_Toc3693"/>
      <w:bookmarkStart w:id="33" w:name="_Toc4681"/>
      <w:bookmarkStart w:id="34" w:name="_Toc11908"/>
      <w:bookmarkStart w:id="35" w:name="_Toc1386"/>
      <w:bookmarkStart w:id="36" w:name="_Toc65660333"/>
      <w:bookmarkStart w:id="37" w:name="_Toc13903"/>
      <w:r>
        <w:rPr>
          <w:rFonts w:hint="eastAsia" w:ascii="宋体" w:hAnsi="宋体" w:eastAsia="宋体" w:cs="宋体"/>
          <w:color w:val="auto"/>
          <w:sz w:val="24"/>
          <w:highlight w:val="none"/>
        </w:rPr>
        <w:t>四、</w:t>
      </w:r>
      <w:r>
        <w:rPr>
          <w:rFonts w:hint="eastAsia" w:ascii="宋体" w:hAnsi="宋体" w:eastAsia="宋体" w:cs="宋体"/>
          <w:color w:val="auto"/>
          <w:sz w:val="24"/>
          <w:highlight w:val="none"/>
          <w:lang w:eastAsia="zh-CN"/>
        </w:rPr>
        <w:t>采购</w:t>
      </w:r>
      <w:r>
        <w:rPr>
          <w:rFonts w:hint="eastAsia" w:ascii="宋体" w:hAnsi="宋体" w:eastAsia="宋体" w:cs="宋体"/>
          <w:color w:val="auto"/>
          <w:sz w:val="24"/>
          <w:highlight w:val="none"/>
        </w:rPr>
        <w:t>有关说明</w:t>
      </w:r>
      <w:bookmarkEnd w:id="14"/>
      <w:bookmarkEnd w:id="30"/>
      <w:bookmarkEnd w:id="31"/>
      <w:bookmarkEnd w:id="32"/>
      <w:bookmarkEnd w:id="33"/>
      <w:bookmarkEnd w:id="34"/>
      <w:bookmarkEnd w:id="35"/>
      <w:bookmarkEnd w:id="36"/>
      <w:bookmarkEnd w:id="37"/>
    </w:p>
    <w:bookmarkEnd w:id="15"/>
    <w:p w14:paraId="5CA724B6">
      <w:pPr>
        <w:snapToGrid w:val="0"/>
        <w:spacing w:line="400" w:lineRule="exact"/>
        <w:ind w:firstLine="480" w:firstLineChars="200"/>
        <w:rPr>
          <w:rFonts w:hint="eastAsia" w:ascii="宋体" w:hAnsi="宋体" w:eastAsia="宋体" w:cs="宋体"/>
          <w:color w:val="auto"/>
          <w:sz w:val="24"/>
          <w:szCs w:val="24"/>
          <w:highlight w:val="none"/>
        </w:rPr>
      </w:pPr>
      <w:bookmarkStart w:id="38" w:name="_Toc521053053"/>
      <w:bookmarkStart w:id="39" w:name="_Toc65660334"/>
      <w:bookmarkStart w:id="40" w:name="_Toc373860294"/>
      <w:bookmarkStart w:id="41" w:name="_Toc6178"/>
      <w:bookmarkStart w:id="42" w:name="_Toc4638"/>
      <w:bookmarkStart w:id="43" w:name="_Toc11956"/>
      <w:bookmarkStart w:id="44" w:name="_Toc525047161"/>
      <w:r>
        <w:rPr>
          <w:rFonts w:hint="eastAsia" w:ascii="宋体" w:hAnsi="宋体" w:eastAsia="宋体" w:cs="宋体"/>
          <w:color w:val="auto"/>
          <w:sz w:val="24"/>
          <w:szCs w:val="24"/>
          <w:highlight w:val="none"/>
        </w:rPr>
        <w:t>（一）凡有意参加</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的供应商，请在重庆市公共资源交易中心（万盛区）（https://www.cqggzy.com/wanshengweb/）上下载或到采购代理机构处领取本项目</w:t>
      </w:r>
      <w:r>
        <w:rPr>
          <w:rFonts w:hint="eastAsia" w:ascii="宋体" w:hAnsi="宋体" w:eastAsia="宋体" w:cs="宋体"/>
          <w:color w:val="auto"/>
          <w:sz w:val="24"/>
          <w:szCs w:val="24"/>
          <w:highlight w:val="none"/>
          <w:lang w:eastAsia="zh-CN"/>
        </w:rPr>
        <w:t>采购邀请书</w:t>
      </w:r>
      <w:r>
        <w:rPr>
          <w:rFonts w:hint="eastAsia" w:ascii="宋体" w:hAnsi="宋体" w:eastAsia="宋体" w:cs="宋体"/>
          <w:color w:val="auto"/>
          <w:sz w:val="24"/>
          <w:szCs w:val="24"/>
          <w:highlight w:val="none"/>
        </w:rPr>
        <w:t>以及澄清等报价前公布的所有项目资料，无论供应商下载或领取与否，均视为已知晓所有实质性要求内容。</w:t>
      </w:r>
    </w:p>
    <w:p w14:paraId="58225AF7">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公告期限：自采购公告发布之日起</w:t>
      </w:r>
      <w:r>
        <w:rPr>
          <w:rFonts w:hint="eastAsia" w:ascii="宋体" w:hAnsi="宋体" w:eastAsia="宋体" w:cs="宋体"/>
          <w:color w:val="auto"/>
          <w:sz w:val="24"/>
          <w:szCs w:val="24"/>
          <w:highlight w:val="none"/>
          <w:lang w:val="en-US" w:eastAsia="zh-CN"/>
        </w:rPr>
        <w:t>五</w:t>
      </w:r>
      <w:r>
        <w:rPr>
          <w:rFonts w:hint="eastAsia" w:ascii="宋体" w:hAnsi="宋体" w:eastAsia="宋体" w:cs="宋体"/>
          <w:color w:val="auto"/>
          <w:sz w:val="24"/>
          <w:szCs w:val="24"/>
          <w:highlight w:val="none"/>
        </w:rPr>
        <w:t>个工作日。</w:t>
      </w:r>
    </w:p>
    <w:p w14:paraId="23C64A58">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（三）获取</w:t>
      </w:r>
      <w:r>
        <w:rPr>
          <w:rFonts w:hint="eastAsia" w:ascii="宋体" w:hAnsi="宋体" w:eastAsia="宋体" w:cs="宋体"/>
          <w:color w:val="auto"/>
          <w:sz w:val="24"/>
          <w:szCs w:val="24"/>
          <w:highlight w:val="none"/>
          <w:lang w:eastAsia="zh-CN"/>
        </w:rPr>
        <w:t>采购邀请书</w:t>
      </w:r>
      <w:r>
        <w:rPr>
          <w:rFonts w:hint="eastAsia" w:ascii="宋体" w:hAnsi="宋体" w:eastAsia="宋体" w:cs="宋体"/>
          <w:color w:val="auto"/>
          <w:sz w:val="24"/>
          <w:szCs w:val="24"/>
          <w:highlight w:val="none"/>
        </w:rPr>
        <w:t>期限：</w:t>
      </w:r>
    </w:p>
    <w:p w14:paraId="752415AC">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采购邀请书</w:t>
      </w:r>
      <w:r>
        <w:rPr>
          <w:rFonts w:hint="eastAsia" w:ascii="宋体" w:hAnsi="宋体" w:eastAsia="宋体" w:cs="宋体"/>
          <w:color w:val="auto"/>
          <w:sz w:val="24"/>
          <w:szCs w:val="24"/>
          <w:highlight w:val="none"/>
        </w:rPr>
        <w:t>提供期限：2025年</w:t>
      </w:r>
      <w:r>
        <w:rPr>
          <w:rFonts w:hint="eastAsia" w:ascii="宋体" w:hAnsi="宋体" w:eastAsia="宋体" w:cs="宋体"/>
          <w:color w:val="auto"/>
          <w:sz w:val="24"/>
          <w:szCs w:val="24"/>
          <w:highlight w:val="none"/>
          <w:lang w:val="en-US" w:eastAsia="zh-CN"/>
        </w:rPr>
        <w:t>08</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04</w:t>
      </w:r>
      <w:r>
        <w:rPr>
          <w:rFonts w:hint="eastAsia" w:ascii="宋体" w:hAnsi="宋体" w:eastAsia="宋体" w:cs="宋体"/>
          <w:color w:val="auto"/>
          <w:sz w:val="24"/>
          <w:szCs w:val="24"/>
          <w:highlight w:val="none"/>
        </w:rPr>
        <w:t>日至2025年</w:t>
      </w:r>
      <w:r>
        <w:rPr>
          <w:rFonts w:hint="eastAsia" w:ascii="宋体" w:hAnsi="宋体" w:eastAsia="宋体" w:cs="宋体"/>
          <w:color w:val="auto"/>
          <w:sz w:val="24"/>
          <w:szCs w:val="24"/>
          <w:highlight w:val="none"/>
          <w:lang w:val="en-US" w:eastAsia="zh-CN"/>
        </w:rPr>
        <w:t>08</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08</w:t>
      </w:r>
      <w:r>
        <w:rPr>
          <w:rFonts w:hint="eastAsia" w:ascii="宋体" w:hAnsi="宋体" w:eastAsia="宋体" w:cs="宋体"/>
          <w:color w:val="auto"/>
          <w:sz w:val="24"/>
          <w:szCs w:val="24"/>
          <w:highlight w:val="none"/>
        </w:rPr>
        <w:t>日。</w:t>
      </w:r>
    </w:p>
    <w:p w14:paraId="4CC66FA4">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2.报名方式：在</w:t>
      </w:r>
      <w:r>
        <w:rPr>
          <w:rFonts w:hint="eastAsia" w:ascii="宋体" w:hAnsi="宋体" w:eastAsia="宋体" w:cs="宋体"/>
          <w:color w:val="auto"/>
          <w:sz w:val="24"/>
          <w:szCs w:val="24"/>
          <w:highlight w:val="none"/>
          <w:lang w:eastAsia="zh-CN"/>
        </w:rPr>
        <w:t>采购邀请书</w:t>
      </w:r>
      <w:r>
        <w:rPr>
          <w:rFonts w:hint="eastAsia" w:ascii="宋体" w:hAnsi="宋体" w:eastAsia="宋体" w:cs="宋体"/>
          <w:color w:val="auto"/>
          <w:sz w:val="24"/>
          <w:szCs w:val="24"/>
          <w:highlight w:val="none"/>
        </w:rPr>
        <w:t>期限内，供应商将《</w:t>
      </w:r>
      <w:r>
        <w:rPr>
          <w:rFonts w:hint="eastAsia" w:ascii="宋体" w:hAnsi="宋体" w:eastAsia="宋体" w:cs="宋体"/>
          <w:color w:val="auto"/>
          <w:sz w:val="24"/>
          <w:szCs w:val="24"/>
          <w:highlight w:val="none"/>
          <w:lang w:eastAsia="zh-CN"/>
        </w:rPr>
        <w:t>采购邀请书</w:t>
      </w:r>
      <w:r>
        <w:rPr>
          <w:rFonts w:hint="eastAsia" w:ascii="宋体" w:hAnsi="宋体" w:eastAsia="宋体" w:cs="宋体"/>
          <w:color w:val="auto"/>
          <w:sz w:val="24"/>
          <w:szCs w:val="24"/>
          <w:highlight w:val="none"/>
        </w:rPr>
        <w:t>期限发售登记表》填写完整加盖供应商公章递交至代理机构进行报名，或将《</w:t>
      </w:r>
      <w:r>
        <w:rPr>
          <w:rFonts w:hint="eastAsia" w:ascii="宋体" w:hAnsi="宋体" w:eastAsia="宋体" w:cs="宋体"/>
          <w:color w:val="auto"/>
          <w:sz w:val="24"/>
          <w:szCs w:val="24"/>
          <w:highlight w:val="none"/>
          <w:lang w:eastAsia="zh-CN"/>
        </w:rPr>
        <w:t>采购邀请书</w:t>
      </w:r>
      <w:r>
        <w:rPr>
          <w:rFonts w:hint="eastAsia" w:ascii="宋体" w:hAnsi="宋体" w:eastAsia="宋体" w:cs="宋体"/>
          <w:color w:val="auto"/>
          <w:sz w:val="24"/>
          <w:szCs w:val="24"/>
          <w:highlight w:val="none"/>
        </w:rPr>
        <w:t>发售登记表》填写完整加盖投标供应商公章的扫描件通过邮件方式进行报名，邮箱：</w:t>
      </w:r>
      <w:r>
        <w:rPr>
          <w:rFonts w:hint="eastAsia" w:ascii="宋体" w:hAnsi="宋体" w:eastAsia="宋体" w:cs="宋体"/>
          <w:color w:val="auto"/>
          <w:sz w:val="24"/>
          <w:szCs w:val="24"/>
          <w:highlight w:val="none"/>
          <w:lang w:val="en-US" w:eastAsia="zh-CN"/>
        </w:rPr>
        <w:t>2567662095</w:t>
      </w:r>
      <w:r>
        <w:rPr>
          <w:rFonts w:hint="eastAsia" w:ascii="宋体" w:hAnsi="宋体" w:eastAsia="宋体" w:cs="宋体"/>
          <w:color w:val="auto"/>
          <w:sz w:val="24"/>
          <w:szCs w:val="24"/>
          <w:highlight w:val="none"/>
        </w:rPr>
        <w:t>@qq.com。（《</w:t>
      </w:r>
      <w:r>
        <w:rPr>
          <w:rFonts w:hint="eastAsia" w:ascii="宋体" w:hAnsi="宋体" w:eastAsia="宋体" w:cs="宋体"/>
          <w:color w:val="auto"/>
          <w:sz w:val="24"/>
          <w:szCs w:val="24"/>
          <w:highlight w:val="none"/>
          <w:lang w:eastAsia="zh-CN"/>
        </w:rPr>
        <w:t>采购邀请书</w:t>
      </w:r>
      <w:r>
        <w:rPr>
          <w:rFonts w:hint="eastAsia" w:ascii="宋体" w:hAnsi="宋体" w:eastAsia="宋体" w:cs="宋体"/>
          <w:color w:val="auto"/>
          <w:sz w:val="24"/>
          <w:szCs w:val="24"/>
          <w:highlight w:val="none"/>
        </w:rPr>
        <w:t>发售登记表》见附件）</w:t>
      </w:r>
    </w:p>
    <w:p w14:paraId="2020393C">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采购邀请书</w:t>
      </w:r>
      <w:r>
        <w:rPr>
          <w:rFonts w:hint="eastAsia" w:ascii="宋体" w:hAnsi="宋体" w:eastAsia="宋体" w:cs="宋体"/>
          <w:color w:val="auto"/>
          <w:sz w:val="24"/>
          <w:szCs w:val="24"/>
          <w:highlight w:val="none"/>
        </w:rPr>
        <w:t>售价：人民币</w:t>
      </w:r>
      <w:r>
        <w:rPr>
          <w:rFonts w:hint="eastAsia" w:ascii="宋体" w:hAnsi="宋体" w:eastAsia="宋体" w:cs="宋体"/>
          <w:color w:val="auto"/>
          <w:sz w:val="24"/>
          <w:szCs w:val="24"/>
          <w:highlight w:val="none"/>
          <w:lang w:val="en-US" w:eastAsia="zh-CN"/>
        </w:rPr>
        <w:t>300</w:t>
      </w:r>
      <w:r>
        <w:rPr>
          <w:rFonts w:hint="eastAsia" w:ascii="宋体" w:hAnsi="宋体" w:eastAsia="宋体" w:cs="宋体"/>
          <w:color w:val="auto"/>
          <w:sz w:val="24"/>
          <w:szCs w:val="24"/>
          <w:highlight w:val="none"/>
        </w:rPr>
        <w:t>元/包。</w:t>
      </w:r>
    </w:p>
    <w:p w14:paraId="1D025B26">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（四）递交响应文件地点：万盛经开区公共资源综合交易中心（万盛经开区松林路111号国能天街8号楼4楼）</w:t>
      </w:r>
    </w:p>
    <w:p w14:paraId="6203647D">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（五）提交响应文件截止时间：2025年</w:t>
      </w:r>
      <w:r>
        <w:rPr>
          <w:rFonts w:hint="eastAsia" w:ascii="宋体" w:hAnsi="宋体" w:eastAsia="宋体" w:cs="宋体"/>
          <w:color w:val="auto"/>
          <w:sz w:val="24"/>
          <w:szCs w:val="24"/>
          <w:highlight w:val="none"/>
          <w:lang w:val="en-US" w:eastAsia="zh-CN"/>
        </w:rPr>
        <w:t>08</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日北京时间</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0</w:t>
      </w:r>
    </w:p>
    <w:p w14:paraId="2493AA09">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（六）评审开始时间：2025年</w:t>
      </w:r>
      <w:r>
        <w:rPr>
          <w:rFonts w:hint="eastAsia" w:ascii="宋体" w:hAnsi="宋体" w:eastAsia="宋体" w:cs="宋体"/>
          <w:color w:val="auto"/>
          <w:sz w:val="24"/>
          <w:szCs w:val="24"/>
          <w:highlight w:val="none"/>
          <w:lang w:val="en-US" w:eastAsia="zh-CN"/>
        </w:rPr>
        <w:t>08</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日北京时间</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0</w:t>
      </w:r>
    </w:p>
    <w:p w14:paraId="015F87F2">
      <w:pPr>
        <w:pStyle w:val="2"/>
        <w:adjustRightInd w:val="0"/>
        <w:snapToGrid w:val="0"/>
        <w:spacing w:before="0" w:after="0" w:line="400" w:lineRule="exact"/>
        <w:ind w:firstLine="482" w:firstLineChars="200"/>
        <w:rPr>
          <w:rFonts w:hint="eastAsia" w:ascii="宋体" w:hAnsi="宋体" w:eastAsia="宋体" w:cs="宋体"/>
          <w:b/>
          <w:color w:val="auto"/>
          <w:sz w:val="24"/>
          <w:highlight w:val="none"/>
        </w:rPr>
      </w:pPr>
      <w:bookmarkStart w:id="45" w:name="_Toc5892"/>
      <w:bookmarkStart w:id="46" w:name="_Toc15738"/>
      <w:bookmarkStart w:id="47" w:name="_Toc30374"/>
      <w:bookmarkStart w:id="48" w:name="_Toc17653"/>
      <w:r>
        <w:rPr>
          <w:rFonts w:hint="eastAsia" w:ascii="宋体" w:hAnsi="宋体" w:eastAsia="宋体" w:cs="宋体"/>
          <w:b/>
          <w:color w:val="auto"/>
          <w:sz w:val="24"/>
          <w:highlight w:val="none"/>
        </w:rPr>
        <w:t>五、保证金</w:t>
      </w:r>
      <w:bookmarkEnd w:id="38"/>
      <w:bookmarkEnd w:id="39"/>
      <w:bookmarkEnd w:id="40"/>
      <w:bookmarkEnd w:id="41"/>
      <w:bookmarkEnd w:id="42"/>
      <w:bookmarkEnd w:id="43"/>
      <w:bookmarkEnd w:id="44"/>
      <w:bookmarkEnd w:id="45"/>
      <w:bookmarkEnd w:id="46"/>
      <w:bookmarkEnd w:id="47"/>
      <w:bookmarkEnd w:id="48"/>
    </w:p>
    <w:p w14:paraId="396FAF0A">
      <w:pPr>
        <w:snapToGrid w:val="0"/>
        <w:spacing w:line="400" w:lineRule="exact"/>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color w:val="auto"/>
          <w:sz w:val="24"/>
          <w:highlight w:val="none"/>
          <w:lang w:val="en-US" w:eastAsia="zh-CN"/>
        </w:rPr>
        <w:t xml:space="preserve"> </w:t>
      </w:r>
      <w:r>
        <w:rPr>
          <w:rFonts w:hint="eastAsia" w:ascii="宋体" w:hAnsi="宋体" w:eastAsia="宋体" w:cs="宋体"/>
          <w:color w:val="auto"/>
          <w:sz w:val="24"/>
          <w:szCs w:val="24"/>
          <w:highlight w:val="none"/>
          <w:lang w:val="en-US" w:eastAsia="zh-CN"/>
        </w:rPr>
        <w:t>保证金金额为：27000元。</w:t>
      </w:r>
    </w:p>
    <w:p w14:paraId="6EA22C44">
      <w:pPr>
        <w:snapToGrid w:val="0"/>
        <w:spacing w:line="400" w:lineRule="exact"/>
        <w:ind w:left="476" w:leftChars="17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一、投标保证金递交</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供应商须按本项目规定的投标保证金金额进行缴纳，由供应商从其基本账户将投标保证金汇至以下指定账户：</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保证金收款方户名：重庆万盛国有资产经营管理有限公司</w:t>
      </w:r>
    </w:p>
    <w:p w14:paraId="0F4556DD">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开户行：中国邮政储蓄银行重庆万盛经开区支行</w:t>
      </w:r>
    </w:p>
    <w:p w14:paraId="6B3453AB">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账号：950014013000216886</w:t>
      </w:r>
    </w:p>
    <w:p w14:paraId="4792A226">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开户行：重庆三峡银行股份有限公司万盛支行</w:t>
      </w:r>
    </w:p>
    <w:p w14:paraId="06FCCD39">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账号：01821560012000177</w:t>
      </w:r>
    </w:p>
    <w:p w14:paraId="39812BE1">
      <w:pPr>
        <w:numPr>
          <w:ilvl w:val="0"/>
          <w:numId w:val="0"/>
        </w:numPr>
        <w:snapToGrid w:val="0"/>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1.投标保证金的到账截止时间为 2025年08月08日17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val="en-US" w:eastAsia="zh-CN"/>
        </w:rPr>
        <w:t>时。</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2.转款备注：供应商务必在备注栏注明：（项目名称和经办人手机号码及邮箱，便于接收电子发票信息，如若未提供手机号码，将接收不到电子发票信息）。</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3.各供应商在银行转账（电汇）时，须充分考虑银行转账（电汇）的时间差风险，如同城转账、异地转账或汇款、跨行转账或汇款的时间要求；请供应商使用网银及柜台转账方式缴纳保证金，本项目不接收柜台现金存款、结算卡、刷POS机及通过第三方支付平台缴纳保证金（如：微信支付、支付宝等方式），如果由于供应商未按以上约定方式缴纳保证金导致无法参与投标和无法退付保证金等后果由投标人自行承担。</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二、保证金退还方式</w:t>
      </w:r>
    </w:p>
    <w:p w14:paraId="20B7EC44">
      <w:pPr>
        <w:numPr>
          <w:ilvl w:val="0"/>
          <w:numId w:val="0"/>
        </w:num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1.供应商于开标当天时，提交该项目保证金银行回单和公司的开户许可证复印件给重庆万盛国有资产经营管理有限公司。</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2.采购项目除成交供应商以外的投标保证金，于该项目结果公示期结束后5个工作日内退还；成交供应商的投标保证金，自合同签订之日起5个工作日内退还成交供应商的投标保证金。</w:t>
      </w:r>
    </w:p>
    <w:p w14:paraId="4F5564FD">
      <w:pPr>
        <w:pStyle w:val="2"/>
        <w:adjustRightInd w:val="0"/>
        <w:snapToGrid w:val="0"/>
        <w:spacing w:before="0" w:after="0" w:line="400" w:lineRule="exact"/>
        <w:ind w:firstLine="482" w:firstLineChars="200"/>
        <w:rPr>
          <w:rFonts w:hint="eastAsia" w:ascii="宋体" w:hAnsi="宋体" w:eastAsia="宋体" w:cs="宋体"/>
          <w:color w:val="auto"/>
          <w:sz w:val="24"/>
          <w:highlight w:val="none"/>
        </w:rPr>
      </w:pPr>
      <w:bookmarkStart w:id="49" w:name="_Toc1355"/>
      <w:bookmarkStart w:id="50" w:name="_Toc12640"/>
      <w:bookmarkStart w:id="51" w:name="_Toc26256"/>
      <w:bookmarkStart w:id="52" w:name="_Toc21467"/>
      <w:bookmarkStart w:id="53" w:name="_Toc4355"/>
      <w:bookmarkStart w:id="54" w:name="_Toc479668114"/>
      <w:bookmarkStart w:id="55" w:name="_Toc12296"/>
      <w:bookmarkStart w:id="56" w:name="_Toc521053054"/>
      <w:bookmarkStart w:id="57" w:name="_Toc525047162"/>
      <w:bookmarkStart w:id="58" w:name="_Toc2945"/>
      <w:bookmarkStart w:id="59" w:name="_Toc65660335"/>
      <w:r>
        <w:rPr>
          <w:rFonts w:hint="eastAsia" w:ascii="宋体" w:hAnsi="宋体" w:eastAsia="宋体" w:cs="宋体"/>
          <w:color w:val="auto"/>
          <w:sz w:val="24"/>
          <w:highlight w:val="none"/>
        </w:rPr>
        <w:t>六、采购项目需落实的政府采购政策</w:t>
      </w:r>
      <w:bookmarkEnd w:id="49"/>
      <w:bookmarkEnd w:id="50"/>
      <w:bookmarkEnd w:id="51"/>
      <w:bookmarkEnd w:id="52"/>
      <w:bookmarkEnd w:id="53"/>
      <w:bookmarkEnd w:id="54"/>
      <w:bookmarkEnd w:id="55"/>
      <w:bookmarkEnd w:id="56"/>
      <w:bookmarkEnd w:id="57"/>
      <w:bookmarkEnd w:id="58"/>
      <w:bookmarkEnd w:id="59"/>
    </w:p>
    <w:p w14:paraId="1E9B65E5">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（一）按照《财政部 生态环境部关于印发环境标志产品政府采购品目清单的通知》（财库〔2019〕18号）和《财政部 发展改革委关于印发节能产品政府采购品目清单的通知》（财库〔2019〕19号）的规定，落实国家节能环保政策。</w:t>
      </w:r>
    </w:p>
    <w:p w14:paraId="69941D18">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（二）按照财政部、工业和信息化部关于印发《政府采购促进中小企业发展管理办法》的通知（财库〔2020〕46号），落实促进中小企业发展政策。</w:t>
      </w:r>
    </w:p>
    <w:p w14:paraId="0A5A1AA9">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（三）按照《财政部、司法部关于政府采购支持监狱企业发展有关问题的通知》（财库〔2014〕68号）的规定，落实支持监狱企业发展政策。监狱企业视同小型、微型企业。</w:t>
      </w:r>
    </w:p>
    <w:p w14:paraId="4AAFF6CE">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（四）按照《三部门联合发布关于促进残疾人就业政府采购政策的通知》（财库〔2017〕 141号）的规定，落实支持残疾人福利性单位发展政策。残疾人福利性单位视同小型、微型企业。</w:t>
      </w:r>
    </w:p>
    <w:p w14:paraId="5229C9B3">
      <w:pPr>
        <w:pStyle w:val="2"/>
        <w:adjustRightInd w:val="0"/>
        <w:snapToGrid w:val="0"/>
        <w:spacing w:before="0" w:after="0" w:line="400" w:lineRule="exact"/>
        <w:ind w:firstLine="482" w:firstLineChars="200"/>
        <w:rPr>
          <w:rFonts w:hint="eastAsia" w:ascii="宋体" w:hAnsi="宋体" w:eastAsia="宋体" w:cs="宋体"/>
          <w:color w:val="auto"/>
          <w:sz w:val="24"/>
          <w:highlight w:val="none"/>
        </w:rPr>
      </w:pPr>
      <w:bookmarkStart w:id="60" w:name="_Toc28"/>
      <w:bookmarkStart w:id="61" w:name="_Toc26745"/>
      <w:bookmarkStart w:id="62" w:name="_Toc23039"/>
      <w:bookmarkStart w:id="63" w:name="_Toc521053055"/>
      <w:bookmarkStart w:id="64" w:name="_Toc65660336"/>
      <w:bookmarkStart w:id="65" w:name="_Toc525047163"/>
      <w:bookmarkStart w:id="66" w:name="_Toc6563"/>
      <w:bookmarkStart w:id="67" w:name="_Toc4728"/>
      <w:bookmarkStart w:id="68" w:name="_Toc19511"/>
      <w:bookmarkStart w:id="69" w:name="_Toc16269"/>
      <w:r>
        <w:rPr>
          <w:rFonts w:hint="eastAsia" w:ascii="宋体" w:hAnsi="宋体" w:eastAsia="宋体" w:cs="宋体"/>
          <w:color w:val="auto"/>
          <w:sz w:val="24"/>
          <w:highlight w:val="none"/>
        </w:rPr>
        <w:t>七、其它有关规定</w:t>
      </w:r>
      <w:bookmarkEnd w:id="60"/>
      <w:bookmarkEnd w:id="61"/>
      <w:bookmarkEnd w:id="62"/>
      <w:bookmarkEnd w:id="63"/>
      <w:bookmarkEnd w:id="64"/>
      <w:bookmarkEnd w:id="65"/>
      <w:bookmarkEnd w:id="66"/>
      <w:bookmarkEnd w:id="67"/>
      <w:bookmarkEnd w:id="68"/>
      <w:bookmarkEnd w:id="69"/>
    </w:p>
    <w:p w14:paraId="56775093">
      <w:pPr>
        <w:snapToGrid w:val="0"/>
        <w:spacing w:line="4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（一）单位负责人为同一人或者存在直接控股、管理关系的不同供应商，不得参加同一合同项（包）下的政府采购活动，否则均为无效报价。</w:t>
      </w:r>
    </w:p>
    <w:p w14:paraId="52CF0D26">
      <w:pPr>
        <w:snapToGrid w:val="0"/>
        <w:spacing w:line="4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（二）为采购项目提供整体设计、规范编制或者项目管理、监理、检测等服务的供应商，不得再参加该采购项目的其他采购活动。</w:t>
      </w:r>
    </w:p>
    <w:p w14:paraId="4C76678A">
      <w:pPr>
        <w:snapToGrid w:val="0"/>
        <w:spacing w:line="4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（三）同一合同项（包）下的货物，制造商参与报价的，不得再委托代理商参与报价。</w:t>
      </w:r>
    </w:p>
    <w:p w14:paraId="55293D69">
      <w:pPr>
        <w:snapToGrid w:val="0"/>
        <w:spacing w:line="4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（四）本项目的澄清文件（如果有）一律在重庆市公共资源交易网（万盛经开区）上发布，请各供应商注意下载或到</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代理机构处领取；无论供应商下载或领取与否，均视同供应商已知晓本项目澄清文件（如果有）的内容。</w:t>
      </w:r>
    </w:p>
    <w:p w14:paraId="7D104003">
      <w:pPr>
        <w:snapToGrid w:val="0"/>
        <w:spacing w:line="4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（五）超过响应文件截止时间递交的响应文件，恕不接收。</w:t>
      </w:r>
    </w:p>
    <w:p w14:paraId="69197E2B">
      <w:pPr>
        <w:snapToGrid w:val="0"/>
        <w:spacing w:line="4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费用：无论</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结果如何，供应商参与本项目</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的所有费用均应由供应商自行承担。</w:t>
      </w:r>
    </w:p>
    <w:p w14:paraId="1078C544">
      <w:pPr>
        <w:snapToGrid w:val="0"/>
        <w:spacing w:line="400" w:lineRule="exact"/>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（七）本项目不接受联合体参与报价，否则按无效处理。</w:t>
      </w:r>
    </w:p>
    <w:p w14:paraId="0BF664CA">
      <w:pPr>
        <w:snapToGrid w:val="0"/>
        <w:spacing w:line="400" w:lineRule="exact"/>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（八）本项目不接受合同分包，否则按无效处理。</w:t>
      </w:r>
    </w:p>
    <w:p w14:paraId="72AF3819">
      <w:pPr>
        <w:snapToGrid w:val="0"/>
        <w:spacing w:line="4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（九）</w:t>
      </w:r>
      <w:r>
        <w:rPr>
          <w:rFonts w:hint="eastAsia" w:ascii="宋体" w:hAnsi="宋体" w:eastAsia="宋体" w:cs="宋体"/>
          <w:color w:val="auto"/>
          <w:sz w:val="24"/>
          <w:szCs w:val="24"/>
          <w:highlight w:val="none"/>
        </w:rPr>
        <w:t>按照《财政部关于在政府采购活动中查询及使用信用记录有关问题的通知》财库〔2016〕125号，供应商列入失信被执行人、重大税收违法案件当事人名单、政府采购严重违法失信行为记录名单及其他不符合《中华人民共和国政府采购法》第二十二条规定条件的供应商，将拒绝其参与政府采购活动。</w:t>
      </w:r>
    </w:p>
    <w:p w14:paraId="29372FAF">
      <w:pPr>
        <w:pStyle w:val="2"/>
        <w:adjustRightInd w:val="0"/>
        <w:snapToGrid w:val="0"/>
        <w:spacing w:before="0" w:after="0" w:line="400" w:lineRule="exact"/>
        <w:ind w:firstLine="482" w:firstLineChars="200"/>
        <w:rPr>
          <w:rFonts w:hint="eastAsia" w:ascii="宋体" w:hAnsi="宋体" w:eastAsia="宋体" w:cs="宋体"/>
          <w:color w:val="auto"/>
          <w:sz w:val="24"/>
          <w:highlight w:val="none"/>
        </w:rPr>
      </w:pPr>
      <w:bookmarkStart w:id="70" w:name="_Toc65660337"/>
      <w:bookmarkStart w:id="71" w:name="_Toc16058"/>
      <w:bookmarkStart w:id="72" w:name="_Toc1552"/>
      <w:bookmarkStart w:id="73" w:name="_Toc10415"/>
      <w:bookmarkStart w:id="74" w:name="_Toc521053056"/>
      <w:bookmarkStart w:id="75" w:name="_Toc525047164"/>
      <w:bookmarkStart w:id="76" w:name="_Toc10138"/>
      <w:bookmarkStart w:id="77" w:name="_Toc2305"/>
      <w:bookmarkStart w:id="78" w:name="_Toc26859"/>
      <w:bookmarkStart w:id="79" w:name="_Toc1733"/>
      <w:r>
        <w:rPr>
          <w:rFonts w:hint="eastAsia" w:ascii="宋体" w:hAnsi="宋体" w:eastAsia="宋体" w:cs="宋体"/>
          <w:color w:val="auto"/>
          <w:sz w:val="24"/>
          <w:highlight w:val="none"/>
        </w:rPr>
        <w:t>八、联系方式</w:t>
      </w:r>
      <w:bookmarkEnd w:id="70"/>
      <w:bookmarkEnd w:id="71"/>
      <w:bookmarkEnd w:id="72"/>
      <w:bookmarkEnd w:id="73"/>
      <w:bookmarkEnd w:id="74"/>
      <w:bookmarkEnd w:id="75"/>
      <w:bookmarkEnd w:id="76"/>
      <w:bookmarkEnd w:id="77"/>
      <w:bookmarkEnd w:id="78"/>
      <w:bookmarkEnd w:id="79"/>
    </w:p>
    <w:p w14:paraId="6C87E477">
      <w:pPr>
        <w:snapToGrid w:val="0"/>
        <w:spacing w:line="400" w:lineRule="exact"/>
        <w:ind w:firstLine="480" w:firstLineChars="200"/>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lang w:val="en-US" w:eastAsia="zh-CN"/>
        </w:rPr>
        <w:t>重庆市万盛区利民水利电力有限责任公司</w:t>
      </w:r>
    </w:p>
    <w:p w14:paraId="123C4DBE">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lang w:eastAsia="zh-CN"/>
        </w:rPr>
        <w:t>刘老师</w:t>
      </w:r>
      <w:r>
        <w:rPr>
          <w:rFonts w:hint="eastAsia" w:ascii="宋体" w:hAnsi="宋体" w:eastAsia="宋体" w:cs="宋体"/>
          <w:color w:val="auto"/>
          <w:sz w:val="24"/>
          <w:szCs w:val="24"/>
          <w:highlight w:val="none"/>
        </w:rPr>
        <w:t xml:space="preserve">  </w:t>
      </w:r>
    </w:p>
    <w:p w14:paraId="22D6D03E">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lang w:val="en-US" w:eastAsia="zh-CN"/>
        </w:rPr>
        <w:t>17323566636</w:t>
      </w:r>
    </w:p>
    <w:p w14:paraId="0132586D">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lang w:eastAsia="zh-CN"/>
        </w:rPr>
        <w:t>重庆市万盛经开区国能天街</w:t>
      </w:r>
      <w:r>
        <w:rPr>
          <w:rFonts w:hint="eastAsia" w:ascii="宋体" w:hAnsi="宋体" w:eastAsia="宋体" w:cs="宋体"/>
          <w:color w:val="auto"/>
          <w:sz w:val="24"/>
          <w:szCs w:val="24"/>
          <w:highlight w:val="none"/>
          <w:lang w:val="en-US" w:eastAsia="zh-CN"/>
        </w:rPr>
        <w:t>8号楼</w:t>
      </w:r>
    </w:p>
    <w:p w14:paraId="745E017F">
      <w:pPr>
        <w:snapToGrid w:val="0"/>
        <w:spacing w:line="400" w:lineRule="exact"/>
        <w:ind w:firstLine="480" w:firstLineChars="200"/>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（二）</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代理机构：</w:t>
      </w:r>
      <w:r>
        <w:rPr>
          <w:rFonts w:hint="eastAsia" w:ascii="宋体" w:hAnsi="宋体" w:eastAsia="宋体" w:cs="宋体"/>
          <w:color w:val="auto"/>
          <w:sz w:val="24"/>
          <w:szCs w:val="24"/>
          <w:highlight w:val="none"/>
          <w:lang w:eastAsia="zh-CN"/>
        </w:rPr>
        <w:t>重庆卓力工程咨询有限公司</w:t>
      </w:r>
    </w:p>
    <w:p w14:paraId="5987E1B7">
      <w:pPr>
        <w:snapToGrid w:val="0"/>
        <w:spacing w:line="4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lang w:eastAsia="zh-CN"/>
        </w:rPr>
        <w:t>金老师</w:t>
      </w:r>
    </w:p>
    <w:p w14:paraId="5E183DFC">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lang w:val="en-US" w:eastAsia="zh-CN"/>
        </w:rPr>
        <w:t>15683078250</w:t>
      </w:r>
    </w:p>
    <w:p w14:paraId="660ABF9A">
      <w:pPr>
        <w:snapToGrid w:val="0"/>
        <w:spacing w:line="380" w:lineRule="exact"/>
        <w:ind w:firstLine="480" w:firstLineChars="200"/>
      </w:pPr>
      <w:r>
        <w:rPr>
          <w:rFonts w:hint="eastAsia" w:ascii="宋体" w:hAnsi="宋体" w:eastAsia="宋体" w:cs="宋体"/>
          <w:color w:val="auto"/>
          <w:sz w:val="24"/>
          <w:szCs w:val="24"/>
          <w:highlight w:val="none"/>
        </w:rPr>
        <w:t>地  址：重庆市万盛经开区关坝镇溱溪街94号</w:t>
      </w:r>
    </w:p>
    <w:sectPr>
      <w:pgSz w:w="11906" w:h="16838"/>
      <w:pgMar w:top="2098" w:right="1474" w:bottom="2041" w:left="1587" w:header="851" w:footer="1474"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F750C7"/>
    <w:rsid w:val="3342455B"/>
    <w:rsid w:val="35F750C7"/>
    <w:rsid w:val="492B07D9"/>
    <w:rsid w:val="58F60E41"/>
    <w:rsid w:val="7C477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paragraph" w:styleId="2">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2025-08-03T15:08:00Z</dcterms:created>
  <dc:creator>吴鹏</dc:creator>
  <cp:lastModifiedBy>吴鹏</cp:lastModifiedBy>
  <dcterms:modified xsi:type="dcterms:W3CDTF">2025-08-03T15:10:07Z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B944182B5FA64CB0B2FFC035656131F6_11</vt:lpwstr>
  </property>
  <property fmtid="{D5CDD505-2E9C-101B-9397-08002B2CF9AE}" pid="4" name="KSOTemplateDocerSaveRecord">
    <vt:lpwstr>eyJoZGlkIjoiYTYyZDQ4MmJkZGM2ZDMxYWE3NzJiNzk0N2YwMzk0MWMiLCJ1c2VySWQiOiIzNDI3MTU2OTMifQ==</vt:lpwstr>
  </property>
</Properties>
</file>